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0F56CD20" w:rsidR="000F22E6" w:rsidRDefault="0091264E" w:rsidP="000F22E6">
      <w:pPr>
        <w:keepLines/>
        <w:widowControl w:val="0"/>
        <w:jc w:val="center"/>
        <w:rPr>
          <w:b/>
          <w:sz w:val="36"/>
        </w:rPr>
      </w:pPr>
      <w:r w:rsidRPr="00DC0231">
        <w:rPr>
          <w:b/>
          <w:bCs/>
          <w:sz w:val="36"/>
          <w:szCs w:val="36"/>
        </w:rPr>
        <w:t>Optimizing Long-Duration Energy Storage to Improve Resilience and Reliability in Disadvantaged and Low-Income Communities and Native American Tribes</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1CA92E2C" w14:textId="77777777" w:rsidR="0091264E" w:rsidRDefault="0091264E" w:rsidP="0091264E">
      <w:pPr>
        <w:keepLines/>
        <w:widowControl w:val="0"/>
        <w:jc w:val="center"/>
        <w:rPr>
          <w:b/>
          <w:sz w:val="24"/>
          <w:szCs w:val="22"/>
        </w:rPr>
      </w:pPr>
      <w:r w:rsidRPr="00C91B47">
        <w:rPr>
          <w:b/>
          <w:sz w:val="24"/>
          <w:szCs w:val="22"/>
        </w:rPr>
        <w:t>GFO-22-307</w:t>
      </w:r>
    </w:p>
    <w:p w14:paraId="0CC81688" w14:textId="0FB0F94F" w:rsidR="009E6664" w:rsidRPr="009E6664" w:rsidRDefault="009E6664" w:rsidP="0091264E">
      <w:pPr>
        <w:keepLines/>
        <w:widowControl w:val="0"/>
        <w:jc w:val="center"/>
        <w:rPr>
          <w:b/>
          <w:sz w:val="28"/>
          <w:szCs w:val="22"/>
        </w:rPr>
      </w:pPr>
      <w:r w:rsidRPr="009E6664">
        <w:rPr>
          <w:b/>
          <w:sz w:val="28"/>
          <w:szCs w:val="24"/>
        </w:rPr>
        <w:t xml:space="preserve">Addendum </w:t>
      </w:r>
      <w:r w:rsidR="00B1786B">
        <w:rPr>
          <w:b/>
          <w:sz w:val="28"/>
          <w:szCs w:val="24"/>
        </w:rPr>
        <w:t>3</w:t>
      </w:r>
    </w:p>
    <w:p w14:paraId="4D146BFB" w14:textId="18C2E6C6" w:rsidR="005A2DF5" w:rsidRPr="003A0A6F" w:rsidRDefault="00000000" w:rsidP="005A2DF5">
      <w:pPr>
        <w:keepLines/>
        <w:widowControl w:val="0"/>
        <w:jc w:val="center"/>
        <w:rPr>
          <w:sz w:val="24"/>
          <w:szCs w:val="22"/>
        </w:rPr>
      </w:pPr>
      <w:hyperlink r:id="rId12" w:history="1">
        <w:r w:rsidR="005A2DF5" w:rsidRPr="00203FA8">
          <w:rPr>
            <w:rStyle w:val="Hyperlink"/>
            <w:rFonts w:cs="Arial"/>
            <w:sz w:val="24"/>
            <w:szCs w:val="22"/>
          </w:rPr>
          <w:t>http://www.energy.ca.gov/contracts/index.html</w:t>
        </w:r>
      </w:hyperlink>
    </w:p>
    <w:p w14:paraId="237F6024" w14:textId="2827C862" w:rsidR="005A2DF5" w:rsidRPr="005A2DF5" w:rsidRDefault="005A2DF5" w:rsidP="005A2DF5">
      <w:pPr>
        <w:keepLines/>
        <w:widowControl w:val="0"/>
        <w:jc w:val="center"/>
        <w:rPr>
          <w:b/>
          <w:sz w:val="24"/>
          <w:szCs w:val="22"/>
        </w:rPr>
      </w:pPr>
      <w:r w:rsidRPr="005A2DF5">
        <w:rPr>
          <w:b/>
          <w:sz w:val="24"/>
          <w:szCs w:val="22"/>
        </w:rPr>
        <w:t>State of California</w:t>
      </w:r>
    </w:p>
    <w:p w14:paraId="48592A25" w14:textId="77777777" w:rsidR="002A4866" w:rsidRDefault="005A2DF5" w:rsidP="005A2DF5">
      <w:pPr>
        <w:keepLines/>
        <w:widowControl w:val="0"/>
        <w:jc w:val="center"/>
        <w:rPr>
          <w:b/>
          <w:sz w:val="24"/>
          <w:szCs w:val="24"/>
        </w:rPr>
        <w:sectPr w:rsidR="002A4866" w:rsidSect="00083BD4">
          <w:type w:val="continuous"/>
          <w:pgSz w:w="12240" w:h="15840" w:code="1"/>
          <w:pgMar w:top="1440" w:right="1440" w:bottom="1440" w:left="1440" w:header="1008" w:footer="432" w:gutter="0"/>
          <w:pgNumType w:fmt="lowerRoman" w:start="1"/>
          <w:cols w:space="720"/>
        </w:sectPr>
      </w:pPr>
      <w:r w:rsidRPr="7E86937F">
        <w:rPr>
          <w:b/>
          <w:sz w:val="24"/>
          <w:szCs w:val="24"/>
        </w:rPr>
        <w:t>California Energy Commission</w:t>
      </w:r>
    </w:p>
    <w:p w14:paraId="68980464" w14:textId="77777777" w:rsidR="005A2DF5" w:rsidRPr="005A2DF5" w:rsidRDefault="005A2DF5" w:rsidP="005A2DF5">
      <w:pPr>
        <w:keepLines/>
        <w:widowControl w:val="0"/>
        <w:jc w:val="center"/>
        <w:rPr>
          <w:b/>
          <w:sz w:val="24"/>
          <w:szCs w:val="24"/>
        </w:rPr>
      </w:pPr>
    </w:p>
    <w:p w14:paraId="056B7553" w14:textId="6C551DEF" w:rsidR="0091264E" w:rsidRPr="00B02EEA" w:rsidRDefault="0091264E" w:rsidP="0091264E">
      <w:pPr>
        <w:keepLines/>
        <w:widowControl w:val="0"/>
        <w:tabs>
          <w:tab w:val="left" w:pos="1440"/>
        </w:tabs>
        <w:jc w:val="center"/>
        <w:rPr>
          <w:sz w:val="24"/>
          <w:szCs w:val="22"/>
        </w:rPr>
      </w:pPr>
      <w:r w:rsidRPr="00D41D08">
        <w:rPr>
          <w:strike/>
          <w:sz w:val="24"/>
          <w:szCs w:val="22"/>
        </w:rPr>
        <w:t>June 2023</w:t>
      </w:r>
      <w:r w:rsidR="00B02EEA">
        <w:rPr>
          <w:sz w:val="24"/>
          <w:szCs w:val="22"/>
        </w:rPr>
        <w:t xml:space="preserve"> [</w:t>
      </w:r>
      <w:r w:rsidR="00B02EEA">
        <w:rPr>
          <w:b/>
          <w:bCs/>
          <w:sz w:val="24"/>
          <w:szCs w:val="22"/>
          <w:u w:val="single"/>
        </w:rPr>
        <w:t>September 2023</w:t>
      </w:r>
      <w:r w:rsidR="003A3149">
        <w:rPr>
          <w:sz w:val="24"/>
          <w:szCs w:val="22"/>
        </w:rPr>
        <w:t>]</w:t>
      </w:r>
    </w:p>
    <w:p w14:paraId="7A3C636C" w14:textId="77777777" w:rsidR="001C2D56" w:rsidRPr="00C31C1D" w:rsidRDefault="001C2D56" w:rsidP="00A10CB4">
      <w:pPr>
        <w:pStyle w:val="Heading5"/>
        <w:keepLines/>
        <w:spacing w:after="120"/>
        <w:jc w:val="both"/>
        <w:rPr>
          <w:sz w:val="28"/>
          <w:szCs w:val="28"/>
        </w:rPr>
      </w:pPr>
      <w:r w:rsidRPr="00C31C1D">
        <w:rPr>
          <w:sz w:val="28"/>
          <w:szCs w:val="28"/>
        </w:rPr>
        <w:t>Table of Contents</w:t>
      </w:r>
    </w:p>
    <w:p w14:paraId="4D1FCAC2" w14:textId="2A79F578" w:rsidR="009F6FFB" w:rsidRPr="00042243" w:rsidRDefault="0083690A">
      <w:pPr>
        <w:pStyle w:val="TOC1"/>
        <w:rPr>
          <w:rFonts w:ascii="Arial" w:eastAsiaTheme="minorEastAsia" w:hAnsi="Arial"/>
          <w:b w:val="0"/>
          <w:bCs w:val="0"/>
          <w:caps w:val="0"/>
          <w:noProof/>
          <w:sz w:val="24"/>
          <w:szCs w:val="24"/>
        </w:rPr>
      </w:pPr>
      <w:r w:rsidRPr="00042243">
        <w:rPr>
          <w:rFonts w:ascii="Arial" w:hAnsi="Arial"/>
          <w:b w:val="0"/>
          <w:caps w:val="0"/>
          <w:color w:val="2B579A"/>
          <w:sz w:val="24"/>
          <w:szCs w:val="24"/>
          <w:shd w:val="clear" w:color="auto" w:fill="E6E6E6"/>
        </w:rPr>
        <w:fldChar w:fldCharType="begin"/>
      </w:r>
      <w:r w:rsidR="001C2D56" w:rsidRPr="00042243">
        <w:rPr>
          <w:rFonts w:ascii="Arial" w:hAnsi="Arial"/>
          <w:b w:val="0"/>
          <w:bCs w:val="0"/>
          <w:caps w:val="0"/>
          <w:noProof/>
          <w:sz w:val="24"/>
          <w:szCs w:val="24"/>
        </w:rPr>
        <w:instrText xml:space="preserve"> TOC \o "2-4" \t "Heading 1,1" </w:instrText>
      </w:r>
      <w:r w:rsidRPr="00042243">
        <w:rPr>
          <w:rFonts w:ascii="Arial" w:hAnsi="Arial"/>
          <w:b w:val="0"/>
          <w:caps w:val="0"/>
          <w:color w:val="2B579A"/>
          <w:sz w:val="24"/>
          <w:szCs w:val="24"/>
          <w:shd w:val="clear" w:color="auto" w:fill="E6E6E6"/>
        </w:rPr>
        <w:fldChar w:fldCharType="separate"/>
      </w:r>
      <w:r w:rsidR="009F6FFB" w:rsidRPr="00042243">
        <w:rPr>
          <w:rFonts w:ascii="Arial" w:hAnsi="Arial"/>
          <w:noProof/>
          <w:sz w:val="24"/>
          <w:szCs w:val="24"/>
        </w:rPr>
        <w:t>I.</w:t>
      </w:r>
      <w:r w:rsidR="009F6FFB" w:rsidRPr="00042243">
        <w:rPr>
          <w:rFonts w:ascii="Arial" w:eastAsiaTheme="minorEastAsia" w:hAnsi="Arial"/>
          <w:b w:val="0"/>
          <w:bCs w:val="0"/>
          <w:caps w:val="0"/>
          <w:noProof/>
          <w:sz w:val="24"/>
          <w:szCs w:val="24"/>
        </w:rPr>
        <w:tab/>
      </w:r>
      <w:r w:rsidR="009F6FFB" w:rsidRPr="00042243">
        <w:rPr>
          <w:rFonts w:ascii="Arial" w:hAnsi="Arial"/>
          <w:noProof/>
          <w:sz w:val="24"/>
          <w:szCs w:val="24"/>
        </w:rPr>
        <w:t>Introduction</w:t>
      </w:r>
      <w:r w:rsidR="009F6FFB" w:rsidRPr="00042243">
        <w:rPr>
          <w:rFonts w:ascii="Arial" w:hAnsi="Arial"/>
          <w:noProof/>
          <w:sz w:val="24"/>
          <w:szCs w:val="24"/>
        </w:rPr>
        <w:tab/>
      </w:r>
      <w:r w:rsidR="009F6FFB" w:rsidRPr="00042243">
        <w:rPr>
          <w:rFonts w:ascii="Arial" w:hAnsi="Arial"/>
          <w:noProof/>
          <w:sz w:val="24"/>
          <w:szCs w:val="24"/>
        </w:rPr>
        <w:fldChar w:fldCharType="begin"/>
      </w:r>
      <w:r w:rsidR="009F6FFB" w:rsidRPr="00042243">
        <w:rPr>
          <w:rFonts w:ascii="Arial" w:hAnsi="Arial"/>
          <w:noProof/>
          <w:sz w:val="24"/>
          <w:szCs w:val="24"/>
        </w:rPr>
        <w:instrText xml:space="preserve"> PAGEREF _Toc121421328 \h </w:instrText>
      </w:r>
      <w:r w:rsidR="009F6FFB" w:rsidRPr="00042243">
        <w:rPr>
          <w:rFonts w:ascii="Arial" w:hAnsi="Arial"/>
          <w:noProof/>
          <w:sz w:val="24"/>
          <w:szCs w:val="24"/>
        </w:rPr>
      </w:r>
      <w:r w:rsidR="009F6FFB" w:rsidRPr="00042243">
        <w:rPr>
          <w:rFonts w:ascii="Arial" w:hAnsi="Arial"/>
          <w:noProof/>
          <w:sz w:val="24"/>
          <w:szCs w:val="24"/>
        </w:rPr>
        <w:fldChar w:fldCharType="separate"/>
      </w:r>
      <w:r w:rsidR="003209A0">
        <w:rPr>
          <w:rFonts w:ascii="Arial" w:hAnsi="Arial"/>
          <w:noProof/>
          <w:sz w:val="24"/>
          <w:szCs w:val="24"/>
        </w:rPr>
        <w:t>1</w:t>
      </w:r>
      <w:r w:rsidR="009F6FFB" w:rsidRPr="00042243">
        <w:rPr>
          <w:rFonts w:ascii="Arial" w:hAnsi="Arial"/>
          <w:noProof/>
          <w:sz w:val="24"/>
          <w:szCs w:val="24"/>
        </w:rPr>
        <w:fldChar w:fldCharType="end"/>
      </w:r>
    </w:p>
    <w:p w14:paraId="57B24E17" w14:textId="37775329"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A.</w:t>
      </w:r>
      <w:r w:rsidRPr="00042243">
        <w:rPr>
          <w:rFonts w:ascii="Arial" w:eastAsiaTheme="minorEastAsia" w:hAnsi="Arial"/>
          <w:smallCaps w:val="0"/>
          <w:noProof/>
          <w:sz w:val="24"/>
          <w:szCs w:val="24"/>
        </w:rPr>
        <w:tab/>
      </w:r>
      <w:r w:rsidRPr="00042243">
        <w:rPr>
          <w:rFonts w:ascii="Arial" w:hAnsi="Arial"/>
          <w:noProof/>
          <w:sz w:val="24"/>
          <w:szCs w:val="24"/>
        </w:rPr>
        <w:t>Purpose of Solicitation</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_Toc121421329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1</w:t>
      </w:r>
      <w:r w:rsidRPr="00042243">
        <w:rPr>
          <w:rFonts w:ascii="Arial" w:hAnsi="Arial"/>
          <w:noProof/>
          <w:sz w:val="24"/>
          <w:szCs w:val="24"/>
        </w:rPr>
        <w:fldChar w:fldCharType="end"/>
      </w:r>
    </w:p>
    <w:p w14:paraId="6E6AAB7C" w14:textId="547851F1"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B.</w:t>
      </w:r>
      <w:r w:rsidRPr="00042243">
        <w:rPr>
          <w:rFonts w:ascii="Arial" w:eastAsiaTheme="minorEastAsia" w:hAnsi="Arial"/>
          <w:smallCaps w:val="0"/>
          <w:noProof/>
          <w:sz w:val="24"/>
          <w:szCs w:val="24"/>
        </w:rPr>
        <w:tab/>
      </w:r>
      <w:r w:rsidRPr="00042243">
        <w:rPr>
          <w:rFonts w:ascii="Arial" w:hAnsi="Arial"/>
          <w:noProof/>
          <w:sz w:val="24"/>
          <w:szCs w:val="24"/>
        </w:rPr>
        <w:t>Key Words/Terms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_Toc121421330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3</w:t>
      </w:r>
      <w:r w:rsidRPr="00042243">
        <w:rPr>
          <w:rFonts w:ascii="Arial" w:hAnsi="Arial"/>
          <w:noProof/>
          <w:sz w:val="24"/>
          <w:szCs w:val="24"/>
        </w:rPr>
        <w:fldChar w:fldCharType="end"/>
      </w:r>
    </w:p>
    <w:p w14:paraId="0D4199CE" w14:textId="587A837A"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C.</w:t>
      </w:r>
      <w:r w:rsidRPr="00042243">
        <w:rPr>
          <w:rFonts w:ascii="Arial" w:eastAsiaTheme="minorEastAsia" w:hAnsi="Arial"/>
          <w:smallCaps w:val="0"/>
          <w:noProof/>
          <w:sz w:val="24"/>
          <w:szCs w:val="24"/>
        </w:rPr>
        <w:tab/>
      </w:r>
      <w:r w:rsidRPr="00042243">
        <w:rPr>
          <w:rFonts w:ascii="Arial" w:hAnsi="Arial"/>
          <w:noProof/>
          <w:sz w:val="24"/>
          <w:szCs w:val="24"/>
        </w:rPr>
        <w:t>Project Focus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_Toc121421331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5</w:t>
      </w:r>
      <w:r w:rsidRPr="00042243">
        <w:rPr>
          <w:rFonts w:ascii="Arial" w:hAnsi="Arial"/>
          <w:noProof/>
          <w:sz w:val="24"/>
          <w:szCs w:val="24"/>
        </w:rPr>
        <w:fldChar w:fldCharType="end"/>
      </w:r>
    </w:p>
    <w:p w14:paraId="28B61ABA" w14:textId="3FFF4168"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D.</w:t>
      </w:r>
      <w:r w:rsidRPr="00042243">
        <w:rPr>
          <w:rFonts w:ascii="Arial" w:eastAsiaTheme="minorEastAsia" w:hAnsi="Arial"/>
          <w:smallCaps w:val="0"/>
          <w:noProof/>
          <w:sz w:val="24"/>
          <w:szCs w:val="24"/>
        </w:rPr>
        <w:tab/>
      </w:r>
      <w:r w:rsidRPr="00042243">
        <w:rPr>
          <w:rFonts w:ascii="Arial" w:hAnsi="Arial"/>
          <w:noProof/>
          <w:sz w:val="24"/>
          <w:szCs w:val="24"/>
        </w:rPr>
        <w:t>Funding</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_Toc121421332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9</w:t>
      </w:r>
      <w:r w:rsidRPr="00042243">
        <w:rPr>
          <w:rFonts w:ascii="Arial" w:hAnsi="Arial"/>
          <w:noProof/>
          <w:sz w:val="24"/>
          <w:szCs w:val="24"/>
        </w:rPr>
        <w:fldChar w:fldCharType="end"/>
      </w:r>
    </w:p>
    <w:p w14:paraId="6D2C0F75" w14:textId="5E2C0380"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E.</w:t>
      </w:r>
      <w:r w:rsidRPr="00042243">
        <w:rPr>
          <w:rFonts w:ascii="Arial" w:eastAsiaTheme="minorEastAsia" w:hAnsi="Arial"/>
          <w:smallCaps w:val="0"/>
          <w:noProof/>
          <w:sz w:val="24"/>
          <w:szCs w:val="24"/>
        </w:rPr>
        <w:tab/>
      </w:r>
      <w:r w:rsidRPr="00042243">
        <w:rPr>
          <w:rFonts w:ascii="Arial" w:hAnsi="Arial"/>
          <w:noProof/>
          <w:sz w:val="24"/>
          <w:szCs w:val="24"/>
        </w:rPr>
        <w:t>Key Activities Schedule</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_Toc121421333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9</w:t>
      </w:r>
      <w:r w:rsidRPr="00042243">
        <w:rPr>
          <w:rFonts w:ascii="Arial" w:hAnsi="Arial"/>
          <w:noProof/>
          <w:sz w:val="24"/>
          <w:szCs w:val="24"/>
        </w:rPr>
        <w:fldChar w:fldCharType="end"/>
      </w:r>
    </w:p>
    <w:p w14:paraId="4E59FD0E" w14:textId="66C2AF76"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F.</w:t>
      </w:r>
      <w:r w:rsidRPr="00042243">
        <w:rPr>
          <w:rFonts w:ascii="Arial" w:eastAsiaTheme="minorEastAsia" w:hAnsi="Arial"/>
          <w:smallCaps w:val="0"/>
          <w:noProof/>
          <w:sz w:val="24"/>
          <w:szCs w:val="24"/>
        </w:rPr>
        <w:tab/>
      </w:r>
      <w:r w:rsidRPr="00042243">
        <w:rPr>
          <w:rFonts w:ascii="Arial" w:hAnsi="Arial"/>
          <w:noProof/>
          <w:sz w:val="24"/>
          <w:szCs w:val="24"/>
        </w:rPr>
        <w:t>Notice of Pre-Application Workshop</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_Toc121421334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10</w:t>
      </w:r>
      <w:r w:rsidRPr="00042243">
        <w:rPr>
          <w:rFonts w:ascii="Arial" w:hAnsi="Arial"/>
          <w:noProof/>
          <w:sz w:val="24"/>
          <w:szCs w:val="24"/>
        </w:rPr>
        <w:fldChar w:fldCharType="end"/>
      </w:r>
    </w:p>
    <w:p w14:paraId="6D4DDE2C" w14:textId="791339B3"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G.</w:t>
      </w:r>
      <w:r w:rsidRPr="00042243">
        <w:rPr>
          <w:rFonts w:ascii="Arial" w:eastAsiaTheme="minorEastAsia" w:hAnsi="Arial"/>
          <w:smallCaps w:val="0"/>
          <w:noProof/>
          <w:sz w:val="24"/>
          <w:szCs w:val="24"/>
        </w:rPr>
        <w:tab/>
      </w:r>
      <w:r w:rsidRPr="00042243">
        <w:rPr>
          <w:rFonts w:ascii="Arial" w:hAnsi="Arial"/>
          <w:noProof/>
          <w:sz w:val="24"/>
          <w:szCs w:val="24"/>
        </w:rPr>
        <w:t>Questions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_Toc121421335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11</w:t>
      </w:r>
      <w:r w:rsidRPr="00042243">
        <w:rPr>
          <w:rFonts w:ascii="Arial" w:hAnsi="Arial"/>
          <w:noProof/>
          <w:sz w:val="24"/>
          <w:szCs w:val="24"/>
        </w:rPr>
        <w:fldChar w:fldCharType="end"/>
      </w:r>
    </w:p>
    <w:p w14:paraId="5F5120E3" w14:textId="269C78C2"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H.</w:t>
      </w:r>
      <w:r w:rsidRPr="00042243">
        <w:rPr>
          <w:rFonts w:ascii="Arial" w:eastAsiaTheme="minorEastAsia" w:hAnsi="Arial"/>
          <w:smallCaps w:val="0"/>
          <w:noProof/>
          <w:sz w:val="24"/>
          <w:szCs w:val="24"/>
        </w:rPr>
        <w:tab/>
      </w:r>
      <w:r w:rsidRPr="00042243">
        <w:rPr>
          <w:rFonts w:ascii="Arial" w:hAnsi="Arial"/>
          <w:noProof/>
          <w:sz w:val="24"/>
          <w:szCs w:val="24"/>
        </w:rPr>
        <w:t>Applicants’ Admonishment</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_Toc121421336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12</w:t>
      </w:r>
      <w:r w:rsidRPr="00042243">
        <w:rPr>
          <w:rFonts w:ascii="Arial" w:hAnsi="Arial"/>
          <w:noProof/>
          <w:sz w:val="24"/>
          <w:szCs w:val="24"/>
        </w:rPr>
        <w:fldChar w:fldCharType="end"/>
      </w:r>
    </w:p>
    <w:p w14:paraId="46679BAD" w14:textId="0A4D6879"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I.</w:t>
      </w:r>
      <w:r w:rsidRPr="00042243">
        <w:rPr>
          <w:rFonts w:ascii="Arial" w:eastAsiaTheme="minorEastAsia" w:hAnsi="Arial"/>
          <w:smallCaps w:val="0"/>
          <w:noProof/>
          <w:sz w:val="24"/>
          <w:szCs w:val="24"/>
        </w:rPr>
        <w:tab/>
      </w:r>
      <w:r w:rsidRPr="00042243">
        <w:rPr>
          <w:rFonts w:ascii="Arial" w:hAnsi="Arial"/>
          <w:noProof/>
          <w:sz w:val="24"/>
          <w:szCs w:val="24"/>
        </w:rPr>
        <w:t>Additional Requirements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_Toc121421337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12</w:t>
      </w:r>
      <w:r w:rsidRPr="00042243">
        <w:rPr>
          <w:rFonts w:ascii="Arial" w:hAnsi="Arial"/>
          <w:noProof/>
          <w:sz w:val="24"/>
          <w:szCs w:val="24"/>
        </w:rPr>
        <w:fldChar w:fldCharType="end"/>
      </w:r>
    </w:p>
    <w:p w14:paraId="0FCC1551" w14:textId="5B5595D3"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J.</w:t>
      </w:r>
      <w:r w:rsidRPr="00042243">
        <w:rPr>
          <w:rFonts w:ascii="Arial" w:eastAsiaTheme="minorEastAsia" w:hAnsi="Arial"/>
          <w:smallCaps w:val="0"/>
          <w:noProof/>
          <w:sz w:val="24"/>
          <w:szCs w:val="24"/>
        </w:rPr>
        <w:tab/>
      </w:r>
      <w:r w:rsidRPr="00042243">
        <w:rPr>
          <w:rFonts w:ascii="Arial" w:hAnsi="Arial"/>
          <w:noProof/>
          <w:sz w:val="24"/>
          <w:szCs w:val="24"/>
        </w:rPr>
        <w:t>Background</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_Toc121421338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13</w:t>
      </w:r>
      <w:r w:rsidRPr="00042243">
        <w:rPr>
          <w:rFonts w:ascii="Arial" w:hAnsi="Arial"/>
          <w:noProof/>
          <w:sz w:val="24"/>
          <w:szCs w:val="24"/>
        </w:rPr>
        <w:fldChar w:fldCharType="end"/>
      </w:r>
    </w:p>
    <w:p w14:paraId="235A7342" w14:textId="27D0DFD7"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K.</w:t>
      </w:r>
      <w:r w:rsidRPr="00042243">
        <w:rPr>
          <w:rFonts w:ascii="Arial" w:eastAsiaTheme="minorEastAsia" w:hAnsi="Arial"/>
          <w:smallCaps w:val="0"/>
          <w:noProof/>
          <w:sz w:val="24"/>
          <w:szCs w:val="24"/>
        </w:rPr>
        <w:tab/>
      </w:r>
      <w:r w:rsidRPr="00042243">
        <w:rPr>
          <w:rFonts w:ascii="Arial" w:hAnsi="Arial"/>
          <w:noProof/>
          <w:sz w:val="24"/>
          <w:szCs w:val="24"/>
        </w:rPr>
        <w:t>Match Funding</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_Toc121421339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17</w:t>
      </w:r>
      <w:r w:rsidRPr="00042243">
        <w:rPr>
          <w:rFonts w:ascii="Arial" w:hAnsi="Arial"/>
          <w:noProof/>
          <w:sz w:val="24"/>
          <w:szCs w:val="24"/>
        </w:rPr>
        <w:fldChar w:fldCharType="end"/>
      </w:r>
    </w:p>
    <w:p w14:paraId="6004729B" w14:textId="7F740ABA"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L.</w:t>
      </w:r>
      <w:r w:rsidRPr="00042243">
        <w:rPr>
          <w:rFonts w:ascii="Arial" w:eastAsiaTheme="minorEastAsia" w:hAnsi="Arial"/>
          <w:smallCaps w:val="0"/>
          <w:noProof/>
          <w:sz w:val="24"/>
          <w:szCs w:val="24"/>
        </w:rPr>
        <w:tab/>
      </w:r>
      <w:r w:rsidRPr="00042243">
        <w:rPr>
          <w:rFonts w:ascii="Arial" w:hAnsi="Arial"/>
          <w:noProof/>
          <w:sz w:val="24"/>
          <w:szCs w:val="24"/>
        </w:rPr>
        <w:t>Funds Spent in California</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_Toc121421340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19</w:t>
      </w:r>
      <w:r w:rsidRPr="00042243">
        <w:rPr>
          <w:rFonts w:ascii="Arial" w:hAnsi="Arial"/>
          <w:noProof/>
          <w:sz w:val="24"/>
          <w:szCs w:val="24"/>
        </w:rPr>
        <w:fldChar w:fldCharType="end"/>
      </w:r>
    </w:p>
    <w:p w14:paraId="25AD9707" w14:textId="3C81A75A" w:rsidR="009F6FFB" w:rsidRPr="00042243" w:rsidRDefault="009F6FFB">
      <w:pPr>
        <w:pStyle w:val="TOC1"/>
        <w:rPr>
          <w:rFonts w:ascii="Arial" w:eastAsiaTheme="minorEastAsia" w:hAnsi="Arial"/>
          <w:b w:val="0"/>
          <w:bCs w:val="0"/>
          <w:caps w:val="0"/>
          <w:noProof/>
          <w:sz w:val="24"/>
          <w:szCs w:val="24"/>
        </w:rPr>
      </w:pPr>
      <w:r w:rsidRPr="00042243">
        <w:rPr>
          <w:rFonts w:ascii="Arial" w:hAnsi="Arial"/>
          <w:noProof/>
          <w:sz w:val="24"/>
          <w:szCs w:val="24"/>
        </w:rPr>
        <w:t>II.</w:t>
      </w:r>
      <w:r w:rsidRPr="00042243">
        <w:rPr>
          <w:rFonts w:ascii="Arial" w:eastAsiaTheme="minorEastAsia" w:hAnsi="Arial"/>
          <w:b w:val="0"/>
          <w:bCs w:val="0"/>
          <w:caps w:val="0"/>
          <w:noProof/>
          <w:sz w:val="24"/>
          <w:szCs w:val="24"/>
        </w:rPr>
        <w:tab/>
      </w:r>
      <w:r w:rsidRPr="00042243">
        <w:rPr>
          <w:rFonts w:ascii="Arial" w:hAnsi="Arial"/>
          <w:noProof/>
          <w:sz w:val="24"/>
          <w:szCs w:val="24"/>
        </w:rPr>
        <w:t>Eligibility Requirements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_Toc121421341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21</w:t>
      </w:r>
      <w:r w:rsidRPr="00042243">
        <w:rPr>
          <w:rFonts w:ascii="Arial" w:hAnsi="Arial"/>
          <w:noProof/>
          <w:sz w:val="24"/>
          <w:szCs w:val="24"/>
        </w:rPr>
        <w:fldChar w:fldCharType="end"/>
      </w:r>
    </w:p>
    <w:p w14:paraId="0F879E8B" w14:textId="2DD02A7D"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A.</w:t>
      </w:r>
      <w:r w:rsidRPr="00042243">
        <w:rPr>
          <w:rFonts w:ascii="Arial" w:eastAsiaTheme="minorEastAsia" w:hAnsi="Arial"/>
          <w:smallCaps w:val="0"/>
          <w:noProof/>
          <w:sz w:val="24"/>
          <w:szCs w:val="24"/>
        </w:rPr>
        <w:tab/>
      </w:r>
      <w:r w:rsidRPr="00042243">
        <w:rPr>
          <w:rFonts w:ascii="Arial" w:hAnsi="Arial"/>
          <w:noProof/>
          <w:sz w:val="24"/>
          <w:szCs w:val="24"/>
        </w:rPr>
        <w:t>Applicant Requirements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_Toc121421342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21</w:t>
      </w:r>
      <w:r w:rsidRPr="00042243">
        <w:rPr>
          <w:rFonts w:ascii="Arial" w:hAnsi="Arial"/>
          <w:noProof/>
          <w:sz w:val="24"/>
          <w:szCs w:val="24"/>
        </w:rPr>
        <w:fldChar w:fldCharType="end"/>
      </w:r>
    </w:p>
    <w:p w14:paraId="60D9FA69" w14:textId="210CBBD9"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B.</w:t>
      </w:r>
      <w:r w:rsidRPr="00042243">
        <w:rPr>
          <w:rFonts w:ascii="Arial" w:eastAsiaTheme="minorEastAsia" w:hAnsi="Arial"/>
          <w:smallCaps w:val="0"/>
          <w:noProof/>
          <w:sz w:val="24"/>
          <w:szCs w:val="24"/>
        </w:rPr>
        <w:tab/>
      </w:r>
      <w:r w:rsidRPr="00042243">
        <w:rPr>
          <w:rFonts w:ascii="Arial" w:hAnsi="Arial"/>
          <w:noProof/>
          <w:sz w:val="24"/>
          <w:szCs w:val="24"/>
        </w:rPr>
        <w:t>Project Requirements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_Toc121421343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23</w:t>
      </w:r>
      <w:r w:rsidRPr="00042243">
        <w:rPr>
          <w:rFonts w:ascii="Arial" w:hAnsi="Arial"/>
          <w:noProof/>
          <w:sz w:val="24"/>
          <w:szCs w:val="24"/>
        </w:rPr>
        <w:fldChar w:fldCharType="end"/>
      </w:r>
    </w:p>
    <w:p w14:paraId="256865AA" w14:textId="13D77A57" w:rsidR="009F6FFB" w:rsidRPr="00042243" w:rsidRDefault="009F6FFB">
      <w:pPr>
        <w:pStyle w:val="TOC1"/>
        <w:rPr>
          <w:rFonts w:ascii="Arial" w:eastAsiaTheme="minorEastAsia" w:hAnsi="Arial"/>
          <w:b w:val="0"/>
          <w:bCs w:val="0"/>
          <w:caps w:val="0"/>
          <w:noProof/>
          <w:sz w:val="24"/>
          <w:szCs w:val="24"/>
        </w:rPr>
      </w:pPr>
      <w:r w:rsidRPr="00042243">
        <w:rPr>
          <w:rFonts w:ascii="Arial" w:hAnsi="Arial"/>
          <w:noProof/>
          <w:sz w:val="24"/>
          <w:szCs w:val="24"/>
        </w:rPr>
        <w:t>III.</w:t>
      </w:r>
      <w:r w:rsidRPr="00042243">
        <w:rPr>
          <w:rFonts w:ascii="Arial" w:eastAsiaTheme="minorEastAsia" w:hAnsi="Arial"/>
          <w:b w:val="0"/>
          <w:bCs w:val="0"/>
          <w:caps w:val="0"/>
          <w:noProof/>
          <w:sz w:val="24"/>
          <w:szCs w:val="24"/>
        </w:rPr>
        <w:tab/>
      </w:r>
      <w:r w:rsidRPr="00042243">
        <w:rPr>
          <w:rFonts w:ascii="Arial" w:hAnsi="Arial"/>
          <w:noProof/>
          <w:sz w:val="24"/>
          <w:szCs w:val="24"/>
        </w:rPr>
        <w:t>Application Organization and Submission Instructions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_Toc121421344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25</w:t>
      </w:r>
      <w:r w:rsidRPr="00042243">
        <w:rPr>
          <w:rFonts w:ascii="Arial" w:hAnsi="Arial"/>
          <w:noProof/>
          <w:sz w:val="24"/>
          <w:szCs w:val="24"/>
        </w:rPr>
        <w:fldChar w:fldCharType="end"/>
      </w:r>
    </w:p>
    <w:p w14:paraId="3110E43B" w14:textId="7841ED10"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A.</w:t>
      </w:r>
      <w:r w:rsidRPr="00042243">
        <w:rPr>
          <w:rFonts w:ascii="Arial" w:eastAsiaTheme="minorEastAsia" w:hAnsi="Arial"/>
          <w:smallCaps w:val="0"/>
          <w:noProof/>
          <w:sz w:val="24"/>
          <w:szCs w:val="24"/>
        </w:rPr>
        <w:tab/>
      </w:r>
      <w:r w:rsidRPr="00042243">
        <w:rPr>
          <w:rFonts w:ascii="Arial" w:hAnsi="Arial"/>
          <w:noProof/>
          <w:sz w:val="24"/>
          <w:szCs w:val="24"/>
        </w:rPr>
        <w:t>Application Format, Page Limits, and Number of Copies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_Toc121421345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25</w:t>
      </w:r>
      <w:r w:rsidRPr="00042243">
        <w:rPr>
          <w:rFonts w:ascii="Arial" w:hAnsi="Arial"/>
          <w:noProof/>
          <w:sz w:val="24"/>
          <w:szCs w:val="24"/>
        </w:rPr>
        <w:fldChar w:fldCharType="end"/>
      </w:r>
    </w:p>
    <w:p w14:paraId="70106B1F" w14:textId="20D68D09"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B.</w:t>
      </w:r>
      <w:r w:rsidRPr="00042243">
        <w:rPr>
          <w:rFonts w:ascii="Arial" w:eastAsiaTheme="minorEastAsia" w:hAnsi="Arial"/>
          <w:smallCaps w:val="0"/>
          <w:noProof/>
          <w:sz w:val="24"/>
          <w:szCs w:val="24"/>
        </w:rPr>
        <w:tab/>
      </w:r>
      <w:r w:rsidRPr="00042243">
        <w:rPr>
          <w:rFonts w:ascii="Arial" w:hAnsi="Arial"/>
          <w:noProof/>
          <w:sz w:val="24"/>
          <w:szCs w:val="24"/>
        </w:rPr>
        <w:t>Method For Delivery</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_Toc121421346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26</w:t>
      </w:r>
      <w:r w:rsidRPr="00042243">
        <w:rPr>
          <w:rFonts w:ascii="Arial" w:hAnsi="Arial"/>
          <w:noProof/>
          <w:sz w:val="24"/>
          <w:szCs w:val="24"/>
        </w:rPr>
        <w:fldChar w:fldCharType="end"/>
      </w:r>
    </w:p>
    <w:p w14:paraId="40EA6D3D" w14:textId="6A67F637"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C.</w:t>
      </w:r>
      <w:r w:rsidRPr="00042243">
        <w:rPr>
          <w:rFonts w:ascii="Arial" w:eastAsiaTheme="minorEastAsia" w:hAnsi="Arial"/>
          <w:smallCaps w:val="0"/>
          <w:noProof/>
          <w:sz w:val="24"/>
          <w:szCs w:val="24"/>
        </w:rPr>
        <w:tab/>
      </w:r>
      <w:r w:rsidRPr="00042243">
        <w:rPr>
          <w:rFonts w:ascii="Arial" w:hAnsi="Arial"/>
          <w:noProof/>
          <w:sz w:val="24"/>
          <w:szCs w:val="24"/>
        </w:rPr>
        <w:t>Application Content</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_Toc121421347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26</w:t>
      </w:r>
      <w:r w:rsidRPr="00042243">
        <w:rPr>
          <w:rFonts w:ascii="Arial" w:hAnsi="Arial"/>
          <w:noProof/>
          <w:sz w:val="24"/>
          <w:szCs w:val="24"/>
        </w:rPr>
        <w:fldChar w:fldCharType="end"/>
      </w:r>
    </w:p>
    <w:p w14:paraId="7C6D8311" w14:textId="6CC80511" w:rsidR="009F6FFB" w:rsidRPr="00042243" w:rsidRDefault="009F6FFB">
      <w:pPr>
        <w:pStyle w:val="TOC1"/>
        <w:rPr>
          <w:rFonts w:ascii="Arial" w:eastAsiaTheme="minorEastAsia" w:hAnsi="Arial"/>
          <w:b w:val="0"/>
          <w:bCs w:val="0"/>
          <w:caps w:val="0"/>
          <w:noProof/>
          <w:sz w:val="24"/>
          <w:szCs w:val="24"/>
        </w:rPr>
      </w:pPr>
      <w:r w:rsidRPr="00042243">
        <w:rPr>
          <w:rFonts w:ascii="Arial" w:hAnsi="Arial"/>
          <w:noProof/>
          <w:sz w:val="24"/>
          <w:szCs w:val="24"/>
        </w:rPr>
        <w:t>IV.</w:t>
      </w:r>
      <w:r w:rsidRPr="00042243">
        <w:rPr>
          <w:rFonts w:ascii="Arial" w:eastAsiaTheme="minorEastAsia" w:hAnsi="Arial"/>
          <w:b w:val="0"/>
          <w:bCs w:val="0"/>
          <w:caps w:val="0"/>
          <w:noProof/>
          <w:sz w:val="24"/>
          <w:szCs w:val="24"/>
        </w:rPr>
        <w:tab/>
      </w:r>
      <w:r w:rsidRPr="00042243">
        <w:rPr>
          <w:rFonts w:ascii="Arial" w:hAnsi="Arial"/>
          <w:noProof/>
          <w:sz w:val="24"/>
          <w:szCs w:val="24"/>
        </w:rPr>
        <w:t>Evaluation and Award Process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_Toc121421348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32</w:t>
      </w:r>
      <w:r w:rsidRPr="00042243">
        <w:rPr>
          <w:rFonts w:ascii="Arial" w:hAnsi="Arial"/>
          <w:noProof/>
          <w:sz w:val="24"/>
          <w:szCs w:val="24"/>
        </w:rPr>
        <w:fldChar w:fldCharType="end"/>
      </w:r>
    </w:p>
    <w:p w14:paraId="104A0F13" w14:textId="0B7A6444"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A.</w:t>
      </w:r>
      <w:r w:rsidRPr="00042243">
        <w:rPr>
          <w:rFonts w:ascii="Arial" w:eastAsiaTheme="minorEastAsia" w:hAnsi="Arial"/>
          <w:smallCaps w:val="0"/>
          <w:noProof/>
          <w:sz w:val="24"/>
          <w:szCs w:val="24"/>
        </w:rPr>
        <w:tab/>
      </w:r>
      <w:r w:rsidRPr="00042243">
        <w:rPr>
          <w:rFonts w:ascii="Arial" w:hAnsi="Arial"/>
          <w:noProof/>
          <w:sz w:val="24"/>
          <w:szCs w:val="24"/>
        </w:rPr>
        <w:t>Application Evaluation</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_Toc121421349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32</w:t>
      </w:r>
      <w:r w:rsidRPr="00042243">
        <w:rPr>
          <w:rFonts w:ascii="Arial" w:hAnsi="Arial"/>
          <w:noProof/>
          <w:sz w:val="24"/>
          <w:szCs w:val="24"/>
        </w:rPr>
        <w:fldChar w:fldCharType="end"/>
      </w:r>
    </w:p>
    <w:p w14:paraId="043114F6" w14:textId="53BBA7C9"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B.</w:t>
      </w:r>
      <w:r w:rsidRPr="00042243">
        <w:rPr>
          <w:rFonts w:ascii="Arial" w:eastAsiaTheme="minorEastAsia" w:hAnsi="Arial"/>
          <w:smallCaps w:val="0"/>
          <w:noProof/>
          <w:sz w:val="24"/>
          <w:szCs w:val="24"/>
        </w:rPr>
        <w:tab/>
      </w:r>
      <w:r w:rsidRPr="00042243">
        <w:rPr>
          <w:rFonts w:ascii="Arial" w:hAnsi="Arial"/>
          <w:noProof/>
          <w:sz w:val="24"/>
          <w:szCs w:val="24"/>
        </w:rPr>
        <w:t>Ranking, Notice of Proposed Award, and Agreement Development</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_Toc121421350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32</w:t>
      </w:r>
      <w:r w:rsidRPr="00042243">
        <w:rPr>
          <w:rFonts w:ascii="Arial" w:hAnsi="Arial"/>
          <w:noProof/>
          <w:sz w:val="24"/>
          <w:szCs w:val="24"/>
        </w:rPr>
        <w:fldChar w:fldCharType="end"/>
      </w:r>
    </w:p>
    <w:p w14:paraId="69FDD8A9" w14:textId="3F2C1EB6"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C.</w:t>
      </w:r>
      <w:r w:rsidRPr="00042243">
        <w:rPr>
          <w:rFonts w:ascii="Arial" w:eastAsiaTheme="minorEastAsia" w:hAnsi="Arial"/>
          <w:smallCaps w:val="0"/>
          <w:noProof/>
          <w:sz w:val="24"/>
          <w:szCs w:val="24"/>
        </w:rPr>
        <w:tab/>
      </w:r>
      <w:r w:rsidRPr="00042243">
        <w:rPr>
          <w:rFonts w:ascii="Arial" w:hAnsi="Arial"/>
          <w:noProof/>
          <w:sz w:val="24"/>
          <w:szCs w:val="24"/>
        </w:rPr>
        <w:t>Grounds to Reject an Application or Cancel an Award</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_Toc121421351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33</w:t>
      </w:r>
      <w:r w:rsidRPr="00042243">
        <w:rPr>
          <w:rFonts w:ascii="Arial" w:hAnsi="Arial"/>
          <w:noProof/>
          <w:sz w:val="24"/>
          <w:szCs w:val="24"/>
        </w:rPr>
        <w:fldChar w:fldCharType="end"/>
      </w:r>
    </w:p>
    <w:p w14:paraId="4A6DCD8B" w14:textId="7A426405"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D.</w:t>
      </w:r>
      <w:r w:rsidRPr="00042243">
        <w:rPr>
          <w:rFonts w:ascii="Arial" w:eastAsiaTheme="minorEastAsia" w:hAnsi="Arial"/>
          <w:smallCaps w:val="0"/>
          <w:noProof/>
          <w:sz w:val="24"/>
          <w:szCs w:val="24"/>
        </w:rPr>
        <w:tab/>
      </w:r>
      <w:r w:rsidRPr="00042243">
        <w:rPr>
          <w:rFonts w:ascii="Arial" w:hAnsi="Arial"/>
          <w:noProof/>
          <w:sz w:val="24"/>
          <w:szCs w:val="24"/>
        </w:rPr>
        <w:t>Miscellaneous</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_Toc121421352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34</w:t>
      </w:r>
      <w:r w:rsidRPr="00042243">
        <w:rPr>
          <w:rFonts w:ascii="Arial" w:hAnsi="Arial"/>
          <w:noProof/>
          <w:sz w:val="24"/>
          <w:szCs w:val="24"/>
        </w:rPr>
        <w:fldChar w:fldCharType="end"/>
      </w:r>
    </w:p>
    <w:p w14:paraId="71733AE4" w14:textId="1519B13E"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E.</w:t>
      </w:r>
      <w:r w:rsidRPr="00042243">
        <w:rPr>
          <w:rFonts w:ascii="Arial" w:eastAsiaTheme="minorEastAsia" w:hAnsi="Arial"/>
          <w:smallCaps w:val="0"/>
          <w:noProof/>
          <w:sz w:val="24"/>
          <w:szCs w:val="24"/>
        </w:rPr>
        <w:tab/>
      </w:r>
      <w:r w:rsidRPr="00042243">
        <w:rPr>
          <w:rFonts w:ascii="Arial" w:hAnsi="Arial"/>
          <w:noProof/>
          <w:sz w:val="24"/>
          <w:szCs w:val="24"/>
        </w:rPr>
        <w:t>Stage One:  Application Screening</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_Toc121421353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36</w:t>
      </w:r>
      <w:r w:rsidRPr="00042243">
        <w:rPr>
          <w:rFonts w:ascii="Arial" w:hAnsi="Arial"/>
          <w:noProof/>
          <w:sz w:val="24"/>
          <w:szCs w:val="24"/>
        </w:rPr>
        <w:fldChar w:fldCharType="end"/>
      </w:r>
    </w:p>
    <w:p w14:paraId="6CA71E28" w14:textId="4E7FE632" w:rsidR="009F6FFB" w:rsidRPr="00042243" w:rsidRDefault="009F6FFB">
      <w:pPr>
        <w:pStyle w:val="TOC2"/>
        <w:tabs>
          <w:tab w:val="left" w:pos="660"/>
          <w:tab w:val="right" w:leader="dot" w:pos="9350"/>
        </w:tabs>
        <w:rPr>
          <w:rFonts w:ascii="Arial" w:eastAsiaTheme="minorEastAsia" w:hAnsi="Arial"/>
          <w:smallCaps w:val="0"/>
          <w:noProof/>
          <w:sz w:val="24"/>
          <w:szCs w:val="24"/>
        </w:rPr>
      </w:pPr>
      <w:r w:rsidRPr="00042243">
        <w:rPr>
          <w:rFonts w:ascii="Arial" w:hAnsi="Arial"/>
          <w:noProof/>
          <w:sz w:val="24"/>
          <w:szCs w:val="24"/>
        </w:rPr>
        <w:t>F.</w:t>
      </w:r>
      <w:r w:rsidRPr="00042243">
        <w:rPr>
          <w:rFonts w:ascii="Arial" w:eastAsiaTheme="minorEastAsia" w:hAnsi="Arial"/>
          <w:smallCaps w:val="0"/>
          <w:noProof/>
          <w:sz w:val="24"/>
          <w:szCs w:val="24"/>
        </w:rPr>
        <w:tab/>
      </w:r>
      <w:r w:rsidRPr="00042243">
        <w:rPr>
          <w:rFonts w:ascii="Arial" w:hAnsi="Arial"/>
          <w:noProof/>
          <w:sz w:val="24"/>
          <w:szCs w:val="24"/>
        </w:rPr>
        <w:t>Stage Two:  Application Scoring</w:t>
      </w:r>
      <w:r w:rsidRPr="00042243">
        <w:rPr>
          <w:rFonts w:ascii="Arial" w:hAnsi="Arial"/>
          <w:noProof/>
          <w:sz w:val="24"/>
          <w:szCs w:val="24"/>
        </w:rPr>
        <w:tab/>
      </w:r>
      <w:r w:rsidRPr="00042243">
        <w:rPr>
          <w:rFonts w:ascii="Arial" w:hAnsi="Arial"/>
          <w:noProof/>
          <w:sz w:val="24"/>
          <w:szCs w:val="24"/>
        </w:rPr>
        <w:fldChar w:fldCharType="begin"/>
      </w:r>
      <w:r w:rsidRPr="00042243">
        <w:rPr>
          <w:rFonts w:ascii="Arial" w:hAnsi="Arial"/>
          <w:noProof/>
          <w:sz w:val="24"/>
          <w:szCs w:val="24"/>
        </w:rPr>
        <w:instrText xml:space="preserve"> PAGEREF _Toc121421354 \h </w:instrText>
      </w:r>
      <w:r w:rsidRPr="00042243">
        <w:rPr>
          <w:rFonts w:ascii="Arial" w:hAnsi="Arial"/>
          <w:noProof/>
          <w:sz w:val="24"/>
          <w:szCs w:val="24"/>
        </w:rPr>
      </w:r>
      <w:r w:rsidRPr="00042243">
        <w:rPr>
          <w:rFonts w:ascii="Arial" w:hAnsi="Arial"/>
          <w:noProof/>
          <w:sz w:val="24"/>
          <w:szCs w:val="24"/>
        </w:rPr>
        <w:fldChar w:fldCharType="separate"/>
      </w:r>
      <w:r w:rsidR="003209A0">
        <w:rPr>
          <w:rFonts w:ascii="Arial" w:hAnsi="Arial"/>
          <w:noProof/>
          <w:sz w:val="24"/>
          <w:szCs w:val="24"/>
        </w:rPr>
        <w:t>37</w:t>
      </w:r>
      <w:r w:rsidRPr="00042243">
        <w:rPr>
          <w:rFonts w:ascii="Arial" w:hAnsi="Arial"/>
          <w:noProof/>
          <w:sz w:val="24"/>
          <w:szCs w:val="24"/>
        </w:rPr>
        <w:fldChar w:fldCharType="end"/>
      </w:r>
    </w:p>
    <w:p w14:paraId="3BACCFCC" w14:textId="623CE2EF" w:rsidR="001C2D56" w:rsidRPr="00042243" w:rsidRDefault="0083690A" w:rsidP="00FC0D90">
      <w:pPr>
        <w:widowControl w:val="0"/>
        <w:jc w:val="both"/>
        <w:rPr>
          <w:sz w:val="24"/>
          <w:szCs w:val="24"/>
        </w:rPr>
      </w:pPr>
      <w:r w:rsidRPr="00042243">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083BD4">
          <w:footerReference w:type="default" r:id="rId13"/>
          <w:type w:val="continuous"/>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r w:rsidR="003F6147" w:rsidRPr="003F6147" w14:paraId="0ACF2DC8"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77777777" w:rsidR="003F6147" w:rsidRPr="003F6147" w:rsidRDefault="003F6147" w:rsidP="003F6147">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74C01204" w:rsidR="003F6147" w:rsidRPr="003F6147" w:rsidRDefault="003F6147" w:rsidP="003F6147">
                  <w:pPr>
                    <w:spacing w:after="0"/>
                    <w:jc w:val="both"/>
                  </w:pPr>
                  <w:r w:rsidRPr="003F6147">
                    <w:t>References for Calculating Energy End-Use and GHG Emissions</w:t>
                  </w:r>
                </w:p>
              </w:tc>
            </w:tr>
            <w:tr w:rsidR="00AE59AD" w:rsidRPr="003F6147" w14:paraId="456BB470"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75D1D119" w14:textId="35127A05" w:rsidR="00AE59AD" w:rsidRDefault="00AE59AD" w:rsidP="00AE59AD">
                  <w:pPr>
                    <w:spacing w:after="0"/>
                    <w:jc w:val="both"/>
                  </w:pPr>
                  <w:r w:rsidRPr="00E36E40">
                    <w:t>14</w:t>
                  </w:r>
                </w:p>
              </w:tc>
              <w:tc>
                <w:tcPr>
                  <w:cnfStyle w:val="000010000000" w:firstRow="0" w:lastRow="0" w:firstColumn="0" w:lastColumn="0" w:oddVBand="1" w:evenVBand="0" w:oddHBand="0" w:evenHBand="0" w:firstRowFirstColumn="0" w:firstRowLastColumn="0" w:lastRowFirstColumn="0" w:lastRowLastColumn="0"/>
                  <w:tcW w:w="7138" w:type="dxa"/>
                </w:tcPr>
                <w:p w14:paraId="0D4FB1FB" w14:textId="20DFECB5" w:rsidR="00AE59AD" w:rsidRPr="003F6147" w:rsidRDefault="00AE59AD" w:rsidP="00AE59AD">
                  <w:pPr>
                    <w:spacing w:after="0"/>
                    <w:jc w:val="both"/>
                    <w:rPr>
                      <w:color w:val="0070C0"/>
                    </w:rPr>
                  </w:pPr>
                  <w:r w:rsidRPr="00E36E40">
                    <w:t>Special Terms and Conditions for California Native American Tribes</w:t>
                  </w:r>
                </w:p>
              </w:tc>
            </w:tr>
          </w:tbl>
          <w:p w14:paraId="491C073B" w14:textId="77777777" w:rsidR="003F6147" w:rsidRPr="003F6147" w:rsidRDefault="003F6147" w:rsidP="003F6147">
            <w:pPr>
              <w:keepLines/>
              <w:widowControl w:val="0"/>
              <w:spacing w:after="0"/>
              <w:rPr>
                <w:b/>
                <w:color w:val="0070C0"/>
                <w:szCs w:val="22"/>
              </w:rPr>
            </w:pPr>
          </w:p>
        </w:tc>
      </w:tr>
    </w:tbl>
    <w:p w14:paraId="414E9A23" w14:textId="77777777" w:rsidR="008E1A80" w:rsidRDefault="008E1A80" w:rsidP="003F6147">
      <w:pPr>
        <w:spacing w:after="0"/>
        <w:sectPr w:rsidR="008E1A80" w:rsidSect="008E1A80">
          <w:footerReference w:type="default" r:id="rId14"/>
          <w:type w:val="continuous"/>
          <w:pgSz w:w="12240" w:h="15840" w:code="1"/>
          <w:pgMar w:top="1440" w:right="1440" w:bottom="1440" w:left="1440" w:header="720" w:footer="576" w:gutter="0"/>
          <w:pgNumType w:fmt="lowerRoman" w:start="2"/>
          <w:cols w:space="720"/>
          <w:docGrid w:linePitch="326"/>
        </w:sectPr>
      </w:pPr>
      <w:bookmarkStart w:id="6" w:name="_Toc458602318"/>
      <w:r>
        <w:br w:type="page"/>
      </w:r>
    </w:p>
    <w:p w14:paraId="571AAAF1" w14:textId="4A54B1F3" w:rsidR="008E1A80" w:rsidRDefault="008E1A80" w:rsidP="003F6147">
      <w:pPr>
        <w:spacing w:after="0"/>
      </w:pPr>
    </w:p>
    <w:p w14:paraId="2E3BA5A6" w14:textId="77777777" w:rsidR="003F6147" w:rsidRPr="003F6147" w:rsidRDefault="003F6147" w:rsidP="003F6147">
      <w:pPr>
        <w:spacing w:after="0"/>
      </w:pPr>
    </w:p>
    <w:p w14:paraId="351CBBCA" w14:textId="77777777" w:rsidR="003F6147" w:rsidRPr="00756BAC" w:rsidRDefault="003F6147" w:rsidP="00756BAC">
      <w:pPr>
        <w:pStyle w:val="Heading1"/>
      </w:pPr>
      <w:bookmarkStart w:id="7" w:name="_Toc121421328"/>
      <w:r w:rsidRPr="00756BAC">
        <w:t>I.</w:t>
      </w:r>
      <w:r w:rsidRPr="00756BAC">
        <w:tab/>
        <w:t>Introduction</w:t>
      </w:r>
      <w:bookmarkEnd w:id="6"/>
      <w:bookmarkEnd w:id="7"/>
    </w:p>
    <w:p w14:paraId="15CE67F5" w14:textId="77777777" w:rsidR="003F6147" w:rsidRPr="00756BAC" w:rsidRDefault="003F6147" w:rsidP="002F32D3">
      <w:pPr>
        <w:pStyle w:val="Heading2"/>
        <w:numPr>
          <w:ilvl w:val="0"/>
          <w:numId w:val="54"/>
        </w:numPr>
      </w:pPr>
      <w:bookmarkStart w:id="8" w:name="_Toc458602319"/>
      <w:bookmarkStart w:id="9" w:name="_Toc121421329"/>
      <w:r w:rsidRPr="00756BAC">
        <w:t>Purpose of Solicitation</w:t>
      </w:r>
      <w:bookmarkEnd w:id="8"/>
      <w:bookmarkEnd w:id="9"/>
      <w:r w:rsidRPr="00756BAC">
        <w:t xml:space="preserve"> </w:t>
      </w:r>
      <w:bookmarkStart w:id="10" w:name="_Toc395180593"/>
      <w:bookmarkStart w:id="11" w:name="_Toc381079833"/>
      <w:bookmarkStart w:id="12" w:name="_Toc382571091"/>
    </w:p>
    <w:bookmarkEnd w:id="10"/>
    <w:bookmarkEnd w:id="11"/>
    <w:bookmarkEnd w:id="12"/>
    <w:p w14:paraId="4F984472" w14:textId="77777777" w:rsidR="003D0AEA" w:rsidRPr="00712FE1" w:rsidRDefault="003D0AEA" w:rsidP="003D0AEA">
      <w:pPr>
        <w:pStyle w:val="paragraph"/>
        <w:spacing w:before="0" w:beforeAutospacing="0" w:after="0" w:afterAutospacing="0"/>
        <w:ind w:left="360"/>
        <w:textAlignment w:val="baseline"/>
        <w:rPr>
          <w:rStyle w:val="eop"/>
          <w:rFonts w:ascii="Arial" w:eastAsia="Arial" w:hAnsi="Arial" w:cs="Arial"/>
        </w:rPr>
      </w:pPr>
      <w:r w:rsidRPr="00712FE1">
        <w:rPr>
          <w:rStyle w:val="normaltextrun"/>
          <w:rFonts w:ascii="Arial" w:eastAsia="Arial" w:hAnsi="Arial" w:cs="Arial"/>
        </w:rPr>
        <w:t>The purpose of this solicitation is to fund technology demonstration and deployment projects that accelerate commercialization and validate the capability of long-duration energy storage (LDES) technologies to improve grid reliability and resilience in disadvantaged communities (DACs), low-income communities (LICs), and California Native American Tribes (Tribes). This solicitation supports the EPIC Interim Investment Plan Initiative 4</w:t>
      </w:r>
      <w:r w:rsidRPr="00712FE1" w:rsidDel="00F562E5">
        <w:rPr>
          <w:rStyle w:val="normaltextrun"/>
          <w:rFonts w:ascii="Arial" w:eastAsia="Arial" w:hAnsi="Arial" w:cs="Arial"/>
        </w:rPr>
        <w:t xml:space="preserve"> </w:t>
      </w:r>
      <w:r w:rsidRPr="00712FE1">
        <w:rPr>
          <w:rStyle w:val="normaltextrun"/>
          <w:rFonts w:ascii="Arial" w:eastAsia="Arial" w:hAnsi="Arial" w:cs="Arial"/>
        </w:rPr>
        <w:t>titled “Optimizing Long-Duration Energy Storage to Improve Grid Resiliency and Reliability in Under-resourced Communities.”</w:t>
      </w:r>
      <w:r w:rsidRPr="00712FE1">
        <w:rPr>
          <w:rStyle w:val="eop"/>
          <w:rFonts w:ascii="Arial" w:eastAsia="Arial" w:hAnsi="Arial" w:cs="Arial"/>
          <w:vertAlign w:val="superscript"/>
        </w:rPr>
        <w:footnoteReference w:id="2"/>
      </w:r>
    </w:p>
    <w:p w14:paraId="1F869685" w14:textId="77777777" w:rsidR="003D0AEA" w:rsidRPr="00712FE1" w:rsidRDefault="003D0AEA" w:rsidP="003D0AEA">
      <w:pPr>
        <w:pStyle w:val="paragraph"/>
        <w:spacing w:before="0" w:beforeAutospacing="0" w:after="0" w:afterAutospacing="0"/>
        <w:ind w:left="360"/>
        <w:textAlignment w:val="baseline"/>
        <w:rPr>
          <w:rStyle w:val="eop"/>
          <w:rFonts w:ascii="Arial" w:eastAsia="Arial" w:hAnsi="Arial" w:cs="Arial"/>
        </w:rPr>
      </w:pPr>
    </w:p>
    <w:p w14:paraId="09491C46" w14:textId="77777777" w:rsidR="003D0AEA" w:rsidRPr="00712FE1" w:rsidRDefault="003D0AEA" w:rsidP="003D0AEA">
      <w:pPr>
        <w:pStyle w:val="paragraph"/>
        <w:spacing w:before="0" w:beforeAutospacing="0" w:after="0" w:afterAutospacing="0"/>
        <w:ind w:left="360"/>
        <w:textAlignment w:val="baseline"/>
        <w:rPr>
          <w:rStyle w:val="eop"/>
          <w:rFonts w:ascii="Arial" w:eastAsia="Arial" w:hAnsi="Arial" w:cs="Arial"/>
        </w:rPr>
      </w:pPr>
      <w:r w:rsidRPr="00712FE1">
        <w:rPr>
          <w:rStyle w:val="eop"/>
          <w:rFonts w:ascii="Arial" w:eastAsia="Arial" w:hAnsi="Arial" w:cs="Arial"/>
        </w:rPr>
        <w:t>The Senate Bill (SB) 100 Joint Agency Report indicates that California will need a total of 50 gigawatts (GW) or more of energy storage, including 4GW of long-duration storage, in order to meet its 2045 goal of reliably supplying end-use customers with electric retail sales that are 100% renewable and carbon-free.</w:t>
      </w:r>
      <w:r w:rsidRPr="00712FE1">
        <w:rPr>
          <w:rStyle w:val="eop"/>
          <w:rFonts w:ascii="Arial" w:eastAsia="Arial" w:hAnsi="Arial" w:cs="Arial"/>
          <w:vertAlign w:val="superscript"/>
        </w:rPr>
        <w:footnoteReference w:id="3"/>
      </w:r>
      <w:r w:rsidRPr="00712FE1">
        <w:rPr>
          <w:rStyle w:val="eop"/>
          <w:rFonts w:ascii="Arial" w:eastAsia="Arial" w:hAnsi="Arial" w:cs="Arial"/>
          <w:vertAlign w:val="superscript"/>
        </w:rPr>
        <w:t xml:space="preserve"> </w:t>
      </w:r>
      <w:r w:rsidRPr="00712FE1">
        <w:rPr>
          <w:rStyle w:val="eop"/>
          <w:rFonts w:ascii="Arial" w:eastAsia="Arial" w:hAnsi="Arial" w:cs="Arial"/>
        </w:rPr>
        <w:t>The CPUC has called for 15,000 megawatts (MW) of new storage and demand response resources by 2032.</w:t>
      </w:r>
      <w:r w:rsidRPr="00712FE1">
        <w:rPr>
          <w:rStyle w:val="eop"/>
          <w:rFonts w:ascii="Arial" w:eastAsia="Arial" w:hAnsi="Arial" w:cs="Arial"/>
          <w:vertAlign w:val="superscript"/>
        </w:rPr>
        <w:footnoteReference w:id="4"/>
      </w:r>
      <w:r w:rsidRPr="00712FE1">
        <w:rPr>
          <w:rStyle w:val="eop"/>
          <w:rFonts w:ascii="Arial" w:eastAsia="Arial" w:hAnsi="Arial" w:cs="Arial"/>
        </w:rPr>
        <w:t xml:space="preserve"> </w:t>
      </w:r>
    </w:p>
    <w:p w14:paraId="54CE667F" w14:textId="77777777" w:rsidR="003D0AEA" w:rsidRPr="00712FE1" w:rsidRDefault="003D0AEA" w:rsidP="003D0AEA">
      <w:pPr>
        <w:pStyle w:val="paragraph"/>
        <w:spacing w:before="0" w:beforeAutospacing="0" w:after="0" w:afterAutospacing="0"/>
        <w:ind w:left="360"/>
        <w:textAlignment w:val="baseline"/>
        <w:rPr>
          <w:rStyle w:val="eop"/>
          <w:rFonts w:ascii="Arial" w:eastAsia="Arial" w:hAnsi="Arial" w:cs="Arial"/>
        </w:rPr>
      </w:pPr>
    </w:p>
    <w:p w14:paraId="0D3EF167" w14:textId="77777777" w:rsidR="003D0AEA" w:rsidRPr="00712FE1" w:rsidRDefault="003D0AEA" w:rsidP="003D0AEA">
      <w:pPr>
        <w:pStyle w:val="paragraph"/>
        <w:spacing w:before="0" w:beforeAutospacing="0" w:after="0" w:afterAutospacing="0"/>
        <w:ind w:left="360"/>
        <w:textAlignment w:val="baseline"/>
        <w:rPr>
          <w:rStyle w:val="eop"/>
          <w:rFonts w:ascii="Arial" w:eastAsia="Arial" w:hAnsi="Arial" w:cs="Arial"/>
        </w:rPr>
      </w:pPr>
      <w:r w:rsidRPr="00712FE1">
        <w:rPr>
          <w:rStyle w:val="eop"/>
          <w:rFonts w:ascii="Arial" w:eastAsia="Arial" w:hAnsi="Arial" w:cs="Arial"/>
        </w:rPr>
        <w:t>Currently, most of the energy storage deployed in California is lithium-ion (Li-ion) technology, useful for shorter duration storage (i.e., less than 8 hours), but economically prohibitive at longer durations. As more renewable energy is integrated into the grid, particularly considering the potential retirement of Diablo Canyon and retirement of other fossil fuel assets, the need for energy storage of longer durations will continue to increase. In addition,</w:t>
      </w:r>
      <w:r w:rsidRPr="00712FE1">
        <w:rPr>
          <w:rStyle w:val="normaltextrun"/>
          <w:rFonts w:ascii="Arial" w:eastAsia="Arial" w:hAnsi="Arial" w:cs="Arial"/>
        </w:rPr>
        <w:t xml:space="preserve"> more frequent extreme weather events, such as wildfires and heat waves, affect the grid’s ability to provide continuous power to customers. In the last few years, California’s electrical grid experienced considerable challenges from extreme weather, resulting in a greater application of Public Safety Power Shutoff (PSPS) events. Extreme weather-related power outages have risen in frequency and duration over time, accelerating the need for long-duration storage.</w:t>
      </w:r>
    </w:p>
    <w:p w14:paraId="42BFB909" w14:textId="77777777" w:rsidR="003D0AEA" w:rsidRPr="00712FE1" w:rsidRDefault="003D0AEA" w:rsidP="003D0AEA">
      <w:pPr>
        <w:pStyle w:val="paragraph"/>
        <w:spacing w:before="0" w:beforeAutospacing="0" w:after="0" w:afterAutospacing="0"/>
        <w:ind w:left="360"/>
        <w:rPr>
          <w:rStyle w:val="normaltextrun"/>
          <w:rFonts w:ascii="Arial" w:eastAsia="Arial" w:hAnsi="Arial" w:cs="Arial"/>
        </w:rPr>
      </w:pPr>
    </w:p>
    <w:p w14:paraId="502A6616" w14:textId="77777777" w:rsidR="003D0AEA" w:rsidRPr="00712FE1" w:rsidRDefault="003D0AEA" w:rsidP="003D0AEA">
      <w:pPr>
        <w:pStyle w:val="paragraph"/>
        <w:spacing w:before="0" w:beforeAutospacing="0" w:after="0" w:afterAutospacing="0"/>
        <w:ind w:left="360"/>
        <w:rPr>
          <w:rStyle w:val="normaltextrun"/>
          <w:rFonts w:ascii="Arial" w:eastAsia="Arial" w:hAnsi="Arial" w:cs="Arial"/>
        </w:rPr>
      </w:pPr>
      <w:r w:rsidRPr="00712FE1">
        <w:rPr>
          <w:rStyle w:val="normaltextrun"/>
          <w:rFonts w:ascii="Arial" w:eastAsia="Arial" w:hAnsi="Arial" w:cs="Arial"/>
        </w:rPr>
        <w:t>The State's increased priority of grid resiliency is driving a growing demand for longer duration energy storage systems. For example, LDES can offer a clean alternative to conventional backup diesel generators that maintain operation of critical facilities during multi-day PSPS events and other grid power-loss events. These critical facilities must be equipped with sufficient fuel to operate emergency power systems at the full load for up to 48 hours, per the National Fire Protection Association (NFPA) Standard 110.</w:t>
      </w:r>
      <w:r w:rsidRPr="00712FE1">
        <w:rPr>
          <w:rStyle w:val="normaltextrun"/>
          <w:rFonts w:ascii="Arial" w:eastAsia="Arial" w:hAnsi="Arial" w:cs="Arial"/>
          <w:vertAlign w:val="superscript"/>
        </w:rPr>
        <w:footnoteReference w:id="5"/>
      </w:r>
      <w:r w:rsidRPr="00712FE1">
        <w:rPr>
          <w:rStyle w:val="normaltextrun"/>
          <w:rFonts w:ascii="Arial" w:eastAsia="Arial" w:hAnsi="Arial" w:cs="Arial"/>
        </w:rPr>
        <w:t xml:space="preserve"> According to the California Air Resources Board (CARB), nearly 125,000 additional generators are used during PSPS events, causing about 170 tons of NOx emissions.</w:t>
      </w:r>
      <w:r w:rsidRPr="00712FE1">
        <w:rPr>
          <w:rStyle w:val="normaltextrun"/>
          <w:rFonts w:ascii="Arial" w:eastAsia="Arial" w:hAnsi="Arial" w:cs="Arial"/>
          <w:vertAlign w:val="superscript"/>
        </w:rPr>
        <w:footnoteReference w:id="6"/>
      </w:r>
      <w:r w:rsidRPr="00712FE1">
        <w:rPr>
          <w:rStyle w:val="normaltextrun"/>
          <w:rFonts w:ascii="Arial" w:eastAsia="Arial" w:hAnsi="Arial" w:cs="Arial"/>
        </w:rPr>
        <w:t xml:space="preserve"> Providing critical facilities with backup power using LDES, rather than diesel generators, can reduce GHG emissions and improve air quality.</w:t>
      </w:r>
    </w:p>
    <w:p w14:paraId="059B2F57" w14:textId="77777777" w:rsidR="003D0AEA" w:rsidRPr="00712FE1" w:rsidRDefault="003D0AEA" w:rsidP="003D0AEA">
      <w:pPr>
        <w:pStyle w:val="paragraph"/>
        <w:spacing w:before="0" w:beforeAutospacing="0" w:after="0" w:afterAutospacing="0"/>
        <w:ind w:left="360"/>
        <w:textAlignment w:val="baseline"/>
        <w:rPr>
          <w:rStyle w:val="eop"/>
          <w:rFonts w:ascii="Arial" w:eastAsia="Arial" w:hAnsi="Arial" w:cs="Arial"/>
        </w:rPr>
      </w:pPr>
    </w:p>
    <w:p w14:paraId="2D73CBD0" w14:textId="77777777" w:rsidR="003D0AEA" w:rsidRPr="00712FE1" w:rsidRDefault="003D0AEA" w:rsidP="003D0AEA">
      <w:pPr>
        <w:pStyle w:val="paragraph"/>
        <w:spacing w:before="0" w:beforeAutospacing="0" w:after="0" w:afterAutospacing="0"/>
        <w:ind w:left="360"/>
        <w:textAlignment w:val="baseline"/>
        <w:rPr>
          <w:rStyle w:val="eop"/>
          <w:rFonts w:ascii="Arial" w:eastAsia="Arial" w:hAnsi="Arial" w:cs="Arial"/>
        </w:rPr>
      </w:pPr>
      <w:r w:rsidRPr="00712FE1">
        <w:rPr>
          <w:rStyle w:val="normaltextrun"/>
          <w:rFonts w:ascii="Arial" w:eastAsia="Arial" w:hAnsi="Arial" w:cs="Arial"/>
        </w:rPr>
        <w:t>Extreme weather events</w:t>
      </w:r>
      <w:r w:rsidRPr="00712FE1">
        <w:rPr>
          <w:rStyle w:val="eop"/>
          <w:rFonts w:ascii="Arial" w:eastAsia="Arial" w:hAnsi="Arial" w:cs="Arial"/>
        </w:rPr>
        <w:t xml:space="preserve"> and power outages have disproportionately impacted DACs, LICs, and Tribes. These communities experience higher energy burdens due to inadequate housing conditions, such as insufficient insulation or inefficient HVAC systems, and commonly rely on fossil-fuel-dependent energy infrastructure. In addition, power outages can exacerbate medical conditions, particularly in medically vulnerable individuals who rely on electricity-dependent medical equipment.</w:t>
      </w:r>
      <w:r w:rsidRPr="00712FE1">
        <w:rPr>
          <w:rStyle w:val="normaltextrun"/>
          <w:rFonts w:ascii="Arial" w:eastAsia="Arial" w:hAnsi="Arial" w:cs="Arial"/>
        </w:rPr>
        <w:t xml:space="preserve"> This solicitation will fund demonstrations of LDES systems to accelerate the adoption of clean energy solutions, support community resilience, and address the immediate needs of the most vulnerable communities.  </w:t>
      </w:r>
    </w:p>
    <w:p w14:paraId="4E5EAEAC" w14:textId="77777777" w:rsidR="003D0AEA" w:rsidRPr="00EE3C56" w:rsidRDefault="003D0AEA" w:rsidP="003D0AEA">
      <w:pPr>
        <w:pStyle w:val="paragraph"/>
        <w:spacing w:before="0" w:beforeAutospacing="0" w:after="0" w:afterAutospacing="0"/>
        <w:ind w:left="360"/>
        <w:textAlignment w:val="baseline"/>
        <w:rPr>
          <w:rStyle w:val="normaltextrun"/>
          <w:rFonts w:ascii="Arial" w:hAnsi="Arial" w:cs="Arial"/>
          <w:sz w:val="28"/>
          <w:szCs w:val="28"/>
        </w:rPr>
      </w:pPr>
    </w:p>
    <w:p w14:paraId="215FDA99" w14:textId="77777777" w:rsidR="003D0AEA" w:rsidRPr="003D0AEA" w:rsidRDefault="003D0AEA" w:rsidP="003D0AEA">
      <w:pPr>
        <w:pStyle w:val="ListParagraph"/>
        <w:ind w:left="360"/>
        <w:rPr>
          <w:rFonts w:eastAsia="Arial"/>
          <w:color w:val="0070C0"/>
          <w:sz w:val="24"/>
          <w:szCs w:val="22"/>
        </w:rPr>
      </w:pPr>
      <w:r w:rsidRPr="003D0AEA">
        <w:rPr>
          <w:sz w:val="24"/>
          <w:szCs w:val="22"/>
        </w:rPr>
        <w:t>See Part II of this solicitation for project eligibility requirements. Applications will be evaluated as follows: Stage One proposal screening and Stage Two proposal scoring.</w:t>
      </w:r>
      <w:r w:rsidRPr="003D0AEA">
        <w:rPr>
          <w:rFonts w:eastAsia="Arial"/>
          <w:sz w:val="24"/>
          <w:szCs w:val="22"/>
        </w:rPr>
        <w:t xml:space="preserve"> If an applicant submits multiple applications, each application must be for a distinct project (i.e., no overlap with respect to the tasks described in the Scope of Work).</w:t>
      </w:r>
    </w:p>
    <w:p w14:paraId="7551D873" w14:textId="77777777" w:rsidR="003D0AEA" w:rsidRPr="003D0AEA" w:rsidRDefault="003D0AEA" w:rsidP="003D0AEA">
      <w:pPr>
        <w:pStyle w:val="ListParagraph"/>
        <w:spacing w:after="0"/>
        <w:ind w:left="360"/>
        <w:rPr>
          <w:sz w:val="24"/>
          <w:szCs w:val="24"/>
        </w:rPr>
      </w:pPr>
    </w:p>
    <w:p w14:paraId="5FE9AECF" w14:textId="77777777" w:rsidR="003D0AEA" w:rsidRPr="003D0AEA" w:rsidRDefault="003D0AEA" w:rsidP="003D0AEA">
      <w:pPr>
        <w:pStyle w:val="ListParagraph"/>
        <w:spacing w:after="0"/>
        <w:ind w:left="360"/>
        <w:rPr>
          <w:sz w:val="24"/>
          <w:szCs w:val="24"/>
        </w:rPr>
      </w:pPr>
      <w:r w:rsidRPr="5AD5C84B">
        <w:rPr>
          <w:sz w:val="24"/>
          <w:szCs w:val="24"/>
        </w:rPr>
        <w:t xml:space="preserve">Prospective applicants looking for partnering opportunities for this funding opportunity should register on the California Energy Commission’s Empower Innovation website at </w:t>
      </w:r>
      <w:hyperlink r:id="rId15">
        <w:r w:rsidRPr="5AD5C84B">
          <w:rPr>
            <w:rStyle w:val="Hyperlink"/>
            <w:sz w:val="24"/>
            <w:szCs w:val="24"/>
          </w:rPr>
          <w:t>www.empowerinnovation.net</w:t>
        </w:r>
      </w:hyperlink>
    </w:p>
    <w:p w14:paraId="088E0083" w14:textId="5AD5E6CF" w:rsidR="003F6147" w:rsidRPr="003D0AEA" w:rsidRDefault="003F6147" w:rsidP="003D0AEA">
      <w:pPr>
        <w:spacing w:after="0"/>
        <w:rPr>
          <w:rFonts w:cs="Times New Roman"/>
          <w:b/>
          <w:smallCaps/>
          <w:sz w:val="26"/>
          <w:szCs w:val="26"/>
        </w:rPr>
      </w:pPr>
      <w:r w:rsidRPr="003D0AEA">
        <w:rPr>
          <w:sz w:val="26"/>
          <w:szCs w:val="26"/>
        </w:rPr>
        <w:br w:type="page"/>
      </w:r>
    </w:p>
    <w:p w14:paraId="4AB6446E" w14:textId="77777777" w:rsidR="003F6147" w:rsidRPr="00756BAC" w:rsidRDefault="003F6147" w:rsidP="002F32D3">
      <w:pPr>
        <w:pStyle w:val="Heading2"/>
        <w:numPr>
          <w:ilvl w:val="0"/>
          <w:numId w:val="54"/>
        </w:numPr>
      </w:pPr>
      <w:bookmarkStart w:id="13" w:name="_Toc458602320"/>
      <w:bookmarkStart w:id="14" w:name="_Toc121421330"/>
      <w:r w:rsidRPr="00756BAC">
        <w:t>Key Words/Terms</w:t>
      </w:r>
      <w:bookmarkEnd w:id="13"/>
      <w:bookmarkEnd w:id="14"/>
    </w:p>
    <w:p w14:paraId="4D6C1B8F" w14:textId="5B048BE8"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D0AEA" w:rsidRPr="00EE3C56" w14:paraId="0E0716AB" w14:textId="77777777">
        <w:trPr>
          <w:trHeight w:val="235"/>
          <w:tblHeader/>
        </w:trPr>
        <w:tc>
          <w:tcPr>
            <w:tcW w:w="2430" w:type="dxa"/>
            <w:shd w:val="clear" w:color="auto" w:fill="D9D9D9" w:themeFill="background1" w:themeFillShade="D9"/>
            <w:vAlign w:val="center"/>
          </w:tcPr>
          <w:p w14:paraId="7ED09958" w14:textId="77777777" w:rsidR="003D0AEA" w:rsidRPr="00EE3C56" w:rsidRDefault="003D0AEA">
            <w:pPr>
              <w:spacing w:after="0"/>
              <w:rPr>
                <w:b/>
                <w:sz w:val="24"/>
                <w:szCs w:val="24"/>
              </w:rPr>
            </w:pPr>
            <w:r w:rsidRPr="00EE3C56">
              <w:rPr>
                <w:b/>
                <w:sz w:val="24"/>
                <w:szCs w:val="24"/>
              </w:rPr>
              <w:t>Word/Term</w:t>
            </w:r>
          </w:p>
        </w:tc>
        <w:tc>
          <w:tcPr>
            <w:tcW w:w="6930" w:type="dxa"/>
            <w:shd w:val="clear" w:color="auto" w:fill="D9D9D9" w:themeFill="background1" w:themeFillShade="D9"/>
            <w:vAlign w:val="center"/>
          </w:tcPr>
          <w:p w14:paraId="2397B4FD" w14:textId="77777777" w:rsidR="003D0AEA" w:rsidRPr="00EE3C56" w:rsidRDefault="003D0AEA">
            <w:pPr>
              <w:spacing w:after="0"/>
              <w:rPr>
                <w:b/>
                <w:sz w:val="24"/>
                <w:szCs w:val="24"/>
              </w:rPr>
            </w:pPr>
            <w:r w:rsidRPr="00EE3C56">
              <w:rPr>
                <w:b/>
                <w:sz w:val="24"/>
                <w:szCs w:val="24"/>
              </w:rPr>
              <w:t>Definition</w:t>
            </w:r>
          </w:p>
        </w:tc>
      </w:tr>
      <w:tr w:rsidR="003D0AEA" w:rsidRPr="00EE3C56" w14:paraId="06A79420" w14:textId="77777777">
        <w:tc>
          <w:tcPr>
            <w:tcW w:w="2430" w:type="dxa"/>
          </w:tcPr>
          <w:p w14:paraId="40FD5FE9" w14:textId="77777777" w:rsidR="003D0AEA" w:rsidRPr="00EE3C56" w:rsidRDefault="003D0AEA">
            <w:pPr>
              <w:spacing w:after="0"/>
              <w:rPr>
                <w:sz w:val="24"/>
                <w:szCs w:val="24"/>
              </w:rPr>
            </w:pPr>
            <w:r w:rsidRPr="00EE3C56">
              <w:rPr>
                <w:sz w:val="24"/>
                <w:szCs w:val="24"/>
              </w:rPr>
              <w:t>Applicant</w:t>
            </w:r>
          </w:p>
        </w:tc>
        <w:tc>
          <w:tcPr>
            <w:tcW w:w="6930" w:type="dxa"/>
          </w:tcPr>
          <w:p w14:paraId="5355338D" w14:textId="77777777" w:rsidR="003D0AEA" w:rsidRPr="00EE3C56" w:rsidRDefault="003D0AEA">
            <w:pPr>
              <w:spacing w:after="0"/>
              <w:rPr>
                <w:sz w:val="24"/>
                <w:szCs w:val="24"/>
              </w:rPr>
            </w:pPr>
            <w:r w:rsidRPr="00EE3C56">
              <w:rPr>
                <w:sz w:val="24"/>
                <w:szCs w:val="24"/>
              </w:rPr>
              <w:t xml:space="preserve">The entity that </w:t>
            </w:r>
            <w:proofErr w:type="gramStart"/>
            <w:r w:rsidRPr="00EE3C56">
              <w:rPr>
                <w:sz w:val="24"/>
                <w:szCs w:val="24"/>
              </w:rPr>
              <w:t>submits an application</w:t>
            </w:r>
            <w:proofErr w:type="gramEnd"/>
            <w:r w:rsidRPr="00EE3C56">
              <w:rPr>
                <w:sz w:val="24"/>
                <w:szCs w:val="24"/>
              </w:rPr>
              <w:t xml:space="preserve"> to this solicitation.</w:t>
            </w:r>
          </w:p>
        </w:tc>
      </w:tr>
      <w:tr w:rsidR="003D0AEA" w:rsidRPr="00EE3C56" w14:paraId="6316C6C7" w14:textId="77777777">
        <w:tc>
          <w:tcPr>
            <w:tcW w:w="2430" w:type="dxa"/>
          </w:tcPr>
          <w:p w14:paraId="65EA3251" w14:textId="77777777" w:rsidR="003D0AEA" w:rsidRPr="00EE3C56" w:rsidRDefault="003D0AEA">
            <w:pPr>
              <w:spacing w:after="0"/>
              <w:rPr>
                <w:sz w:val="24"/>
                <w:szCs w:val="24"/>
              </w:rPr>
            </w:pPr>
            <w:r w:rsidRPr="00EE3C56">
              <w:rPr>
                <w:sz w:val="24"/>
                <w:szCs w:val="24"/>
              </w:rPr>
              <w:t>Application</w:t>
            </w:r>
          </w:p>
        </w:tc>
        <w:tc>
          <w:tcPr>
            <w:tcW w:w="6930" w:type="dxa"/>
          </w:tcPr>
          <w:p w14:paraId="64992B16" w14:textId="77777777" w:rsidR="003D0AEA" w:rsidRPr="00EE3C56" w:rsidRDefault="003D0AEA">
            <w:pPr>
              <w:spacing w:after="0"/>
              <w:rPr>
                <w:sz w:val="24"/>
                <w:szCs w:val="24"/>
              </w:rPr>
            </w:pPr>
            <w:r w:rsidRPr="00EE3C56">
              <w:rPr>
                <w:sz w:val="24"/>
                <w:szCs w:val="24"/>
              </w:rPr>
              <w:t>An applicant’s written response to this solicitation.</w:t>
            </w:r>
          </w:p>
        </w:tc>
      </w:tr>
      <w:tr w:rsidR="003D0AEA" w:rsidRPr="00EE3C56" w14:paraId="1CB4A11C" w14:textId="77777777">
        <w:trPr>
          <w:trHeight w:val="300"/>
        </w:trPr>
        <w:tc>
          <w:tcPr>
            <w:tcW w:w="2430" w:type="dxa"/>
          </w:tcPr>
          <w:p w14:paraId="7BD4ADAF" w14:textId="77777777" w:rsidR="003D0AEA" w:rsidRPr="00EE3C56" w:rsidRDefault="003D0AEA">
            <w:pPr>
              <w:spacing w:after="0"/>
              <w:rPr>
                <w:sz w:val="24"/>
                <w:szCs w:val="24"/>
              </w:rPr>
            </w:pPr>
            <w:r w:rsidRPr="00EE3C56">
              <w:rPr>
                <w:sz w:val="24"/>
                <w:szCs w:val="24"/>
              </w:rPr>
              <w:t>AHJ</w:t>
            </w:r>
          </w:p>
        </w:tc>
        <w:tc>
          <w:tcPr>
            <w:tcW w:w="6930" w:type="dxa"/>
          </w:tcPr>
          <w:p w14:paraId="29181A45" w14:textId="77777777" w:rsidR="003D0AEA" w:rsidRPr="00EE3C56" w:rsidRDefault="003D0AEA">
            <w:pPr>
              <w:spacing w:after="0"/>
              <w:rPr>
                <w:sz w:val="24"/>
                <w:szCs w:val="24"/>
              </w:rPr>
            </w:pPr>
            <w:r w:rsidRPr="00EE3C56">
              <w:rPr>
                <w:sz w:val="24"/>
                <w:szCs w:val="24"/>
              </w:rPr>
              <w:t>Authority Having Jurisdiction</w:t>
            </w:r>
          </w:p>
        </w:tc>
      </w:tr>
      <w:tr w:rsidR="003D0AEA" w:rsidRPr="00EE3C56" w14:paraId="5B0A2543" w14:textId="77777777">
        <w:tc>
          <w:tcPr>
            <w:tcW w:w="2430" w:type="dxa"/>
          </w:tcPr>
          <w:p w14:paraId="5895730E" w14:textId="77777777" w:rsidR="003D0AEA" w:rsidRPr="00EE3C56" w:rsidRDefault="003D0AEA">
            <w:pPr>
              <w:spacing w:after="0"/>
              <w:rPr>
                <w:sz w:val="24"/>
                <w:szCs w:val="24"/>
              </w:rPr>
            </w:pPr>
            <w:r w:rsidRPr="00EE3C56">
              <w:rPr>
                <w:sz w:val="24"/>
                <w:szCs w:val="24"/>
              </w:rPr>
              <w:t>Authorized Representative</w:t>
            </w:r>
          </w:p>
        </w:tc>
        <w:tc>
          <w:tcPr>
            <w:tcW w:w="6930" w:type="dxa"/>
          </w:tcPr>
          <w:p w14:paraId="786BCFA7" w14:textId="77777777" w:rsidR="003D0AEA" w:rsidRPr="00EE3C56" w:rsidRDefault="003D0AEA">
            <w:pPr>
              <w:spacing w:after="0"/>
              <w:rPr>
                <w:sz w:val="24"/>
                <w:szCs w:val="24"/>
              </w:rPr>
            </w:pPr>
            <w:r w:rsidRPr="00EE3C56">
              <w:rPr>
                <w:i/>
                <w:sz w:val="24"/>
                <w:szCs w:val="24"/>
              </w:rPr>
              <w:t>Authorized Representative</w:t>
            </w:r>
            <w:r w:rsidRPr="00EE3C56">
              <w:rPr>
                <w:sz w:val="24"/>
                <w:szCs w:val="24"/>
              </w:rPr>
              <w:t xml:space="preserve">, the person signing the application form who has authority to enter into an agreement with the CEC. </w:t>
            </w:r>
          </w:p>
        </w:tc>
      </w:tr>
      <w:tr w:rsidR="003D0AEA" w:rsidRPr="00EE3C56" w14:paraId="36696D32" w14:textId="77777777">
        <w:tc>
          <w:tcPr>
            <w:tcW w:w="2430" w:type="dxa"/>
          </w:tcPr>
          <w:p w14:paraId="2F447540" w14:textId="77777777" w:rsidR="003D0AEA" w:rsidRPr="00EE3C56" w:rsidRDefault="003D0AEA">
            <w:pPr>
              <w:spacing w:after="0"/>
              <w:rPr>
                <w:sz w:val="24"/>
                <w:szCs w:val="24"/>
              </w:rPr>
            </w:pPr>
            <w:r w:rsidRPr="00EE3C56">
              <w:rPr>
                <w:sz w:val="24"/>
                <w:szCs w:val="24"/>
              </w:rPr>
              <w:t>CAISO</w:t>
            </w:r>
          </w:p>
        </w:tc>
        <w:tc>
          <w:tcPr>
            <w:tcW w:w="6930" w:type="dxa"/>
          </w:tcPr>
          <w:p w14:paraId="7052E007" w14:textId="77777777" w:rsidR="003D0AEA" w:rsidRPr="00EE3C56" w:rsidRDefault="003D0AEA">
            <w:pPr>
              <w:spacing w:after="0"/>
              <w:rPr>
                <w:sz w:val="24"/>
                <w:szCs w:val="24"/>
              </w:rPr>
            </w:pPr>
            <w:r w:rsidRPr="00EE3C56">
              <w:rPr>
                <w:sz w:val="24"/>
                <w:szCs w:val="24"/>
              </w:rPr>
              <w:t>California Independent System Operator</w:t>
            </w:r>
          </w:p>
        </w:tc>
      </w:tr>
      <w:tr w:rsidR="003D0AEA" w:rsidRPr="00EE3C56" w14:paraId="5AAEDE70" w14:textId="77777777">
        <w:tc>
          <w:tcPr>
            <w:tcW w:w="2430" w:type="dxa"/>
          </w:tcPr>
          <w:p w14:paraId="058EEC5D" w14:textId="77777777" w:rsidR="003D0AEA" w:rsidRPr="00EE3C56" w:rsidRDefault="003D0AEA">
            <w:pPr>
              <w:spacing w:after="0"/>
              <w:rPr>
                <w:sz w:val="24"/>
                <w:szCs w:val="24"/>
              </w:rPr>
            </w:pPr>
            <w:r w:rsidRPr="00EE3C56">
              <w:rPr>
                <w:rStyle w:val="normaltextrun"/>
                <w:sz w:val="24"/>
                <w:szCs w:val="24"/>
                <w:shd w:val="clear" w:color="auto" w:fill="FFFFFF"/>
              </w:rPr>
              <w:t>California Tribal Organization</w:t>
            </w:r>
            <w:r w:rsidRPr="00EE3C56">
              <w:rPr>
                <w:rStyle w:val="eop"/>
                <w:sz w:val="24"/>
                <w:szCs w:val="24"/>
                <w:shd w:val="clear" w:color="auto" w:fill="FFFFFF"/>
              </w:rPr>
              <w:t> </w:t>
            </w:r>
          </w:p>
        </w:tc>
        <w:tc>
          <w:tcPr>
            <w:tcW w:w="6930" w:type="dxa"/>
          </w:tcPr>
          <w:p w14:paraId="570E4D0D" w14:textId="77777777" w:rsidR="003D0AEA" w:rsidRPr="00EE3C56" w:rsidRDefault="003D0AEA">
            <w:pPr>
              <w:spacing w:after="0"/>
              <w:rPr>
                <w:sz w:val="24"/>
                <w:szCs w:val="24"/>
              </w:rPr>
            </w:pPr>
            <w:r w:rsidRPr="00EE3C56">
              <w:rPr>
                <w:rStyle w:val="normaltextrun"/>
                <w:sz w:val="24"/>
                <w:szCs w:val="24"/>
                <w:shd w:val="clear" w:color="auto" w:fill="FFFFFF"/>
              </w:rPr>
              <w:t>A corporation, association, or group controlled, sanctioned, or chartered by a California Native American tribe that is subject to its laws, the laws of the State of California, or the laws of the United States.</w:t>
            </w:r>
            <w:r w:rsidRPr="00EE3C56">
              <w:rPr>
                <w:rStyle w:val="eop"/>
                <w:sz w:val="24"/>
                <w:szCs w:val="24"/>
              </w:rPr>
              <w:t> </w:t>
            </w:r>
          </w:p>
        </w:tc>
      </w:tr>
      <w:tr w:rsidR="003D0AEA" w:rsidRPr="00EE3C56" w14:paraId="02979ABD" w14:textId="77777777">
        <w:tc>
          <w:tcPr>
            <w:tcW w:w="2430" w:type="dxa"/>
          </w:tcPr>
          <w:p w14:paraId="01984C0D" w14:textId="77777777" w:rsidR="003D0AEA" w:rsidRPr="00EE3C56" w:rsidRDefault="003D0AEA">
            <w:pPr>
              <w:spacing w:after="0"/>
              <w:rPr>
                <w:sz w:val="24"/>
                <w:szCs w:val="24"/>
              </w:rPr>
            </w:pPr>
            <w:r w:rsidRPr="00EE3C56">
              <w:rPr>
                <w:rStyle w:val="normaltextrun"/>
                <w:sz w:val="24"/>
                <w:szCs w:val="24"/>
                <w:shd w:val="clear" w:color="auto" w:fill="FFFFFF"/>
              </w:rPr>
              <w:t>California Native American Tribe/Tribe</w:t>
            </w:r>
            <w:r w:rsidRPr="00EE3C56">
              <w:rPr>
                <w:rStyle w:val="eop"/>
                <w:sz w:val="24"/>
                <w:szCs w:val="24"/>
                <w:shd w:val="clear" w:color="auto" w:fill="FFFFFF"/>
              </w:rPr>
              <w:t> </w:t>
            </w:r>
          </w:p>
        </w:tc>
        <w:tc>
          <w:tcPr>
            <w:tcW w:w="6930" w:type="dxa"/>
          </w:tcPr>
          <w:p w14:paraId="4AAA4EA3" w14:textId="77777777" w:rsidR="003D0AEA" w:rsidRPr="00EE3C56" w:rsidRDefault="003D0AEA">
            <w:pPr>
              <w:spacing w:after="0"/>
              <w:rPr>
                <w:sz w:val="24"/>
                <w:szCs w:val="24"/>
              </w:rPr>
            </w:pPr>
            <w:r w:rsidRPr="00EE3C56">
              <w:rPr>
                <w:rStyle w:val="normaltextrun"/>
                <w:sz w:val="24"/>
                <w:szCs w:val="24"/>
                <w:shd w:val="clear" w:color="auto" w:fill="FFFFFF"/>
              </w:rPr>
              <w:t>A Native American Tribe located in California that is on the contact list maintained by the Native American Heritage Commission for the purposes of Chapter 905 of the Statutes of 2004.</w:t>
            </w:r>
            <w:r w:rsidRPr="00EE3C56">
              <w:rPr>
                <w:rStyle w:val="eop"/>
                <w:sz w:val="24"/>
                <w:szCs w:val="24"/>
                <w:shd w:val="clear" w:color="auto" w:fill="FFFFFF"/>
              </w:rPr>
              <w:t> </w:t>
            </w:r>
          </w:p>
        </w:tc>
      </w:tr>
      <w:tr w:rsidR="003D0AEA" w:rsidRPr="00EE3C56" w14:paraId="7237E6DA" w14:textId="77777777">
        <w:tc>
          <w:tcPr>
            <w:tcW w:w="2430" w:type="dxa"/>
          </w:tcPr>
          <w:p w14:paraId="0D17E33C" w14:textId="77777777" w:rsidR="003D0AEA" w:rsidRPr="00EE3C56" w:rsidRDefault="003D0AEA">
            <w:pPr>
              <w:spacing w:after="0"/>
              <w:rPr>
                <w:sz w:val="24"/>
                <w:szCs w:val="24"/>
              </w:rPr>
            </w:pPr>
            <w:r w:rsidRPr="00EE3C56">
              <w:rPr>
                <w:sz w:val="24"/>
                <w:szCs w:val="24"/>
              </w:rPr>
              <w:t>CAM</w:t>
            </w:r>
          </w:p>
        </w:tc>
        <w:tc>
          <w:tcPr>
            <w:tcW w:w="6930" w:type="dxa"/>
          </w:tcPr>
          <w:p w14:paraId="68752C78" w14:textId="77777777" w:rsidR="003D0AEA" w:rsidRPr="00EE3C56" w:rsidRDefault="003D0AEA">
            <w:pPr>
              <w:spacing w:after="0"/>
              <w:rPr>
                <w:sz w:val="24"/>
                <w:szCs w:val="24"/>
              </w:rPr>
            </w:pPr>
            <w:r w:rsidRPr="00EE3C56">
              <w:rPr>
                <w:i/>
                <w:sz w:val="24"/>
                <w:szCs w:val="24"/>
              </w:rPr>
              <w:t>Commission Agreement Manager,</w:t>
            </w:r>
            <w:r w:rsidRPr="00EE3C56">
              <w:rPr>
                <w:sz w:val="24"/>
                <w:szCs w:val="24"/>
              </w:rPr>
              <w:t xml:space="preserve"> the person designated by the CEC to oversee the performance of an agreement resulting from this solicitation and to serve as the main point of contact for the Recipient.</w:t>
            </w:r>
          </w:p>
        </w:tc>
      </w:tr>
      <w:tr w:rsidR="003D0AEA" w:rsidRPr="00EE3C56" w14:paraId="34DDB307" w14:textId="77777777">
        <w:tc>
          <w:tcPr>
            <w:tcW w:w="2430" w:type="dxa"/>
          </w:tcPr>
          <w:p w14:paraId="65A01FFF" w14:textId="77777777" w:rsidR="003D0AEA" w:rsidRPr="00EE3C56" w:rsidRDefault="003D0AEA">
            <w:pPr>
              <w:spacing w:after="0"/>
              <w:rPr>
                <w:sz w:val="24"/>
                <w:szCs w:val="24"/>
              </w:rPr>
            </w:pPr>
            <w:r w:rsidRPr="00EE3C56">
              <w:rPr>
                <w:sz w:val="24"/>
                <w:szCs w:val="24"/>
              </w:rPr>
              <w:t>CAO</w:t>
            </w:r>
          </w:p>
        </w:tc>
        <w:tc>
          <w:tcPr>
            <w:tcW w:w="6930" w:type="dxa"/>
          </w:tcPr>
          <w:p w14:paraId="4AF85B91" w14:textId="77777777" w:rsidR="003D0AEA" w:rsidRPr="00EE3C56" w:rsidRDefault="003D0AEA">
            <w:pPr>
              <w:spacing w:after="0"/>
              <w:rPr>
                <w:i/>
                <w:sz w:val="24"/>
                <w:szCs w:val="24"/>
              </w:rPr>
            </w:pPr>
            <w:r w:rsidRPr="00EE3C56">
              <w:rPr>
                <w:sz w:val="24"/>
                <w:szCs w:val="24"/>
              </w:rPr>
              <w:t>Commission Agreement Officer</w:t>
            </w:r>
          </w:p>
        </w:tc>
      </w:tr>
      <w:tr w:rsidR="003D0AEA" w:rsidRPr="00EE3C56" w14:paraId="2D412651" w14:textId="77777777">
        <w:tc>
          <w:tcPr>
            <w:tcW w:w="2430" w:type="dxa"/>
          </w:tcPr>
          <w:p w14:paraId="3829D5DB" w14:textId="77777777" w:rsidR="003D0AEA" w:rsidRPr="00EE3C56" w:rsidRDefault="003D0AEA">
            <w:pPr>
              <w:spacing w:after="0"/>
              <w:rPr>
                <w:sz w:val="24"/>
                <w:szCs w:val="24"/>
              </w:rPr>
            </w:pPr>
            <w:r w:rsidRPr="00EE3C56">
              <w:rPr>
                <w:sz w:val="24"/>
                <w:szCs w:val="24"/>
              </w:rPr>
              <w:t>CBO</w:t>
            </w:r>
          </w:p>
        </w:tc>
        <w:tc>
          <w:tcPr>
            <w:tcW w:w="6930" w:type="dxa"/>
          </w:tcPr>
          <w:p w14:paraId="37FE02E2" w14:textId="77777777" w:rsidR="003D0AEA" w:rsidRPr="00EE3C56" w:rsidRDefault="003D0AEA">
            <w:pPr>
              <w:spacing w:after="0"/>
              <w:contextualSpacing/>
              <w:rPr>
                <w:sz w:val="24"/>
                <w:szCs w:val="24"/>
              </w:rPr>
            </w:pPr>
            <w:r w:rsidRPr="00EE3C56">
              <w:rPr>
                <w:sz w:val="24"/>
                <w:szCs w:val="24"/>
              </w:rPr>
              <w:t xml:space="preserve">Community Based Organization. A public or private nonprofit organization of demonstrated effectiveness that: </w:t>
            </w:r>
          </w:p>
          <w:p w14:paraId="26C16727" w14:textId="77777777" w:rsidR="003D0AEA" w:rsidRPr="00EE3C56" w:rsidRDefault="003D0AEA" w:rsidP="002F32D3">
            <w:pPr>
              <w:numPr>
                <w:ilvl w:val="0"/>
                <w:numId w:val="52"/>
              </w:numPr>
              <w:spacing w:after="0"/>
              <w:contextualSpacing/>
              <w:rPr>
                <w:sz w:val="24"/>
                <w:szCs w:val="24"/>
              </w:rPr>
            </w:pPr>
            <w:r w:rsidRPr="00EE3C56">
              <w:rPr>
                <w:sz w:val="24"/>
                <w:szCs w:val="24"/>
              </w:rPr>
              <w:t>Has an office in the region (e.g., air basin or county) and meets the demographic profile of the communities they serve.</w:t>
            </w:r>
          </w:p>
          <w:p w14:paraId="649F0ED8" w14:textId="77777777" w:rsidR="003D0AEA" w:rsidRPr="00EE3C56" w:rsidRDefault="003D0AEA" w:rsidP="002F32D3">
            <w:pPr>
              <w:numPr>
                <w:ilvl w:val="0"/>
                <w:numId w:val="52"/>
              </w:numPr>
              <w:spacing w:after="0"/>
              <w:contextualSpacing/>
              <w:rPr>
                <w:sz w:val="24"/>
                <w:szCs w:val="24"/>
              </w:rPr>
            </w:pPr>
            <w:r w:rsidRPr="00EE3C56">
              <w:rPr>
                <w:sz w:val="24"/>
                <w:szCs w:val="24"/>
              </w:rPr>
              <w:t>Has deployed projects and/or outreach efforts within the region (e.g., air basin or county) of the proposed disadvantaged or low-income community.</w:t>
            </w:r>
          </w:p>
          <w:p w14:paraId="45095FD7" w14:textId="77777777" w:rsidR="003D0AEA" w:rsidRPr="00EE3C56" w:rsidRDefault="003D0AEA" w:rsidP="002F32D3">
            <w:pPr>
              <w:numPr>
                <w:ilvl w:val="0"/>
                <w:numId w:val="52"/>
              </w:numPr>
              <w:spacing w:after="0"/>
              <w:contextualSpacing/>
              <w:rPr>
                <w:sz w:val="24"/>
                <w:szCs w:val="24"/>
              </w:rPr>
            </w:pPr>
            <w:r w:rsidRPr="00EE3C56">
              <w:rPr>
                <w:sz w:val="24"/>
                <w:szCs w:val="24"/>
              </w:rPr>
              <w:t>Has an official mission and vision statements that expressly identifies serving disadvantaged and/or low-income communities.</w:t>
            </w:r>
          </w:p>
          <w:p w14:paraId="13AEA01D" w14:textId="77777777" w:rsidR="003D0AEA" w:rsidRPr="00EE3C56" w:rsidRDefault="003D0AEA" w:rsidP="002F32D3">
            <w:pPr>
              <w:numPr>
                <w:ilvl w:val="0"/>
                <w:numId w:val="52"/>
              </w:numPr>
              <w:spacing w:after="0"/>
              <w:contextualSpacing/>
              <w:rPr>
                <w:sz w:val="24"/>
                <w:szCs w:val="24"/>
              </w:rPr>
            </w:pPr>
            <w:r w:rsidRPr="00EE3C56">
              <w:rPr>
                <w:sz w:val="24"/>
                <w:szCs w:val="24"/>
              </w:rPr>
              <w:t>Currently employs staff member(s) who specialized in and are dedicated to – diversity, or equity, or inclusion, or is a 501(c)(3) non-profit.</w:t>
            </w:r>
          </w:p>
        </w:tc>
      </w:tr>
      <w:tr w:rsidR="003D0AEA" w:rsidRPr="00EE3C56" w14:paraId="12A6A040" w14:textId="77777777">
        <w:trPr>
          <w:trHeight w:val="300"/>
        </w:trPr>
        <w:tc>
          <w:tcPr>
            <w:tcW w:w="2430" w:type="dxa"/>
          </w:tcPr>
          <w:p w14:paraId="3767CA97" w14:textId="77777777" w:rsidR="003D0AEA" w:rsidRPr="00EE3C56" w:rsidRDefault="003D0AEA">
            <w:pPr>
              <w:spacing w:after="0"/>
              <w:rPr>
                <w:sz w:val="24"/>
                <w:szCs w:val="24"/>
              </w:rPr>
            </w:pPr>
            <w:r w:rsidRPr="00EE3C56">
              <w:rPr>
                <w:sz w:val="24"/>
                <w:szCs w:val="24"/>
              </w:rPr>
              <w:t>CCA</w:t>
            </w:r>
          </w:p>
        </w:tc>
        <w:tc>
          <w:tcPr>
            <w:tcW w:w="6930" w:type="dxa"/>
          </w:tcPr>
          <w:p w14:paraId="23D3E28A" w14:textId="77777777" w:rsidR="003D0AEA" w:rsidRPr="00EE3C56" w:rsidRDefault="003D0AEA">
            <w:pPr>
              <w:spacing w:after="0"/>
              <w:rPr>
                <w:sz w:val="24"/>
                <w:szCs w:val="24"/>
              </w:rPr>
            </w:pPr>
            <w:r w:rsidRPr="00EE3C56">
              <w:rPr>
                <w:sz w:val="24"/>
                <w:szCs w:val="24"/>
              </w:rPr>
              <w:t>Community Choice Aggregation</w:t>
            </w:r>
          </w:p>
        </w:tc>
      </w:tr>
      <w:tr w:rsidR="003D0AEA" w:rsidRPr="00EE3C56" w14:paraId="4258B8CD" w14:textId="77777777">
        <w:tc>
          <w:tcPr>
            <w:tcW w:w="2430" w:type="dxa"/>
          </w:tcPr>
          <w:p w14:paraId="1D5E821B" w14:textId="77777777" w:rsidR="003D0AEA" w:rsidRPr="00EE3C56" w:rsidRDefault="003D0AEA">
            <w:pPr>
              <w:spacing w:after="0"/>
              <w:rPr>
                <w:sz w:val="24"/>
                <w:szCs w:val="24"/>
              </w:rPr>
            </w:pPr>
            <w:r w:rsidRPr="00EE3C56">
              <w:rPr>
                <w:sz w:val="24"/>
                <w:szCs w:val="24"/>
              </w:rPr>
              <w:t>CEC</w:t>
            </w:r>
          </w:p>
        </w:tc>
        <w:tc>
          <w:tcPr>
            <w:tcW w:w="6930" w:type="dxa"/>
          </w:tcPr>
          <w:p w14:paraId="4DB20AE4" w14:textId="77777777" w:rsidR="003D0AEA" w:rsidRPr="00EE3C56" w:rsidRDefault="003D0AEA">
            <w:pPr>
              <w:spacing w:after="0"/>
              <w:contextualSpacing/>
              <w:rPr>
                <w:sz w:val="24"/>
                <w:szCs w:val="24"/>
              </w:rPr>
            </w:pPr>
            <w:r w:rsidRPr="00EE3C56">
              <w:rPr>
                <w:sz w:val="24"/>
                <w:szCs w:val="24"/>
              </w:rPr>
              <w:t xml:space="preserve">State Energy Resources Conservation and Development Commission </w:t>
            </w:r>
            <w:proofErr w:type="gramStart"/>
            <w:r w:rsidRPr="00EE3C56">
              <w:rPr>
                <w:sz w:val="24"/>
                <w:szCs w:val="24"/>
              </w:rPr>
              <w:t>or ,</w:t>
            </w:r>
            <w:proofErr w:type="gramEnd"/>
            <w:r w:rsidRPr="00EE3C56">
              <w:rPr>
                <w:sz w:val="24"/>
                <w:szCs w:val="24"/>
              </w:rPr>
              <w:t xml:space="preserve"> the California Energy Commission.</w:t>
            </w:r>
          </w:p>
        </w:tc>
      </w:tr>
      <w:tr w:rsidR="003D0AEA" w:rsidRPr="00EE3C56" w14:paraId="6532E602" w14:textId="77777777">
        <w:tc>
          <w:tcPr>
            <w:tcW w:w="2430" w:type="dxa"/>
          </w:tcPr>
          <w:p w14:paraId="60B6607F" w14:textId="77777777" w:rsidR="003D0AEA" w:rsidRPr="00EE3C56" w:rsidRDefault="003D0AEA">
            <w:pPr>
              <w:spacing w:after="0"/>
              <w:rPr>
                <w:sz w:val="24"/>
                <w:szCs w:val="24"/>
              </w:rPr>
            </w:pPr>
            <w:r w:rsidRPr="00EE3C56">
              <w:rPr>
                <w:sz w:val="24"/>
                <w:szCs w:val="24"/>
              </w:rPr>
              <w:t>CEQA</w:t>
            </w:r>
          </w:p>
        </w:tc>
        <w:tc>
          <w:tcPr>
            <w:tcW w:w="6930" w:type="dxa"/>
          </w:tcPr>
          <w:p w14:paraId="4FA0C1AD" w14:textId="77777777" w:rsidR="003D0AEA" w:rsidRPr="00EE3C56" w:rsidRDefault="003D0AEA">
            <w:pPr>
              <w:keepNext/>
              <w:spacing w:after="0"/>
              <w:outlineLvl w:val="1"/>
              <w:rPr>
                <w:sz w:val="24"/>
                <w:szCs w:val="24"/>
              </w:rPr>
            </w:pPr>
            <w:r w:rsidRPr="00EE3C56">
              <w:rPr>
                <w:sz w:val="24"/>
                <w:szCs w:val="24"/>
              </w:rPr>
              <w:t>California Environmental Quality Act, California Public Resources Code Section 21000 et seq.</w:t>
            </w:r>
          </w:p>
        </w:tc>
      </w:tr>
      <w:tr w:rsidR="003D0AEA" w:rsidRPr="00EE3C56" w14:paraId="625AE452" w14:textId="77777777">
        <w:trPr>
          <w:trHeight w:val="300"/>
        </w:trPr>
        <w:tc>
          <w:tcPr>
            <w:tcW w:w="2430" w:type="dxa"/>
          </w:tcPr>
          <w:p w14:paraId="6CAEC499" w14:textId="77777777" w:rsidR="003D0AEA" w:rsidRPr="00EE3C56" w:rsidRDefault="003D0AEA">
            <w:pPr>
              <w:spacing w:after="0"/>
              <w:rPr>
                <w:sz w:val="24"/>
                <w:szCs w:val="24"/>
              </w:rPr>
            </w:pPr>
            <w:r w:rsidRPr="00EE3C56">
              <w:rPr>
                <w:sz w:val="24"/>
                <w:szCs w:val="24"/>
              </w:rPr>
              <w:t>CPUC</w:t>
            </w:r>
          </w:p>
        </w:tc>
        <w:tc>
          <w:tcPr>
            <w:tcW w:w="6930" w:type="dxa"/>
          </w:tcPr>
          <w:p w14:paraId="07B914AD" w14:textId="77777777" w:rsidR="003D0AEA" w:rsidRPr="00EE3C56" w:rsidRDefault="003D0AEA">
            <w:pPr>
              <w:spacing w:after="0"/>
              <w:rPr>
                <w:sz w:val="24"/>
                <w:szCs w:val="24"/>
              </w:rPr>
            </w:pPr>
            <w:r w:rsidRPr="00EE3C56">
              <w:rPr>
                <w:sz w:val="24"/>
                <w:szCs w:val="24"/>
              </w:rPr>
              <w:t>California Public Utilities Commission</w:t>
            </w:r>
          </w:p>
        </w:tc>
      </w:tr>
      <w:tr w:rsidR="003D0AEA" w:rsidRPr="00EE3C56" w14:paraId="58BD8938" w14:textId="77777777">
        <w:tc>
          <w:tcPr>
            <w:tcW w:w="2430" w:type="dxa"/>
          </w:tcPr>
          <w:p w14:paraId="53F615D3" w14:textId="77777777" w:rsidR="003D0AEA" w:rsidRPr="00EE3C56" w:rsidRDefault="003D0AEA">
            <w:pPr>
              <w:spacing w:after="0"/>
              <w:rPr>
                <w:sz w:val="24"/>
                <w:szCs w:val="24"/>
              </w:rPr>
            </w:pPr>
            <w:r w:rsidRPr="00EE3C56">
              <w:rPr>
                <w:sz w:val="24"/>
                <w:szCs w:val="24"/>
              </w:rPr>
              <w:t>Days</w:t>
            </w:r>
          </w:p>
        </w:tc>
        <w:tc>
          <w:tcPr>
            <w:tcW w:w="6930" w:type="dxa"/>
          </w:tcPr>
          <w:p w14:paraId="22B0190B" w14:textId="77777777" w:rsidR="003D0AEA" w:rsidRPr="00EE3C56" w:rsidRDefault="003D0AEA">
            <w:pPr>
              <w:spacing w:after="0"/>
              <w:rPr>
                <w:i/>
                <w:sz w:val="24"/>
                <w:szCs w:val="24"/>
              </w:rPr>
            </w:pPr>
            <w:r w:rsidRPr="00EE3C56">
              <w:rPr>
                <w:i/>
                <w:sz w:val="24"/>
                <w:szCs w:val="24"/>
              </w:rPr>
              <w:t>Days refers to calendar days.</w:t>
            </w:r>
          </w:p>
        </w:tc>
      </w:tr>
      <w:tr w:rsidR="003D0AEA" w:rsidRPr="00EE3C56" w14:paraId="6355C480" w14:textId="77777777">
        <w:tc>
          <w:tcPr>
            <w:tcW w:w="2430" w:type="dxa"/>
          </w:tcPr>
          <w:p w14:paraId="7A461B75" w14:textId="77777777" w:rsidR="003D0AEA" w:rsidRPr="00EE3C56" w:rsidRDefault="003D0AEA">
            <w:pPr>
              <w:spacing w:after="0"/>
              <w:rPr>
                <w:sz w:val="24"/>
                <w:szCs w:val="24"/>
              </w:rPr>
            </w:pPr>
            <w:r w:rsidRPr="00EE3C56">
              <w:rPr>
                <w:sz w:val="24"/>
                <w:szCs w:val="24"/>
              </w:rPr>
              <w:t>Disadvantaged Community/DAC</w:t>
            </w:r>
          </w:p>
        </w:tc>
        <w:tc>
          <w:tcPr>
            <w:tcW w:w="6930" w:type="dxa"/>
          </w:tcPr>
          <w:p w14:paraId="6E9849D8" w14:textId="44B5BC45" w:rsidR="003D0AEA" w:rsidRPr="00EE3C56" w:rsidRDefault="003D0AEA">
            <w:pPr>
              <w:spacing w:after="0"/>
              <w:rPr>
                <w:sz w:val="24"/>
                <w:szCs w:val="24"/>
              </w:rPr>
            </w:pPr>
            <w:r w:rsidRPr="00EE3C56">
              <w:rPr>
                <w:sz w:val="24"/>
                <w:szCs w:val="24"/>
              </w:rPr>
              <w:t xml:space="preserve">These are communities designated pursuant to Health and Safety Code section 39711 as representing the top 25% scoring census tracts from </w:t>
            </w:r>
            <w:proofErr w:type="spellStart"/>
            <w:r w:rsidRPr="00EE3C56">
              <w:rPr>
                <w:sz w:val="24"/>
                <w:szCs w:val="24"/>
              </w:rPr>
              <w:t>CalEnviroScreen</w:t>
            </w:r>
            <w:proofErr w:type="spellEnd"/>
            <w:r w:rsidRPr="00EE3C56">
              <w:rPr>
                <w:sz w:val="24"/>
                <w:szCs w:val="24"/>
              </w:rPr>
              <w:t xml:space="preserve"> along with other areas with high amounts of pollution and low populations as identified by the California Environmental Protection Agency. (</w:t>
            </w:r>
            <w:hyperlink r:id="rId16" w:history="1">
              <w:r w:rsidRPr="00203FA8">
                <w:rPr>
                  <w:rStyle w:val="Hyperlink"/>
                  <w:rFonts w:cs="Arial"/>
                  <w:sz w:val="24"/>
                  <w:szCs w:val="24"/>
                </w:rPr>
                <w:t>https://oehha.ca.gov/calenviroscreen/report/calenviroscreen-40</w:t>
              </w:r>
            </w:hyperlink>
            <w:r w:rsidRPr="00EE3C56">
              <w:rPr>
                <w:sz w:val="24"/>
                <w:szCs w:val="24"/>
              </w:rPr>
              <w:t>)</w:t>
            </w:r>
          </w:p>
        </w:tc>
      </w:tr>
      <w:tr w:rsidR="003D0AEA" w:rsidRPr="00EE3C56" w14:paraId="29C123A7" w14:textId="77777777">
        <w:tc>
          <w:tcPr>
            <w:tcW w:w="2430" w:type="dxa"/>
          </w:tcPr>
          <w:p w14:paraId="6C604507" w14:textId="77777777" w:rsidR="003D0AEA" w:rsidRPr="00EE3C56" w:rsidRDefault="003D0AEA">
            <w:pPr>
              <w:spacing w:after="0"/>
              <w:rPr>
                <w:sz w:val="24"/>
                <w:szCs w:val="24"/>
              </w:rPr>
            </w:pPr>
            <w:r w:rsidRPr="00EE3C56">
              <w:rPr>
                <w:sz w:val="24"/>
                <w:szCs w:val="24"/>
              </w:rPr>
              <w:t>Energy Equity</w:t>
            </w:r>
          </w:p>
        </w:tc>
        <w:tc>
          <w:tcPr>
            <w:tcW w:w="6930" w:type="dxa"/>
          </w:tcPr>
          <w:p w14:paraId="44451847" w14:textId="77777777" w:rsidR="003D0AEA" w:rsidRPr="00EE3C56" w:rsidRDefault="003D0AEA">
            <w:pPr>
              <w:spacing w:after="0"/>
              <w:rPr>
                <w:sz w:val="24"/>
                <w:szCs w:val="24"/>
              </w:rPr>
            </w:pPr>
            <w:r w:rsidRPr="00EE3C56">
              <w:rPr>
                <w:sz w:val="24"/>
                <w:szCs w:val="24"/>
              </w:rPr>
              <w:t>The fair distribution of benefits and burdens from energy production and consumption.</w:t>
            </w:r>
          </w:p>
        </w:tc>
      </w:tr>
      <w:tr w:rsidR="003D0AEA" w:rsidRPr="00EE3C56" w14:paraId="4DD4A72D" w14:textId="77777777">
        <w:tc>
          <w:tcPr>
            <w:tcW w:w="2430" w:type="dxa"/>
          </w:tcPr>
          <w:p w14:paraId="7181788F" w14:textId="77777777" w:rsidR="003D0AEA" w:rsidRPr="00EE3C56" w:rsidRDefault="003D0AEA">
            <w:pPr>
              <w:spacing w:after="0"/>
              <w:rPr>
                <w:sz w:val="24"/>
                <w:szCs w:val="24"/>
              </w:rPr>
            </w:pPr>
            <w:r w:rsidRPr="00EE3C56">
              <w:rPr>
                <w:sz w:val="24"/>
                <w:szCs w:val="24"/>
              </w:rPr>
              <w:t>EPIC</w:t>
            </w:r>
          </w:p>
        </w:tc>
        <w:tc>
          <w:tcPr>
            <w:tcW w:w="6930" w:type="dxa"/>
          </w:tcPr>
          <w:p w14:paraId="0EFAFD50" w14:textId="77777777" w:rsidR="003D0AEA" w:rsidRPr="00EE3C56" w:rsidRDefault="003D0AEA">
            <w:pPr>
              <w:spacing w:after="0"/>
              <w:rPr>
                <w:sz w:val="24"/>
                <w:szCs w:val="24"/>
              </w:rPr>
            </w:pPr>
            <w:r w:rsidRPr="00EE3C56">
              <w:rPr>
                <w:i/>
                <w:sz w:val="24"/>
                <w:szCs w:val="24"/>
              </w:rPr>
              <w:t>Electric Program Investment Charge,</w:t>
            </w:r>
            <w:r w:rsidRPr="00EE3C56">
              <w:rPr>
                <w:sz w:val="24"/>
                <w:szCs w:val="24"/>
              </w:rPr>
              <w:t xml:space="preserve"> the source of funding for the projects awarded under this solicitation.</w:t>
            </w:r>
          </w:p>
        </w:tc>
      </w:tr>
      <w:tr w:rsidR="003D0AEA" w:rsidRPr="00EE3C56" w14:paraId="50471046" w14:textId="77777777">
        <w:tc>
          <w:tcPr>
            <w:tcW w:w="2430" w:type="dxa"/>
          </w:tcPr>
          <w:p w14:paraId="721E3D44" w14:textId="77777777" w:rsidR="003D0AEA" w:rsidRPr="00EE3C56" w:rsidRDefault="003D0AEA">
            <w:pPr>
              <w:spacing w:after="0"/>
              <w:rPr>
                <w:sz w:val="24"/>
                <w:szCs w:val="24"/>
              </w:rPr>
            </w:pPr>
            <w:r w:rsidRPr="00EE3C56">
              <w:rPr>
                <w:sz w:val="24"/>
                <w:szCs w:val="24"/>
              </w:rPr>
              <w:t>IOU</w:t>
            </w:r>
          </w:p>
        </w:tc>
        <w:tc>
          <w:tcPr>
            <w:tcW w:w="6930" w:type="dxa"/>
          </w:tcPr>
          <w:p w14:paraId="0D214454" w14:textId="77777777" w:rsidR="003D0AEA" w:rsidRPr="00EE3C56" w:rsidRDefault="003D0AEA">
            <w:pPr>
              <w:spacing w:after="0"/>
              <w:rPr>
                <w:sz w:val="24"/>
                <w:szCs w:val="24"/>
              </w:rPr>
            </w:pPr>
            <w:r w:rsidRPr="00EE3C56">
              <w:rPr>
                <w:i/>
                <w:iCs/>
                <w:sz w:val="24"/>
                <w:szCs w:val="24"/>
              </w:rPr>
              <w:t>Investor-owned utility,</w:t>
            </w:r>
            <w:r w:rsidRPr="00EE3C56">
              <w:rPr>
                <w:sz w:val="24"/>
                <w:szCs w:val="24"/>
              </w:rPr>
              <w:t xml:space="preserve"> an electrical corporation as defined in California Public Utilities Code section 218. For purposes of this EPIC solicitation, it includes Pacific Gas and Electric Co., San Diego Gas and Electric Co., and Southern California Edison Co.</w:t>
            </w:r>
          </w:p>
        </w:tc>
      </w:tr>
      <w:tr w:rsidR="003D0AEA" w:rsidRPr="00EE3C56" w14:paraId="43151309" w14:textId="77777777">
        <w:tc>
          <w:tcPr>
            <w:tcW w:w="2430" w:type="dxa"/>
          </w:tcPr>
          <w:p w14:paraId="51482B64" w14:textId="77777777" w:rsidR="003D0AEA" w:rsidRPr="00EE3C56" w:rsidRDefault="003D0AEA">
            <w:pPr>
              <w:spacing w:after="0"/>
              <w:rPr>
                <w:sz w:val="24"/>
                <w:szCs w:val="24"/>
              </w:rPr>
            </w:pPr>
            <w:r w:rsidRPr="00EE3C56">
              <w:rPr>
                <w:sz w:val="24"/>
                <w:szCs w:val="24"/>
              </w:rPr>
              <w:t>Low Income Community/LIC</w:t>
            </w:r>
          </w:p>
        </w:tc>
        <w:tc>
          <w:tcPr>
            <w:tcW w:w="6930" w:type="dxa"/>
          </w:tcPr>
          <w:p w14:paraId="58B56CA0" w14:textId="04683608" w:rsidR="003D0AEA" w:rsidRPr="00EE3C56" w:rsidRDefault="003D0AEA">
            <w:pPr>
              <w:shd w:val="clear" w:color="auto" w:fill="FFFFFF"/>
              <w:spacing w:after="0"/>
              <w:textAlignment w:val="baseline"/>
              <w:rPr>
                <w:sz w:val="24"/>
                <w:szCs w:val="24"/>
              </w:rPr>
            </w:pPr>
            <w:r w:rsidRPr="00EE3C56">
              <w:rPr>
                <w:i/>
                <w:sz w:val="24"/>
                <w:szCs w:val="24"/>
              </w:rPr>
              <w:t>Low-income Communities</w:t>
            </w:r>
            <w:r w:rsidRPr="00EE3C56">
              <w:rPr>
                <w:sz w:val="24"/>
                <w:szCs w:val="24"/>
              </w:rPr>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hyperlink r:id="rId17" w:history="1">
              <w:r w:rsidRPr="00203FA8">
                <w:rPr>
                  <w:rStyle w:val="Hyperlink"/>
                  <w:rFonts w:cs="Arial"/>
                  <w:sz w:val="24"/>
                  <w:szCs w:val="24"/>
                </w:rPr>
                <w:t>https://www.hcd.ca.gov/grants-funding/income-limits/state-and-federal-income-limits.shtml</w:t>
              </w:r>
            </w:hyperlink>
            <w:r w:rsidRPr="00EE3C56">
              <w:rPr>
                <w:sz w:val="24"/>
                <w:szCs w:val="24"/>
              </w:rPr>
              <w:t xml:space="preserve">) </w:t>
            </w:r>
          </w:p>
        </w:tc>
      </w:tr>
      <w:tr w:rsidR="003D0AEA" w:rsidRPr="00EE3C56" w14:paraId="5DDD5BBC" w14:textId="77777777">
        <w:tc>
          <w:tcPr>
            <w:tcW w:w="2430" w:type="dxa"/>
          </w:tcPr>
          <w:p w14:paraId="1A88231A" w14:textId="77777777" w:rsidR="003D0AEA" w:rsidRPr="00EE3C56" w:rsidRDefault="003D0AEA">
            <w:pPr>
              <w:spacing w:after="0"/>
              <w:rPr>
                <w:sz w:val="24"/>
                <w:szCs w:val="24"/>
              </w:rPr>
            </w:pPr>
            <w:r w:rsidRPr="00EE3C56">
              <w:rPr>
                <w:sz w:val="24"/>
                <w:szCs w:val="24"/>
              </w:rPr>
              <w:t>NOPA</w:t>
            </w:r>
          </w:p>
        </w:tc>
        <w:tc>
          <w:tcPr>
            <w:tcW w:w="6930" w:type="dxa"/>
          </w:tcPr>
          <w:p w14:paraId="73B76652" w14:textId="77777777" w:rsidR="003D0AEA" w:rsidRPr="00EE3C56" w:rsidRDefault="003D0AEA">
            <w:pPr>
              <w:spacing w:after="0"/>
              <w:rPr>
                <w:sz w:val="24"/>
                <w:szCs w:val="24"/>
              </w:rPr>
            </w:pPr>
            <w:r w:rsidRPr="00EE3C56">
              <w:rPr>
                <w:i/>
                <w:sz w:val="24"/>
                <w:szCs w:val="24"/>
              </w:rPr>
              <w:t>Notice of Proposed Award,</w:t>
            </w:r>
            <w:r w:rsidRPr="00EE3C56">
              <w:rPr>
                <w:sz w:val="24"/>
                <w:szCs w:val="24"/>
              </w:rPr>
              <w:t xml:space="preserve"> a public notice by the CEC that identifies award recipients.</w:t>
            </w:r>
          </w:p>
        </w:tc>
      </w:tr>
      <w:tr w:rsidR="003D0AEA" w:rsidRPr="00EE3C56" w14:paraId="19C67798" w14:textId="77777777">
        <w:tc>
          <w:tcPr>
            <w:tcW w:w="2430" w:type="dxa"/>
          </w:tcPr>
          <w:p w14:paraId="1015368F" w14:textId="77777777" w:rsidR="003D0AEA" w:rsidRPr="00EE3C56" w:rsidRDefault="003D0AEA">
            <w:pPr>
              <w:spacing w:after="0"/>
              <w:rPr>
                <w:sz w:val="24"/>
                <w:szCs w:val="24"/>
              </w:rPr>
            </w:pPr>
            <w:r w:rsidRPr="00EE3C56">
              <w:rPr>
                <w:sz w:val="24"/>
                <w:szCs w:val="24"/>
              </w:rPr>
              <w:t>Pre-Commercial Technology</w:t>
            </w:r>
          </w:p>
        </w:tc>
        <w:tc>
          <w:tcPr>
            <w:tcW w:w="6930" w:type="dxa"/>
          </w:tcPr>
          <w:p w14:paraId="18DAB7B6" w14:textId="77777777" w:rsidR="003D0AEA" w:rsidRPr="00EE3C56" w:rsidRDefault="003D0AEA">
            <w:pPr>
              <w:spacing w:before="100" w:beforeAutospacing="1" w:after="0"/>
              <w:rPr>
                <w:sz w:val="24"/>
                <w:szCs w:val="24"/>
              </w:rPr>
            </w:pPr>
            <w:r w:rsidRPr="00EE3C56">
              <w:rPr>
                <w:i/>
                <w:sz w:val="24"/>
                <w:szCs w:val="24"/>
              </w:rPr>
              <w:t>Pre-commercial Technology</w:t>
            </w:r>
            <w:r w:rsidRPr="00EE3C56">
              <w:rPr>
                <w:sz w:val="24"/>
                <w:szCs w:val="24"/>
              </w:rPr>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D0AEA" w:rsidRPr="00EE3C56" w14:paraId="1F58CAC2" w14:textId="77777777">
        <w:tc>
          <w:tcPr>
            <w:tcW w:w="2430" w:type="dxa"/>
          </w:tcPr>
          <w:p w14:paraId="6DE6B7B7" w14:textId="77777777" w:rsidR="003D0AEA" w:rsidRPr="00EE3C56" w:rsidRDefault="003D0AEA">
            <w:pPr>
              <w:spacing w:after="0"/>
              <w:rPr>
                <w:sz w:val="24"/>
                <w:szCs w:val="24"/>
              </w:rPr>
            </w:pPr>
            <w:r w:rsidRPr="00EE3C56">
              <w:rPr>
                <w:sz w:val="24"/>
                <w:szCs w:val="24"/>
              </w:rPr>
              <w:t>Pilot Test</w:t>
            </w:r>
          </w:p>
        </w:tc>
        <w:tc>
          <w:tcPr>
            <w:tcW w:w="6930" w:type="dxa"/>
          </w:tcPr>
          <w:p w14:paraId="4722DBD8" w14:textId="77777777" w:rsidR="003D0AEA" w:rsidRPr="00EE3C56" w:rsidRDefault="003D0AEA">
            <w:pPr>
              <w:spacing w:before="100" w:beforeAutospacing="1" w:after="0"/>
              <w:rPr>
                <w:sz w:val="24"/>
                <w:szCs w:val="24"/>
              </w:rPr>
            </w:pPr>
            <w:r w:rsidRPr="00EE3C56">
              <w:rPr>
                <w:i/>
                <w:sz w:val="24"/>
                <w:szCs w:val="24"/>
              </w:rPr>
              <w:t>Pilot test</w:t>
            </w:r>
            <w:r w:rsidRPr="00EE3C56">
              <w:rPr>
                <w:sz w:val="24"/>
                <w:szCs w:val="24"/>
              </w:rP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3D0AEA" w:rsidRPr="00EE3C56" w14:paraId="60724178" w14:textId="77777777">
        <w:tc>
          <w:tcPr>
            <w:tcW w:w="2430" w:type="dxa"/>
          </w:tcPr>
          <w:p w14:paraId="2C672D6C" w14:textId="77777777" w:rsidR="003D0AEA" w:rsidRPr="00EE3C56" w:rsidRDefault="003D0AEA">
            <w:pPr>
              <w:spacing w:after="0"/>
              <w:rPr>
                <w:sz w:val="24"/>
                <w:szCs w:val="24"/>
              </w:rPr>
            </w:pPr>
            <w:r w:rsidRPr="00EE3C56">
              <w:rPr>
                <w:sz w:val="24"/>
                <w:szCs w:val="24"/>
              </w:rPr>
              <w:t>Principal Investigator</w:t>
            </w:r>
          </w:p>
        </w:tc>
        <w:tc>
          <w:tcPr>
            <w:tcW w:w="6930" w:type="dxa"/>
          </w:tcPr>
          <w:p w14:paraId="0D4663E0" w14:textId="77777777" w:rsidR="003D0AEA" w:rsidRPr="00EE3C56" w:rsidRDefault="003D0AEA">
            <w:pPr>
              <w:spacing w:before="100" w:beforeAutospacing="1" w:after="0"/>
              <w:rPr>
                <w:sz w:val="24"/>
                <w:szCs w:val="24"/>
              </w:rPr>
            </w:pPr>
            <w:r w:rsidRPr="00EE3C56">
              <w:rPr>
                <w:sz w:val="24"/>
                <w:szCs w:val="24"/>
              </w:rPr>
              <w:t xml:space="preserve">The technical lead for the applicant’s project, who is responsible for overseeing the project; in some instances, the Principal Investigator and Project Manager may be the same person.  </w:t>
            </w:r>
          </w:p>
        </w:tc>
      </w:tr>
      <w:tr w:rsidR="003D0AEA" w:rsidRPr="00EE3C56" w14:paraId="7B343610" w14:textId="77777777">
        <w:tc>
          <w:tcPr>
            <w:tcW w:w="2430" w:type="dxa"/>
          </w:tcPr>
          <w:p w14:paraId="1A46822C" w14:textId="77777777" w:rsidR="003D0AEA" w:rsidRPr="00EE3C56" w:rsidRDefault="003D0AEA">
            <w:pPr>
              <w:spacing w:after="0"/>
              <w:rPr>
                <w:sz w:val="24"/>
                <w:szCs w:val="24"/>
              </w:rPr>
            </w:pPr>
            <w:r w:rsidRPr="00EE3C56">
              <w:rPr>
                <w:sz w:val="24"/>
                <w:szCs w:val="24"/>
              </w:rPr>
              <w:t>Project Manager</w:t>
            </w:r>
          </w:p>
        </w:tc>
        <w:tc>
          <w:tcPr>
            <w:tcW w:w="6930" w:type="dxa"/>
          </w:tcPr>
          <w:p w14:paraId="1DFC82D7" w14:textId="77777777" w:rsidR="003D0AEA" w:rsidRPr="00EE3C56" w:rsidRDefault="003D0AEA">
            <w:pPr>
              <w:spacing w:after="0"/>
              <w:rPr>
                <w:sz w:val="24"/>
                <w:szCs w:val="24"/>
              </w:rPr>
            </w:pPr>
            <w:r w:rsidRPr="00EE3C56">
              <w:rPr>
                <w:sz w:val="24"/>
                <w:szCs w:val="24"/>
              </w:rPr>
              <w:t>The person designated by the applicant to oversee the project and to serve as the main point of contact for the CEC.</w:t>
            </w:r>
          </w:p>
        </w:tc>
      </w:tr>
      <w:tr w:rsidR="003D0AEA" w:rsidRPr="00EE3C56" w14:paraId="46F80BDC" w14:textId="77777777">
        <w:tc>
          <w:tcPr>
            <w:tcW w:w="2430" w:type="dxa"/>
          </w:tcPr>
          <w:p w14:paraId="1D0AFA5A" w14:textId="77777777" w:rsidR="003D0AEA" w:rsidRPr="00EE3C56" w:rsidRDefault="003D0AEA">
            <w:pPr>
              <w:keepLines/>
              <w:spacing w:after="0"/>
              <w:rPr>
                <w:sz w:val="24"/>
                <w:szCs w:val="24"/>
              </w:rPr>
            </w:pPr>
            <w:r w:rsidRPr="00EE3C56">
              <w:rPr>
                <w:sz w:val="24"/>
                <w:szCs w:val="24"/>
              </w:rPr>
              <w:t>Project Partner</w:t>
            </w:r>
          </w:p>
        </w:tc>
        <w:tc>
          <w:tcPr>
            <w:tcW w:w="6930" w:type="dxa"/>
          </w:tcPr>
          <w:p w14:paraId="49330FF5" w14:textId="77777777" w:rsidR="003D0AEA" w:rsidRPr="00EE3C56" w:rsidRDefault="003D0AEA">
            <w:pPr>
              <w:keepLines/>
              <w:spacing w:after="0"/>
              <w:rPr>
                <w:sz w:val="24"/>
                <w:szCs w:val="24"/>
              </w:rPr>
            </w:pPr>
            <w:r w:rsidRPr="00EE3C56">
              <w:rPr>
                <w:sz w:val="24"/>
                <w:szCs w:val="24"/>
              </w:rPr>
              <w:t xml:space="preserve">An entity or individual that contributes financially or otherwise to the project (e.g., match funding, provision of a test, </w:t>
            </w:r>
            <w:proofErr w:type="gramStart"/>
            <w:r w:rsidRPr="00EE3C56">
              <w:rPr>
                <w:sz w:val="24"/>
                <w:szCs w:val="24"/>
              </w:rPr>
              <w:t>demonstration</w:t>
            </w:r>
            <w:proofErr w:type="gramEnd"/>
            <w:r w:rsidRPr="00EE3C56">
              <w:rPr>
                <w:sz w:val="24"/>
                <w:szCs w:val="24"/>
              </w:rPr>
              <w:t xml:space="preserve"> or deployment site), and does not receive CEC funds. </w:t>
            </w:r>
          </w:p>
        </w:tc>
      </w:tr>
      <w:tr w:rsidR="003D0AEA" w:rsidRPr="00EE3C56" w14:paraId="27F39484" w14:textId="77777777">
        <w:tc>
          <w:tcPr>
            <w:tcW w:w="2430" w:type="dxa"/>
          </w:tcPr>
          <w:p w14:paraId="34EBD94E" w14:textId="77777777" w:rsidR="003D0AEA" w:rsidRPr="00EE3C56" w:rsidRDefault="003D0AEA">
            <w:pPr>
              <w:spacing w:after="0"/>
              <w:rPr>
                <w:sz w:val="24"/>
                <w:szCs w:val="24"/>
              </w:rPr>
            </w:pPr>
            <w:r w:rsidRPr="00EE3C56">
              <w:rPr>
                <w:sz w:val="24"/>
                <w:szCs w:val="24"/>
              </w:rPr>
              <w:t>Recipient</w:t>
            </w:r>
          </w:p>
        </w:tc>
        <w:tc>
          <w:tcPr>
            <w:tcW w:w="6930" w:type="dxa"/>
          </w:tcPr>
          <w:p w14:paraId="56FC4BC4" w14:textId="77777777" w:rsidR="003D0AEA" w:rsidRPr="00EE3C56" w:rsidRDefault="003D0AEA">
            <w:pPr>
              <w:spacing w:after="0"/>
              <w:rPr>
                <w:sz w:val="24"/>
                <w:szCs w:val="24"/>
              </w:rPr>
            </w:pPr>
            <w:r w:rsidRPr="00EE3C56">
              <w:rPr>
                <w:sz w:val="24"/>
                <w:szCs w:val="24"/>
              </w:rPr>
              <w:t xml:space="preserve"> An entity receiving an award under this solicitation.</w:t>
            </w:r>
          </w:p>
        </w:tc>
      </w:tr>
      <w:tr w:rsidR="003D0AEA" w:rsidRPr="00EE3C56" w14:paraId="2E0F38DE" w14:textId="77777777">
        <w:tc>
          <w:tcPr>
            <w:tcW w:w="2430" w:type="dxa"/>
          </w:tcPr>
          <w:p w14:paraId="46955E86" w14:textId="77777777" w:rsidR="003D0AEA" w:rsidRPr="00EE3C56" w:rsidRDefault="003D0AEA">
            <w:pPr>
              <w:spacing w:after="0"/>
              <w:rPr>
                <w:sz w:val="24"/>
                <w:szCs w:val="24"/>
              </w:rPr>
            </w:pPr>
            <w:r w:rsidRPr="00EE3C56">
              <w:rPr>
                <w:sz w:val="24"/>
                <w:szCs w:val="24"/>
              </w:rPr>
              <w:t>Solicitation</w:t>
            </w:r>
          </w:p>
        </w:tc>
        <w:tc>
          <w:tcPr>
            <w:tcW w:w="6930" w:type="dxa"/>
          </w:tcPr>
          <w:p w14:paraId="6B581AF6" w14:textId="77777777" w:rsidR="003D0AEA" w:rsidRPr="00EE3C56" w:rsidRDefault="003D0AEA">
            <w:pPr>
              <w:spacing w:after="0"/>
              <w:rPr>
                <w:sz w:val="24"/>
                <w:szCs w:val="24"/>
              </w:rPr>
            </w:pPr>
            <w:r w:rsidRPr="00EE3C56">
              <w:rPr>
                <w:sz w:val="24"/>
                <w:szCs w:val="24"/>
              </w:rPr>
              <w:t xml:space="preserve">This entire document, including all attachments, exhibits, any addendum and written notices, and questions and answers (“solicitation” may be used interchangeably with “Grant Funding Opportunity”). </w:t>
            </w:r>
          </w:p>
        </w:tc>
      </w:tr>
      <w:tr w:rsidR="003D0AEA" w:rsidRPr="00EE3C56" w14:paraId="38A6EC04" w14:textId="77777777">
        <w:tc>
          <w:tcPr>
            <w:tcW w:w="2430" w:type="dxa"/>
          </w:tcPr>
          <w:p w14:paraId="19056CE6" w14:textId="77777777" w:rsidR="003D0AEA" w:rsidRPr="00EE3C56" w:rsidRDefault="003D0AEA">
            <w:pPr>
              <w:spacing w:after="0"/>
              <w:rPr>
                <w:sz w:val="24"/>
                <w:szCs w:val="24"/>
              </w:rPr>
            </w:pPr>
            <w:r w:rsidRPr="00EE3C56">
              <w:rPr>
                <w:sz w:val="24"/>
                <w:szCs w:val="24"/>
              </w:rPr>
              <w:t>State</w:t>
            </w:r>
          </w:p>
        </w:tc>
        <w:tc>
          <w:tcPr>
            <w:tcW w:w="6930" w:type="dxa"/>
          </w:tcPr>
          <w:p w14:paraId="002F7BA4" w14:textId="77777777" w:rsidR="003D0AEA" w:rsidRPr="00EE3C56" w:rsidRDefault="003D0AEA">
            <w:pPr>
              <w:spacing w:after="0"/>
              <w:rPr>
                <w:sz w:val="24"/>
                <w:szCs w:val="24"/>
              </w:rPr>
            </w:pPr>
            <w:r w:rsidRPr="00EE3C56">
              <w:rPr>
                <w:sz w:val="24"/>
                <w:szCs w:val="24"/>
              </w:rPr>
              <w:t>State of California</w:t>
            </w:r>
          </w:p>
        </w:tc>
      </w:tr>
      <w:tr w:rsidR="003D0AEA" w:rsidRPr="00EE3C56" w14:paraId="6304618F" w14:textId="77777777">
        <w:tc>
          <w:tcPr>
            <w:tcW w:w="2430" w:type="dxa"/>
          </w:tcPr>
          <w:p w14:paraId="76B91A16" w14:textId="77777777" w:rsidR="003D0AEA" w:rsidRPr="00EE3C56" w:rsidRDefault="003D0AEA">
            <w:pPr>
              <w:spacing w:after="0"/>
              <w:rPr>
                <w:sz w:val="24"/>
                <w:szCs w:val="24"/>
              </w:rPr>
            </w:pPr>
            <w:r w:rsidRPr="00EE3C56">
              <w:rPr>
                <w:sz w:val="24"/>
                <w:szCs w:val="24"/>
              </w:rPr>
              <w:t>TRL</w:t>
            </w:r>
          </w:p>
        </w:tc>
        <w:tc>
          <w:tcPr>
            <w:tcW w:w="6930" w:type="dxa"/>
          </w:tcPr>
          <w:p w14:paraId="362AB4E8" w14:textId="77777777" w:rsidR="003D0AEA" w:rsidRPr="00EE3C56" w:rsidRDefault="003D0AEA">
            <w:pPr>
              <w:spacing w:after="0"/>
              <w:rPr>
                <w:sz w:val="24"/>
                <w:szCs w:val="24"/>
              </w:rPr>
            </w:pPr>
            <w:proofErr w:type="gramStart"/>
            <w:r w:rsidRPr="00EE3C56">
              <w:rPr>
                <w:sz w:val="24"/>
                <w:szCs w:val="24"/>
              </w:rPr>
              <w:t>Technology readiness levels,</w:t>
            </w:r>
            <w:proofErr w:type="gramEnd"/>
            <w:r w:rsidRPr="00EE3C56">
              <w:rPr>
                <w:sz w:val="24"/>
                <w:szCs w:val="24"/>
              </w:rPr>
              <w:t xml:space="preserve"> are a method for estimating the maturity of technologies during the acquisition phase of a program.</w:t>
            </w:r>
          </w:p>
          <w:p w14:paraId="1F6AE5F3" w14:textId="545ABD1E" w:rsidR="003D0AEA" w:rsidRPr="00EE3C56" w:rsidRDefault="003D0AEA">
            <w:pPr>
              <w:spacing w:after="0"/>
              <w:rPr>
                <w:sz w:val="24"/>
                <w:szCs w:val="24"/>
              </w:rPr>
            </w:pPr>
            <w:r w:rsidRPr="00EE3C56">
              <w:rPr>
                <w:sz w:val="24"/>
                <w:szCs w:val="24"/>
              </w:rPr>
              <w:t xml:space="preserve">Source: U.S. Department of Energy, “Technology Readiness Assessment Guide”. </w:t>
            </w:r>
            <w:hyperlink r:id="rId18" w:history="1">
              <w:r w:rsidRPr="00203FA8">
                <w:rPr>
                  <w:rStyle w:val="Hyperlink"/>
                  <w:rFonts w:cs="Arial"/>
                  <w:sz w:val="24"/>
                  <w:szCs w:val="24"/>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11F530A" w14:textId="77777777" w:rsidR="003F6147" w:rsidRPr="00756BAC" w:rsidRDefault="003F6147" w:rsidP="002F32D3">
      <w:pPr>
        <w:pStyle w:val="Heading2"/>
        <w:numPr>
          <w:ilvl w:val="0"/>
          <w:numId w:val="54"/>
        </w:numPr>
      </w:pPr>
      <w:bookmarkStart w:id="15" w:name="_Toc121421331"/>
      <w:bookmarkStart w:id="16" w:name="_Toc458602324"/>
      <w:r w:rsidRPr="00756BAC">
        <w:t>Project Focus</w:t>
      </w:r>
      <w:bookmarkEnd w:id="15"/>
    </w:p>
    <w:p w14:paraId="2EE4D1D8" w14:textId="77777777" w:rsidR="007C4879" w:rsidRPr="00DF5EDD" w:rsidRDefault="007C4879" w:rsidP="007C4879">
      <w:pPr>
        <w:rPr>
          <w:sz w:val="24"/>
          <w:szCs w:val="24"/>
        </w:rPr>
      </w:pPr>
      <w:r w:rsidRPr="00DF5EDD">
        <w:rPr>
          <w:sz w:val="24"/>
          <w:szCs w:val="24"/>
        </w:rPr>
        <w:t xml:space="preserve">This solicitation seeks to accelerate the commercialization of promising long-duration storage technologies by demonstrating their technical readiness and commercial scale-up potential at durations of 24 hours or more in real-world environments. </w:t>
      </w:r>
    </w:p>
    <w:p w14:paraId="1B530850" w14:textId="77777777" w:rsidR="007C4879" w:rsidRPr="00DF5EDD" w:rsidRDefault="007C4879" w:rsidP="007C4879">
      <w:pPr>
        <w:rPr>
          <w:sz w:val="24"/>
          <w:szCs w:val="24"/>
        </w:rPr>
      </w:pPr>
    </w:p>
    <w:p w14:paraId="5B72AB6B" w14:textId="77777777" w:rsidR="007C4879" w:rsidRPr="00DF5EDD" w:rsidRDefault="007C4879" w:rsidP="007C4879">
      <w:pPr>
        <w:rPr>
          <w:sz w:val="24"/>
          <w:szCs w:val="24"/>
        </w:rPr>
      </w:pPr>
      <w:r w:rsidRPr="00DF5EDD">
        <w:rPr>
          <w:sz w:val="24"/>
          <w:szCs w:val="24"/>
        </w:rPr>
        <w:t>Minimum Requirements:</w:t>
      </w:r>
    </w:p>
    <w:p w14:paraId="59271737" w14:textId="77777777" w:rsidR="007C4879" w:rsidRPr="00DF5EDD" w:rsidRDefault="007C4879" w:rsidP="007C4879">
      <w:pPr>
        <w:rPr>
          <w:sz w:val="24"/>
          <w:szCs w:val="24"/>
        </w:rPr>
      </w:pPr>
      <w:r w:rsidRPr="00DF5EDD">
        <w:rPr>
          <w:sz w:val="24"/>
          <w:szCs w:val="24"/>
        </w:rPr>
        <w:t>The following describes the minimum requirements that applicants must include in their proposal:</w:t>
      </w:r>
    </w:p>
    <w:p w14:paraId="4BB26FAC" w14:textId="77777777" w:rsidR="007C4879" w:rsidRPr="00DF5EDD" w:rsidRDefault="007C4879" w:rsidP="007C4879">
      <w:pPr>
        <w:rPr>
          <w:sz w:val="24"/>
          <w:szCs w:val="24"/>
        </w:rPr>
      </w:pPr>
      <w:r w:rsidRPr="00DF5EDD">
        <w:rPr>
          <w:sz w:val="24"/>
          <w:szCs w:val="24"/>
        </w:rPr>
        <w:t xml:space="preserve">This solicitation is open to non-Li-ion electrochemical or thermal long-duration storage technologies with a full rated power of at least 100 kW and a minimum duration of 24 </w:t>
      </w:r>
      <w:proofErr w:type="gramStart"/>
      <w:r w:rsidRPr="00DF5EDD">
        <w:rPr>
          <w:sz w:val="24"/>
          <w:szCs w:val="24"/>
        </w:rPr>
        <w:t>hours</w:t>
      </w:r>
      <w:proofErr w:type="gramEnd"/>
    </w:p>
    <w:p w14:paraId="1772F965" w14:textId="77777777" w:rsidR="007C4879" w:rsidRPr="00DF5EDD" w:rsidRDefault="007C4879" w:rsidP="007C4879">
      <w:pPr>
        <w:rPr>
          <w:sz w:val="24"/>
          <w:szCs w:val="24"/>
        </w:rPr>
      </w:pPr>
      <w:r w:rsidRPr="00DF5EDD">
        <w:rPr>
          <w:sz w:val="24"/>
          <w:szCs w:val="24"/>
        </w:rPr>
        <w:t>Proposed technologies under this solicitation should have the ability to achieve a Levelized Cost of Storage (LCOS) of 5 cents/kWh or less at scale consistent with ARPA-E goals</w:t>
      </w:r>
      <w:r w:rsidRPr="00B14380">
        <w:rPr>
          <w:sz w:val="24"/>
          <w:szCs w:val="24"/>
          <w:vertAlign w:val="superscript"/>
        </w:rPr>
        <w:footnoteReference w:id="7"/>
      </w:r>
      <w:r w:rsidRPr="00DF5EDD">
        <w:rPr>
          <w:sz w:val="24"/>
          <w:szCs w:val="24"/>
        </w:rPr>
        <w:t>.</w:t>
      </w:r>
    </w:p>
    <w:p w14:paraId="30D65E5A" w14:textId="77777777" w:rsidR="007C4879" w:rsidRPr="00DF5EDD" w:rsidRDefault="007C4879" w:rsidP="007C4879">
      <w:pPr>
        <w:rPr>
          <w:sz w:val="24"/>
          <w:szCs w:val="24"/>
        </w:rPr>
      </w:pPr>
      <w:r w:rsidRPr="00DF5EDD">
        <w:rPr>
          <w:sz w:val="24"/>
          <w:szCs w:val="24"/>
        </w:rPr>
        <w:t xml:space="preserve">Demonstration sites must </w:t>
      </w:r>
      <w:bookmarkStart w:id="17" w:name="_Int_LG0CeemF"/>
      <w:proofErr w:type="gramStart"/>
      <w:r w:rsidRPr="00DF5EDD">
        <w:rPr>
          <w:sz w:val="24"/>
          <w:szCs w:val="24"/>
        </w:rPr>
        <w:t>be located in</w:t>
      </w:r>
      <w:bookmarkEnd w:id="17"/>
      <w:proofErr w:type="gramEnd"/>
      <w:r w:rsidRPr="00DF5EDD">
        <w:rPr>
          <w:sz w:val="24"/>
          <w:szCs w:val="24"/>
        </w:rPr>
        <w:t xml:space="preserve"> a California IOU service territory.</w:t>
      </w:r>
    </w:p>
    <w:p w14:paraId="2AEE6130" w14:textId="77777777" w:rsidR="007C4879" w:rsidRPr="00DF5EDD" w:rsidRDefault="007C4879" w:rsidP="002F32D3">
      <w:pPr>
        <w:pStyle w:val="ListParagraph"/>
        <w:numPr>
          <w:ilvl w:val="0"/>
          <w:numId w:val="67"/>
        </w:numPr>
        <w:spacing w:line="259" w:lineRule="auto"/>
        <w:ind w:left="360"/>
        <w:rPr>
          <w:sz w:val="24"/>
          <w:szCs w:val="24"/>
        </w:rPr>
      </w:pPr>
      <w:r w:rsidRPr="00DF5EDD">
        <w:rPr>
          <w:sz w:val="24"/>
          <w:szCs w:val="24"/>
        </w:rPr>
        <w:t xml:space="preserve">The targeted community and customers must </w:t>
      </w:r>
      <w:bookmarkStart w:id="18" w:name="_Int_TNkqfcpL"/>
      <w:proofErr w:type="gramStart"/>
      <w:r w:rsidRPr="00DF5EDD">
        <w:rPr>
          <w:sz w:val="24"/>
          <w:szCs w:val="24"/>
        </w:rPr>
        <w:t>be located in</w:t>
      </w:r>
      <w:bookmarkEnd w:id="18"/>
      <w:proofErr w:type="gramEnd"/>
      <w:r w:rsidRPr="00DF5EDD">
        <w:rPr>
          <w:sz w:val="24"/>
          <w:szCs w:val="24"/>
        </w:rPr>
        <w:t xml:space="preserve"> or benefitting DAC, LIC, or Tribe. Applicants must provide the address and coordinates (latitude and longitude in degrees) with a precision of at least six decimal places. </w:t>
      </w:r>
      <w:r w:rsidRPr="00DF5EDD">
        <w:rPr>
          <w:b/>
          <w:bCs/>
          <w:sz w:val="24"/>
          <w:szCs w:val="24"/>
        </w:rPr>
        <w:t xml:space="preserve">The site of LDES system is not required to </w:t>
      </w:r>
      <w:bookmarkStart w:id="19" w:name="_Int_pPaYphhQ"/>
      <w:proofErr w:type="gramStart"/>
      <w:r w:rsidRPr="00DF5EDD">
        <w:rPr>
          <w:b/>
          <w:bCs/>
          <w:sz w:val="24"/>
          <w:szCs w:val="24"/>
        </w:rPr>
        <w:t>be located in</w:t>
      </w:r>
      <w:bookmarkEnd w:id="19"/>
      <w:proofErr w:type="gramEnd"/>
      <w:r w:rsidRPr="00DF5EDD">
        <w:rPr>
          <w:b/>
          <w:bCs/>
          <w:sz w:val="24"/>
          <w:szCs w:val="24"/>
        </w:rPr>
        <w:t xml:space="preserve"> a DAC, LIC or Tribe.</w:t>
      </w:r>
    </w:p>
    <w:p w14:paraId="161334A6" w14:textId="77777777" w:rsidR="007C4879" w:rsidRPr="00DF5EDD" w:rsidRDefault="007C4879" w:rsidP="002F32D3">
      <w:pPr>
        <w:pStyle w:val="ListParagraph"/>
        <w:numPr>
          <w:ilvl w:val="0"/>
          <w:numId w:val="67"/>
        </w:numPr>
        <w:spacing w:line="259" w:lineRule="auto"/>
        <w:ind w:left="360"/>
        <w:rPr>
          <w:sz w:val="24"/>
          <w:szCs w:val="24"/>
        </w:rPr>
      </w:pPr>
      <w:r w:rsidRPr="00DF5EDD">
        <w:rPr>
          <w:sz w:val="24"/>
          <w:szCs w:val="24"/>
        </w:rPr>
        <w:t>The proposed applications of LDES systems must provide direct benefits to the residents of the identified communities such as higher resiliency, increased reliability, reduced energy demand, improved air quality, and lower utility bills.</w:t>
      </w:r>
    </w:p>
    <w:p w14:paraId="79D77F58" w14:textId="77777777" w:rsidR="007C4879" w:rsidRPr="00DF5EDD" w:rsidRDefault="007C4879" w:rsidP="00E07C3B">
      <w:pPr>
        <w:pStyle w:val="ListParagraph"/>
        <w:numPr>
          <w:ilvl w:val="0"/>
          <w:numId w:val="67"/>
        </w:numPr>
        <w:spacing w:after="0" w:line="259" w:lineRule="auto"/>
        <w:ind w:left="360"/>
        <w:rPr>
          <w:sz w:val="24"/>
          <w:szCs w:val="24"/>
        </w:rPr>
      </w:pPr>
      <w:r w:rsidRPr="00DF5EDD">
        <w:rPr>
          <w:sz w:val="24"/>
          <w:szCs w:val="24"/>
        </w:rPr>
        <w:t>The proposed LDES systems must stay in operation for at least one year before the end of the grant agreement, and the recipient must complete this period at least six months prior to the end of the agreement. This requirement ensures that sufficient data on the system's performance and capabilities can be gathered and analyzed to validate its performance.</w:t>
      </w:r>
    </w:p>
    <w:p w14:paraId="5B3D5844" w14:textId="77777777" w:rsidR="007C4879" w:rsidRPr="00DF5EDD" w:rsidRDefault="007C4879" w:rsidP="007C4879">
      <w:pPr>
        <w:spacing w:line="259" w:lineRule="auto"/>
        <w:rPr>
          <w:b/>
          <w:bCs/>
          <w:sz w:val="24"/>
          <w:szCs w:val="24"/>
        </w:rPr>
      </w:pPr>
    </w:p>
    <w:p w14:paraId="5B7007F0" w14:textId="77777777" w:rsidR="007C4879" w:rsidRPr="00DF5EDD" w:rsidRDefault="007C4879" w:rsidP="007C4879">
      <w:pPr>
        <w:spacing w:line="259" w:lineRule="auto"/>
        <w:rPr>
          <w:b/>
          <w:bCs/>
          <w:sz w:val="24"/>
          <w:szCs w:val="24"/>
        </w:rPr>
      </w:pPr>
      <w:r w:rsidRPr="00DF5EDD">
        <w:rPr>
          <w:b/>
          <w:bCs/>
          <w:sz w:val="24"/>
          <w:szCs w:val="24"/>
        </w:rPr>
        <w:t>Optional:</w:t>
      </w:r>
    </w:p>
    <w:p w14:paraId="73ED56DB" w14:textId="77777777" w:rsidR="007C4879" w:rsidRPr="00DF5EDD" w:rsidRDefault="007C4879" w:rsidP="007C4879">
      <w:pPr>
        <w:spacing w:line="259" w:lineRule="auto"/>
        <w:rPr>
          <w:sz w:val="24"/>
          <w:szCs w:val="24"/>
        </w:rPr>
      </w:pPr>
      <w:r w:rsidRPr="00DF5EDD">
        <w:rPr>
          <w:sz w:val="24"/>
          <w:szCs w:val="24"/>
        </w:rPr>
        <w:t>The following describes end-use applications for project consideration. These are not required but optional:</w:t>
      </w:r>
    </w:p>
    <w:p w14:paraId="7329F323" w14:textId="77777777" w:rsidR="007C4879" w:rsidRPr="00DF5EDD" w:rsidRDefault="007C4879" w:rsidP="002F32D3">
      <w:pPr>
        <w:pStyle w:val="ListParagraph"/>
        <w:numPr>
          <w:ilvl w:val="0"/>
          <w:numId w:val="19"/>
        </w:numPr>
        <w:ind w:left="360"/>
        <w:rPr>
          <w:sz w:val="24"/>
          <w:szCs w:val="24"/>
        </w:rPr>
      </w:pPr>
      <w:r w:rsidRPr="00DF5EDD">
        <w:rPr>
          <w:sz w:val="24"/>
          <w:szCs w:val="24"/>
        </w:rPr>
        <w:t xml:space="preserve">Proposals should consider at least one “critical facility” (defined as either a public or private facility that provides critical services to its community in times of public emergency such as a natural disaster, power outage, disease epidemic, or chemical emergency). Some possible examples of critical facilities include: </w:t>
      </w:r>
    </w:p>
    <w:p w14:paraId="2B616EFE"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Hospitals</w:t>
      </w:r>
    </w:p>
    <w:p w14:paraId="53EBC1B1"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Emergency operation centers</w:t>
      </w:r>
    </w:p>
    <w:p w14:paraId="16727EB7"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Care facilities</w:t>
      </w:r>
    </w:p>
    <w:p w14:paraId="4173FD09"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Fire stations</w:t>
      </w:r>
    </w:p>
    <w:p w14:paraId="19BF11D9"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Police stations</w:t>
      </w:r>
    </w:p>
    <w:p w14:paraId="521C6190"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Water and wastewater treatment plants</w:t>
      </w:r>
    </w:p>
    <w:p w14:paraId="25D79FD7"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Fueling facilities</w:t>
      </w:r>
    </w:p>
    <w:p w14:paraId="5C1BBC5E"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Ports</w:t>
      </w:r>
    </w:p>
    <w:p w14:paraId="2F164402"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Critical federal, state, and municipal facilities (e.g., courts and jails)</w:t>
      </w:r>
    </w:p>
    <w:p w14:paraId="043BBCC0"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Schools</w:t>
      </w:r>
    </w:p>
    <w:p w14:paraId="02C4B1D3"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Shelters (e.g., facilities that provide shelter to humans or animals during public emergencies)</w:t>
      </w:r>
    </w:p>
    <w:p w14:paraId="4EE6953D" w14:textId="77777777" w:rsidR="007C4879" w:rsidRPr="00DF5EDD" w:rsidRDefault="007C4879" w:rsidP="002F32D3">
      <w:pPr>
        <w:pStyle w:val="ListParagraph"/>
        <w:numPr>
          <w:ilvl w:val="1"/>
          <w:numId w:val="71"/>
        </w:numPr>
        <w:spacing w:after="0"/>
        <w:ind w:left="720"/>
        <w:rPr>
          <w:sz w:val="24"/>
          <w:szCs w:val="24"/>
        </w:rPr>
      </w:pPr>
      <w:r w:rsidRPr="00DF5EDD">
        <w:rPr>
          <w:sz w:val="24"/>
          <w:szCs w:val="24"/>
        </w:rPr>
        <w:t>Supermarkets</w:t>
      </w:r>
    </w:p>
    <w:p w14:paraId="7EF817BB" w14:textId="77777777" w:rsidR="007C4879" w:rsidRPr="00DF5EDD" w:rsidRDefault="007C4879" w:rsidP="002F32D3">
      <w:pPr>
        <w:pStyle w:val="ListParagraph"/>
        <w:numPr>
          <w:ilvl w:val="0"/>
          <w:numId w:val="19"/>
        </w:numPr>
        <w:ind w:left="360"/>
        <w:rPr>
          <w:sz w:val="24"/>
          <w:szCs w:val="24"/>
        </w:rPr>
      </w:pPr>
      <w:r w:rsidRPr="00DF5EDD">
        <w:rPr>
          <w:sz w:val="24"/>
          <w:szCs w:val="24"/>
        </w:rPr>
        <w:t xml:space="preserve">Proposals are encouraged to select demonstration sites highly impacted by PSPS events or located in </w:t>
      </w:r>
      <w:r w:rsidRPr="00DF5EDD" w:rsidDel="005F1CDE">
        <w:rPr>
          <w:sz w:val="24"/>
          <w:szCs w:val="24"/>
        </w:rPr>
        <w:t xml:space="preserve">a </w:t>
      </w:r>
      <w:r w:rsidRPr="00DF5EDD">
        <w:rPr>
          <w:sz w:val="24"/>
          <w:szCs w:val="24"/>
        </w:rPr>
        <w:t>Tier 2 or 3 High Fire-Threat District (HFTD), as defined by the CPUC.</w:t>
      </w:r>
      <w:r w:rsidRPr="00914A52">
        <w:rPr>
          <w:sz w:val="24"/>
          <w:szCs w:val="24"/>
          <w:vertAlign w:val="superscript"/>
        </w:rPr>
        <w:footnoteReference w:id="8"/>
      </w:r>
      <w:r w:rsidRPr="00DF5EDD">
        <w:rPr>
          <w:sz w:val="24"/>
          <w:szCs w:val="24"/>
        </w:rPr>
        <w:t xml:space="preserve"> Applicants should describe the impacts of PSPS events on their selected demonstration sites, including the number and durations of past outages. </w:t>
      </w:r>
    </w:p>
    <w:p w14:paraId="0EB35839" w14:textId="77777777" w:rsidR="007C4879" w:rsidRPr="00DF5EDD" w:rsidRDefault="007C4879" w:rsidP="007C4879">
      <w:pPr>
        <w:spacing w:after="0"/>
        <w:rPr>
          <w:sz w:val="24"/>
          <w:szCs w:val="24"/>
        </w:rPr>
      </w:pPr>
    </w:p>
    <w:p w14:paraId="114C3CC8" w14:textId="77777777" w:rsidR="007C4879" w:rsidRPr="00DF5EDD" w:rsidRDefault="007C4879" w:rsidP="007C4879">
      <w:pPr>
        <w:spacing w:after="0"/>
        <w:rPr>
          <w:rFonts w:eastAsia="Arial"/>
          <w:sz w:val="24"/>
          <w:szCs w:val="24"/>
        </w:rPr>
      </w:pPr>
      <w:r w:rsidRPr="00DF5EDD">
        <w:rPr>
          <w:rFonts w:eastAsia="Arial"/>
          <w:sz w:val="24"/>
          <w:szCs w:val="24"/>
        </w:rPr>
        <w:t>In addition to responding to the scoring criteria listed in the Section IV.F</w:t>
      </w:r>
      <w:r w:rsidRPr="00DF5EDD">
        <w:rPr>
          <w:rFonts w:eastAsia="Microsoft YaHei"/>
          <w:sz w:val="24"/>
          <w:szCs w:val="24"/>
          <w:lang w:eastAsia="zh-CN"/>
        </w:rPr>
        <w:t>, p</w:t>
      </w:r>
      <w:r w:rsidRPr="00DF5EDD">
        <w:rPr>
          <w:rFonts w:eastAsia="Arial"/>
          <w:sz w:val="24"/>
          <w:szCs w:val="24"/>
        </w:rPr>
        <w:t>roposals to this solicitation should address the following in the Project Narrative (Attachment 3):</w:t>
      </w:r>
    </w:p>
    <w:p w14:paraId="34C46F5E" w14:textId="77777777" w:rsidR="007C4879" w:rsidRPr="00DF5EDD" w:rsidRDefault="007C4879" w:rsidP="002F32D3">
      <w:pPr>
        <w:pStyle w:val="ListParagraph"/>
        <w:numPr>
          <w:ilvl w:val="0"/>
          <w:numId w:val="66"/>
        </w:numPr>
        <w:spacing w:after="0"/>
        <w:ind w:left="360"/>
        <w:rPr>
          <w:sz w:val="24"/>
          <w:szCs w:val="24"/>
        </w:rPr>
      </w:pPr>
      <w:r w:rsidRPr="00DF5EDD">
        <w:rPr>
          <w:rFonts w:eastAsia="Arial"/>
          <w:sz w:val="24"/>
          <w:szCs w:val="24"/>
        </w:rPr>
        <w:t xml:space="preserve">Describe the specific LDES use case being demonstrated under the proposed project from the six use cases identified in the U.S. Department of Energy (DOE) LDES Liftoff Report. These </w:t>
      </w:r>
      <w:r w:rsidRPr="00DF5EDD">
        <w:rPr>
          <w:sz w:val="24"/>
          <w:szCs w:val="24"/>
        </w:rPr>
        <w:t>represent possible applications for LDES in the power market context</w:t>
      </w:r>
      <w:r w:rsidRPr="00DF5EDD">
        <w:rPr>
          <w:rFonts w:eastAsia="Arial"/>
          <w:sz w:val="24"/>
          <w:szCs w:val="24"/>
        </w:rPr>
        <w:t xml:space="preserve"> and include load management services, firming for PPAs, microgrid resiliency, utility resource planning, transmission and distribution deferral, and energy market participation. I</w:t>
      </w:r>
      <w:r w:rsidRPr="00DF5EDD">
        <w:rPr>
          <w:sz w:val="24"/>
          <w:szCs w:val="24"/>
        </w:rPr>
        <w:t>t is also possible for LDES to fill multiple of these use cases at the same time (e.g., value stacking).</w:t>
      </w:r>
      <w:r w:rsidRPr="00DF5EDD">
        <w:rPr>
          <w:sz w:val="24"/>
          <w:szCs w:val="24"/>
          <w:vertAlign w:val="superscript"/>
        </w:rPr>
        <w:footnoteReference w:id="9"/>
      </w:r>
    </w:p>
    <w:p w14:paraId="6EF13127" w14:textId="77777777" w:rsidR="007C4879" w:rsidRPr="00DF5EDD" w:rsidRDefault="007C4879" w:rsidP="002F32D3">
      <w:pPr>
        <w:pStyle w:val="ListParagraph"/>
        <w:numPr>
          <w:ilvl w:val="0"/>
          <w:numId w:val="68"/>
        </w:numPr>
        <w:ind w:left="360"/>
        <w:rPr>
          <w:rFonts w:eastAsia="Arial"/>
          <w:sz w:val="24"/>
          <w:szCs w:val="24"/>
        </w:rPr>
      </w:pPr>
      <w:r w:rsidRPr="00DF5EDD">
        <w:rPr>
          <w:rFonts w:eastAsia="Arial"/>
          <w:sz w:val="24"/>
          <w:szCs w:val="24"/>
        </w:rPr>
        <w:t>Describe the advantages that the proposed technology has at scale over conventional lithium-ion-based Energy Storage Systems in terms of cost, response time, duration, safety, and other key performance attributes for the proposed use case.</w:t>
      </w:r>
    </w:p>
    <w:p w14:paraId="35F7945D" w14:textId="77777777" w:rsidR="007C4879" w:rsidRPr="00DF5EDD" w:rsidRDefault="007C4879" w:rsidP="002F32D3">
      <w:pPr>
        <w:pStyle w:val="ListParagraph"/>
        <w:numPr>
          <w:ilvl w:val="0"/>
          <w:numId w:val="68"/>
        </w:numPr>
        <w:ind w:left="360"/>
        <w:rPr>
          <w:rFonts w:eastAsia="Arial"/>
          <w:sz w:val="24"/>
          <w:szCs w:val="24"/>
        </w:rPr>
      </w:pPr>
      <w:r w:rsidRPr="00DF5EDD">
        <w:rPr>
          <w:rFonts w:eastAsia="Arial"/>
          <w:sz w:val="24"/>
          <w:szCs w:val="24"/>
        </w:rPr>
        <w:t>Describe the expected level of scale the technology needs to reach to be competitive with lithium-ion energy storage systems. Explain how the proposed project will advance the technology to the level of scale needed to be competitive.</w:t>
      </w:r>
    </w:p>
    <w:p w14:paraId="76037C8A" w14:textId="77777777" w:rsidR="007C4879" w:rsidRPr="00DF5EDD" w:rsidRDefault="007C4879" w:rsidP="002F32D3">
      <w:pPr>
        <w:pStyle w:val="ListParagraph"/>
        <w:numPr>
          <w:ilvl w:val="0"/>
          <w:numId w:val="68"/>
        </w:numPr>
        <w:ind w:left="360"/>
        <w:rPr>
          <w:rFonts w:eastAsia="Arial"/>
          <w:sz w:val="24"/>
          <w:szCs w:val="24"/>
        </w:rPr>
      </w:pPr>
      <w:r w:rsidRPr="00DF5EDD">
        <w:rPr>
          <w:rFonts w:eastAsia="Arial"/>
          <w:sz w:val="24"/>
          <w:szCs w:val="24"/>
        </w:rPr>
        <w:t>Describe the customer’s requirements or criteria for storage at the proposed site in terms of response time, nominal duration, ramp rate, footprint, etc., and describe how the proposed technology meets these requirements.</w:t>
      </w:r>
    </w:p>
    <w:p w14:paraId="7ECDA248" w14:textId="77777777" w:rsidR="007C4879" w:rsidRPr="00DF5EDD" w:rsidRDefault="007C4879" w:rsidP="002F32D3">
      <w:pPr>
        <w:pStyle w:val="ListParagraph"/>
        <w:numPr>
          <w:ilvl w:val="0"/>
          <w:numId w:val="68"/>
        </w:numPr>
        <w:ind w:left="360"/>
        <w:rPr>
          <w:rFonts w:eastAsia="Arial"/>
          <w:sz w:val="24"/>
          <w:szCs w:val="24"/>
        </w:rPr>
      </w:pPr>
      <w:r w:rsidRPr="00DF5EDD">
        <w:rPr>
          <w:rFonts w:eastAsia="Arial"/>
          <w:sz w:val="24"/>
          <w:szCs w:val="24"/>
        </w:rPr>
        <w:t xml:space="preserve">Describe what testing and validation has been done to ensure the technology is ready for a demonstration in a real-world environment. Explain who conducted the testing and when it took place. </w:t>
      </w:r>
    </w:p>
    <w:p w14:paraId="31D79094" w14:textId="77777777" w:rsidR="007C4879" w:rsidRPr="00DF5EDD" w:rsidRDefault="007C4879" w:rsidP="002F32D3">
      <w:pPr>
        <w:pStyle w:val="ListParagraph"/>
        <w:numPr>
          <w:ilvl w:val="0"/>
          <w:numId w:val="68"/>
        </w:numPr>
        <w:ind w:left="360"/>
        <w:rPr>
          <w:rFonts w:eastAsia="Arial"/>
          <w:sz w:val="24"/>
          <w:szCs w:val="24"/>
        </w:rPr>
      </w:pPr>
      <w:r w:rsidRPr="00DF5EDD">
        <w:rPr>
          <w:rFonts w:eastAsia="Arial"/>
          <w:sz w:val="24"/>
          <w:szCs w:val="24"/>
        </w:rPr>
        <w:t>Describe opportunities the applicant has identified to reduce balance of system (BOS) costs for the LDES system. Identify the specific actions the applicant will take to disseminate key learnings that reduce BOS costs to future deployments.</w:t>
      </w:r>
    </w:p>
    <w:p w14:paraId="35D25150" w14:textId="77777777" w:rsidR="007C4879" w:rsidRPr="00DF5EDD" w:rsidRDefault="007C4879" w:rsidP="002F32D3">
      <w:pPr>
        <w:pStyle w:val="ListParagraph"/>
        <w:numPr>
          <w:ilvl w:val="0"/>
          <w:numId w:val="68"/>
        </w:numPr>
        <w:ind w:left="360"/>
        <w:rPr>
          <w:rFonts w:eastAsia="Arial"/>
          <w:sz w:val="24"/>
          <w:szCs w:val="24"/>
        </w:rPr>
      </w:pPr>
      <w:r w:rsidRPr="00DF5EDD">
        <w:rPr>
          <w:rFonts w:eastAsia="Arial"/>
          <w:sz w:val="24"/>
          <w:szCs w:val="24"/>
        </w:rPr>
        <w:t>Describe the LDES project in terms of major subsystems and how the applicant intends the LDES system to operate and provide grid services under both blue sky and islanding conditions.</w:t>
      </w:r>
    </w:p>
    <w:p w14:paraId="608631D8" w14:textId="77777777" w:rsidR="007C4879" w:rsidRPr="00DF5EDD" w:rsidRDefault="007C4879" w:rsidP="002F32D3">
      <w:pPr>
        <w:pStyle w:val="ListParagraph"/>
        <w:numPr>
          <w:ilvl w:val="0"/>
          <w:numId w:val="68"/>
        </w:numPr>
        <w:ind w:left="360"/>
        <w:rPr>
          <w:rFonts w:eastAsia="Arial"/>
          <w:sz w:val="24"/>
          <w:szCs w:val="24"/>
        </w:rPr>
      </w:pPr>
      <w:r w:rsidRPr="00DF5EDD">
        <w:rPr>
          <w:rFonts w:eastAsia="Arial"/>
          <w:sz w:val="24"/>
          <w:szCs w:val="24"/>
        </w:rPr>
        <w:t>Define the proposed demonstration project and explain how it meets the requirements of this solicitation.</w:t>
      </w:r>
    </w:p>
    <w:p w14:paraId="173305C3" w14:textId="77777777" w:rsidR="007C4879" w:rsidRPr="00DF5EDD" w:rsidRDefault="007C4879" w:rsidP="002F32D3">
      <w:pPr>
        <w:pStyle w:val="ListParagraph"/>
        <w:numPr>
          <w:ilvl w:val="1"/>
          <w:numId w:val="68"/>
        </w:numPr>
        <w:ind w:left="720"/>
        <w:rPr>
          <w:rFonts w:eastAsia="Arial"/>
          <w:sz w:val="24"/>
          <w:szCs w:val="24"/>
        </w:rPr>
      </w:pPr>
      <w:r w:rsidRPr="00DF5EDD">
        <w:rPr>
          <w:rFonts w:eastAsia="Arial"/>
          <w:sz w:val="24"/>
          <w:szCs w:val="24"/>
        </w:rPr>
        <w:t>Describe the technical specifications of the proposed system, including but not limited to, critical loads, generation and storage systems, standards and communication protocols utilized, and existing or planned certifications.</w:t>
      </w:r>
    </w:p>
    <w:p w14:paraId="1B70B899" w14:textId="77777777" w:rsidR="007C4879" w:rsidRPr="00DF5EDD" w:rsidRDefault="007C4879" w:rsidP="002F32D3">
      <w:pPr>
        <w:pStyle w:val="ListParagraph"/>
        <w:numPr>
          <w:ilvl w:val="1"/>
          <w:numId w:val="68"/>
        </w:numPr>
        <w:ind w:left="720"/>
        <w:rPr>
          <w:rFonts w:eastAsia="Arial"/>
          <w:sz w:val="24"/>
          <w:szCs w:val="24"/>
        </w:rPr>
      </w:pPr>
      <w:r w:rsidRPr="00DF5EDD">
        <w:rPr>
          <w:rFonts w:eastAsia="Arial"/>
          <w:sz w:val="24"/>
          <w:szCs w:val="24"/>
        </w:rPr>
        <w:t>Explain how the proposed design provides the best value in terms of economic, environmental, and technical performance.</w:t>
      </w:r>
    </w:p>
    <w:p w14:paraId="4E66863F" w14:textId="77777777" w:rsidR="007C4879" w:rsidRPr="00DF5EDD" w:rsidRDefault="007C4879" w:rsidP="002F32D3">
      <w:pPr>
        <w:pStyle w:val="ListParagraph"/>
        <w:numPr>
          <w:ilvl w:val="0"/>
          <w:numId w:val="68"/>
        </w:numPr>
        <w:ind w:left="360"/>
        <w:rPr>
          <w:rFonts w:eastAsia="Arial"/>
          <w:sz w:val="24"/>
          <w:szCs w:val="24"/>
        </w:rPr>
      </w:pPr>
      <w:r w:rsidRPr="00DF5EDD">
        <w:rPr>
          <w:rFonts w:eastAsia="Arial"/>
          <w:sz w:val="24"/>
          <w:szCs w:val="24"/>
        </w:rPr>
        <w:t>Identify demonstration site(s) located in a California investor-owned utility (IOU) service territory.</w:t>
      </w:r>
    </w:p>
    <w:p w14:paraId="4E38EF5C" w14:textId="77777777" w:rsidR="007C4879" w:rsidRPr="00DF5EDD" w:rsidRDefault="007C4879" w:rsidP="002F32D3">
      <w:pPr>
        <w:pStyle w:val="ListParagraph"/>
        <w:numPr>
          <w:ilvl w:val="1"/>
          <w:numId w:val="68"/>
        </w:numPr>
        <w:ind w:left="720"/>
        <w:rPr>
          <w:rFonts w:eastAsia="Arial"/>
          <w:sz w:val="24"/>
          <w:szCs w:val="24"/>
        </w:rPr>
      </w:pPr>
      <w:r w:rsidRPr="00DF5EDD">
        <w:rPr>
          <w:rFonts w:eastAsia="Arial"/>
          <w:sz w:val="24"/>
          <w:szCs w:val="24"/>
        </w:rPr>
        <w:t>Describe the location of the demonstration site(s), how the applicant selected it, and the extent to which the community is subject to public safety power shutoffs or other outage events.</w:t>
      </w:r>
    </w:p>
    <w:p w14:paraId="79437968" w14:textId="77777777" w:rsidR="007C4879" w:rsidRPr="00DF5EDD" w:rsidRDefault="007C4879" w:rsidP="002F32D3">
      <w:pPr>
        <w:pStyle w:val="ListParagraph"/>
        <w:numPr>
          <w:ilvl w:val="1"/>
          <w:numId w:val="68"/>
        </w:numPr>
        <w:ind w:left="720"/>
        <w:rPr>
          <w:rFonts w:eastAsia="Arial"/>
          <w:sz w:val="24"/>
          <w:szCs w:val="24"/>
        </w:rPr>
      </w:pPr>
      <w:r w:rsidRPr="00DF5EDD">
        <w:rPr>
          <w:rFonts w:eastAsia="Arial"/>
          <w:sz w:val="24"/>
          <w:szCs w:val="24"/>
        </w:rPr>
        <w:t>Explain the primary value and benefits the project will deliver to the community.</w:t>
      </w:r>
    </w:p>
    <w:p w14:paraId="2C957495" w14:textId="77777777" w:rsidR="007C4879" w:rsidRPr="00DF5EDD" w:rsidRDefault="007C4879" w:rsidP="002F32D3">
      <w:pPr>
        <w:pStyle w:val="ListParagraph"/>
        <w:numPr>
          <w:ilvl w:val="0"/>
          <w:numId w:val="70"/>
        </w:numPr>
        <w:ind w:left="720"/>
        <w:rPr>
          <w:rFonts w:eastAsia="Arial"/>
          <w:sz w:val="24"/>
          <w:szCs w:val="24"/>
        </w:rPr>
      </w:pPr>
      <w:r w:rsidRPr="00DF5EDD">
        <w:rPr>
          <w:rFonts w:eastAsia="Arial"/>
          <w:sz w:val="24"/>
          <w:szCs w:val="24"/>
        </w:rPr>
        <w:t>Explain how the applicant intends to successfully execute the proposed LDES demonstrations while minimizing the risks and uncertainties associated with the permitting, financing, and implementation.</w:t>
      </w:r>
    </w:p>
    <w:p w14:paraId="7CA63DE2" w14:textId="77777777" w:rsidR="007C4879" w:rsidRPr="00DF5EDD" w:rsidRDefault="007C4879" w:rsidP="002F32D3">
      <w:pPr>
        <w:pStyle w:val="ListParagraph"/>
        <w:numPr>
          <w:ilvl w:val="0"/>
          <w:numId w:val="69"/>
        </w:numPr>
        <w:ind w:left="360"/>
        <w:rPr>
          <w:rFonts w:eastAsia="Arial"/>
          <w:sz w:val="24"/>
          <w:szCs w:val="24"/>
        </w:rPr>
      </w:pPr>
      <w:r w:rsidRPr="00DF5EDD">
        <w:rPr>
          <w:sz w:val="24"/>
          <w:szCs w:val="24"/>
        </w:rPr>
        <w:t>Describe how safety will be achieved and prioritized for the project, which may include but is not limited to ensuring product safety, fostering a strong safety culture, developing safety plans, and training local first responders and AHJs.</w:t>
      </w:r>
    </w:p>
    <w:p w14:paraId="10A10B6E" w14:textId="77777777" w:rsidR="007C4879" w:rsidRPr="00DF5EDD" w:rsidRDefault="007C4879" w:rsidP="002F32D3">
      <w:pPr>
        <w:pStyle w:val="ListParagraph"/>
        <w:numPr>
          <w:ilvl w:val="0"/>
          <w:numId w:val="69"/>
        </w:numPr>
        <w:ind w:left="360"/>
        <w:rPr>
          <w:strike/>
          <w:sz w:val="24"/>
          <w:szCs w:val="24"/>
        </w:rPr>
      </w:pPr>
      <w:r w:rsidRPr="00DF5EDD">
        <w:rPr>
          <w:rFonts w:eastAsia="Arial"/>
          <w:sz w:val="24"/>
          <w:szCs w:val="24"/>
        </w:rPr>
        <w:t>Describe</w:t>
      </w:r>
      <w:r w:rsidRPr="00DF5EDD">
        <w:rPr>
          <w:sz w:val="24"/>
          <w:szCs w:val="24"/>
        </w:rPr>
        <w:t xml:space="preserve"> the cybersecurity needs of the proposed LDES demonstration, its associated technologies as applicable, and how the applicant will address the needs through the </w:t>
      </w:r>
      <w:proofErr w:type="gramStart"/>
      <w:r w:rsidRPr="00DF5EDD">
        <w:rPr>
          <w:rFonts w:eastAsia="Arial"/>
          <w:sz w:val="24"/>
          <w:szCs w:val="24"/>
        </w:rPr>
        <w:t>project</w:t>
      </w:r>
      <w:proofErr w:type="gramEnd"/>
    </w:p>
    <w:p w14:paraId="0D40260C" w14:textId="77777777" w:rsidR="007C4879" w:rsidRPr="00DF5EDD" w:rsidRDefault="007C4879" w:rsidP="002F32D3">
      <w:pPr>
        <w:pStyle w:val="ListParagraph"/>
        <w:numPr>
          <w:ilvl w:val="0"/>
          <w:numId w:val="69"/>
        </w:numPr>
        <w:ind w:left="360"/>
        <w:rPr>
          <w:sz w:val="24"/>
          <w:szCs w:val="24"/>
        </w:rPr>
      </w:pPr>
      <w:r w:rsidRPr="00DF5EDD">
        <w:rPr>
          <w:sz w:val="24"/>
          <w:szCs w:val="24"/>
        </w:rPr>
        <w:t>Describe the requirements and plans for interconnection, permitting, and certification necessary for their systems. Applicants must identify the relevant and applicable federal, state, and local codes, regulations, and permitting requirements anticipated to site, construct, commission, and operate the LDES systems. For example, systems must be Rule 21 compliant; Rule 21 is a tariff that describes the interconnection, operating, and metering requirements for generation facilities to be connected to a utility’s distribution system.</w:t>
      </w:r>
      <w:r w:rsidRPr="00DF5EDD">
        <w:rPr>
          <w:sz w:val="24"/>
          <w:szCs w:val="24"/>
          <w:vertAlign w:val="superscript"/>
        </w:rPr>
        <w:footnoteReference w:id="10"/>
      </w:r>
    </w:p>
    <w:p w14:paraId="71005ED7" w14:textId="77777777" w:rsidR="007C4879" w:rsidRPr="00DF5EDD" w:rsidRDefault="007C4879" w:rsidP="002F32D3">
      <w:pPr>
        <w:pStyle w:val="ListParagraph"/>
        <w:numPr>
          <w:ilvl w:val="0"/>
          <w:numId w:val="69"/>
        </w:numPr>
        <w:ind w:left="360"/>
        <w:rPr>
          <w:sz w:val="24"/>
          <w:szCs w:val="24"/>
        </w:rPr>
      </w:pPr>
      <w:r w:rsidRPr="00DF5EDD">
        <w:rPr>
          <w:sz w:val="24"/>
          <w:szCs w:val="24"/>
        </w:rPr>
        <w:t>Describe how the project will meet the California Environmental Quality Act (CEQA) or other environmental review requirements in the Project Narrative. If an applicant obtains environmental review by the lead agency having jurisdiction over the project, they are encouraged to provide written proof of the review in the proposal. The proof could be, for example, lead agency CEQA approval or environmental review by the Tribe under its ordinances.</w:t>
      </w:r>
    </w:p>
    <w:p w14:paraId="36435F0F" w14:textId="77777777" w:rsidR="007C4879" w:rsidRPr="00DF5EDD" w:rsidRDefault="007C4879" w:rsidP="002F32D3">
      <w:pPr>
        <w:pStyle w:val="ListParagraph"/>
        <w:numPr>
          <w:ilvl w:val="0"/>
          <w:numId w:val="69"/>
        </w:numPr>
        <w:ind w:left="360"/>
        <w:rPr>
          <w:sz w:val="24"/>
          <w:szCs w:val="24"/>
        </w:rPr>
      </w:pPr>
      <w:r w:rsidRPr="00DF5EDD">
        <w:rPr>
          <w:sz w:val="24"/>
          <w:szCs w:val="24"/>
        </w:rPr>
        <w:t xml:space="preserve">Describe the strategy or methods for overcoming potential interconnection and permitting challenges, such as how to partner with IOUs early in the application process to support project design and interconnection. </w:t>
      </w:r>
    </w:p>
    <w:p w14:paraId="51A28D27" w14:textId="77777777" w:rsidR="007C4879" w:rsidRPr="00DF5EDD" w:rsidRDefault="007C4879" w:rsidP="002F32D3">
      <w:pPr>
        <w:pStyle w:val="ListParagraph"/>
        <w:numPr>
          <w:ilvl w:val="0"/>
          <w:numId w:val="69"/>
        </w:numPr>
        <w:ind w:left="360"/>
        <w:rPr>
          <w:sz w:val="24"/>
          <w:szCs w:val="24"/>
        </w:rPr>
      </w:pPr>
      <w:r w:rsidRPr="00DF5EDD">
        <w:rPr>
          <w:sz w:val="24"/>
          <w:szCs w:val="24"/>
        </w:rPr>
        <w:t xml:space="preserve">Describe the efforts that will be taken to address public safety concerns, which may include, but are not limited to, </w:t>
      </w:r>
      <w:proofErr w:type="gramStart"/>
      <w:r w:rsidRPr="00DF5EDD">
        <w:rPr>
          <w:sz w:val="24"/>
          <w:szCs w:val="24"/>
        </w:rPr>
        <w:t>having</w:t>
      </w:r>
      <w:proofErr w:type="gramEnd"/>
      <w:r w:rsidRPr="00DF5EDD">
        <w:rPr>
          <w:sz w:val="24"/>
          <w:szCs w:val="24"/>
        </w:rPr>
        <w:t xml:space="preserve"> or obtaining the necessary certifications for ensuring system safety and performance. The information supplied will be considered during the evaluation of the proposals.</w:t>
      </w:r>
    </w:p>
    <w:p w14:paraId="640DEEAD" w14:textId="3CECB957" w:rsidR="007C4879" w:rsidRDefault="007C4879" w:rsidP="002F32D3">
      <w:pPr>
        <w:pStyle w:val="ListParagraph"/>
        <w:numPr>
          <w:ilvl w:val="0"/>
          <w:numId w:val="68"/>
        </w:numPr>
        <w:ind w:left="360"/>
        <w:rPr>
          <w:rFonts w:eastAsia="Arial"/>
          <w:sz w:val="24"/>
          <w:szCs w:val="24"/>
        </w:rPr>
      </w:pPr>
      <w:r w:rsidRPr="00DF5EDD">
        <w:rPr>
          <w:rFonts w:eastAsia="Arial"/>
          <w:sz w:val="24"/>
          <w:szCs w:val="24"/>
        </w:rPr>
        <w:t xml:space="preserve">Describe a measurement and verification plan detailing how actual project benefits will be measured, quantified, and reported to the facility owners. The measurement and verification must continue for a post-installation period of 12 months for energy use (kW-hours, </w:t>
      </w:r>
      <w:proofErr w:type="spellStart"/>
      <w:r w:rsidRPr="00DF5EDD">
        <w:rPr>
          <w:rFonts w:eastAsia="Arial"/>
          <w:sz w:val="24"/>
          <w:szCs w:val="24"/>
        </w:rPr>
        <w:t>therms</w:t>
      </w:r>
      <w:proofErr w:type="spellEnd"/>
      <w:r w:rsidRPr="00DF5EDD">
        <w:rPr>
          <w:rFonts w:eastAsia="Arial"/>
          <w:sz w:val="24"/>
          <w:szCs w:val="24"/>
        </w:rPr>
        <w:t>), renewable energy generation (kW-hours), cost savings for energy, and other benefits, as applicable.</w:t>
      </w:r>
    </w:p>
    <w:p w14:paraId="608F21CF" w14:textId="089D7F18" w:rsidR="007C4879" w:rsidRDefault="007C4879" w:rsidP="007C4879">
      <w:pPr>
        <w:rPr>
          <w:rFonts w:eastAsia="Arial"/>
          <w:sz w:val="24"/>
          <w:szCs w:val="24"/>
        </w:rPr>
      </w:pPr>
    </w:p>
    <w:p w14:paraId="1E468149" w14:textId="77777777" w:rsidR="003F6147" w:rsidRPr="00756BAC" w:rsidRDefault="003F6147" w:rsidP="002C03D0">
      <w:pPr>
        <w:pStyle w:val="Heading2"/>
        <w:numPr>
          <w:ilvl w:val="0"/>
          <w:numId w:val="54"/>
        </w:numPr>
      </w:pPr>
      <w:bookmarkStart w:id="20" w:name="_Toc121421332"/>
      <w:r w:rsidRPr="00756BAC">
        <w:t>Funding</w:t>
      </w:r>
      <w:bookmarkEnd w:id="16"/>
      <w:bookmarkEnd w:id="20"/>
    </w:p>
    <w:p w14:paraId="43089FF1" w14:textId="77777777" w:rsidR="007C4879" w:rsidRPr="002C03D0" w:rsidRDefault="003F6147" w:rsidP="002C03D0">
      <w:pPr>
        <w:keepNext/>
        <w:numPr>
          <w:ilvl w:val="0"/>
          <w:numId w:val="51"/>
        </w:numPr>
        <w:rPr>
          <w:b/>
          <w:sz w:val="24"/>
          <w:szCs w:val="24"/>
        </w:rPr>
      </w:pPr>
      <w:bookmarkStart w:id="21" w:name="_Toc381079878"/>
      <w:bookmarkStart w:id="22" w:name="_Toc382571140"/>
      <w:bookmarkStart w:id="23" w:name="_Toc395180637"/>
      <w:bookmarkStart w:id="24" w:name="_Toc433981282"/>
      <w:r w:rsidRPr="002C03D0">
        <w:rPr>
          <w:b/>
          <w:sz w:val="24"/>
          <w:szCs w:val="24"/>
        </w:rPr>
        <w:t>Amount Available and Minimum/ Maximum Funding Amounts</w:t>
      </w:r>
      <w:bookmarkEnd w:id="21"/>
      <w:bookmarkEnd w:id="22"/>
      <w:bookmarkEnd w:id="23"/>
      <w:bookmarkEnd w:id="24"/>
    </w:p>
    <w:p w14:paraId="36375A47" w14:textId="35637191" w:rsidR="007C4879" w:rsidRPr="002C03D0" w:rsidRDefault="007C4879" w:rsidP="002C03D0">
      <w:pPr>
        <w:ind w:left="720"/>
        <w:rPr>
          <w:b/>
          <w:sz w:val="24"/>
          <w:szCs w:val="24"/>
        </w:rPr>
      </w:pPr>
      <w:r w:rsidRPr="002C03D0">
        <w:rPr>
          <w:rFonts w:eastAsia="Arial"/>
          <w:sz w:val="24"/>
          <w:szCs w:val="24"/>
        </w:rPr>
        <w:t xml:space="preserve">There is </w:t>
      </w:r>
      <w:r w:rsidRPr="002C03D0">
        <w:rPr>
          <w:rFonts w:eastAsia="Arial"/>
          <w:b/>
          <w:bCs/>
          <w:sz w:val="24"/>
          <w:szCs w:val="24"/>
        </w:rPr>
        <w:t>up to</w:t>
      </w:r>
      <w:r w:rsidRPr="002C03D0">
        <w:rPr>
          <w:rFonts w:eastAsia="Arial"/>
          <w:sz w:val="24"/>
          <w:szCs w:val="24"/>
        </w:rPr>
        <w:t xml:space="preserve"> </w:t>
      </w:r>
      <w:r w:rsidRPr="002C03D0">
        <w:rPr>
          <w:rFonts w:eastAsia="Arial"/>
          <w:b/>
          <w:bCs/>
          <w:sz w:val="24"/>
          <w:szCs w:val="24"/>
        </w:rPr>
        <w:t>$29,200,000</w:t>
      </w:r>
      <w:r w:rsidRPr="002C03D0">
        <w:rPr>
          <w:rFonts w:eastAsia="Arial"/>
          <w:sz w:val="24"/>
          <w:szCs w:val="24"/>
        </w:rPr>
        <w:t xml:space="preserve"> available for grants awarded under this solicitation.  The minimum funding amount for each project is</w:t>
      </w:r>
      <w:r w:rsidRPr="002C03D0">
        <w:rPr>
          <w:rFonts w:eastAsia="Arial"/>
          <w:b/>
          <w:bCs/>
          <w:sz w:val="24"/>
          <w:szCs w:val="24"/>
        </w:rPr>
        <w:t xml:space="preserve"> $4,000,000</w:t>
      </w:r>
      <w:r w:rsidRPr="002C03D0">
        <w:rPr>
          <w:rFonts w:eastAsia="Arial"/>
          <w:sz w:val="24"/>
          <w:szCs w:val="24"/>
        </w:rPr>
        <w:t xml:space="preserve">.  The maximum funding amount is </w:t>
      </w:r>
      <w:r w:rsidRPr="002C03D0">
        <w:rPr>
          <w:rFonts w:eastAsia="Arial"/>
          <w:b/>
          <w:bCs/>
          <w:sz w:val="24"/>
          <w:szCs w:val="24"/>
        </w:rPr>
        <w:t>$9,000,000</w:t>
      </w:r>
      <w:r w:rsidRPr="002C03D0">
        <w:rPr>
          <w:rFonts w:eastAsia="Arial"/>
          <w:sz w:val="24"/>
          <w:szCs w:val="24"/>
        </w:rPr>
        <w:t>.</w:t>
      </w:r>
    </w:p>
    <w:p w14:paraId="3BB75C23" w14:textId="77777777" w:rsidR="003F6147" w:rsidRPr="002C03D0" w:rsidRDefault="003F6147" w:rsidP="002C03D0">
      <w:pPr>
        <w:numPr>
          <w:ilvl w:val="0"/>
          <w:numId w:val="51"/>
        </w:numPr>
        <w:rPr>
          <w:b/>
          <w:sz w:val="24"/>
          <w:szCs w:val="24"/>
        </w:rPr>
      </w:pPr>
      <w:r w:rsidRPr="002C03D0">
        <w:rPr>
          <w:b/>
          <w:sz w:val="24"/>
          <w:szCs w:val="24"/>
        </w:rPr>
        <w:t>Match Funding Requirement</w:t>
      </w:r>
    </w:p>
    <w:p w14:paraId="06674A6B" w14:textId="3E66C301" w:rsidR="003F6147" w:rsidRPr="002C03D0" w:rsidRDefault="003F6147" w:rsidP="002C03D0">
      <w:pPr>
        <w:tabs>
          <w:tab w:val="left" w:pos="1170"/>
        </w:tabs>
        <w:rPr>
          <w:sz w:val="24"/>
          <w:szCs w:val="24"/>
        </w:rPr>
      </w:pPr>
      <w:r w:rsidRPr="002C03D0">
        <w:rPr>
          <w:sz w:val="24"/>
          <w:szCs w:val="24"/>
        </w:rPr>
        <w:t>Match funding is required in the amount of at least</w:t>
      </w:r>
      <w:r w:rsidRPr="002C03D0">
        <w:rPr>
          <w:color w:val="0070C0"/>
          <w:sz w:val="24"/>
          <w:szCs w:val="24"/>
        </w:rPr>
        <w:t xml:space="preserve"> </w:t>
      </w:r>
      <w:r w:rsidR="007C4879" w:rsidRPr="002C03D0">
        <w:rPr>
          <w:bCs/>
          <w:color w:val="000000" w:themeColor="text1"/>
          <w:sz w:val="24"/>
          <w:szCs w:val="24"/>
        </w:rPr>
        <w:t>20%</w:t>
      </w:r>
      <w:r w:rsidR="007C4879" w:rsidRPr="002C03D0">
        <w:rPr>
          <w:b/>
          <w:color w:val="000000" w:themeColor="text1"/>
          <w:sz w:val="24"/>
          <w:szCs w:val="24"/>
        </w:rPr>
        <w:t xml:space="preserve"> </w:t>
      </w:r>
      <w:r w:rsidR="005B073B" w:rsidRPr="002C03D0">
        <w:rPr>
          <w:sz w:val="24"/>
          <w:szCs w:val="24"/>
        </w:rPr>
        <w:t xml:space="preserve">of the requested </w:t>
      </w:r>
      <w:r w:rsidRPr="002C03D0">
        <w:rPr>
          <w:sz w:val="24"/>
          <w:szCs w:val="24"/>
        </w:rPr>
        <w:t>project funds.</w:t>
      </w:r>
    </w:p>
    <w:p w14:paraId="34DE2ABF" w14:textId="77777777" w:rsidR="003F6147" w:rsidRPr="002C03D0" w:rsidRDefault="003F6147" w:rsidP="002C03D0">
      <w:pPr>
        <w:tabs>
          <w:tab w:val="left" w:pos="1080"/>
        </w:tabs>
        <w:suppressAutoHyphens/>
        <w:rPr>
          <w:sz w:val="24"/>
          <w:szCs w:val="24"/>
        </w:rPr>
      </w:pPr>
      <w:r w:rsidRPr="002C03D0">
        <w:rPr>
          <w:sz w:val="24"/>
          <w:szCs w:val="24"/>
        </w:rPr>
        <w:t xml:space="preserve">For the definition of match funding see Section </w:t>
      </w:r>
      <w:r w:rsidR="00633997" w:rsidRPr="002C03D0">
        <w:rPr>
          <w:sz w:val="24"/>
          <w:szCs w:val="24"/>
        </w:rPr>
        <w:t>I K</w:t>
      </w:r>
      <w:r w:rsidRPr="002C03D0">
        <w:rPr>
          <w:sz w:val="24"/>
          <w:szCs w:val="24"/>
        </w:rPr>
        <w:t>.</w:t>
      </w:r>
    </w:p>
    <w:p w14:paraId="4A1AB468" w14:textId="77777777" w:rsidR="003F6147" w:rsidRPr="002C03D0" w:rsidRDefault="003F6147" w:rsidP="002C03D0">
      <w:pPr>
        <w:numPr>
          <w:ilvl w:val="0"/>
          <w:numId w:val="51"/>
        </w:numPr>
        <w:tabs>
          <w:tab w:val="num" w:pos="360"/>
        </w:tabs>
        <w:rPr>
          <w:sz w:val="24"/>
          <w:szCs w:val="24"/>
        </w:rPr>
      </w:pPr>
      <w:r w:rsidRPr="002C03D0">
        <w:rPr>
          <w:b/>
          <w:sz w:val="24"/>
          <w:szCs w:val="24"/>
        </w:rPr>
        <w:t>Change in Funding Amount</w:t>
      </w:r>
    </w:p>
    <w:p w14:paraId="7D87DD82" w14:textId="77777777" w:rsidR="003F6147" w:rsidRPr="002C03D0" w:rsidRDefault="003F6147" w:rsidP="002C03D0">
      <w:pPr>
        <w:tabs>
          <w:tab w:val="left" w:pos="1170"/>
        </w:tabs>
        <w:rPr>
          <w:sz w:val="24"/>
          <w:szCs w:val="24"/>
        </w:rPr>
      </w:pPr>
      <w:r w:rsidRPr="002C03D0">
        <w:rPr>
          <w:sz w:val="24"/>
          <w:szCs w:val="24"/>
        </w:rPr>
        <w:t>Along with any other rights and remedies available to it, the California Energy Commission (CEC) reserves the right to:</w:t>
      </w:r>
    </w:p>
    <w:p w14:paraId="6049BB5C" w14:textId="77777777" w:rsidR="003F6147" w:rsidRPr="002C03D0" w:rsidRDefault="003F6147" w:rsidP="002C03D0">
      <w:pPr>
        <w:numPr>
          <w:ilvl w:val="0"/>
          <w:numId w:val="53"/>
        </w:numPr>
        <w:spacing w:after="0"/>
        <w:ind w:left="720"/>
        <w:rPr>
          <w:sz w:val="24"/>
          <w:szCs w:val="24"/>
        </w:rPr>
      </w:pPr>
      <w:r w:rsidRPr="002C03D0">
        <w:rPr>
          <w:sz w:val="24"/>
          <w:szCs w:val="24"/>
        </w:rPr>
        <w:t>Increase or decrease the available funding and the minimum/maximum award amounts described in this section.</w:t>
      </w:r>
    </w:p>
    <w:p w14:paraId="07A5B16F" w14:textId="77777777" w:rsidR="003F6147" w:rsidRPr="002C03D0" w:rsidRDefault="003F6147" w:rsidP="002C03D0">
      <w:pPr>
        <w:numPr>
          <w:ilvl w:val="0"/>
          <w:numId w:val="53"/>
        </w:numPr>
        <w:spacing w:after="0"/>
        <w:ind w:left="720"/>
        <w:rPr>
          <w:sz w:val="24"/>
          <w:szCs w:val="24"/>
        </w:rPr>
      </w:pPr>
      <w:r w:rsidRPr="002C03D0">
        <w:rPr>
          <w:sz w:val="24"/>
          <w:szCs w:val="24"/>
        </w:rPr>
        <w:t>Allocate any additional or unawarded funds to passing applications, in rank order.</w:t>
      </w:r>
    </w:p>
    <w:p w14:paraId="7A94B035" w14:textId="07634C14" w:rsidR="005B073B" w:rsidRPr="002C03D0" w:rsidRDefault="005B073B" w:rsidP="002C03D0">
      <w:pPr>
        <w:numPr>
          <w:ilvl w:val="0"/>
          <w:numId w:val="53"/>
        </w:numPr>
        <w:spacing w:after="0"/>
        <w:ind w:left="720"/>
        <w:rPr>
          <w:sz w:val="24"/>
          <w:szCs w:val="24"/>
        </w:rPr>
      </w:pPr>
      <w:r w:rsidRPr="002C03D0">
        <w:rPr>
          <w:sz w:val="24"/>
          <w:szCs w:val="24"/>
        </w:rPr>
        <w:t xml:space="preserve">Reallocate funding between any of the </w:t>
      </w:r>
      <w:proofErr w:type="gramStart"/>
      <w:r w:rsidRPr="002C03D0">
        <w:rPr>
          <w:sz w:val="24"/>
          <w:szCs w:val="24"/>
        </w:rPr>
        <w:t>groups</w:t>
      </w:r>
      <w:proofErr w:type="gramEnd"/>
    </w:p>
    <w:p w14:paraId="3538ECFF" w14:textId="77777777" w:rsidR="003F6147" w:rsidRPr="002C03D0" w:rsidRDefault="003F6147" w:rsidP="002C03D0">
      <w:pPr>
        <w:numPr>
          <w:ilvl w:val="0"/>
          <w:numId w:val="53"/>
        </w:numPr>
        <w:spacing w:after="0"/>
        <w:ind w:left="720"/>
        <w:rPr>
          <w:sz w:val="24"/>
          <w:szCs w:val="24"/>
        </w:rPr>
      </w:pPr>
      <w:r w:rsidRPr="002C03D0">
        <w:rPr>
          <w:sz w:val="24"/>
          <w:szCs w:val="24"/>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2C03D0">
      <w:pPr>
        <w:spacing w:after="0"/>
        <w:ind w:left="720"/>
      </w:pPr>
    </w:p>
    <w:p w14:paraId="739A85C4" w14:textId="77777777" w:rsidR="003F6147" w:rsidRPr="00756BAC" w:rsidRDefault="003F6147" w:rsidP="002C03D0">
      <w:pPr>
        <w:pStyle w:val="Heading2"/>
        <w:numPr>
          <w:ilvl w:val="0"/>
          <w:numId w:val="54"/>
        </w:numPr>
      </w:pPr>
      <w:bookmarkStart w:id="25" w:name="_Toc458602325"/>
      <w:bookmarkStart w:id="26" w:name="_Toc121421333"/>
      <w:r w:rsidRPr="00756BAC">
        <w:t>Key Activities Schedule</w:t>
      </w:r>
      <w:bookmarkEnd w:id="25"/>
      <w:bookmarkEnd w:id="26"/>
    </w:p>
    <w:p w14:paraId="0A0AB401" w14:textId="77777777" w:rsidR="003F6147" w:rsidRDefault="003F6147" w:rsidP="002C03D0">
      <w:pPr>
        <w:spacing w:after="0"/>
        <w:rPr>
          <w:b/>
          <w:sz w:val="24"/>
          <w:szCs w:val="22"/>
        </w:rPr>
      </w:pPr>
      <w:r w:rsidRPr="5A11FF63">
        <w:rPr>
          <w:sz w:val="24"/>
          <w:szCs w:val="24"/>
        </w:rPr>
        <w:t xml:space="preserve">Key activities, dates, and times for this solicitation and for agreements resulting from this solicitation are presented below.  An addendum will be released if the dates change for activities that appear in </w:t>
      </w:r>
      <w:r w:rsidRPr="5A11FF63">
        <w:rPr>
          <w:b/>
          <w:bCs/>
          <w:sz w:val="24"/>
          <w:szCs w:val="24"/>
        </w:rPr>
        <w:t>bold.</w:t>
      </w:r>
    </w:p>
    <w:p w14:paraId="581D729D" w14:textId="0DDD6682" w:rsidR="5A11FF63" w:rsidRDefault="5A11FF63" w:rsidP="5A11FF63">
      <w:pPr>
        <w:spacing w:after="0"/>
        <w:rPr>
          <w:b/>
          <w:bCs/>
          <w:sz w:val="24"/>
          <w:szCs w:val="24"/>
        </w:rPr>
      </w:pPr>
    </w:p>
    <w:p w14:paraId="57C6586B" w14:textId="4C40E1ED" w:rsidR="53AB0897" w:rsidRDefault="53AB0897" w:rsidP="5A11FF63">
      <w:pPr>
        <w:rPr>
          <w:rFonts w:eastAsia="Arial"/>
          <w:color w:val="000000" w:themeColor="text1"/>
          <w:sz w:val="24"/>
          <w:szCs w:val="24"/>
        </w:rPr>
      </w:pPr>
      <w:r w:rsidRPr="5A11FF63">
        <w:rPr>
          <w:rFonts w:eastAsia="Arial"/>
          <w:b/>
          <w:bCs/>
          <w:color w:val="000000" w:themeColor="text1"/>
          <w:sz w:val="24"/>
          <w:szCs w:val="24"/>
        </w:rPr>
        <w:t>Note:</w:t>
      </w:r>
      <w:r w:rsidRPr="5A11FF63">
        <w:rPr>
          <w:rFonts w:eastAsia="Arial"/>
          <w:color w:val="000000" w:themeColor="text1"/>
          <w:sz w:val="24"/>
          <w:szCs w:val="24"/>
        </w:rPr>
        <w:t xml:space="preserve"> Added language appears in </w:t>
      </w:r>
      <w:r w:rsidRPr="5A11FF63">
        <w:rPr>
          <w:rFonts w:eastAsia="Arial"/>
          <w:b/>
          <w:bCs/>
          <w:color w:val="000000" w:themeColor="text1"/>
          <w:sz w:val="24"/>
          <w:szCs w:val="24"/>
          <w:u w:val="single"/>
        </w:rPr>
        <w:t>bold underline</w:t>
      </w:r>
      <w:r w:rsidRPr="5A11FF63">
        <w:rPr>
          <w:rFonts w:eastAsia="Arial"/>
          <w:color w:val="000000" w:themeColor="text1"/>
          <w:sz w:val="24"/>
          <w:szCs w:val="24"/>
        </w:rPr>
        <w:t>, and deleted language appears in [</w:t>
      </w:r>
      <w:r w:rsidRPr="5A11FF63">
        <w:rPr>
          <w:rFonts w:eastAsia="Arial"/>
          <w:strike/>
          <w:color w:val="000000" w:themeColor="text1"/>
          <w:sz w:val="24"/>
          <w:szCs w:val="24"/>
        </w:rPr>
        <w:t>strikethrough</w:t>
      </w:r>
      <w:r w:rsidRPr="5A11FF63">
        <w:rPr>
          <w:rFonts w:eastAsia="Arial"/>
          <w:color w:val="000000" w:themeColor="text1"/>
          <w:sz w:val="24"/>
          <w:szCs w:val="24"/>
        </w:rPr>
        <w:t>] and within square brackets.</w:t>
      </w:r>
    </w:p>
    <w:p w14:paraId="57A85152" w14:textId="2812A02A" w:rsidR="003F6147" w:rsidRPr="003F6147" w:rsidRDefault="003F6147" w:rsidP="671B1A40">
      <w:pPr>
        <w:spacing w:after="0"/>
        <w:rPr>
          <w:b/>
          <w:sz w:val="24"/>
          <w:szCs w:val="24"/>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575"/>
        <w:gridCol w:w="2700"/>
        <w:gridCol w:w="1535"/>
      </w:tblGrid>
      <w:tr w:rsidR="00A511B4" w:rsidRPr="00A511B4" w14:paraId="6B4DE808" w14:textId="77777777" w:rsidTr="41589FC7">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575" w:type="dxa"/>
          </w:tcPr>
          <w:p w14:paraId="6F449126" w14:textId="77777777" w:rsidR="00A511B4" w:rsidRPr="002F70F8" w:rsidRDefault="00A511B4" w:rsidP="00FE1A8A">
            <w:pPr>
              <w:keepLines/>
              <w:jc w:val="both"/>
              <w:rPr>
                <w:b w:val="0"/>
                <w:sz w:val="24"/>
                <w:szCs w:val="24"/>
              </w:rPr>
            </w:pPr>
            <w:r w:rsidRPr="002F70F8">
              <w:rPr>
                <w:sz w:val="24"/>
                <w:szCs w:val="24"/>
              </w:rPr>
              <w:t>ACTIVITY</w:t>
            </w:r>
          </w:p>
        </w:tc>
        <w:tc>
          <w:tcPr>
            <w:tcW w:w="2700" w:type="dxa"/>
          </w:tcPr>
          <w:p w14:paraId="34816142" w14:textId="77777777" w:rsidR="00A511B4" w:rsidRPr="002F70F8" w:rsidRDefault="00A511B4" w:rsidP="00FE1A8A">
            <w:pPr>
              <w:keepLines/>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2F70F8">
              <w:rPr>
                <w:sz w:val="24"/>
                <w:szCs w:val="24"/>
              </w:rPr>
              <w:t>DATE</w:t>
            </w:r>
          </w:p>
        </w:tc>
        <w:tc>
          <w:tcPr>
            <w:cnfStyle w:val="000010000000" w:firstRow="0" w:lastRow="0" w:firstColumn="0" w:lastColumn="0" w:oddVBand="1" w:evenVBand="0" w:oddHBand="0" w:evenHBand="0" w:firstRowFirstColumn="0" w:firstRowLastColumn="0" w:lastRowFirstColumn="0" w:lastRowLastColumn="0"/>
            <w:tcW w:w="1535" w:type="dxa"/>
          </w:tcPr>
          <w:p w14:paraId="627CDD97" w14:textId="77777777" w:rsidR="00A511B4" w:rsidRPr="002F70F8" w:rsidDel="00D53B51" w:rsidRDefault="00A511B4" w:rsidP="00FE1A8A">
            <w:pPr>
              <w:keepLines/>
              <w:spacing w:after="0"/>
              <w:jc w:val="both"/>
              <w:rPr>
                <w:b w:val="0"/>
                <w:sz w:val="24"/>
                <w:szCs w:val="24"/>
              </w:rPr>
            </w:pPr>
            <w:r w:rsidRPr="002F70F8">
              <w:rPr>
                <w:sz w:val="24"/>
                <w:szCs w:val="24"/>
              </w:rPr>
              <w:t>TIME</w:t>
            </w:r>
            <w:r w:rsidRPr="002F70F8">
              <w:rPr>
                <w:rFonts w:cs="Times New Roman"/>
                <w:sz w:val="24"/>
                <w:szCs w:val="24"/>
                <w:vertAlign w:val="superscript"/>
              </w:rPr>
              <w:footnoteReference w:id="11"/>
            </w:r>
            <w:r w:rsidRPr="002F70F8">
              <w:rPr>
                <w:sz w:val="24"/>
                <w:szCs w:val="24"/>
              </w:rPr>
              <w:t xml:space="preserve"> </w:t>
            </w:r>
          </w:p>
        </w:tc>
      </w:tr>
      <w:tr w:rsidR="00A511B4" w:rsidRPr="00A511B4" w14:paraId="00CC20E0" w14:textId="77777777" w:rsidTr="41589FC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575" w:type="dxa"/>
          </w:tcPr>
          <w:p w14:paraId="26CB769D" w14:textId="77777777" w:rsidR="00A511B4" w:rsidRPr="002F70F8" w:rsidRDefault="00A511B4" w:rsidP="00FE1A8A">
            <w:pPr>
              <w:keepLines/>
              <w:jc w:val="both"/>
              <w:rPr>
                <w:sz w:val="24"/>
                <w:szCs w:val="24"/>
              </w:rPr>
            </w:pPr>
            <w:r w:rsidRPr="002F70F8">
              <w:rPr>
                <w:sz w:val="24"/>
                <w:szCs w:val="24"/>
              </w:rPr>
              <w:t>Solicitation Release</w:t>
            </w:r>
          </w:p>
        </w:tc>
        <w:tc>
          <w:tcPr>
            <w:tcW w:w="2700" w:type="dxa"/>
          </w:tcPr>
          <w:p w14:paraId="66923AAD" w14:textId="0A44F936" w:rsidR="00A511B4" w:rsidRPr="002F70F8" w:rsidRDefault="001C3257" w:rsidP="00FE1A8A">
            <w:pPr>
              <w:keepLines/>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2F70F8">
              <w:rPr>
                <w:color w:val="000000" w:themeColor="text1"/>
                <w:sz w:val="24"/>
                <w:szCs w:val="24"/>
              </w:rPr>
              <w:t>6/</w:t>
            </w:r>
            <w:r w:rsidR="007546FE" w:rsidRPr="002F70F8">
              <w:rPr>
                <w:color w:val="000000" w:themeColor="text1"/>
                <w:sz w:val="24"/>
                <w:szCs w:val="24"/>
              </w:rPr>
              <w:t>13</w:t>
            </w:r>
            <w:r w:rsidRPr="002F70F8">
              <w:rPr>
                <w:color w:val="000000" w:themeColor="text1"/>
                <w:sz w:val="24"/>
                <w:szCs w:val="24"/>
              </w:rPr>
              <w:t>/2023</w:t>
            </w:r>
          </w:p>
        </w:tc>
        <w:tc>
          <w:tcPr>
            <w:cnfStyle w:val="000010000000" w:firstRow="0" w:lastRow="0" w:firstColumn="0" w:lastColumn="0" w:oddVBand="1" w:evenVBand="0" w:oddHBand="0" w:evenHBand="0" w:firstRowFirstColumn="0" w:firstRowLastColumn="0" w:lastRowFirstColumn="0" w:lastRowLastColumn="0"/>
            <w:tcW w:w="1535" w:type="dxa"/>
          </w:tcPr>
          <w:p w14:paraId="12E1F04B" w14:textId="77777777" w:rsidR="00A511B4" w:rsidRPr="002F70F8" w:rsidRDefault="00A511B4" w:rsidP="00FE1A8A">
            <w:pPr>
              <w:keepLines/>
              <w:jc w:val="both"/>
              <w:rPr>
                <w:color w:val="0070C0"/>
                <w:sz w:val="24"/>
                <w:szCs w:val="24"/>
              </w:rPr>
            </w:pPr>
          </w:p>
        </w:tc>
      </w:tr>
      <w:tr w:rsidR="00A511B4" w:rsidRPr="00A511B4" w14:paraId="42C05F9F" w14:textId="77777777" w:rsidTr="41589FC7">
        <w:trPr>
          <w:trHeight w:hRule="exact" w:val="288"/>
        </w:trPr>
        <w:tc>
          <w:tcPr>
            <w:cnfStyle w:val="000010000000" w:firstRow="0" w:lastRow="0" w:firstColumn="0" w:lastColumn="0" w:oddVBand="1" w:evenVBand="0" w:oddHBand="0" w:evenHBand="0" w:firstRowFirstColumn="0" w:firstRowLastColumn="0" w:lastRowFirstColumn="0" w:lastRowLastColumn="0"/>
            <w:tcW w:w="5575" w:type="dxa"/>
          </w:tcPr>
          <w:p w14:paraId="3215EA9F" w14:textId="77777777" w:rsidR="00A511B4" w:rsidRPr="002F70F8" w:rsidRDefault="00A511B4" w:rsidP="00FE1A8A">
            <w:pPr>
              <w:keepLines/>
              <w:jc w:val="both"/>
              <w:rPr>
                <w:b/>
                <w:sz w:val="24"/>
                <w:szCs w:val="24"/>
              </w:rPr>
            </w:pPr>
            <w:r w:rsidRPr="002F70F8">
              <w:rPr>
                <w:b/>
                <w:sz w:val="24"/>
                <w:szCs w:val="24"/>
              </w:rPr>
              <w:t>Pre-Application Workshop</w:t>
            </w:r>
          </w:p>
        </w:tc>
        <w:tc>
          <w:tcPr>
            <w:tcW w:w="2700" w:type="dxa"/>
          </w:tcPr>
          <w:p w14:paraId="0DD6A6EA" w14:textId="1EC8D649" w:rsidR="00A511B4" w:rsidRPr="002F70F8" w:rsidRDefault="001C3257" w:rsidP="00FE1A8A">
            <w:pPr>
              <w:keepLines/>
              <w:jc w:val="both"/>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r w:rsidRPr="002F70F8">
              <w:rPr>
                <w:b/>
                <w:color w:val="000000" w:themeColor="text1"/>
                <w:sz w:val="24"/>
                <w:szCs w:val="24"/>
              </w:rPr>
              <w:t>6/2</w:t>
            </w:r>
            <w:r w:rsidR="002B5FE9" w:rsidRPr="002F70F8">
              <w:rPr>
                <w:b/>
                <w:color w:val="000000" w:themeColor="text1"/>
                <w:sz w:val="24"/>
                <w:szCs w:val="24"/>
              </w:rPr>
              <w:t>8</w:t>
            </w:r>
            <w:r w:rsidRPr="002F70F8">
              <w:rPr>
                <w:b/>
                <w:color w:val="000000" w:themeColor="text1"/>
                <w:sz w:val="24"/>
                <w:szCs w:val="24"/>
              </w:rPr>
              <w:t>/2023</w:t>
            </w:r>
          </w:p>
        </w:tc>
        <w:tc>
          <w:tcPr>
            <w:cnfStyle w:val="000010000000" w:firstRow="0" w:lastRow="0" w:firstColumn="0" w:lastColumn="0" w:oddVBand="1" w:evenVBand="0" w:oddHBand="0" w:evenHBand="0" w:firstRowFirstColumn="0" w:firstRowLastColumn="0" w:lastRowFirstColumn="0" w:lastRowLastColumn="0"/>
            <w:tcW w:w="1535" w:type="dxa"/>
          </w:tcPr>
          <w:p w14:paraId="7ECE131E" w14:textId="256CBA9A" w:rsidR="00A511B4" w:rsidRPr="002F70F8" w:rsidRDefault="005B6DA3" w:rsidP="00FE1A8A">
            <w:pPr>
              <w:keepLines/>
              <w:jc w:val="both"/>
              <w:rPr>
                <w:b/>
                <w:color w:val="000000" w:themeColor="text1"/>
                <w:sz w:val="24"/>
                <w:szCs w:val="24"/>
              </w:rPr>
            </w:pPr>
            <w:r w:rsidRPr="002F70F8">
              <w:rPr>
                <w:b/>
                <w:color w:val="000000" w:themeColor="text1"/>
                <w:sz w:val="24"/>
                <w:szCs w:val="24"/>
              </w:rPr>
              <w:t>9</w:t>
            </w:r>
            <w:r w:rsidR="001C3257" w:rsidRPr="002F70F8">
              <w:rPr>
                <w:b/>
                <w:color w:val="000000" w:themeColor="text1"/>
                <w:sz w:val="24"/>
                <w:szCs w:val="24"/>
              </w:rPr>
              <w:t>:00 a.m.</w:t>
            </w:r>
          </w:p>
        </w:tc>
      </w:tr>
      <w:tr w:rsidR="00A511B4" w:rsidRPr="00A511B4" w14:paraId="5055D2CF" w14:textId="77777777" w:rsidTr="41589FC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575" w:type="dxa"/>
          </w:tcPr>
          <w:p w14:paraId="6921206A" w14:textId="77777777" w:rsidR="00A511B4" w:rsidRPr="002F70F8" w:rsidRDefault="00A511B4" w:rsidP="00FE1A8A">
            <w:pPr>
              <w:keepLines/>
              <w:jc w:val="both"/>
              <w:rPr>
                <w:b/>
                <w:sz w:val="24"/>
                <w:szCs w:val="24"/>
              </w:rPr>
            </w:pPr>
            <w:r w:rsidRPr="002F70F8">
              <w:rPr>
                <w:b/>
                <w:sz w:val="24"/>
                <w:szCs w:val="24"/>
              </w:rPr>
              <w:t>Deadline for Written Questions</w:t>
            </w:r>
            <w:r w:rsidRPr="002F70F8">
              <w:rPr>
                <w:rFonts w:cs="Times New Roman"/>
                <w:b/>
                <w:sz w:val="24"/>
                <w:szCs w:val="24"/>
                <w:vertAlign w:val="superscript"/>
              </w:rPr>
              <w:footnoteReference w:id="12"/>
            </w:r>
          </w:p>
        </w:tc>
        <w:tc>
          <w:tcPr>
            <w:tcW w:w="2700" w:type="dxa"/>
          </w:tcPr>
          <w:p w14:paraId="36E5718D" w14:textId="644E8C38" w:rsidR="00A511B4" w:rsidRPr="002F70F8" w:rsidRDefault="002B5FE9" w:rsidP="00FE1A8A">
            <w:pPr>
              <w:keepLines/>
              <w:jc w:val="both"/>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r w:rsidRPr="002F70F8">
              <w:rPr>
                <w:b/>
                <w:color w:val="000000" w:themeColor="text1"/>
                <w:sz w:val="24"/>
                <w:szCs w:val="24"/>
              </w:rPr>
              <w:t>7</w:t>
            </w:r>
            <w:r w:rsidR="001C3257" w:rsidRPr="002F70F8">
              <w:rPr>
                <w:b/>
                <w:color w:val="000000" w:themeColor="text1"/>
                <w:sz w:val="24"/>
                <w:szCs w:val="24"/>
              </w:rPr>
              <w:t>/</w:t>
            </w:r>
            <w:r w:rsidRPr="002F70F8">
              <w:rPr>
                <w:b/>
                <w:color w:val="000000" w:themeColor="text1"/>
                <w:sz w:val="24"/>
                <w:szCs w:val="24"/>
              </w:rPr>
              <w:t>6</w:t>
            </w:r>
            <w:r w:rsidR="001C3257" w:rsidRPr="002F70F8">
              <w:rPr>
                <w:b/>
                <w:color w:val="000000" w:themeColor="text1"/>
                <w:sz w:val="24"/>
                <w:szCs w:val="24"/>
              </w:rPr>
              <w:t>/2023</w:t>
            </w:r>
          </w:p>
        </w:tc>
        <w:tc>
          <w:tcPr>
            <w:cnfStyle w:val="000010000000" w:firstRow="0" w:lastRow="0" w:firstColumn="0" w:lastColumn="0" w:oddVBand="1" w:evenVBand="0" w:oddHBand="0" w:evenHBand="0" w:firstRowFirstColumn="0" w:firstRowLastColumn="0" w:lastRowFirstColumn="0" w:lastRowLastColumn="0"/>
            <w:tcW w:w="1535" w:type="dxa"/>
          </w:tcPr>
          <w:p w14:paraId="1B420F68" w14:textId="77777777" w:rsidR="00A511B4" w:rsidRPr="002F70F8" w:rsidRDefault="00A511B4" w:rsidP="00FE1A8A">
            <w:pPr>
              <w:keepLines/>
              <w:jc w:val="both"/>
              <w:rPr>
                <w:b/>
                <w:color w:val="0070C0"/>
                <w:sz w:val="24"/>
                <w:szCs w:val="24"/>
              </w:rPr>
            </w:pPr>
            <w:r w:rsidRPr="002F70F8">
              <w:rPr>
                <w:b/>
                <w:sz w:val="24"/>
                <w:szCs w:val="24"/>
              </w:rPr>
              <w:t>5:00 p.m.</w:t>
            </w:r>
          </w:p>
        </w:tc>
      </w:tr>
      <w:tr w:rsidR="00A511B4" w:rsidRPr="00A511B4" w14:paraId="596EC8A6" w14:textId="77777777" w:rsidTr="00890F88">
        <w:trPr>
          <w:trHeight w:hRule="exact" w:val="604"/>
        </w:trPr>
        <w:tc>
          <w:tcPr>
            <w:cnfStyle w:val="000010000000" w:firstRow="0" w:lastRow="0" w:firstColumn="0" w:lastColumn="0" w:oddVBand="1" w:evenVBand="0" w:oddHBand="0" w:evenHBand="0" w:firstRowFirstColumn="0" w:firstRowLastColumn="0" w:lastRowFirstColumn="0" w:lastRowLastColumn="0"/>
            <w:tcW w:w="5575" w:type="dxa"/>
          </w:tcPr>
          <w:p w14:paraId="07853ABA" w14:textId="5E6A1E8A" w:rsidR="00A511B4" w:rsidRPr="002F70F8" w:rsidRDefault="00A511B4" w:rsidP="00FE1A8A">
            <w:pPr>
              <w:spacing w:after="0"/>
              <w:jc w:val="both"/>
              <w:rPr>
                <w:sz w:val="24"/>
                <w:szCs w:val="24"/>
              </w:rPr>
            </w:pPr>
            <w:r w:rsidRPr="002F70F8">
              <w:rPr>
                <w:sz w:val="24"/>
                <w:szCs w:val="24"/>
              </w:rPr>
              <w:t>Anticipated Distribution of Questions and Answers</w:t>
            </w:r>
          </w:p>
        </w:tc>
        <w:tc>
          <w:tcPr>
            <w:tcW w:w="2700" w:type="dxa"/>
          </w:tcPr>
          <w:p w14:paraId="1D2A97C9" w14:textId="7BFAA5AB" w:rsidR="00A511B4" w:rsidRPr="00890F88" w:rsidRDefault="001A74AA" w:rsidP="00FE1A8A">
            <w:pPr>
              <w:spacing w:after="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41589FC7">
              <w:rPr>
                <w:color w:val="000000" w:themeColor="text1"/>
                <w:sz w:val="24"/>
                <w:szCs w:val="24"/>
              </w:rPr>
              <w:t>W</w:t>
            </w:r>
            <w:r w:rsidR="00A511B4" w:rsidRPr="41589FC7">
              <w:rPr>
                <w:color w:val="000000" w:themeColor="text1"/>
                <w:sz w:val="24"/>
                <w:szCs w:val="24"/>
              </w:rPr>
              <w:t>eek of</w:t>
            </w:r>
            <w:r w:rsidR="0015407C">
              <w:rPr>
                <w:color w:val="000000" w:themeColor="text1"/>
                <w:sz w:val="24"/>
                <w:szCs w:val="24"/>
              </w:rPr>
              <w:t xml:space="preserve"> </w:t>
            </w:r>
            <w:r w:rsidR="006D6410" w:rsidRPr="0015407C">
              <w:rPr>
                <w:color w:val="000000" w:themeColor="text1"/>
                <w:sz w:val="24"/>
                <w:szCs w:val="24"/>
              </w:rPr>
              <w:t>07/30/2023</w:t>
            </w:r>
          </w:p>
        </w:tc>
        <w:tc>
          <w:tcPr>
            <w:cnfStyle w:val="000010000000" w:firstRow="0" w:lastRow="0" w:firstColumn="0" w:lastColumn="0" w:oddVBand="1" w:evenVBand="0" w:oddHBand="0" w:evenHBand="0" w:firstRowFirstColumn="0" w:firstRowLastColumn="0" w:lastRowFirstColumn="0" w:lastRowLastColumn="0"/>
            <w:tcW w:w="1535" w:type="dxa"/>
          </w:tcPr>
          <w:p w14:paraId="060DC5ED" w14:textId="77777777" w:rsidR="00A511B4" w:rsidRPr="002F70F8" w:rsidRDefault="00A511B4" w:rsidP="00FE1A8A">
            <w:pPr>
              <w:keepLines/>
              <w:spacing w:after="0"/>
              <w:jc w:val="both"/>
              <w:rPr>
                <w:color w:val="0070C0"/>
                <w:sz w:val="24"/>
                <w:szCs w:val="24"/>
              </w:rPr>
            </w:pPr>
          </w:p>
        </w:tc>
      </w:tr>
      <w:tr w:rsidR="00A511B4" w:rsidRPr="002C03D0" w14:paraId="60FA0B14" w14:textId="77777777" w:rsidTr="41589FC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575" w:type="dxa"/>
          </w:tcPr>
          <w:p w14:paraId="0A1460F3" w14:textId="77777777" w:rsidR="00A511B4" w:rsidRPr="002F70F8" w:rsidRDefault="00A511B4" w:rsidP="00FE1A8A">
            <w:pPr>
              <w:keepLines/>
              <w:jc w:val="both"/>
              <w:rPr>
                <w:b/>
                <w:sz w:val="24"/>
                <w:szCs w:val="24"/>
              </w:rPr>
            </w:pPr>
            <w:r w:rsidRPr="002F70F8">
              <w:rPr>
                <w:b/>
                <w:sz w:val="24"/>
                <w:szCs w:val="24"/>
              </w:rPr>
              <w:t>Deadline to Submit Applications</w:t>
            </w:r>
          </w:p>
        </w:tc>
        <w:tc>
          <w:tcPr>
            <w:tcW w:w="2700" w:type="dxa"/>
          </w:tcPr>
          <w:p w14:paraId="4AD7F92F" w14:textId="345E6819" w:rsidR="00A511B4" w:rsidRPr="0015407C" w:rsidRDefault="008F0B76" w:rsidP="00FE1A8A">
            <w:pPr>
              <w:keepLines/>
              <w:jc w:val="both"/>
              <w:cnfStyle w:val="000000100000" w:firstRow="0" w:lastRow="0" w:firstColumn="0" w:lastColumn="0" w:oddVBand="0" w:evenVBand="0" w:oddHBand="1" w:evenHBand="0" w:firstRowFirstColumn="0" w:firstRowLastColumn="0" w:lastRowFirstColumn="0" w:lastRowLastColumn="0"/>
              <w:rPr>
                <w:b/>
                <w:bCs/>
                <w:color w:val="000000" w:themeColor="text1"/>
                <w:sz w:val="24"/>
                <w:szCs w:val="24"/>
              </w:rPr>
            </w:pPr>
            <w:r w:rsidRPr="0074102A">
              <w:rPr>
                <w:color w:val="000000" w:themeColor="text1"/>
                <w:sz w:val="24"/>
                <w:szCs w:val="24"/>
              </w:rPr>
              <w:t>[</w:t>
            </w:r>
            <w:r w:rsidR="00E53E44" w:rsidRPr="0074102A">
              <w:rPr>
                <w:strike/>
                <w:color w:val="000000" w:themeColor="text1"/>
                <w:sz w:val="24"/>
                <w:szCs w:val="24"/>
              </w:rPr>
              <w:t>9/21/2023</w:t>
            </w:r>
            <w:r w:rsidRPr="0074102A">
              <w:rPr>
                <w:color w:val="000000" w:themeColor="text1"/>
                <w:sz w:val="24"/>
                <w:szCs w:val="24"/>
              </w:rPr>
              <w:t>]</w:t>
            </w:r>
            <w:r w:rsidR="0074102A" w:rsidRPr="0074102A">
              <w:rPr>
                <w:color w:val="000000" w:themeColor="text1"/>
                <w:sz w:val="24"/>
                <w:szCs w:val="24"/>
              </w:rPr>
              <w:t xml:space="preserve"> </w:t>
            </w:r>
            <w:r w:rsidRPr="008F0B76">
              <w:rPr>
                <w:b/>
                <w:bCs/>
                <w:color w:val="000000" w:themeColor="text1"/>
                <w:sz w:val="24"/>
                <w:szCs w:val="24"/>
                <w:u w:val="single"/>
              </w:rPr>
              <w:t>9/25/2023</w:t>
            </w:r>
          </w:p>
        </w:tc>
        <w:tc>
          <w:tcPr>
            <w:cnfStyle w:val="000010000000" w:firstRow="0" w:lastRow="0" w:firstColumn="0" w:lastColumn="0" w:oddVBand="1" w:evenVBand="0" w:oddHBand="0" w:evenHBand="0" w:firstRowFirstColumn="0" w:firstRowLastColumn="0" w:lastRowFirstColumn="0" w:lastRowLastColumn="0"/>
            <w:tcW w:w="1535" w:type="dxa"/>
          </w:tcPr>
          <w:p w14:paraId="5A7F4EAC" w14:textId="7BC02877" w:rsidR="00A511B4" w:rsidRPr="002F70F8" w:rsidRDefault="00F87C31" w:rsidP="00FE1A8A">
            <w:pPr>
              <w:keepLines/>
              <w:jc w:val="both"/>
              <w:rPr>
                <w:color w:val="0070C0"/>
                <w:sz w:val="24"/>
                <w:szCs w:val="24"/>
              </w:rPr>
            </w:pPr>
            <w:r w:rsidRPr="002F70F8">
              <w:rPr>
                <w:b/>
                <w:sz w:val="24"/>
                <w:szCs w:val="24"/>
              </w:rPr>
              <w:t>11:59 p.m.</w:t>
            </w:r>
          </w:p>
        </w:tc>
      </w:tr>
      <w:tr w:rsidR="00A511B4" w:rsidRPr="002C03D0" w14:paraId="4670966A" w14:textId="77777777" w:rsidTr="00251302">
        <w:trPr>
          <w:trHeight w:hRule="exact" w:val="622"/>
        </w:trPr>
        <w:tc>
          <w:tcPr>
            <w:cnfStyle w:val="000010000000" w:firstRow="0" w:lastRow="0" w:firstColumn="0" w:lastColumn="0" w:oddVBand="1" w:evenVBand="0" w:oddHBand="0" w:evenHBand="0" w:firstRowFirstColumn="0" w:firstRowLastColumn="0" w:lastRowFirstColumn="0" w:lastRowLastColumn="0"/>
            <w:tcW w:w="5575" w:type="dxa"/>
          </w:tcPr>
          <w:p w14:paraId="7387DC00" w14:textId="77777777" w:rsidR="00A511B4" w:rsidRPr="002F70F8" w:rsidRDefault="00A511B4" w:rsidP="00FE1A8A">
            <w:pPr>
              <w:keepLines/>
              <w:jc w:val="both"/>
              <w:rPr>
                <w:sz w:val="24"/>
                <w:szCs w:val="24"/>
              </w:rPr>
            </w:pPr>
            <w:r w:rsidRPr="002F70F8">
              <w:rPr>
                <w:sz w:val="24"/>
                <w:szCs w:val="24"/>
              </w:rPr>
              <w:t>Anticipated Notice of Proposed Award Posting Date</w:t>
            </w:r>
          </w:p>
        </w:tc>
        <w:tc>
          <w:tcPr>
            <w:tcW w:w="2700" w:type="dxa"/>
          </w:tcPr>
          <w:p w14:paraId="3E0FCEC2" w14:textId="2B1BB89F" w:rsidR="00A511B4" w:rsidRPr="002F70F8" w:rsidRDefault="001A74AA" w:rsidP="00FE1A8A">
            <w:pPr>
              <w:keepLines/>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2F70F8">
              <w:rPr>
                <w:color w:val="000000" w:themeColor="text1"/>
                <w:sz w:val="24"/>
                <w:szCs w:val="24"/>
              </w:rPr>
              <w:t xml:space="preserve">Week of </w:t>
            </w:r>
            <w:r w:rsidR="00251302">
              <w:rPr>
                <w:color w:val="000000" w:themeColor="text1"/>
                <w:sz w:val="24"/>
                <w:szCs w:val="24"/>
              </w:rPr>
              <w:t>[</w:t>
            </w:r>
            <w:r w:rsidR="00676162" w:rsidRPr="00251302">
              <w:rPr>
                <w:strike/>
                <w:color w:val="000000" w:themeColor="text1"/>
                <w:sz w:val="24"/>
                <w:szCs w:val="24"/>
              </w:rPr>
              <w:t>11/7/2023</w:t>
            </w:r>
            <w:r w:rsidR="00251302">
              <w:rPr>
                <w:color w:val="000000" w:themeColor="text1"/>
                <w:sz w:val="24"/>
                <w:szCs w:val="24"/>
              </w:rPr>
              <w:t>]</w:t>
            </w:r>
            <w:r w:rsidR="0074102A">
              <w:rPr>
                <w:color w:val="000000" w:themeColor="text1"/>
                <w:sz w:val="24"/>
                <w:szCs w:val="24"/>
              </w:rPr>
              <w:t xml:space="preserve"> </w:t>
            </w:r>
            <w:r w:rsidR="00251302" w:rsidRPr="00251302">
              <w:rPr>
                <w:b/>
                <w:bCs/>
                <w:color w:val="000000" w:themeColor="text1"/>
                <w:sz w:val="24"/>
                <w:szCs w:val="24"/>
                <w:u w:val="single"/>
              </w:rPr>
              <w:t>11/</w:t>
            </w:r>
            <w:r w:rsidR="00251302">
              <w:rPr>
                <w:b/>
                <w:bCs/>
                <w:color w:val="000000" w:themeColor="text1"/>
                <w:sz w:val="24"/>
                <w:szCs w:val="24"/>
                <w:u w:val="single"/>
              </w:rPr>
              <w:t>30</w:t>
            </w:r>
            <w:r w:rsidR="00251302" w:rsidRPr="00251302">
              <w:rPr>
                <w:b/>
                <w:bCs/>
                <w:color w:val="000000" w:themeColor="text1"/>
                <w:sz w:val="24"/>
                <w:szCs w:val="24"/>
                <w:u w:val="single"/>
              </w:rPr>
              <w:t>/2023</w:t>
            </w:r>
          </w:p>
        </w:tc>
        <w:tc>
          <w:tcPr>
            <w:cnfStyle w:val="000010000000" w:firstRow="0" w:lastRow="0" w:firstColumn="0" w:lastColumn="0" w:oddVBand="1" w:evenVBand="0" w:oddHBand="0" w:evenHBand="0" w:firstRowFirstColumn="0" w:firstRowLastColumn="0" w:lastRowFirstColumn="0" w:lastRowLastColumn="0"/>
            <w:tcW w:w="1535" w:type="dxa"/>
          </w:tcPr>
          <w:p w14:paraId="7F7BAB89" w14:textId="77777777" w:rsidR="00A511B4" w:rsidRPr="002F70F8" w:rsidRDefault="00A511B4" w:rsidP="00FE1A8A">
            <w:pPr>
              <w:keepLines/>
              <w:jc w:val="both"/>
              <w:rPr>
                <w:color w:val="0070C0"/>
                <w:sz w:val="24"/>
                <w:szCs w:val="24"/>
              </w:rPr>
            </w:pPr>
          </w:p>
        </w:tc>
      </w:tr>
      <w:tr w:rsidR="00A511B4" w:rsidRPr="002C03D0" w14:paraId="76D982D6" w14:textId="77777777" w:rsidTr="41589FC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575" w:type="dxa"/>
          </w:tcPr>
          <w:p w14:paraId="68472CDC" w14:textId="77777777" w:rsidR="00A511B4" w:rsidRPr="002F70F8" w:rsidRDefault="00A511B4" w:rsidP="00FE1A8A">
            <w:pPr>
              <w:jc w:val="both"/>
              <w:rPr>
                <w:sz w:val="24"/>
                <w:szCs w:val="24"/>
              </w:rPr>
            </w:pPr>
            <w:r w:rsidRPr="002F70F8">
              <w:rPr>
                <w:sz w:val="24"/>
                <w:szCs w:val="24"/>
              </w:rPr>
              <w:t>Anticipated Energy Commission Business Meeting Date</w:t>
            </w:r>
          </w:p>
        </w:tc>
        <w:tc>
          <w:tcPr>
            <w:tcW w:w="2700" w:type="dxa"/>
          </w:tcPr>
          <w:p w14:paraId="0D90D149" w14:textId="051523B8" w:rsidR="00A511B4" w:rsidRPr="002F70F8" w:rsidRDefault="00676162" w:rsidP="00FE1A8A">
            <w:pPr>
              <w:keepLines/>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2F70F8">
              <w:rPr>
                <w:color w:val="000000" w:themeColor="text1"/>
                <w:sz w:val="24"/>
                <w:szCs w:val="24"/>
              </w:rPr>
              <w:t>5/8/2024</w:t>
            </w:r>
          </w:p>
        </w:tc>
        <w:tc>
          <w:tcPr>
            <w:cnfStyle w:val="000010000000" w:firstRow="0" w:lastRow="0" w:firstColumn="0" w:lastColumn="0" w:oddVBand="1" w:evenVBand="0" w:oddHBand="0" w:evenHBand="0" w:firstRowFirstColumn="0" w:firstRowLastColumn="0" w:lastRowFirstColumn="0" w:lastRowLastColumn="0"/>
            <w:tcW w:w="1535" w:type="dxa"/>
          </w:tcPr>
          <w:p w14:paraId="07B99D70" w14:textId="77777777" w:rsidR="00A511B4" w:rsidRPr="002F70F8" w:rsidRDefault="00A511B4" w:rsidP="00FE1A8A">
            <w:pPr>
              <w:keepLines/>
              <w:jc w:val="both"/>
              <w:rPr>
                <w:color w:val="0070C0"/>
                <w:sz w:val="24"/>
                <w:szCs w:val="24"/>
              </w:rPr>
            </w:pPr>
          </w:p>
        </w:tc>
      </w:tr>
      <w:tr w:rsidR="00A511B4" w:rsidRPr="002C03D0" w14:paraId="778A4170" w14:textId="77777777" w:rsidTr="41589FC7">
        <w:trPr>
          <w:trHeight w:hRule="exact" w:val="288"/>
        </w:trPr>
        <w:tc>
          <w:tcPr>
            <w:cnfStyle w:val="000010000000" w:firstRow="0" w:lastRow="0" w:firstColumn="0" w:lastColumn="0" w:oddVBand="1" w:evenVBand="0" w:oddHBand="0" w:evenHBand="0" w:firstRowFirstColumn="0" w:firstRowLastColumn="0" w:lastRowFirstColumn="0" w:lastRowLastColumn="0"/>
            <w:tcW w:w="5575" w:type="dxa"/>
          </w:tcPr>
          <w:p w14:paraId="117D51F1" w14:textId="77777777" w:rsidR="00A511B4" w:rsidRPr="002F70F8" w:rsidRDefault="00A511B4" w:rsidP="00FE1A8A">
            <w:pPr>
              <w:jc w:val="both"/>
              <w:rPr>
                <w:sz w:val="24"/>
                <w:szCs w:val="24"/>
              </w:rPr>
            </w:pPr>
            <w:r w:rsidRPr="002F70F8">
              <w:rPr>
                <w:sz w:val="24"/>
                <w:szCs w:val="24"/>
              </w:rPr>
              <w:t>Anticipated Agreement Start Date</w:t>
            </w:r>
          </w:p>
        </w:tc>
        <w:tc>
          <w:tcPr>
            <w:tcW w:w="2700" w:type="dxa"/>
          </w:tcPr>
          <w:p w14:paraId="0FBD4A51" w14:textId="322168CA" w:rsidR="00A511B4" w:rsidRPr="002F70F8" w:rsidRDefault="00676162" w:rsidP="00FE1A8A">
            <w:pPr>
              <w:keepLines/>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2F70F8">
              <w:rPr>
                <w:color w:val="000000" w:themeColor="text1"/>
                <w:sz w:val="24"/>
                <w:szCs w:val="24"/>
              </w:rPr>
              <w:t>6/11/2024</w:t>
            </w:r>
          </w:p>
        </w:tc>
        <w:tc>
          <w:tcPr>
            <w:cnfStyle w:val="000010000000" w:firstRow="0" w:lastRow="0" w:firstColumn="0" w:lastColumn="0" w:oddVBand="1" w:evenVBand="0" w:oddHBand="0" w:evenHBand="0" w:firstRowFirstColumn="0" w:firstRowLastColumn="0" w:lastRowFirstColumn="0" w:lastRowLastColumn="0"/>
            <w:tcW w:w="1535" w:type="dxa"/>
          </w:tcPr>
          <w:p w14:paraId="6BD8CF01" w14:textId="77777777" w:rsidR="00A511B4" w:rsidRPr="002F70F8" w:rsidRDefault="00A511B4" w:rsidP="00FE1A8A">
            <w:pPr>
              <w:keepLines/>
              <w:jc w:val="both"/>
              <w:rPr>
                <w:color w:val="0070C0"/>
                <w:sz w:val="24"/>
                <w:szCs w:val="24"/>
              </w:rPr>
            </w:pPr>
          </w:p>
        </w:tc>
      </w:tr>
      <w:tr w:rsidR="00A511B4" w:rsidRPr="002C03D0" w14:paraId="10349A5B" w14:textId="77777777" w:rsidTr="41589FC7">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575" w:type="dxa"/>
          </w:tcPr>
          <w:p w14:paraId="0DFD4B12" w14:textId="77777777" w:rsidR="00A511B4" w:rsidRPr="002F70F8" w:rsidRDefault="00A511B4" w:rsidP="00FE1A8A">
            <w:pPr>
              <w:jc w:val="both"/>
              <w:rPr>
                <w:sz w:val="24"/>
                <w:szCs w:val="24"/>
              </w:rPr>
            </w:pPr>
            <w:r w:rsidRPr="002F70F8">
              <w:rPr>
                <w:sz w:val="24"/>
                <w:szCs w:val="24"/>
              </w:rPr>
              <w:t xml:space="preserve">Anticipated Agreement End Date </w:t>
            </w:r>
          </w:p>
        </w:tc>
        <w:tc>
          <w:tcPr>
            <w:tcW w:w="2700" w:type="dxa"/>
          </w:tcPr>
          <w:p w14:paraId="49359BE0" w14:textId="31DFFF73" w:rsidR="00A511B4" w:rsidRPr="002F70F8" w:rsidRDefault="00A511B4" w:rsidP="00FE1A8A">
            <w:pPr>
              <w:keepLines/>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2F70F8">
              <w:rPr>
                <w:color w:val="000000" w:themeColor="text1"/>
                <w:sz w:val="24"/>
                <w:szCs w:val="24"/>
              </w:rPr>
              <w:t>March 31,</w:t>
            </w:r>
            <w:r w:rsidR="0087416D" w:rsidRPr="002F70F8">
              <w:rPr>
                <w:color w:val="000000" w:themeColor="text1"/>
                <w:sz w:val="24"/>
                <w:szCs w:val="24"/>
              </w:rPr>
              <w:t xml:space="preserve"> </w:t>
            </w:r>
            <w:r w:rsidR="00676162" w:rsidRPr="002F70F8">
              <w:rPr>
                <w:color w:val="000000" w:themeColor="text1"/>
                <w:sz w:val="24"/>
                <w:szCs w:val="24"/>
              </w:rPr>
              <w:t>2028</w:t>
            </w:r>
          </w:p>
        </w:tc>
        <w:tc>
          <w:tcPr>
            <w:cnfStyle w:val="000010000000" w:firstRow="0" w:lastRow="0" w:firstColumn="0" w:lastColumn="0" w:oddVBand="1" w:evenVBand="0" w:oddHBand="0" w:evenHBand="0" w:firstRowFirstColumn="0" w:firstRowLastColumn="0" w:lastRowFirstColumn="0" w:lastRowLastColumn="0"/>
            <w:tcW w:w="1535" w:type="dxa"/>
          </w:tcPr>
          <w:p w14:paraId="28A9ABE8" w14:textId="77777777" w:rsidR="00A511B4" w:rsidRPr="002F70F8" w:rsidRDefault="00A511B4" w:rsidP="00FE1A8A">
            <w:pPr>
              <w:keepLines/>
              <w:jc w:val="both"/>
              <w:rPr>
                <w:color w:val="0070C0"/>
                <w:sz w:val="24"/>
                <w:szCs w:val="24"/>
              </w:rPr>
            </w:pPr>
          </w:p>
        </w:tc>
      </w:tr>
    </w:tbl>
    <w:p w14:paraId="4D125BF1" w14:textId="77777777" w:rsidR="003F6147" w:rsidRPr="003F6147" w:rsidRDefault="003F6147" w:rsidP="003F6147">
      <w:pPr>
        <w:spacing w:after="0"/>
        <w:jc w:val="both"/>
      </w:pPr>
    </w:p>
    <w:p w14:paraId="545DFFF2" w14:textId="77777777" w:rsidR="003F6147" w:rsidRPr="00756BAC" w:rsidRDefault="003F6147" w:rsidP="002F32D3">
      <w:pPr>
        <w:pStyle w:val="Heading2"/>
        <w:numPr>
          <w:ilvl w:val="0"/>
          <w:numId w:val="54"/>
        </w:numPr>
      </w:pPr>
      <w:bookmarkStart w:id="27" w:name="_Toc458602326"/>
      <w:bookmarkStart w:id="28" w:name="_Toc121421334"/>
      <w:r w:rsidRPr="00756BAC">
        <w:t>Notice of Pre-Application Workshop</w:t>
      </w:r>
      <w:bookmarkEnd w:id="27"/>
      <w:bookmarkEnd w:id="28"/>
    </w:p>
    <w:p w14:paraId="3530C71F" w14:textId="37B1175D" w:rsidR="003F6147" w:rsidRPr="002C03D0" w:rsidRDefault="003F6147" w:rsidP="002C03D0">
      <w:pPr>
        <w:rPr>
          <w:sz w:val="24"/>
          <w:szCs w:val="24"/>
        </w:rPr>
      </w:pPr>
      <w:r w:rsidRPr="002C03D0">
        <w:rPr>
          <w:sz w:val="24"/>
          <w:szCs w:val="24"/>
        </w:rPr>
        <w:t xml:space="preserve">CEC staff will hold one Pre-Application Workshop to discuss the solicitation with potential applicants. Participation is optional but encouraged.  </w:t>
      </w:r>
      <w:r w:rsidR="00137D9C" w:rsidRPr="002C03D0">
        <w:rPr>
          <w:sz w:val="24"/>
          <w:szCs w:val="24"/>
        </w:rPr>
        <w:t xml:space="preserve">The Pre-Application Workshop will be held remotely. </w:t>
      </w:r>
      <w:r w:rsidRPr="002C03D0">
        <w:rPr>
          <w:sz w:val="24"/>
          <w:szCs w:val="24"/>
        </w:rPr>
        <w:t>Applicants may attend the workshop via the internet (</w:t>
      </w:r>
      <w:r w:rsidR="00636897" w:rsidRPr="002C03D0">
        <w:rPr>
          <w:sz w:val="24"/>
          <w:szCs w:val="24"/>
        </w:rPr>
        <w:t>Zoom</w:t>
      </w:r>
      <w:r w:rsidRPr="002C03D0">
        <w:rPr>
          <w:sz w:val="24"/>
          <w:szCs w:val="24"/>
        </w:rPr>
        <w:t>, see instructions below), or via conference call on the date and at the time and location listed below.  Please refer to the CEC's website at www.energy.ca.gov/contracts/index.html to confirm the date and time.</w:t>
      </w:r>
    </w:p>
    <w:p w14:paraId="54073107" w14:textId="77777777" w:rsidR="00624855" w:rsidRPr="002C03D0" w:rsidRDefault="00624855" w:rsidP="002C03D0">
      <w:pPr>
        <w:spacing w:after="0"/>
        <w:rPr>
          <w:b/>
          <w:sz w:val="24"/>
          <w:szCs w:val="24"/>
        </w:rPr>
      </w:pPr>
    </w:p>
    <w:p w14:paraId="2B53D2CB" w14:textId="5A5C2F76" w:rsidR="003F6147" w:rsidRPr="002C03D0" w:rsidRDefault="003F6147" w:rsidP="002C03D0">
      <w:pPr>
        <w:spacing w:after="0"/>
        <w:rPr>
          <w:b/>
          <w:sz w:val="24"/>
          <w:szCs w:val="24"/>
        </w:rPr>
      </w:pPr>
      <w:r w:rsidRPr="002C03D0">
        <w:rPr>
          <w:b/>
          <w:sz w:val="24"/>
          <w:szCs w:val="24"/>
        </w:rPr>
        <w:t xml:space="preserve">Date and time: </w:t>
      </w:r>
      <w:r w:rsidR="005B6DA3" w:rsidRPr="002C03D0">
        <w:rPr>
          <w:color w:val="000000" w:themeColor="text1"/>
          <w:sz w:val="24"/>
          <w:szCs w:val="24"/>
        </w:rPr>
        <w:t>June 28, 2023, 9:00 a.m.</w:t>
      </w:r>
    </w:p>
    <w:p w14:paraId="7822D6A5" w14:textId="77777777" w:rsidR="003F6147" w:rsidRPr="002C03D0" w:rsidRDefault="003F6147" w:rsidP="002C03D0">
      <w:pPr>
        <w:spacing w:after="0"/>
        <w:rPr>
          <w:b/>
          <w:sz w:val="24"/>
          <w:szCs w:val="24"/>
          <w:u w:val="single"/>
        </w:rPr>
      </w:pPr>
    </w:p>
    <w:p w14:paraId="6B916C61" w14:textId="409312EC" w:rsidR="003F6147" w:rsidRPr="002C03D0" w:rsidRDefault="00AD7BD9" w:rsidP="002C03D0">
      <w:pPr>
        <w:tabs>
          <w:tab w:val="left" w:pos="1080"/>
        </w:tabs>
        <w:rPr>
          <w:b/>
          <w:sz w:val="24"/>
          <w:szCs w:val="24"/>
        </w:rPr>
      </w:pPr>
      <w:r w:rsidRPr="002C03D0">
        <w:rPr>
          <w:b/>
          <w:sz w:val="24"/>
          <w:szCs w:val="24"/>
        </w:rPr>
        <w:t xml:space="preserve">Zoom </w:t>
      </w:r>
      <w:r w:rsidR="003F6147" w:rsidRPr="002C03D0">
        <w:rPr>
          <w:b/>
          <w:sz w:val="24"/>
          <w:szCs w:val="24"/>
        </w:rPr>
        <w:t>Instructions:</w:t>
      </w:r>
    </w:p>
    <w:p w14:paraId="44F7A991" w14:textId="120E4D47" w:rsidR="003F6147" w:rsidRPr="002C03D0" w:rsidRDefault="003F6147" w:rsidP="002C03D0">
      <w:pPr>
        <w:tabs>
          <w:tab w:val="left" w:pos="810"/>
        </w:tabs>
        <w:rPr>
          <w:sz w:val="24"/>
          <w:szCs w:val="24"/>
        </w:rPr>
      </w:pPr>
      <w:r w:rsidRPr="002C03D0">
        <w:rPr>
          <w:sz w:val="24"/>
          <w:szCs w:val="24"/>
        </w:rPr>
        <w:t xml:space="preserve">To join the </w:t>
      </w:r>
      <w:r w:rsidR="00680379" w:rsidRPr="002C03D0">
        <w:rPr>
          <w:sz w:val="24"/>
          <w:szCs w:val="24"/>
        </w:rPr>
        <w:t>Zoom</w:t>
      </w:r>
      <w:r w:rsidRPr="002C03D0">
        <w:rPr>
          <w:sz w:val="24"/>
          <w:szCs w:val="24"/>
        </w:rPr>
        <w:t xml:space="preserve"> meeting, go to </w:t>
      </w:r>
      <w:hyperlink r:id="rId19" w:history="1">
        <w:r w:rsidR="00203FA8" w:rsidRPr="002C03D0">
          <w:rPr>
            <w:rStyle w:val="Hyperlink"/>
            <w:rFonts w:cs="Arial"/>
            <w:sz w:val="24"/>
            <w:szCs w:val="24"/>
          </w:rPr>
          <w:t>https://zoom.us/join</w:t>
        </w:r>
      </w:hyperlink>
      <w:r w:rsidR="00203FA8" w:rsidRPr="002C03D0">
        <w:rPr>
          <w:sz w:val="24"/>
          <w:szCs w:val="24"/>
        </w:rPr>
        <w:t xml:space="preserve"> </w:t>
      </w:r>
      <w:r w:rsidRPr="002C03D0">
        <w:rPr>
          <w:sz w:val="24"/>
          <w:szCs w:val="24"/>
        </w:rPr>
        <w:t xml:space="preserve">and enter the </w:t>
      </w:r>
      <w:r w:rsidR="00ED584A" w:rsidRPr="002C03D0">
        <w:rPr>
          <w:sz w:val="24"/>
          <w:szCs w:val="24"/>
        </w:rPr>
        <w:t>M</w:t>
      </w:r>
      <w:r w:rsidRPr="002C03D0">
        <w:rPr>
          <w:sz w:val="24"/>
          <w:szCs w:val="24"/>
        </w:rPr>
        <w:t xml:space="preserve">eeting </w:t>
      </w:r>
      <w:r w:rsidR="0060490D" w:rsidRPr="002C03D0">
        <w:rPr>
          <w:sz w:val="24"/>
          <w:szCs w:val="24"/>
        </w:rPr>
        <w:t xml:space="preserve">ID </w:t>
      </w:r>
      <w:r w:rsidRPr="002C03D0">
        <w:rPr>
          <w:sz w:val="24"/>
          <w:szCs w:val="24"/>
        </w:rPr>
        <w:t>below</w:t>
      </w:r>
      <w:r w:rsidR="007F3203" w:rsidRPr="002C03D0">
        <w:rPr>
          <w:sz w:val="24"/>
          <w:szCs w:val="24"/>
        </w:rPr>
        <w:t xml:space="preserve"> and</w:t>
      </w:r>
      <w:r w:rsidR="00B02478" w:rsidRPr="002C03D0">
        <w:rPr>
          <w:sz w:val="24"/>
          <w:szCs w:val="24"/>
        </w:rPr>
        <w:t xml:space="preserve"> select “join from your browser.”</w:t>
      </w:r>
      <w:r w:rsidR="007F3203" w:rsidRPr="002C03D0">
        <w:rPr>
          <w:sz w:val="24"/>
          <w:szCs w:val="24"/>
        </w:rPr>
        <w:t xml:space="preserve"> </w:t>
      </w:r>
      <w:r w:rsidR="00B02478" w:rsidRPr="002C03D0">
        <w:rPr>
          <w:sz w:val="24"/>
          <w:szCs w:val="24"/>
        </w:rPr>
        <w:t xml:space="preserve">Participants will then </w:t>
      </w:r>
      <w:r w:rsidR="00891FAB" w:rsidRPr="002C03D0">
        <w:rPr>
          <w:sz w:val="24"/>
          <w:szCs w:val="24"/>
        </w:rPr>
        <w:t>e</w:t>
      </w:r>
      <w:r w:rsidR="00084500" w:rsidRPr="002C03D0">
        <w:rPr>
          <w:sz w:val="24"/>
          <w:szCs w:val="24"/>
        </w:rPr>
        <w:t xml:space="preserve">nter the meeting password </w:t>
      </w:r>
      <w:r w:rsidR="00F801F8" w:rsidRPr="002C03D0">
        <w:rPr>
          <w:sz w:val="24"/>
          <w:szCs w:val="24"/>
        </w:rPr>
        <w:t xml:space="preserve">listed below </w:t>
      </w:r>
      <w:r w:rsidR="00084500" w:rsidRPr="002C03D0">
        <w:rPr>
          <w:sz w:val="24"/>
          <w:szCs w:val="24"/>
        </w:rPr>
        <w:t xml:space="preserve">and </w:t>
      </w:r>
      <w:r w:rsidR="00891FAB" w:rsidRPr="002C03D0">
        <w:rPr>
          <w:sz w:val="24"/>
          <w:szCs w:val="24"/>
        </w:rPr>
        <w:t xml:space="preserve">their </w:t>
      </w:r>
      <w:r w:rsidR="00084500" w:rsidRPr="002C03D0">
        <w:rPr>
          <w:sz w:val="24"/>
          <w:szCs w:val="24"/>
        </w:rPr>
        <w:t xml:space="preserve">name. </w:t>
      </w:r>
      <w:r w:rsidR="008E7180" w:rsidRPr="002C03D0">
        <w:rPr>
          <w:sz w:val="24"/>
          <w:szCs w:val="24"/>
        </w:rPr>
        <w:t>P</w:t>
      </w:r>
      <w:r w:rsidR="00DE090D" w:rsidRPr="002C03D0">
        <w:rPr>
          <w:sz w:val="24"/>
          <w:szCs w:val="24"/>
        </w:rPr>
        <w:t>articipants will s</w:t>
      </w:r>
      <w:r w:rsidR="00084500" w:rsidRPr="002C03D0">
        <w:rPr>
          <w:sz w:val="24"/>
          <w:szCs w:val="24"/>
        </w:rPr>
        <w:t>elect the “Join” button.</w:t>
      </w:r>
      <w:r w:rsidRPr="002C03D0">
        <w:rPr>
          <w:sz w:val="24"/>
          <w:szCs w:val="24"/>
        </w:rPr>
        <w:t xml:space="preserve">:  </w:t>
      </w:r>
    </w:p>
    <w:p w14:paraId="6C3101E8" w14:textId="21001B5B" w:rsidR="003F6147" w:rsidRPr="002C03D0" w:rsidRDefault="003F6147" w:rsidP="002C03D0">
      <w:pPr>
        <w:tabs>
          <w:tab w:val="left" w:pos="900"/>
        </w:tabs>
        <w:spacing w:after="0"/>
        <w:ind w:left="720" w:firstLine="360"/>
        <w:rPr>
          <w:b/>
          <w:bCs/>
          <w:color w:val="000000" w:themeColor="text1"/>
          <w:sz w:val="24"/>
          <w:szCs w:val="24"/>
        </w:rPr>
      </w:pPr>
      <w:r w:rsidRPr="002C03D0">
        <w:rPr>
          <w:b/>
          <w:color w:val="000000" w:themeColor="text1"/>
          <w:sz w:val="24"/>
          <w:szCs w:val="24"/>
        </w:rPr>
        <w:t xml:space="preserve">Meeting </w:t>
      </w:r>
      <w:r w:rsidR="0060490D" w:rsidRPr="002C03D0">
        <w:rPr>
          <w:b/>
          <w:color w:val="000000" w:themeColor="text1"/>
          <w:sz w:val="24"/>
          <w:szCs w:val="24"/>
        </w:rPr>
        <w:t>ID</w:t>
      </w:r>
      <w:r w:rsidRPr="002C03D0">
        <w:rPr>
          <w:b/>
          <w:color w:val="000000" w:themeColor="text1"/>
          <w:sz w:val="24"/>
          <w:szCs w:val="24"/>
        </w:rPr>
        <w:t>:</w:t>
      </w:r>
      <w:r w:rsidRPr="002C03D0">
        <w:rPr>
          <w:color w:val="000000" w:themeColor="text1"/>
          <w:sz w:val="24"/>
          <w:szCs w:val="24"/>
        </w:rPr>
        <w:t xml:space="preserve"> </w:t>
      </w:r>
      <w:r w:rsidR="005B6DA3" w:rsidRPr="002C03D0">
        <w:rPr>
          <w:color w:val="000000" w:themeColor="text1"/>
          <w:sz w:val="24"/>
          <w:szCs w:val="24"/>
        </w:rPr>
        <w:t>897 5452 8964</w:t>
      </w:r>
    </w:p>
    <w:p w14:paraId="2F230024" w14:textId="38128713" w:rsidR="003F6147" w:rsidRPr="002C03D0" w:rsidRDefault="003F6147" w:rsidP="002C03D0">
      <w:pPr>
        <w:spacing w:after="0"/>
        <w:ind w:left="360" w:firstLine="720"/>
        <w:rPr>
          <w:color w:val="000000" w:themeColor="text1"/>
          <w:sz w:val="24"/>
          <w:szCs w:val="24"/>
        </w:rPr>
      </w:pPr>
      <w:r w:rsidRPr="002C03D0">
        <w:rPr>
          <w:b/>
          <w:color w:val="000000" w:themeColor="text1"/>
          <w:sz w:val="24"/>
          <w:szCs w:val="24"/>
        </w:rPr>
        <w:t>Meeting Password:</w:t>
      </w:r>
      <w:r w:rsidRPr="002C03D0">
        <w:rPr>
          <w:color w:val="000000" w:themeColor="text1"/>
          <w:sz w:val="24"/>
          <w:szCs w:val="24"/>
        </w:rPr>
        <w:t xml:space="preserve"> </w:t>
      </w:r>
      <w:r w:rsidR="005B6DA3" w:rsidRPr="002C03D0">
        <w:rPr>
          <w:color w:val="000000" w:themeColor="text1"/>
          <w:sz w:val="24"/>
          <w:szCs w:val="24"/>
        </w:rPr>
        <w:t>638810</w:t>
      </w:r>
    </w:p>
    <w:p w14:paraId="6CC93D6B" w14:textId="42FCDE9E" w:rsidR="003F6147" w:rsidRPr="002C03D0" w:rsidRDefault="003F6147" w:rsidP="002C03D0">
      <w:pPr>
        <w:ind w:left="1080"/>
        <w:rPr>
          <w:color w:val="000000" w:themeColor="text1"/>
          <w:sz w:val="24"/>
          <w:szCs w:val="24"/>
        </w:rPr>
      </w:pPr>
      <w:r w:rsidRPr="002C03D0">
        <w:rPr>
          <w:b/>
          <w:color w:val="000000" w:themeColor="text1"/>
          <w:sz w:val="24"/>
          <w:szCs w:val="24"/>
        </w:rPr>
        <w:t>Topic:</w:t>
      </w:r>
      <w:r w:rsidRPr="002C03D0">
        <w:rPr>
          <w:color w:val="000000" w:themeColor="text1"/>
          <w:sz w:val="24"/>
          <w:szCs w:val="24"/>
        </w:rPr>
        <w:t xml:space="preserve"> </w:t>
      </w:r>
      <w:r w:rsidR="005B6DA3" w:rsidRPr="002C03D0">
        <w:rPr>
          <w:color w:val="000000" w:themeColor="text1"/>
          <w:sz w:val="24"/>
          <w:szCs w:val="24"/>
        </w:rPr>
        <w:t>This is the Pre-Application workshop for GFO-22-307, Optimizing Long-Duration Energy Storage to Improve Resilience and Reliability in Disadvantaged and Low-Income Communities and Native American Tribes. This solicitation will fund TD&amp;D projects that support DAC, LIC, and Tribes.</w:t>
      </w:r>
    </w:p>
    <w:p w14:paraId="1BD019D4" w14:textId="77777777" w:rsidR="003F6147" w:rsidRPr="002C03D0" w:rsidRDefault="003F6147" w:rsidP="002C03D0">
      <w:pPr>
        <w:tabs>
          <w:tab w:val="left" w:pos="810"/>
        </w:tabs>
        <w:spacing w:after="0"/>
        <w:rPr>
          <w:b/>
          <w:sz w:val="24"/>
          <w:szCs w:val="24"/>
          <w:u w:val="single"/>
        </w:rPr>
      </w:pPr>
    </w:p>
    <w:p w14:paraId="197B98BC" w14:textId="77777777" w:rsidR="003F6147" w:rsidRPr="002C03D0" w:rsidRDefault="003F6147" w:rsidP="002C03D0">
      <w:pPr>
        <w:tabs>
          <w:tab w:val="left" w:pos="1080"/>
        </w:tabs>
        <w:rPr>
          <w:b/>
          <w:sz w:val="24"/>
          <w:szCs w:val="24"/>
        </w:rPr>
      </w:pPr>
      <w:r w:rsidRPr="002C03D0">
        <w:rPr>
          <w:b/>
          <w:sz w:val="24"/>
          <w:szCs w:val="24"/>
        </w:rPr>
        <w:t>Telephone Access Only:</w:t>
      </w:r>
    </w:p>
    <w:p w14:paraId="0A374FE0" w14:textId="5C62004C" w:rsidR="001C398B" w:rsidRPr="002C03D0" w:rsidRDefault="003F6147" w:rsidP="002C03D0">
      <w:pPr>
        <w:pStyle w:val="paragraph"/>
        <w:spacing w:before="0" w:beforeAutospacing="0" w:after="0" w:afterAutospacing="0"/>
        <w:textAlignment w:val="baseline"/>
        <w:rPr>
          <w:rFonts w:ascii="Arial" w:hAnsi="Arial" w:cs="Arial"/>
        </w:rPr>
      </w:pPr>
      <w:r w:rsidRPr="002C03D0">
        <w:rPr>
          <w:rFonts w:ascii="Arial" w:hAnsi="Arial" w:cs="Arial"/>
        </w:rPr>
        <w:t xml:space="preserve">Call </w:t>
      </w:r>
      <w:r w:rsidR="006E5946" w:rsidRPr="002C03D0">
        <w:rPr>
          <w:rFonts w:ascii="Arial" w:hAnsi="Arial" w:cs="Arial"/>
          <w:b/>
          <w:bCs/>
        </w:rPr>
        <w:t>1-888 475 4499</w:t>
      </w:r>
      <w:r w:rsidR="006E5946" w:rsidRPr="002C03D0">
        <w:rPr>
          <w:rFonts w:ascii="Arial" w:hAnsi="Arial" w:cs="Arial"/>
        </w:rPr>
        <w:t xml:space="preserve"> (Toll Free) or </w:t>
      </w:r>
      <w:r w:rsidR="006E5946" w:rsidRPr="002C03D0">
        <w:rPr>
          <w:rFonts w:ascii="Arial" w:hAnsi="Arial" w:cs="Arial"/>
          <w:b/>
          <w:bCs/>
        </w:rPr>
        <w:t>1-877 853 5257</w:t>
      </w:r>
      <w:r w:rsidR="006E5946" w:rsidRPr="002C03D0">
        <w:rPr>
          <w:rFonts w:ascii="Arial" w:hAnsi="Arial" w:cs="Arial"/>
        </w:rPr>
        <w:t xml:space="preserve"> (Toll Free)</w:t>
      </w:r>
      <w:r w:rsidRPr="002C03D0">
        <w:rPr>
          <w:rFonts w:ascii="Arial" w:hAnsi="Arial" w:cs="Arial"/>
        </w:rPr>
        <w:t xml:space="preserve">. When prompted, enter the meeting number above. </w:t>
      </w:r>
      <w:r w:rsidR="001C398B" w:rsidRPr="002C03D0">
        <w:rPr>
          <w:rStyle w:val="normaltextrun"/>
          <w:rFonts w:ascii="Arial" w:hAnsi="Arial" w:cs="Arial"/>
        </w:rPr>
        <w:t xml:space="preserve">International callers may select a number from the Zoom International Dial-in Number List at: </w:t>
      </w:r>
      <w:hyperlink r:id="rId20" w:history="1">
        <w:r w:rsidR="001C398B" w:rsidRPr="002C03D0">
          <w:rPr>
            <w:rStyle w:val="Hyperlink"/>
            <w:rFonts w:ascii="Arial" w:hAnsi="Arial" w:cs="Arial"/>
          </w:rPr>
          <w:t>https://energy.zoom.us/u/adjzKUXvoy</w:t>
        </w:r>
      </w:hyperlink>
      <w:r w:rsidR="001C398B" w:rsidRPr="002C03D0">
        <w:rPr>
          <w:rStyle w:val="normaltextrun"/>
          <w:rFonts w:ascii="Arial" w:hAnsi="Arial" w:cs="Arial"/>
        </w:rPr>
        <w:t>. To comment, dial *9 to “raise your hand” and *6 to mute/unmute your phone line.</w:t>
      </w:r>
      <w:r w:rsidR="001C398B" w:rsidRPr="002C03D0">
        <w:rPr>
          <w:rStyle w:val="eop"/>
          <w:rFonts w:ascii="Arial" w:hAnsi="Arial" w:cs="Arial"/>
        </w:rPr>
        <w:t> </w:t>
      </w:r>
    </w:p>
    <w:p w14:paraId="06FFEE0A" w14:textId="77777777" w:rsidR="001C398B" w:rsidRPr="002C03D0" w:rsidRDefault="001C398B" w:rsidP="002C03D0">
      <w:pPr>
        <w:pStyle w:val="paragraph"/>
        <w:spacing w:before="0" w:beforeAutospacing="0" w:after="0" w:afterAutospacing="0"/>
        <w:textAlignment w:val="baseline"/>
        <w:rPr>
          <w:rFonts w:ascii="Arial" w:hAnsi="Arial" w:cs="Arial"/>
        </w:rPr>
      </w:pPr>
      <w:r w:rsidRPr="002C03D0">
        <w:rPr>
          <w:rStyle w:val="eop"/>
          <w:rFonts w:ascii="Arial" w:hAnsi="Arial" w:cs="Arial"/>
        </w:rPr>
        <w:t> </w:t>
      </w:r>
    </w:p>
    <w:p w14:paraId="235BA8D0" w14:textId="77777777" w:rsidR="001C398B" w:rsidRPr="002C03D0" w:rsidRDefault="001C398B" w:rsidP="002C03D0">
      <w:pPr>
        <w:pStyle w:val="paragraph"/>
        <w:spacing w:before="0" w:beforeAutospacing="0" w:after="0" w:afterAutospacing="0"/>
        <w:textAlignment w:val="baseline"/>
        <w:rPr>
          <w:rFonts w:ascii="Arial" w:hAnsi="Arial" w:cs="Arial"/>
        </w:rPr>
      </w:pPr>
      <w:r w:rsidRPr="002C03D0">
        <w:rPr>
          <w:rStyle w:val="normaltextrun"/>
          <w:rFonts w:ascii="Arial" w:hAnsi="Arial" w:cs="Arial"/>
          <w:b/>
          <w:bCs/>
        </w:rPr>
        <w:t>Access by Mobile Device:</w:t>
      </w:r>
      <w:r w:rsidRPr="002C03D0">
        <w:rPr>
          <w:rStyle w:val="eop"/>
          <w:rFonts w:ascii="Arial" w:hAnsi="Arial" w:cs="Arial"/>
        </w:rPr>
        <w:t> </w:t>
      </w:r>
    </w:p>
    <w:p w14:paraId="0E67E95D" w14:textId="77777777" w:rsidR="001C398B" w:rsidRPr="002C03D0" w:rsidRDefault="001C398B" w:rsidP="002C03D0">
      <w:pPr>
        <w:pStyle w:val="paragraph"/>
        <w:spacing w:before="0" w:beforeAutospacing="0" w:after="0" w:afterAutospacing="0"/>
        <w:textAlignment w:val="baseline"/>
        <w:rPr>
          <w:rFonts w:ascii="Arial" w:hAnsi="Arial" w:cs="Arial"/>
        </w:rPr>
      </w:pPr>
      <w:r w:rsidRPr="002C03D0">
        <w:rPr>
          <w:rStyle w:val="eop"/>
          <w:rFonts w:ascii="Arial" w:hAnsi="Arial" w:cs="Arial"/>
        </w:rPr>
        <w:t> </w:t>
      </w:r>
    </w:p>
    <w:p w14:paraId="4370584C" w14:textId="6DA43FF4" w:rsidR="001C398B" w:rsidRPr="002C03D0" w:rsidRDefault="001C398B" w:rsidP="002C03D0">
      <w:pPr>
        <w:pStyle w:val="paragraph"/>
        <w:spacing w:before="0" w:beforeAutospacing="0" w:after="0" w:afterAutospacing="0"/>
        <w:textAlignment w:val="baseline"/>
        <w:rPr>
          <w:rFonts w:ascii="Arial" w:hAnsi="Arial" w:cs="Arial"/>
        </w:rPr>
      </w:pPr>
      <w:r w:rsidRPr="002C03D0">
        <w:rPr>
          <w:rStyle w:val="normaltextrun"/>
          <w:rFonts w:ascii="Arial" w:hAnsi="Arial" w:cs="Arial"/>
        </w:rPr>
        <w:t xml:space="preserve">Download the application from the Zoom Download Center, </w:t>
      </w:r>
      <w:hyperlink r:id="rId21" w:history="1">
        <w:r w:rsidRPr="002C03D0">
          <w:rPr>
            <w:rStyle w:val="Hyperlink"/>
            <w:rFonts w:ascii="Arial" w:hAnsi="Arial" w:cs="Arial"/>
          </w:rPr>
          <w:t>https://energy.zoom.us/download. </w:t>
        </w:r>
      </w:hyperlink>
    </w:p>
    <w:p w14:paraId="3390B667" w14:textId="77777777" w:rsidR="003F6147" w:rsidRPr="002C03D0" w:rsidRDefault="003F6147" w:rsidP="002C03D0">
      <w:pPr>
        <w:spacing w:after="0"/>
        <w:rPr>
          <w:color w:val="0000FF"/>
          <w:sz w:val="24"/>
          <w:szCs w:val="24"/>
        </w:rPr>
      </w:pPr>
    </w:p>
    <w:p w14:paraId="51B26D7A" w14:textId="77777777" w:rsidR="003F6147" w:rsidRPr="002C03D0" w:rsidRDefault="003F6147" w:rsidP="002C03D0">
      <w:pPr>
        <w:tabs>
          <w:tab w:val="left" w:pos="1080"/>
        </w:tabs>
        <w:rPr>
          <w:b/>
          <w:sz w:val="24"/>
          <w:szCs w:val="24"/>
        </w:rPr>
      </w:pPr>
      <w:r w:rsidRPr="002C03D0">
        <w:rPr>
          <w:b/>
          <w:sz w:val="24"/>
          <w:szCs w:val="24"/>
        </w:rPr>
        <w:t>Technical Support:</w:t>
      </w:r>
    </w:p>
    <w:p w14:paraId="4635AE9E" w14:textId="6FA1FBBB" w:rsidR="003F6147" w:rsidRPr="002C03D0" w:rsidRDefault="003F6147" w:rsidP="002C03D0">
      <w:pPr>
        <w:numPr>
          <w:ilvl w:val="0"/>
          <w:numId w:val="50"/>
        </w:numPr>
        <w:tabs>
          <w:tab w:val="left" w:pos="720"/>
        </w:tabs>
        <w:spacing w:after="0"/>
        <w:ind w:left="720"/>
        <w:rPr>
          <w:color w:val="0070C0"/>
          <w:sz w:val="24"/>
          <w:szCs w:val="24"/>
        </w:rPr>
      </w:pPr>
      <w:r w:rsidRPr="002C03D0">
        <w:rPr>
          <w:sz w:val="24"/>
          <w:szCs w:val="24"/>
        </w:rPr>
        <w:t xml:space="preserve">For assistance with problems or questions about joining or attending the meeting, please call </w:t>
      </w:r>
      <w:r w:rsidR="002D548B" w:rsidRPr="002C03D0">
        <w:rPr>
          <w:sz w:val="24"/>
          <w:szCs w:val="24"/>
        </w:rPr>
        <w:t xml:space="preserve">Zoom </w:t>
      </w:r>
      <w:r w:rsidRPr="002C03D0">
        <w:rPr>
          <w:sz w:val="24"/>
          <w:szCs w:val="24"/>
        </w:rPr>
        <w:t xml:space="preserve">Technical Support at </w:t>
      </w:r>
      <w:r w:rsidR="00343A6C" w:rsidRPr="002C03D0">
        <w:rPr>
          <w:b/>
          <w:sz w:val="24"/>
          <w:szCs w:val="24"/>
        </w:rPr>
        <w:t>1-888-799-9666 ext</w:t>
      </w:r>
      <w:r w:rsidR="009A07CF" w:rsidRPr="002C03D0">
        <w:rPr>
          <w:b/>
          <w:sz w:val="24"/>
          <w:szCs w:val="24"/>
        </w:rPr>
        <w:t xml:space="preserve">. </w:t>
      </w:r>
      <w:r w:rsidR="00CF60B7" w:rsidRPr="002C03D0">
        <w:rPr>
          <w:b/>
          <w:sz w:val="24"/>
          <w:szCs w:val="24"/>
        </w:rPr>
        <w:t>2.</w:t>
      </w:r>
      <w:r w:rsidRPr="002C03D0">
        <w:rPr>
          <w:sz w:val="24"/>
          <w:szCs w:val="24"/>
        </w:rPr>
        <w:t xml:space="preserve">  You may also contact </w:t>
      </w:r>
      <w:r w:rsidR="00712C64" w:rsidRPr="002C03D0">
        <w:rPr>
          <w:sz w:val="24"/>
          <w:szCs w:val="24"/>
        </w:rPr>
        <w:t>the CEC’s Public Advisor’s Office at publicadvisor@energy.ca.gov, or 800-822-622</w:t>
      </w:r>
      <w:r w:rsidR="0043460E" w:rsidRPr="002C03D0">
        <w:rPr>
          <w:sz w:val="24"/>
          <w:szCs w:val="24"/>
        </w:rPr>
        <w:t>8</w:t>
      </w:r>
      <w:r w:rsidRPr="002C03D0">
        <w:rPr>
          <w:sz w:val="24"/>
          <w:szCs w:val="24"/>
        </w:rPr>
        <w:t>.</w:t>
      </w:r>
    </w:p>
    <w:p w14:paraId="1478D0B9" w14:textId="77777777" w:rsidR="003F6147" w:rsidRPr="002C03D0" w:rsidRDefault="003F6147" w:rsidP="002C03D0">
      <w:pPr>
        <w:numPr>
          <w:ilvl w:val="0"/>
          <w:numId w:val="50"/>
        </w:numPr>
        <w:tabs>
          <w:tab w:val="left" w:pos="810"/>
        </w:tabs>
        <w:spacing w:after="0"/>
        <w:ind w:left="450" w:hanging="90"/>
        <w:rPr>
          <w:b/>
          <w:sz w:val="24"/>
          <w:szCs w:val="24"/>
          <w:u w:val="single"/>
        </w:rPr>
      </w:pPr>
      <w:r w:rsidRPr="002C03D0">
        <w:rPr>
          <w:sz w:val="24"/>
          <w:szCs w:val="24"/>
        </w:rPr>
        <w:t>System Requirements: To determine whether your computer is compatible, visit:</w:t>
      </w:r>
    </w:p>
    <w:p w14:paraId="79EBFD34" w14:textId="341A7418" w:rsidR="003F6147" w:rsidRPr="002C03D0" w:rsidRDefault="003F6147" w:rsidP="002C03D0">
      <w:pPr>
        <w:tabs>
          <w:tab w:val="left" w:pos="810"/>
        </w:tabs>
        <w:spacing w:after="0"/>
        <w:ind w:left="720"/>
        <w:rPr>
          <w:color w:val="0000FF"/>
          <w:sz w:val="24"/>
          <w:szCs w:val="24"/>
        </w:rPr>
      </w:pPr>
      <w:r w:rsidRPr="002C03D0">
        <w:rPr>
          <w:sz w:val="24"/>
          <w:szCs w:val="24"/>
        </w:rPr>
        <w:tab/>
      </w:r>
      <w:hyperlink r:id="rId22" w:history="1">
        <w:r w:rsidR="002275CB" w:rsidRPr="002C03D0">
          <w:rPr>
            <w:rStyle w:val="Hyperlink"/>
            <w:rFonts w:cs="Arial"/>
            <w:sz w:val="24"/>
            <w:szCs w:val="24"/>
          </w:rPr>
          <w:t>https://support.zoom.us/hc/en-us/articles/201362023-System-requirements-for-Windows-macOS-and-Linux</w:t>
        </w:r>
      </w:hyperlink>
      <w:r w:rsidRPr="002C03D0">
        <w:rPr>
          <w:sz w:val="24"/>
          <w:szCs w:val="24"/>
        </w:rPr>
        <w:t>.</w:t>
      </w:r>
    </w:p>
    <w:p w14:paraId="2487F463" w14:textId="4B3AE74D" w:rsidR="003F6147" w:rsidRPr="002C03D0" w:rsidRDefault="003F6147" w:rsidP="002C03D0">
      <w:pPr>
        <w:numPr>
          <w:ilvl w:val="0"/>
          <w:numId w:val="50"/>
        </w:numPr>
        <w:tabs>
          <w:tab w:val="left" w:pos="810"/>
        </w:tabs>
        <w:spacing w:after="0"/>
        <w:ind w:left="810" w:hanging="450"/>
        <w:rPr>
          <w:b/>
          <w:sz w:val="24"/>
          <w:szCs w:val="24"/>
          <w:u w:val="single"/>
        </w:rPr>
      </w:pPr>
      <w:r w:rsidRPr="002C03D0">
        <w:rPr>
          <w:sz w:val="24"/>
          <w:szCs w:val="24"/>
        </w:rPr>
        <w:t>If you have a disability and require assistance to participate, please Erica Rodriguez</w:t>
      </w:r>
      <w:r w:rsidRPr="002C03D0" w:rsidDel="00205C49">
        <w:rPr>
          <w:sz w:val="24"/>
          <w:szCs w:val="24"/>
        </w:rPr>
        <w:t xml:space="preserve"> </w:t>
      </w:r>
      <w:r w:rsidRPr="002C03D0">
        <w:rPr>
          <w:sz w:val="24"/>
          <w:szCs w:val="24"/>
        </w:rPr>
        <w:t xml:space="preserve">by e-mail at </w:t>
      </w:r>
      <w:hyperlink r:id="rId23" w:history="1">
        <w:r w:rsidRPr="002C03D0">
          <w:rPr>
            <w:rStyle w:val="Hyperlink"/>
            <w:rFonts w:cs="Arial"/>
            <w:sz w:val="24"/>
            <w:szCs w:val="24"/>
          </w:rPr>
          <w:t>Erica.Rodriguez@energy.ca.gov</w:t>
        </w:r>
      </w:hyperlink>
      <w:r w:rsidRPr="002C03D0">
        <w:rPr>
          <w:sz w:val="24"/>
          <w:szCs w:val="24"/>
        </w:rPr>
        <w:t xml:space="preserve"> or (916) 654-4314 at least five days in advance. </w:t>
      </w:r>
    </w:p>
    <w:p w14:paraId="0EB72FEB" w14:textId="77777777" w:rsidR="00B703F3" w:rsidRPr="002C03D0" w:rsidRDefault="00B703F3" w:rsidP="002C03D0">
      <w:pPr>
        <w:tabs>
          <w:tab w:val="left" w:pos="810"/>
        </w:tabs>
        <w:spacing w:after="0"/>
        <w:ind w:left="810"/>
        <w:rPr>
          <w:b/>
          <w:sz w:val="24"/>
          <w:szCs w:val="24"/>
          <w:u w:val="single"/>
        </w:rPr>
      </w:pPr>
    </w:p>
    <w:p w14:paraId="24B5F575" w14:textId="77777777" w:rsidR="003F6147" w:rsidRPr="00756BAC" w:rsidRDefault="003F6147" w:rsidP="002C03D0">
      <w:pPr>
        <w:pStyle w:val="Heading2"/>
        <w:numPr>
          <w:ilvl w:val="0"/>
          <w:numId w:val="54"/>
        </w:numPr>
      </w:pPr>
      <w:bookmarkStart w:id="29" w:name="_Toc458602327"/>
      <w:bookmarkStart w:id="30" w:name="_Toc121421335"/>
      <w:bookmarkStart w:id="31" w:name="_Toc336443625"/>
      <w:bookmarkStart w:id="32" w:name="_Toc366671181"/>
      <w:bookmarkStart w:id="33" w:name="_Toc219275088"/>
      <w:r w:rsidRPr="00756BAC">
        <w:t>Questions</w:t>
      </w:r>
      <w:bookmarkEnd w:id="29"/>
      <w:bookmarkEnd w:id="30"/>
    </w:p>
    <w:p w14:paraId="73964DFC" w14:textId="77777777" w:rsidR="003F6147" w:rsidRPr="002C03D0" w:rsidRDefault="003F6147" w:rsidP="002C03D0">
      <w:pPr>
        <w:rPr>
          <w:sz w:val="24"/>
          <w:szCs w:val="22"/>
        </w:rPr>
      </w:pPr>
      <w:r w:rsidRPr="002C03D0">
        <w:rPr>
          <w:sz w:val="24"/>
          <w:szCs w:val="22"/>
        </w:rPr>
        <w:t>During the solicitation process, direct questions to the Commission Agreement Officer listed below:</w:t>
      </w:r>
    </w:p>
    <w:p w14:paraId="683ABD7F" w14:textId="2B415C79" w:rsidR="003F6147" w:rsidRPr="002C03D0" w:rsidRDefault="002B5FE9" w:rsidP="002C03D0">
      <w:pPr>
        <w:contextualSpacing/>
        <w:rPr>
          <w:color w:val="000000" w:themeColor="text1"/>
          <w:sz w:val="24"/>
          <w:szCs w:val="22"/>
        </w:rPr>
      </w:pPr>
      <w:r w:rsidRPr="002C03D0">
        <w:rPr>
          <w:color w:val="000000" w:themeColor="text1"/>
          <w:sz w:val="24"/>
          <w:szCs w:val="22"/>
        </w:rPr>
        <w:t>Phil Dyer,</w:t>
      </w:r>
      <w:r w:rsidR="003F6147" w:rsidRPr="002C03D0">
        <w:rPr>
          <w:color w:val="000000" w:themeColor="text1"/>
          <w:sz w:val="24"/>
          <w:szCs w:val="22"/>
        </w:rPr>
        <w:t xml:space="preserve"> Commission Agreement Officer</w:t>
      </w:r>
    </w:p>
    <w:p w14:paraId="3084A234" w14:textId="77777777" w:rsidR="003F6147" w:rsidRPr="002C03D0" w:rsidRDefault="003F6147" w:rsidP="002C03D0">
      <w:pPr>
        <w:contextualSpacing/>
        <w:rPr>
          <w:color w:val="000000" w:themeColor="text1"/>
          <w:sz w:val="24"/>
          <w:szCs w:val="22"/>
        </w:rPr>
      </w:pPr>
      <w:r w:rsidRPr="002C03D0">
        <w:rPr>
          <w:color w:val="000000" w:themeColor="text1"/>
          <w:sz w:val="24"/>
          <w:szCs w:val="22"/>
        </w:rPr>
        <w:t>California Energy Commission</w:t>
      </w:r>
    </w:p>
    <w:p w14:paraId="6B4F8266" w14:textId="320AC8DF" w:rsidR="003F6147" w:rsidRPr="002C03D0" w:rsidRDefault="00B06231" w:rsidP="002C03D0">
      <w:pPr>
        <w:contextualSpacing/>
        <w:rPr>
          <w:color w:val="000000" w:themeColor="text1"/>
          <w:sz w:val="24"/>
          <w:szCs w:val="22"/>
        </w:rPr>
      </w:pPr>
      <w:r w:rsidRPr="002C03D0">
        <w:rPr>
          <w:color w:val="000000" w:themeColor="text1"/>
          <w:sz w:val="24"/>
          <w:szCs w:val="22"/>
        </w:rPr>
        <w:t>715 P</w:t>
      </w:r>
      <w:r w:rsidR="003F6147" w:rsidRPr="002C03D0">
        <w:rPr>
          <w:color w:val="000000" w:themeColor="text1"/>
          <w:sz w:val="24"/>
          <w:szCs w:val="22"/>
        </w:rPr>
        <w:t>, MS-1</w:t>
      </w:r>
    </w:p>
    <w:p w14:paraId="644A7744" w14:textId="0ACD6B20" w:rsidR="003F6147" w:rsidRPr="002C03D0" w:rsidRDefault="003F6147" w:rsidP="002C03D0">
      <w:pPr>
        <w:contextualSpacing/>
        <w:rPr>
          <w:color w:val="000000" w:themeColor="text1"/>
          <w:sz w:val="24"/>
          <w:szCs w:val="22"/>
        </w:rPr>
      </w:pPr>
      <w:r w:rsidRPr="002C03D0">
        <w:rPr>
          <w:color w:val="000000" w:themeColor="text1"/>
          <w:sz w:val="24"/>
          <w:szCs w:val="22"/>
        </w:rPr>
        <w:t>Sacramento, California</w:t>
      </w:r>
      <w:r w:rsidR="00624855" w:rsidRPr="002C03D0">
        <w:rPr>
          <w:color w:val="000000" w:themeColor="text1"/>
          <w:sz w:val="24"/>
          <w:szCs w:val="22"/>
        </w:rPr>
        <w:t>,</w:t>
      </w:r>
      <w:r w:rsidRPr="002C03D0">
        <w:rPr>
          <w:color w:val="000000" w:themeColor="text1"/>
          <w:sz w:val="24"/>
          <w:szCs w:val="22"/>
        </w:rPr>
        <w:t xml:space="preserve"> 95814</w:t>
      </w:r>
    </w:p>
    <w:p w14:paraId="2827A557" w14:textId="1BF0CF8F" w:rsidR="003F6147" w:rsidRPr="002C03D0" w:rsidRDefault="003F6147" w:rsidP="002C03D0">
      <w:pPr>
        <w:spacing w:after="0"/>
        <w:contextualSpacing/>
        <w:rPr>
          <w:color w:val="000000" w:themeColor="text1"/>
          <w:sz w:val="24"/>
          <w:szCs w:val="22"/>
        </w:rPr>
      </w:pPr>
      <w:r w:rsidRPr="002C03D0">
        <w:rPr>
          <w:color w:val="000000" w:themeColor="text1"/>
          <w:sz w:val="24"/>
          <w:szCs w:val="22"/>
        </w:rPr>
        <w:t xml:space="preserve">E-mail: </w:t>
      </w:r>
      <w:hyperlink r:id="rId24" w:history="1">
        <w:r w:rsidR="00725B48" w:rsidRPr="002C03D0">
          <w:rPr>
            <w:rStyle w:val="Hyperlink"/>
            <w:rFonts w:cs="Arial"/>
            <w:sz w:val="24"/>
            <w:szCs w:val="22"/>
          </w:rPr>
          <w:t>Phil.Dyer</w:t>
        </w:r>
        <w:r w:rsidRPr="002C03D0">
          <w:rPr>
            <w:rStyle w:val="Hyperlink"/>
            <w:rFonts w:cs="Arial"/>
            <w:sz w:val="24"/>
            <w:szCs w:val="22"/>
          </w:rPr>
          <w:t>@energy.ca.gov</w:t>
        </w:r>
      </w:hyperlink>
    </w:p>
    <w:p w14:paraId="13FEBABF" w14:textId="77777777" w:rsidR="003F6147" w:rsidRPr="002C03D0" w:rsidRDefault="003F6147" w:rsidP="002C03D0">
      <w:pPr>
        <w:spacing w:after="0"/>
        <w:rPr>
          <w:sz w:val="24"/>
          <w:szCs w:val="22"/>
        </w:rPr>
      </w:pPr>
    </w:p>
    <w:p w14:paraId="2E4EF772" w14:textId="05935AA8" w:rsidR="003F6147" w:rsidRPr="002C03D0" w:rsidRDefault="003F6147" w:rsidP="002C03D0">
      <w:pPr>
        <w:rPr>
          <w:sz w:val="24"/>
          <w:szCs w:val="22"/>
        </w:rPr>
      </w:pPr>
      <w:r w:rsidRPr="002C03D0">
        <w:rPr>
          <w:sz w:val="24"/>
          <w:szCs w:val="24"/>
        </w:rPr>
        <w:t xml:space="preserve">Applicants may ask questions at the Pre-Application Workshop and may submit written questions via </w:t>
      </w:r>
      <w:r w:rsidR="0017584F" w:rsidRPr="002C03D0">
        <w:rPr>
          <w:sz w:val="24"/>
          <w:szCs w:val="24"/>
        </w:rPr>
        <w:t>e</w:t>
      </w:r>
      <w:r w:rsidRPr="002C03D0">
        <w:rPr>
          <w:sz w:val="24"/>
          <w:szCs w:val="24"/>
        </w:rPr>
        <w:t xml:space="preserve">mail. However, all </w:t>
      </w:r>
      <w:r w:rsidRPr="002C03D0">
        <w:rPr>
          <w:b/>
          <w:sz w:val="24"/>
          <w:szCs w:val="24"/>
        </w:rPr>
        <w:t>technical</w:t>
      </w:r>
      <w:r w:rsidRPr="002C03D0">
        <w:rPr>
          <w:sz w:val="24"/>
          <w:szCs w:val="24"/>
        </w:rPr>
        <w:t xml:space="preserve"> questions must be received by the deadline listed in the “Key Activities Schedule” above. Questions received after the deadline may be answered at the CEC's discretion. </w:t>
      </w:r>
      <w:r w:rsidRPr="002C03D0">
        <w:rPr>
          <w:b/>
          <w:sz w:val="24"/>
          <w:szCs w:val="22"/>
        </w:rPr>
        <w:t>Non-technical</w:t>
      </w:r>
      <w:r w:rsidRPr="002C03D0">
        <w:rPr>
          <w:sz w:val="24"/>
          <w:szCs w:val="22"/>
        </w:rPr>
        <w:t xml:space="preserve"> questions (e.g., questions concerning application format requirements or attachment instructions) may be submitted to the Commission Agreement Officer (CAO) at any time prior </w:t>
      </w:r>
      <w:r w:rsidR="00EA0DCF" w:rsidRPr="002C03D0">
        <w:rPr>
          <w:sz w:val="24"/>
          <w:szCs w:val="22"/>
        </w:rPr>
        <w:t xml:space="preserve">to 5:00 p.m. of </w:t>
      </w:r>
      <w:r w:rsidRPr="002C03D0">
        <w:rPr>
          <w:sz w:val="24"/>
          <w:szCs w:val="22"/>
        </w:rPr>
        <w:t>the application deadline</w:t>
      </w:r>
      <w:r w:rsidR="005328D6" w:rsidRPr="002C03D0">
        <w:rPr>
          <w:sz w:val="24"/>
          <w:szCs w:val="22"/>
        </w:rPr>
        <w:t xml:space="preserve"> date</w:t>
      </w:r>
      <w:r w:rsidRPr="002C03D0">
        <w:rPr>
          <w:sz w:val="24"/>
          <w:szCs w:val="22"/>
        </w:rPr>
        <w:t xml:space="preserve">. </w:t>
      </w:r>
    </w:p>
    <w:p w14:paraId="2677A3E3" w14:textId="749C2178" w:rsidR="003F6147" w:rsidRPr="002C03D0" w:rsidRDefault="003F6147" w:rsidP="002C03D0">
      <w:pPr>
        <w:spacing w:before="240"/>
        <w:rPr>
          <w:sz w:val="24"/>
          <w:szCs w:val="22"/>
        </w:rPr>
      </w:pPr>
      <w:r w:rsidRPr="002C03D0">
        <w:rPr>
          <w:sz w:val="24"/>
          <w:szCs w:val="22"/>
        </w:rPr>
        <w:t xml:space="preserve">The questions and answers will also be posted on the Commission’s website at: </w:t>
      </w:r>
      <w:hyperlink r:id="rId25" w:history="1">
        <w:r w:rsidR="005B073B" w:rsidRPr="002C03D0">
          <w:rPr>
            <w:rStyle w:val="Hyperlink"/>
            <w:rFonts w:cs="Arial"/>
            <w:sz w:val="24"/>
            <w:szCs w:val="22"/>
          </w:rPr>
          <w:t>https://www.energy.ca.gov/funding-opportunities/solicitations</w:t>
        </w:r>
      </w:hyperlink>
    </w:p>
    <w:p w14:paraId="56D6FC47" w14:textId="7648CBB3" w:rsidR="003F6147" w:rsidRPr="002C03D0" w:rsidRDefault="003F6147" w:rsidP="002C03D0">
      <w:pPr>
        <w:rPr>
          <w:sz w:val="24"/>
          <w:szCs w:val="24"/>
        </w:rPr>
      </w:pPr>
      <w:r w:rsidRPr="002C03D0">
        <w:rPr>
          <w:sz w:val="24"/>
          <w:szCs w:val="24"/>
        </w:rPr>
        <w:t xml:space="preserve">If an applicant discovers a </w:t>
      </w:r>
      <w:r w:rsidRPr="002C03D0">
        <w:rPr>
          <w:b/>
          <w:sz w:val="24"/>
          <w:szCs w:val="24"/>
        </w:rPr>
        <w:t>conflict, discrepancy, omission, or other error</w:t>
      </w:r>
      <w:r w:rsidRPr="002C03D0">
        <w:rPr>
          <w:sz w:val="24"/>
          <w:szCs w:val="24"/>
        </w:rPr>
        <w:t xml:space="preserve"> in the solicitation at any time prior </w:t>
      </w:r>
      <w:r w:rsidR="000C0561" w:rsidRPr="002C03D0">
        <w:rPr>
          <w:sz w:val="24"/>
          <w:szCs w:val="24"/>
        </w:rPr>
        <w:t xml:space="preserve">5:00 p.m. of </w:t>
      </w:r>
      <w:r w:rsidRPr="002C03D0">
        <w:rPr>
          <w:sz w:val="24"/>
          <w:szCs w:val="24"/>
        </w:rPr>
        <w:t>the application deadline</w:t>
      </w:r>
      <w:r w:rsidR="00FE22E5" w:rsidRPr="002C03D0">
        <w:rPr>
          <w:sz w:val="24"/>
          <w:szCs w:val="24"/>
        </w:rPr>
        <w:t xml:space="preserve"> date</w:t>
      </w:r>
      <w:r w:rsidRPr="002C03D0">
        <w:rPr>
          <w:sz w:val="24"/>
          <w:szCs w:val="24"/>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Pr="002C03D0" w:rsidRDefault="003F6147" w:rsidP="002C03D0">
      <w:pPr>
        <w:spacing w:before="240"/>
        <w:rPr>
          <w:b/>
          <w:sz w:val="24"/>
          <w:szCs w:val="22"/>
        </w:rPr>
      </w:pPr>
      <w:r w:rsidRPr="002C03D0">
        <w:rPr>
          <w:b/>
          <w:sz w:val="24"/>
          <w:szCs w:val="22"/>
        </w:rPr>
        <w:t xml:space="preserve">Any verbal communication with a Commission employee </w:t>
      </w:r>
      <w:r w:rsidR="00276673" w:rsidRPr="002C03D0">
        <w:rPr>
          <w:b/>
          <w:sz w:val="24"/>
          <w:szCs w:val="22"/>
        </w:rPr>
        <w:t xml:space="preserve">or anyone else </w:t>
      </w:r>
      <w:r w:rsidRPr="002C03D0">
        <w:rPr>
          <w:b/>
          <w:sz w:val="24"/>
          <w:szCs w:val="22"/>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Pr="002C03D0" w:rsidRDefault="00B703F3" w:rsidP="002C03D0">
      <w:pPr>
        <w:spacing w:before="240"/>
        <w:rPr>
          <w:b/>
          <w:sz w:val="24"/>
          <w:szCs w:val="22"/>
        </w:rPr>
      </w:pPr>
    </w:p>
    <w:p w14:paraId="7ABEF265" w14:textId="77777777" w:rsidR="00BA3BBD" w:rsidRPr="00BA3BBD" w:rsidRDefault="00BA3BBD" w:rsidP="002C03D0">
      <w:pPr>
        <w:pStyle w:val="Heading2"/>
        <w:numPr>
          <w:ilvl w:val="0"/>
          <w:numId w:val="54"/>
        </w:numPr>
        <w:rPr>
          <w:b w:val="0"/>
          <w:smallCaps w:val="0"/>
        </w:rPr>
      </w:pPr>
      <w:bookmarkStart w:id="34" w:name="_Toc522777845"/>
      <w:bookmarkStart w:id="35" w:name="_Toc26361578"/>
      <w:bookmarkStart w:id="36" w:name="_Toc121421336"/>
      <w:r w:rsidRPr="002D46F7">
        <w:t>Applicants’ Admonishment</w:t>
      </w:r>
      <w:bookmarkEnd w:id="34"/>
      <w:bookmarkEnd w:id="35"/>
      <w:bookmarkEnd w:id="36"/>
    </w:p>
    <w:p w14:paraId="0A661823" w14:textId="0F90F2D2" w:rsidR="00BA3BBD" w:rsidRPr="002C03D0" w:rsidRDefault="00BA3BBD" w:rsidP="002C03D0">
      <w:pPr>
        <w:rPr>
          <w:sz w:val="24"/>
          <w:szCs w:val="22"/>
        </w:rPr>
      </w:pPr>
      <w:r w:rsidRPr="002C03D0">
        <w:rPr>
          <w:sz w:val="24"/>
          <w:szCs w:val="22"/>
        </w:rPr>
        <w:t xml:space="preserve">This solicitation contains application requirements and instructions.  Applicants are responsible for </w:t>
      </w:r>
      <w:r w:rsidRPr="002C03D0">
        <w:rPr>
          <w:b/>
          <w:sz w:val="24"/>
          <w:szCs w:val="22"/>
        </w:rPr>
        <w:t>carefully reading</w:t>
      </w:r>
      <w:r w:rsidRPr="002C03D0">
        <w:rPr>
          <w:sz w:val="24"/>
          <w:szCs w:val="22"/>
        </w:rPr>
        <w:t xml:space="preserve"> the solicitation, asking appropriate questions in a timely manner, ensuring that all solicitation requirements are met, submitting all required responses in a complete manner by the required date and time, and </w:t>
      </w:r>
      <w:r w:rsidRPr="002C03D0">
        <w:rPr>
          <w:b/>
          <w:sz w:val="24"/>
          <w:szCs w:val="22"/>
        </w:rPr>
        <w:t>carefully rereading</w:t>
      </w:r>
      <w:r w:rsidRPr="002C03D0">
        <w:rPr>
          <w:sz w:val="24"/>
          <w:szCs w:val="22"/>
        </w:rPr>
        <w:t xml:space="preserve"> the solicitation before </w:t>
      </w:r>
      <w:proofErr w:type="gramStart"/>
      <w:r w:rsidRPr="002C03D0">
        <w:rPr>
          <w:sz w:val="24"/>
          <w:szCs w:val="22"/>
        </w:rPr>
        <w:t>submitting an application</w:t>
      </w:r>
      <w:proofErr w:type="gramEnd"/>
      <w:r w:rsidRPr="002C03D0">
        <w:rPr>
          <w:sz w:val="24"/>
          <w:szCs w:val="22"/>
        </w:rPr>
        <w:t xml:space="preserve">.  In particular, please carefully read the </w:t>
      </w:r>
      <w:r w:rsidRPr="002C03D0">
        <w:rPr>
          <w:b/>
          <w:sz w:val="24"/>
          <w:szCs w:val="22"/>
        </w:rPr>
        <w:t>Screening/Scoring Criteria and</w:t>
      </w:r>
      <w:r w:rsidRPr="002C03D0">
        <w:rPr>
          <w:sz w:val="24"/>
          <w:szCs w:val="22"/>
        </w:rPr>
        <w:t xml:space="preserve"> </w:t>
      </w:r>
      <w:r w:rsidRPr="002C03D0">
        <w:rPr>
          <w:b/>
          <w:sz w:val="24"/>
          <w:szCs w:val="22"/>
        </w:rPr>
        <w:t xml:space="preserve">Grounds for Rejection </w:t>
      </w:r>
      <w:r w:rsidRPr="002C03D0">
        <w:rPr>
          <w:sz w:val="24"/>
          <w:szCs w:val="22"/>
        </w:rPr>
        <w:t xml:space="preserve">in Part IV, and the relevant EPIC Grant terms and conditions located at: </w:t>
      </w:r>
      <w:hyperlink r:id="rId26" w:history="1">
        <w:r w:rsidRPr="002C03D0">
          <w:rPr>
            <w:rStyle w:val="Hyperlink"/>
            <w:rFonts w:cs="Arial"/>
            <w:sz w:val="24"/>
            <w:szCs w:val="22"/>
          </w:rPr>
          <w:t xml:space="preserve">http://www.energy.ca.gov/research/contractors.html. </w:t>
        </w:r>
      </w:hyperlink>
      <w:r w:rsidRPr="002C03D0">
        <w:rPr>
          <w:sz w:val="24"/>
          <w:szCs w:val="22"/>
        </w:rPr>
        <w:t xml:space="preserve"> </w:t>
      </w:r>
    </w:p>
    <w:p w14:paraId="09B8AB8B" w14:textId="77777777" w:rsidR="00BA3BBD" w:rsidRPr="002C03D0" w:rsidRDefault="00BA3BBD" w:rsidP="002C03D0">
      <w:pPr>
        <w:rPr>
          <w:sz w:val="24"/>
          <w:szCs w:val="22"/>
        </w:rPr>
      </w:pPr>
      <w:bookmarkStart w:id="37" w:name="_Toc433981277"/>
      <w:bookmarkStart w:id="38" w:name="_Toc395180625"/>
      <w:bookmarkStart w:id="39" w:name="_Toc382571127"/>
      <w:bookmarkStart w:id="40" w:name="_Toc381079868"/>
      <w:r w:rsidRPr="002C03D0">
        <w:rPr>
          <w:sz w:val="24"/>
          <w:szCs w:val="22"/>
        </w:rPr>
        <w:t>Applicants are solely responsible for the cost of developing applications.  This cost cannot be charged to the State.  All submitted documents will become publicly available records upon the posting of the Notice of Proposed Award.</w:t>
      </w:r>
      <w:bookmarkEnd w:id="37"/>
      <w:bookmarkEnd w:id="38"/>
      <w:bookmarkEnd w:id="39"/>
      <w:bookmarkEnd w:id="40"/>
    </w:p>
    <w:p w14:paraId="0C99A926" w14:textId="77777777" w:rsidR="00B703F3" w:rsidRPr="00BA3BBD" w:rsidRDefault="00B703F3" w:rsidP="002C03D0">
      <w:pPr>
        <w:rPr>
          <w:b/>
        </w:rPr>
      </w:pPr>
    </w:p>
    <w:p w14:paraId="7DFACC60" w14:textId="50D53F3C" w:rsidR="00BA3BBD" w:rsidRPr="009F6FFB" w:rsidRDefault="009F6FFB" w:rsidP="002C03D0">
      <w:pPr>
        <w:pStyle w:val="Heading2"/>
        <w:numPr>
          <w:ilvl w:val="0"/>
          <w:numId w:val="54"/>
        </w:numPr>
      </w:pPr>
      <w:bookmarkStart w:id="41" w:name="_Toc522777846"/>
      <w:bookmarkStart w:id="42" w:name="_Toc26361579"/>
      <w:bookmarkStart w:id="43" w:name="_Toc121421337"/>
      <w:bookmarkStart w:id="44" w:name="AddReq"/>
      <w:r>
        <w:t>A</w:t>
      </w:r>
      <w:r w:rsidR="00BA3BBD" w:rsidRPr="009F6FFB">
        <w:t xml:space="preserve">dditional </w:t>
      </w:r>
      <w:r>
        <w:t>R</w:t>
      </w:r>
      <w:r w:rsidR="00BA3BBD" w:rsidRPr="009F6FFB">
        <w:t>equirements</w:t>
      </w:r>
      <w:bookmarkEnd w:id="41"/>
      <w:bookmarkEnd w:id="42"/>
      <w:bookmarkEnd w:id="43"/>
    </w:p>
    <w:bookmarkEnd w:id="44"/>
    <w:p w14:paraId="197F7A36" w14:textId="13EAD86D" w:rsidR="00BA3BBD" w:rsidRPr="002C03D0" w:rsidRDefault="00BA3BBD" w:rsidP="002C03D0">
      <w:pPr>
        <w:numPr>
          <w:ilvl w:val="0"/>
          <w:numId w:val="62"/>
        </w:numPr>
        <w:tabs>
          <w:tab w:val="clear" w:pos="720"/>
        </w:tabs>
        <w:spacing w:after="160"/>
        <w:ind w:left="360" w:right="720" w:hanging="360"/>
        <w:rPr>
          <w:sz w:val="24"/>
          <w:szCs w:val="24"/>
        </w:rPr>
      </w:pPr>
      <w:r w:rsidRPr="002C03D0">
        <w:rPr>
          <w:sz w:val="24"/>
          <w:szCs w:val="24"/>
        </w:rPr>
        <w:t xml:space="preserve">Time is of the essence. Funds available under this solicitation have encumbrance deadlines as early </w:t>
      </w:r>
      <w:r w:rsidRPr="002C03D0">
        <w:rPr>
          <w:color w:val="000000" w:themeColor="text1"/>
          <w:sz w:val="24"/>
          <w:szCs w:val="24"/>
        </w:rPr>
        <w:t xml:space="preserve">as </w:t>
      </w:r>
      <w:r w:rsidR="00A511B4" w:rsidRPr="002C03D0">
        <w:rPr>
          <w:color w:val="000000" w:themeColor="text1"/>
          <w:sz w:val="24"/>
          <w:szCs w:val="22"/>
        </w:rPr>
        <w:t>June</w:t>
      </w:r>
      <w:r w:rsidRPr="002C03D0">
        <w:rPr>
          <w:color w:val="000000" w:themeColor="text1"/>
          <w:sz w:val="24"/>
          <w:szCs w:val="22"/>
        </w:rPr>
        <w:t xml:space="preserve"> 30, </w:t>
      </w:r>
      <w:r w:rsidR="006D6BEB" w:rsidRPr="002C03D0">
        <w:rPr>
          <w:color w:val="000000" w:themeColor="text1"/>
          <w:sz w:val="24"/>
          <w:szCs w:val="22"/>
        </w:rPr>
        <w:t>2024</w:t>
      </w:r>
      <w:r w:rsidRPr="002C03D0">
        <w:rPr>
          <w:color w:val="000000" w:themeColor="text1"/>
          <w:sz w:val="24"/>
          <w:szCs w:val="24"/>
        </w:rPr>
        <w:t xml:space="preserve">.  This means that the CEC must approve proposed awards at a business meeting (usually held monthly) prior to </w:t>
      </w:r>
      <w:r w:rsidR="00A511B4" w:rsidRPr="002C03D0">
        <w:rPr>
          <w:color w:val="000000" w:themeColor="text1"/>
          <w:sz w:val="24"/>
          <w:szCs w:val="24"/>
        </w:rPr>
        <w:t>June</w:t>
      </w:r>
      <w:r w:rsidRPr="002C03D0">
        <w:rPr>
          <w:color w:val="000000" w:themeColor="text1"/>
          <w:sz w:val="24"/>
          <w:szCs w:val="24"/>
        </w:rPr>
        <w:t xml:space="preserve"> 30</w:t>
      </w:r>
      <w:r w:rsidRPr="002C03D0">
        <w:rPr>
          <w:color w:val="000000" w:themeColor="text1"/>
          <w:sz w:val="24"/>
          <w:szCs w:val="22"/>
        </w:rPr>
        <w:t xml:space="preserve">, </w:t>
      </w:r>
      <w:proofErr w:type="gramStart"/>
      <w:r w:rsidR="006D6BEB" w:rsidRPr="002C03D0">
        <w:rPr>
          <w:color w:val="000000" w:themeColor="text1"/>
          <w:sz w:val="24"/>
          <w:szCs w:val="22"/>
        </w:rPr>
        <w:t>2024</w:t>
      </w:r>
      <w:proofErr w:type="gramEnd"/>
      <w:r w:rsidRPr="002C03D0">
        <w:rPr>
          <w:color w:val="000000" w:themeColor="text1"/>
          <w:sz w:val="24"/>
          <w:szCs w:val="24"/>
        </w:rPr>
        <w:t xml:space="preserve"> in order to avoid expiration of the funds. Prior to approval and encumbrance, the CEC must comply with the California </w:t>
      </w:r>
      <w:r w:rsidRPr="002C03D0">
        <w:rPr>
          <w:sz w:val="24"/>
          <w:szCs w:val="24"/>
        </w:rPr>
        <w:t xml:space="preserve">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rsidRPr="002C03D0">
        <w:rPr>
          <w:sz w:val="24"/>
          <w:szCs w:val="24"/>
        </w:rPr>
        <w:t>is able to</w:t>
      </w:r>
      <w:proofErr w:type="gramEnd"/>
      <w:r w:rsidRPr="002C03D0">
        <w:rPr>
          <w:sz w:val="24"/>
          <w:szCs w:val="24"/>
        </w:rPr>
        <w:t xml:space="preserve"> complete its review in time for it to meet its encumbrance deadline.</w:t>
      </w:r>
    </w:p>
    <w:p w14:paraId="4A801C7E" w14:textId="77777777" w:rsidR="00BA3BBD" w:rsidRPr="002C03D0" w:rsidRDefault="00BA3BBD" w:rsidP="002C03D0">
      <w:pPr>
        <w:numPr>
          <w:ilvl w:val="0"/>
          <w:numId w:val="62"/>
        </w:numPr>
        <w:tabs>
          <w:tab w:val="clear" w:pos="720"/>
        </w:tabs>
        <w:spacing w:after="160"/>
        <w:ind w:left="360" w:right="720" w:hanging="360"/>
        <w:rPr>
          <w:sz w:val="24"/>
          <w:szCs w:val="24"/>
        </w:rPr>
      </w:pPr>
      <w:r w:rsidRPr="002C03D0">
        <w:rPr>
          <w:sz w:val="24"/>
          <w:szCs w:val="24"/>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2C03D0">
        <w:rPr>
          <w:sz w:val="24"/>
          <w:szCs w:val="22"/>
        </w:rPr>
        <w:t>Examples of situations that may arise related to CEQA review include but are not limited to</w:t>
      </w:r>
      <w:r w:rsidRPr="002C03D0">
        <w:rPr>
          <w:sz w:val="24"/>
          <w:szCs w:val="24"/>
        </w:rPr>
        <w:t>:</w:t>
      </w:r>
    </w:p>
    <w:p w14:paraId="2FD1F46D" w14:textId="77777777" w:rsidR="00BA3BBD" w:rsidRPr="002C03D0" w:rsidRDefault="00BA3BBD" w:rsidP="002C03D0">
      <w:pPr>
        <w:numPr>
          <w:ilvl w:val="0"/>
          <w:numId w:val="77"/>
        </w:numPr>
        <w:spacing w:after="160"/>
        <w:ind w:left="720" w:right="720"/>
        <w:rPr>
          <w:sz w:val="24"/>
          <w:szCs w:val="24"/>
        </w:rPr>
      </w:pPr>
      <w:r w:rsidRPr="002C03D0">
        <w:rPr>
          <w:sz w:val="24"/>
          <w:szCs w:val="24"/>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2C03D0" w:rsidRDefault="00BA3BBD" w:rsidP="002C03D0">
      <w:pPr>
        <w:numPr>
          <w:ilvl w:val="0"/>
          <w:numId w:val="77"/>
        </w:numPr>
        <w:spacing w:after="160"/>
        <w:ind w:left="720" w:right="720"/>
        <w:rPr>
          <w:sz w:val="24"/>
          <w:szCs w:val="24"/>
        </w:rPr>
      </w:pPr>
      <w:r w:rsidRPr="002C03D0">
        <w:rPr>
          <w:sz w:val="24"/>
          <w:szCs w:val="24"/>
        </w:rPr>
        <w:t xml:space="preserve">Example 2: If the proposed work is part of a larger project for which a detailed environmental analysis has been or will be prepared by another state agency or local jurisdiction, the CEC’s review may be delayed </w:t>
      </w:r>
      <w:proofErr w:type="gramStart"/>
      <w:r w:rsidRPr="002C03D0">
        <w:rPr>
          <w:sz w:val="24"/>
          <w:szCs w:val="24"/>
        </w:rPr>
        <w:t>as a result of</w:t>
      </w:r>
      <w:proofErr w:type="gramEnd"/>
      <w:r w:rsidRPr="002C03D0">
        <w:rPr>
          <w:sz w:val="24"/>
          <w:szCs w:val="24"/>
        </w:rPr>
        <w:t xml:space="preserve"> waiting for a supplemental or initial analysis, respectively, from the other agency.</w:t>
      </w:r>
    </w:p>
    <w:p w14:paraId="61CE0B72" w14:textId="77777777" w:rsidR="00BA3BBD" w:rsidRPr="002C03D0" w:rsidRDefault="00BA3BBD" w:rsidP="002C03D0">
      <w:pPr>
        <w:numPr>
          <w:ilvl w:val="0"/>
          <w:numId w:val="77"/>
        </w:numPr>
        <w:spacing w:after="160"/>
        <w:ind w:left="720" w:right="720"/>
        <w:rPr>
          <w:sz w:val="24"/>
          <w:szCs w:val="24"/>
        </w:rPr>
      </w:pPr>
      <w:r w:rsidRPr="002C03D0">
        <w:rPr>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2C03D0" w:rsidRDefault="00BA3BBD" w:rsidP="002C03D0">
      <w:pPr>
        <w:numPr>
          <w:ilvl w:val="0"/>
          <w:numId w:val="77"/>
        </w:numPr>
        <w:spacing w:after="160"/>
        <w:ind w:left="720" w:right="720"/>
        <w:rPr>
          <w:b/>
          <w:sz w:val="24"/>
          <w:szCs w:val="24"/>
        </w:rPr>
      </w:pPr>
      <w:r w:rsidRPr="002C03D0">
        <w:rPr>
          <w:sz w:val="24"/>
          <w:szCs w:val="24"/>
        </w:rPr>
        <w:t xml:space="preserve">Example 4: If the proposed project clearly falls under a statutory or categorical </w:t>
      </w:r>
      <w:proofErr w:type="gramStart"/>
      <w:r w:rsidRPr="002C03D0">
        <w:rPr>
          <w:sz w:val="24"/>
          <w:szCs w:val="24"/>
        </w:rPr>
        <w:t>exemption, or</w:t>
      </w:r>
      <w:proofErr w:type="gramEnd"/>
      <w:r w:rsidRPr="002C03D0">
        <w:rPr>
          <w:sz w:val="24"/>
          <w:szCs w:val="24"/>
        </w:rPr>
        <w:t xml:space="preserve">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Pr="002C03D0" w:rsidRDefault="00BA3BBD" w:rsidP="002C03D0">
      <w:pPr>
        <w:spacing w:after="240"/>
        <w:rPr>
          <w:sz w:val="24"/>
          <w:szCs w:val="22"/>
        </w:rPr>
      </w:pPr>
      <w:r w:rsidRPr="002C03D0">
        <w:rPr>
          <w:sz w:val="24"/>
          <w:szCs w:val="22"/>
        </w:rPr>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2C03D0">
      <w:pPr>
        <w:pStyle w:val="Heading2"/>
        <w:numPr>
          <w:ilvl w:val="0"/>
          <w:numId w:val="54"/>
        </w:numPr>
        <w:rPr>
          <w:b w:val="0"/>
          <w:smallCaps w:val="0"/>
        </w:rPr>
      </w:pPr>
      <w:bookmarkStart w:id="45" w:name="_Toc522777847"/>
      <w:bookmarkStart w:id="46" w:name="_Toc26361580"/>
      <w:bookmarkStart w:id="47" w:name="_Toc121421338"/>
      <w:r w:rsidRPr="002D46F7">
        <w:t>Background</w:t>
      </w:r>
      <w:bookmarkEnd w:id="45"/>
      <w:bookmarkEnd w:id="46"/>
      <w:bookmarkEnd w:id="47"/>
    </w:p>
    <w:p w14:paraId="239A2223" w14:textId="77777777" w:rsidR="00BA3BBD" w:rsidRPr="002C03D0" w:rsidRDefault="00BA3BBD" w:rsidP="002C03D0">
      <w:pPr>
        <w:numPr>
          <w:ilvl w:val="0"/>
          <w:numId w:val="30"/>
        </w:numPr>
        <w:tabs>
          <w:tab w:val="num" w:pos="360"/>
        </w:tabs>
        <w:rPr>
          <w:b/>
          <w:sz w:val="24"/>
          <w:szCs w:val="24"/>
        </w:rPr>
      </w:pPr>
      <w:bookmarkStart w:id="48" w:name="_Toc433981280"/>
      <w:bookmarkStart w:id="49" w:name="_Toc395180627"/>
      <w:bookmarkStart w:id="50" w:name="_Toc382571129"/>
      <w:bookmarkStart w:id="51" w:name="_Toc381079870"/>
      <w:r w:rsidRPr="002C03D0">
        <w:rPr>
          <w:b/>
          <w:sz w:val="24"/>
          <w:szCs w:val="24"/>
        </w:rPr>
        <w:t>Electric Program Investment Charge (EPIC) Program</w:t>
      </w:r>
      <w:bookmarkEnd w:id="48"/>
      <w:bookmarkEnd w:id="49"/>
      <w:bookmarkEnd w:id="50"/>
      <w:bookmarkEnd w:id="51"/>
    </w:p>
    <w:p w14:paraId="6B1C6597" w14:textId="63DC1CAB" w:rsidR="00BA3BBD" w:rsidRPr="002C03D0" w:rsidRDefault="00BA3BBD" w:rsidP="002C03D0">
      <w:pPr>
        <w:rPr>
          <w:sz w:val="24"/>
          <w:szCs w:val="24"/>
        </w:rPr>
      </w:pPr>
      <w:r w:rsidRPr="002C03D0">
        <w:rPr>
          <w:sz w:val="24"/>
          <w:szCs w:val="24"/>
        </w:rPr>
        <w:t>This solicitation will award projects funded by the EPIC, an electricity ratepayer surcharge established by the California Public Utilities Commission (CPUC) in December 2011.</w:t>
      </w:r>
      <w:r w:rsidRPr="002C03D0">
        <w:rPr>
          <w:rFonts w:ascii="Times New Roman" w:hAnsi="Times New Roman" w:cs="Times New Roman"/>
          <w:sz w:val="24"/>
          <w:szCs w:val="24"/>
          <w:vertAlign w:val="superscript"/>
        </w:rPr>
        <w:footnoteReference w:id="13"/>
      </w:r>
      <w:r w:rsidRPr="002C03D0">
        <w:rPr>
          <w:sz w:val="24"/>
          <w:szCs w:val="24"/>
        </w:rPr>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2C03D0">
        <w:rPr>
          <w:sz w:val="24"/>
          <w:szCs w:val="24"/>
        </w:rPr>
        <w:t xml:space="preserve">meet the guiding principles of </w:t>
      </w:r>
      <w:r w:rsidR="00606770" w:rsidRPr="002C03D0">
        <w:rPr>
          <w:sz w:val="24"/>
          <w:szCs w:val="24"/>
        </w:rPr>
        <w:t>(1) improving safety, (2) increasing reliability, (3) increasing affordability, (4) improving environmental sustainability, and (5) improving equity, all as related to California's electric system.</w:t>
      </w:r>
      <w:r w:rsidR="00606770" w:rsidRPr="002C03D0">
        <w:rPr>
          <w:rStyle w:val="FootnoteReference"/>
          <w:sz w:val="24"/>
          <w:szCs w:val="24"/>
        </w:rPr>
        <w:footnoteReference w:id="14"/>
      </w:r>
      <w:r w:rsidR="00606770" w:rsidRPr="002C03D0">
        <w:rPr>
          <w:sz w:val="24"/>
          <w:szCs w:val="24"/>
        </w:rPr>
        <w:t xml:space="preserve"> </w:t>
      </w:r>
      <w:r w:rsidRPr="002C03D0">
        <w:rPr>
          <w:sz w:val="24"/>
          <w:szCs w:val="24"/>
        </w:rPr>
        <w:t>In addition to providing IOU ratepayer benefits, funded projects must lead to technological advancement and breakthroughs to overcome the barriers that prevent the achievement of the state’s statutory energy goals.</w:t>
      </w:r>
      <w:r w:rsidRPr="002C03D0">
        <w:rPr>
          <w:rFonts w:ascii="Times New Roman" w:hAnsi="Times New Roman" w:cs="Times New Roman"/>
          <w:sz w:val="24"/>
          <w:szCs w:val="24"/>
          <w:vertAlign w:val="superscript"/>
        </w:rPr>
        <w:footnoteReference w:id="15"/>
      </w:r>
      <w:r w:rsidRPr="002C03D0">
        <w:rPr>
          <w:sz w:val="24"/>
          <w:szCs w:val="24"/>
        </w:rPr>
        <w:t xml:space="preserve">  The EPIC program is administered by the CEC and the IOUs.</w:t>
      </w:r>
    </w:p>
    <w:p w14:paraId="3B7239A2" w14:textId="77777777" w:rsidR="00BA3BBD" w:rsidRPr="002C03D0" w:rsidRDefault="00BA3BBD" w:rsidP="002C03D0">
      <w:pPr>
        <w:rPr>
          <w:sz w:val="24"/>
          <w:szCs w:val="24"/>
        </w:rPr>
      </w:pPr>
    </w:p>
    <w:p w14:paraId="2819C55C" w14:textId="77777777" w:rsidR="00BA3BBD" w:rsidRPr="002C03D0" w:rsidRDefault="00BA3BBD" w:rsidP="002C03D0">
      <w:pPr>
        <w:numPr>
          <w:ilvl w:val="0"/>
          <w:numId w:val="63"/>
        </w:numPr>
        <w:tabs>
          <w:tab w:val="num" w:pos="360"/>
        </w:tabs>
        <w:rPr>
          <w:b/>
          <w:sz w:val="24"/>
          <w:szCs w:val="24"/>
        </w:rPr>
      </w:pPr>
      <w:bookmarkStart w:id="52" w:name="PrgmAreas"/>
      <w:bookmarkStart w:id="53" w:name="chkAugment"/>
      <w:r w:rsidRPr="002C03D0">
        <w:rPr>
          <w:b/>
          <w:sz w:val="24"/>
          <w:szCs w:val="24"/>
        </w:rPr>
        <w:t>Program Areas, Strategic Objectives, and Funding Initiatives</w:t>
      </w:r>
    </w:p>
    <w:bookmarkEnd w:id="52"/>
    <w:p w14:paraId="7FB51529" w14:textId="77777777" w:rsidR="00BA3BBD" w:rsidRPr="002C03D0" w:rsidRDefault="00BA3BBD" w:rsidP="002C03D0">
      <w:pPr>
        <w:ind w:left="360"/>
        <w:rPr>
          <w:b/>
          <w:sz w:val="24"/>
          <w:szCs w:val="24"/>
        </w:rPr>
      </w:pPr>
      <w:r w:rsidRPr="002C03D0">
        <w:rPr>
          <w:sz w:val="24"/>
          <w:szCs w:val="24"/>
        </w:rPr>
        <w:t xml:space="preserve">EPIC projects must fall within the following </w:t>
      </w:r>
      <w:r w:rsidRPr="002C03D0">
        <w:rPr>
          <w:b/>
          <w:sz w:val="24"/>
          <w:szCs w:val="24"/>
        </w:rPr>
        <w:t xml:space="preserve">program areas </w:t>
      </w:r>
      <w:r w:rsidRPr="002C03D0">
        <w:rPr>
          <w:sz w:val="24"/>
          <w:szCs w:val="24"/>
        </w:rPr>
        <w:t>identified by the CPUC:</w:t>
      </w:r>
    </w:p>
    <w:p w14:paraId="60F9D5AE" w14:textId="77777777" w:rsidR="00BA3BBD" w:rsidRPr="002C03D0" w:rsidRDefault="00BA3BBD" w:rsidP="002C03D0">
      <w:pPr>
        <w:numPr>
          <w:ilvl w:val="0"/>
          <w:numId w:val="37"/>
        </w:numPr>
        <w:rPr>
          <w:sz w:val="24"/>
          <w:szCs w:val="24"/>
        </w:rPr>
      </w:pPr>
      <w:r w:rsidRPr="002C03D0">
        <w:rPr>
          <w:sz w:val="24"/>
          <w:szCs w:val="24"/>
        </w:rPr>
        <w:t xml:space="preserve">Applied research and </w:t>
      </w:r>
      <w:proofErr w:type="gramStart"/>
      <w:r w:rsidRPr="002C03D0">
        <w:rPr>
          <w:sz w:val="24"/>
          <w:szCs w:val="24"/>
        </w:rPr>
        <w:t>development;</w:t>
      </w:r>
      <w:proofErr w:type="gramEnd"/>
    </w:p>
    <w:p w14:paraId="6B8763ED" w14:textId="77777777" w:rsidR="00BA3BBD" w:rsidRPr="002C03D0" w:rsidRDefault="00BA3BBD" w:rsidP="002C03D0">
      <w:pPr>
        <w:numPr>
          <w:ilvl w:val="0"/>
          <w:numId w:val="37"/>
        </w:numPr>
        <w:rPr>
          <w:sz w:val="24"/>
          <w:szCs w:val="24"/>
        </w:rPr>
      </w:pPr>
      <w:r w:rsidRPr="002C03D0">
        <w:rPr>
          <w:sz w:val="24"/>
          <w:szCs w:val="24"/>
        </w:rPr>
        <w:t xml:space="preserve">Technology demonstration and deployment; and </w:t>
      </w:r>
    </w:p>
    <w:p w14:paraId="441174A2" w14:textId="1277E5F3" w:rsidR="00BA3BBD" w:rsidRPr="002C03D0" w:rsidRDefault="00BA3BBD" w:rsidP="002C03D0">
      <w:pPr>
        <w:numPr>
          <w:ilvl w:val="0"/>
          <w:numId w:val="37"/>
        </w:numPr>
        <w:rPr>
          <w:sz w:val="24"/>
          <w:szCs w:val="24"/>
        </w:rPr>
      </w:pPr>
      <w:r w:rsidRPr="002C03D0">
        <w:rPr>
          <w:sz w:val="24"/>
          <w:szCs w:val="24"/>
        </w:rPr>
        <w:t>Market facilitation</w:t>
      </w:r>
      <w:r w:rsidR="006B7447" w:rsidRPr="002C03D0">
        <w:rPr>
          <w:sz w:val="24"/>
          <w:szCs w:val="24"/>
        </w:rPr>
        <w:t>.</w:t>
      </w:r>
    </w:p>
    <w:p w14:paraId="0AEBF05B" w14:textId="77777777" w:rsidR="007D4A6F" w:rsidRPr="002C03D0" w:rsidRDefault="00BA3BBD" w:rsidP="002C03D0">
      <w:pPr>
        <w:rPr>
          <w:sz w:val="24"/>
          <w:szCs w:val="24"/>
        </w:rPr>
      </w:pPr>
      <w:r w:rsidRPr="002C03D0">
        <w:rPr>
          <w:sz w:val="24"/>
          <w:szCs w:val="24"/>
        </w:rPr>
        <w:t>In addition, projects must fall within one of the general focus areas (</w:t>
      </w:r>
      <w:r w:rsidRPr="002C03D0">
        <w:rPr>
          <w:b/>
          <w:sz w:val="24"/>
          <w:szCs w:val="24"/>
        </w:rPr>
        <w:t>“strategic objectives”</w:t>
      </w:r>
      <w:r w:rsidRPr="002C03D0">
        <w:rPr>
          <w:sz w:val="24"/>
          <w:szCs w:val="24"/>
        </w:rPr>
        <w:t>) identified in the CEC’s EPIC Investment Plans</w:t>
      </w:r>
      <w:r w:rsidR="003D6602" w:rsidRPr="002C03D0">
        <w:rPr>
          <w:rStyle w:val="FootnoteReference"/>
          <w:sz w:val="24"/>
          <w:szCs w:val="24"/>
        </w:rPr>
        <w:footnoteReference w:id="16"/>
      </w:r>
      <w:r w:rsidRPr="002C03D0">
        <w:rPr>
          <w:sz w:val="24"/>
          <w:szCs w:val="24"/>
          <w:vertAlign w:val="superscript"/>
        </w:rPr>
        <w:footnoteReference w:id="17"/>
      </w:r>
      <w:r w:rsidRPr="002C03D0">
        <w:rPr>
          <w:sz w:val="24"/>
          <w:szCs w:val="24"/>
        </w:rPr>
        <w:t xml:space="preserve"> </w:t>
      </w:r>
      <w:r w:rsidRPr="002C03D0">
        <w:rPr>
          <w:rFonts w:cs="Times New Roman"/>
          <w:sz w:val="24"/>
          <w:szCs w:val="24"/>
          <w:vertAlign w:val="superscript"/>
        </w:rPr>
        <w:footnoteReference w:id="18"/>
      </w:r>
      <w:r w:rsidRPr="002C03D0">
        <w:rPr>
          <w:sz w:val="24"/>
          <w:szCs w:val="24"/>
        </w:rPr>
        <w:t xml:space="preserve"> and within one or more specific focus areas </w:t>
      </w:r>
      <w:r w:rsidR="007D4A6F" w:rsidRPr="002C03D0">
        <w:rPr>
          <w:sz w:val="24"/>
          <w:szCs w:val="24"/>
        </w:rPr>
        <w:t>(</w:t>
      </w:r>
      <w:r w:rsidR="007D4A6F" w:rsidRPr="002C03D0">
        <w:rPr>
          <w:b/>
          <w:bCs/>
          <w:sz w:val="24"/>
          <w:szCs w:val="24"/>
        </w:rPr>
        <w:t>“funding initiatives”</w:t>
      </w:r>
      <w:r w:rsidR="007D4A6F" w:rsidRPr="002C03D0">
        <w:rPr>
          <w:sz w:val="24"/>
          <w:szCs w:val="24"/>
        </w:rPr>
        <w:t>) identified in the plan.  This solicitation targets the following program area, strategic objective, and funding initiative:</w:t>
      </w:r>
    </w:p>
    <w:p w14:paraId="187086B0" w14:textId="77777777" w:rsidR="007D4A6F" w:rsidRPr="002C03D0" w:rsidRDefault="007D4A6F" w:rsidP="002C03D0">
      <w:pPr>
        <w:rPr>
          <w:sz w:val="24"/>
          <w:szCs w:val="24"/>
        </w:rPr>
      </w:pPr>
      <w:r w:rsidRPr="002C03D0">
        <w:rPr>
          <w:b/>
          <w:bCs/>
          <w:i/>
          <w:iCs/>
          <w:sz w:val="24"/>
          <w:szCs w:val="24"/>
        </w:rPr>
        <w:t>Electric Program Investment Charge Interim Investment Plan 2021</w:t>
      </w:r>
      <w:r w:rsidRPr="002C03D0">
        <w:rPr>
          <w:sz w:val="24"/>
          <w:szCs w:val="24"/>
        </w:rPr>
        <w:t> </w:t>
      </w:r>
    </w:p>
    <w:p w14:paraId="2FEBC72F" w14:textId="77777777" w:rsidR="007D4A6F" w:rsidRPr="002C03D0" w:rsidRDefault="007D4A6F" w:rsidP="002C03D0">
      <w:pPr>
        <w:numPr>
          <w:ilvl w:val="0"/>
          <w:numId w:val="72"/>
        </w:numPr>
        <w:rPr>
          <w:sz w:val="24"/>
          <w:szCs w:val="24"/>
        </w:rPr>
      </w:pPr>
      <w:r w:rsidRPr="002C03D0">
        <w:rPr>
          <w:b/>
          <w:bCs/>
          <w:sz w:val="24"/>
          <w:szCs w:val="24"/>
        </w:rPr>
        <w:t>Program Area</w:t>
      </w:r>
      <w:r w:rsidRPr="002C03D0">
        <w:rPr>
          <w:sz w:val="24"/>
          <w:szCs w:val="24"/>
        </w:rPr>
        <w:t>: Technology Demonstration and Deployment </w:t>
      </w:r>
    </w:p>
    <w:p w14:paraId="0345273A" w14:textId="77777777" w:rsidR="007D4A6F" w:rsidRPr="002C03D0" w:rsidRDefault="007D4A6F" w:rsidP="002C03D0">
      <w:pPr>
        <w:numPr>
          <w:ilvl w:val="0"/>
          <w:numId w:val="73"/>
        </w:numPr>
        <w:rPr>
          <w:sz w:val="24"/>
          <w:szCs w:val="24"/>
        </w:rPr>
      </w:pPr>
      <w:r w:rsidRPr="002C03D0">
        <w:rPr>
          <w:b/>
          <w:sz w:val="24"/>
          <w:szCs w:val="24"/>
        </w:rPr>
        <w:t>Funding Initiative</w:t>
      </w:r>
      <w:r w:rsidRPr="002C03D0">
        <w:rPr>
          <w:sz w:val="24"/>
          <w:szCs w:val="24"/>
        </w:rPr>
        <w:t>: Optimizing Long-Duration Energy Storage to Improve Grid Resiliency and Reliability in Under-Resourced Communities</w:t>
      </w:r>
    </w:p>
    <w:p w14:paraId="3CF36FF8" w14:textId="77777777" w:rsidR="00BA3BBD" w:rsidRPr="002C03D0" w:rsidRDefault="00BA3BBD" w:rsidP="002C03D0">
      <w:pPr>
        <w:spacing w:after="0"/>
        <w:outlineLvl w:val="2"/>
        <w:rPr>
          <w:b/>
          <w:color w:val="0070C0"/>
          <w:sz w:val="24"/>
          <w:szCs w:val="24"/>
        </w:rPr>
      </w:pPr>
    </w:p>
    <w:p w14:paraId="621B4F97" w14:textId="77777777" w:rsidR="00BA3BBD" w:rsidRPr="002C03D0" w:rsidRDefault="00BA3BBD" w:rsidP="002C03D0">
      <w:pPr>
        <w:rPr>
          <w:b/>
          <w:sz w:val="24"/>
          <w:szCs w:val="24"/>
        </w:rPr>
      </w:pPr>
      <w:bookmarkStart w:id="54" w:name="AppLaws"/>
      <w:r w:rsidRPr="002C03D0">
        <w:rPr>
          <w:b/>
          <w:sz w:val="24"/>
          <w:szCs w:val="24"/>
        </w:rPr>
        <w:t xml:space="preserve">Applicable Laws, Policies, and Background Documents </w:t>
      </w:r>
    </w:p>
    <w:bookmarkEnd w:id="54"/>
    <w:p w14:paraId="5CD6B83D" w14:textId="77777777" w:rsidR="00BA3BBD" w:rsidRPr="002C03D0" w:rsidRDefault="00BA3BBD" w:rsidP="002C03D0">
      <w:pPr>
        <w:rPr>
          <w:sz w:val="24"/>
          <w:szCs w:val="24"/>
        </w:rPr>
      </w:pPr>
      <w:r w:rsidRPr="002C03D0">
        <w:rPr>
          <w:sz w:val="24"/>
          <w:szCs w:val="24"/>
        </w:rPr>
        <w:t>This solicitation addresses the energy goals described in the following laws, policies, and background documents.</w:t>
      </w:r>
    </w:p>
    <w:p w14:paraId="3466F266" w14:textId="77777777" w:rsidR="00BA3BBD" w:rsidRPr="002C03D0" w:rsidRDefault="00BA3BBD" w:rsidP="002C03D0">
      <w:pPr>
        <w:spacing w:after="0"/>
        <w:rPr>
          <w:sz w:val="24"/>
          <w:szCs w:val="24"/>
          <w:u w:val="single"/>
        </w:rPr>
      </w:pPr>
    </w:p>
    <w:p w14:paraId="6C6DFEA8" w14:textId="77777777" w:rsidR="00BA3BBD" w:rsidRPr="002C03D0" w:rsidRDefault="00BA3BBD" w:rsidP="002C03D0">
      <w:pPr>
        <w:rPr>
          <w:sz w:val="24"/>
          <w:szCs w:val="24"/>
          <w:u w:val="single"/>
        </w:rPr>
      </w:pPr>
      <w:bookmarkStart w:id="55" w:name="RefDocs"/>
      <w:r w:rsidRPr="002C03D0">
        <w:rPr>
          <w:sz w:val="24"/>
          <w:szCs w:val="24"/>
          <w:u w:val="single"/>
        </w:rPr>
        <w:t>Laws/Regulations</w:t>
      </w:r>
    </w:p>
    <w:p w14:paraId="424D5201" w14:textId="77777777" w:rsidR="00B477E6" w:rsidRPr="002C03D0" w:rsidRDefault="00B477E6" w:rsidP="002C03D0">
      <w:pPr>
        <w:numPr>
          <w:ilvl w:val="0"/>
          <w:numId w:val="48"/>
        </w:numPr>
        <w:rPr>
          <w:b/>
          <w:sz w:val="24"/>
          <w:szCs w:val="24"/>
        </w:rPr>
      </w:pPr>
      <w:r w:rsidRPr="002C03D0">
        <w:rPr>
          <w:b/>
          <w:sz w:val="24"/>
          <w:szCs w:val="24"/>
        </w:rPr>
        <w:t>Assembly Bill (AB) 32</w:t>
      </w:r>
      <w:r w:rsidRPr="002C03D0">
        <w:rPr>
          <w:rFonts w:cs="Times New Roman"/>
          <w:b/>
          <w:sz w:val="24"/>
          <w:szCs w:val="24"/>
          <w:vertAlign w:val="superscript"/>
        </w:rPr>
        <w:footnoteReference w:id="19"/>
      </w:r>
      <w:r w:rsidRPr="002C03D0">
        <w:rPr>
          <w:b/>
          <w:sz w:val="24"/>
          <w:szCs w:val="24"/>
        </w:rPr>
        <w:t xml:space="preserve"> - Global Warming Solutions Act of 2006 </w:t>
      </w:r>
    </w:p>
    <w:p w14:paraId="2B4FB5E6" w14:textId="77777777" w:rsidR="00B477E6" w:rsidRPr="002C03D0" w:rsidRDefault="00B477E6" w:rsidP="002C03D0">
      <w:pPr>
        <w:ind w:left="720"/>
        <w:rPr>
          <w:sz w:val="24"/>
          <w:szCs w:val="24"/>
        </w:rPr>
      </w:pPr>
      <w:r w:rsidRPr="002C03D0">
        <w:rPr>
          <w:sz w:val="24"/>
          <w:szCs w:val="24"/>
        </w:rPr>
        <w:t>AB 32</w:t>
      </w:r>
      <w:r w:rsidRPr="002C03D0">
        <w:rPr>
          <w:b/>
          <w:sz w:val="24"/>
          <w:szCs w:val="24"/>
        </w:rPr>
        <w:t xml:space="preserve"> </w:t>
      </w:r>
      <w:r w:rsidRPr="002C03D0">
        <w:rPr>
          <w:sz w:val="24"/>
          <w:szCs w:val="24"/>
        </w:rPr>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2C02019C" w14:textId="51A14420" w:rsidR="00B477E6" w:rsidRPr="002C03D0" w:rsidRDefault="00B477E6" w:rsidP="002C03D0">
      <w:pPr>
        <w:ind w:left="720"/>
        <w:rPr>
          <w:color w:val="000000"/>
          <w:sz w:val="24"/>
          <w:szCs w:val="24"/>
        </w:rPr>
      </w:pPr>
      <w:r w:rsidRPr="002C03D0">
        <w:rPr>
          <w:sz w:val="24"/>
          <w:szCs w:val="24"/>
        </w:rPr>
        <w:t>Additional information:</w:t>
      </w:r>
      <w:r w:rsidRPr="002C03D0">
        <w:rPr>
          <w:color w:val="000000"/>
          <w:sz w:val="24"/>
          <w:szCs w:val="24"/>
        </w:rPr>
        <w:t xml:space="preserve"> </w:t>
      </w:r>
      <w:hyperlink r:id="rId27" w:history="1">
        <w:r w:rsidRPr="002C03D0">
          <w:rPr>
            <w:rStyle w:val="Hyperlink"/>
            <w:rFonts w:cs="Arial"/>
            <w:sz w:val="24"/>
            <w:szCs w:val="24"/>
          </w:rPr>
          <w:t>https://leginfo.legislature.ca.gov/faces/billNavClient.xhtml?bill_id=200520060AB32; https://ww2.arb.ca.gov/our-work/programs/ab-32-climate-change-scoping-plan</w:t>
        </w:r>
      </w:hyperlink>
    </w:p>
    <w:p w14:paraId="64049B55" w14:textId="77777777" w:rsidR="00B477E6" w:rsidRPr="002C03D0" w:rsidRDefault="00B477E6" w:rsidP="002C03D0">
      <w:pPr>
        <w:spacing w:after="240"/>
        <w:ind w:left="720"/>
        <w:rPr>
          <w:sz w:val="24"/>
          <w:szCs w:val="24"/>
        </w:rPr>
      </w:pPr>
      <w:r w:rsidRPr="002C03D0">
        <w:rPr>
          <w:sz w:val="24"/>
          <w:szCs w:val="24"/>
        </w:rPr>
        <w:t xml:space="preserve">Applicable Law: California Health and Safety Code §§ 38500 et. seq. </w:t>
      </w:r>
    </w:p>
    <w:p w14:paraId="1FC7E7AB" w14:textId="77777777" w:rsidR="00B477E6" w:rsidRPr="002C03D0" w:rsidRDefault="00B477E6" w:rsidP="002C03D0">
      <w:pPr>
        <w:numPr>
          <w:ilvl w:val="0"/>
          <w:numId w:val="48"/>
        </w:numPr>
        <w:rPr>
          <w:b/>
          <w:sz w:val="24"/>
          <w:szCs w:val="24"/>
        </w:rPr>
      </w:pPr>
      <w:r w:rsidRPr="002C03D0">
        <w:rPr>
          <w:b/>
          <w:sz w:val="24"/>
          <w:szCs w:val="24"/>
        </w:rPr>
        <w:t xml:space="preserve">Senate Bill (SB) 32 - California Global Warming Solutions Act of 2006: emissions </w:t>
      </w:r>
      <w:proofErr w:type="gramStart"/>
      <w:r w:rsidRPr="002C03D0">
        <w:rPr>
          <w:b/>
          <w:sz w:val="24"/>
          <w:szCs w:val="24"/>
        </w:rPr>
        <w:t>limit</w:t>
      </w:r>
      <w:proofErr w:type="gramEnd"/>
    </w:p>
    <w:p w14:paraId="530F5227" w14:textId="4AD3C5BE" w:rsidR="00B477E6" w:rsidRPr="002C03D0" w:rsidRDefault="00B477E6" w:rsidP="002C03D0">
      <w:pPr>
        <w:ind w:left="720"/>
        <w:rPr>
          <w:sz w:val="24"/>
          <w:szCs w:val="24"/>
        </w:rPr>
      </w:pPr>
      <w:r w:rsidRPr="002C03D0">
        <w:rPr>
          <w:sz w:val="24"/>
          <w:szCs w:val="24"/>
        </w:rPr>
        <w:t xml:space="preserve">SB 32 expands on AB 32 by requiring that CARB ensure statewide GHG emissions are reduced to 40% below the 1990 level by </w:t>
      </w:r>
      <w:r w:rsidR="51724679" w:rsidRPr="002C03D0">
        <w:rPr>
          <w:sz w:val="24"/>
          <w:szCs w:val="24"/>
        </w:rPr>
        <w:t xml:space="preserve">no later than December 31, </w:t>
      </w:r>
      <w:r w:rsidRPr="002C03D0">
        <w:rPr>
          <w:sz w:val="24"/>
          <w:szCs w:val="24"/>
        </w:rPr>
        <w:t>2030. SB 32 further requires that these emission reductions are achieved in a manner that benefits the state’s most disadvantaged communities and is transparent and accountable to the public and the Legislature.</w:t>
      </w:r>
    </w:p>
    <w:p w14:paraId="0DCF8381" w14:textId="7A52BA57" w:rsidR="00B477E6" w:rsidRPr="002C03D0" w:rsidRDefault="00B477E6" w:rsidP="002C03D0">
      <w:pPr>
        <w:spacing w:after="240"/>
        <w:ind w:left="720"/>
        <w:rPr>
          <w:sz w:val="24"/>
          <w:szCs w:val="24"/>
        </w:rPr>
      </w:pPr>
      <w:r w:rsidRPr="002C03D0">
        <w:rPr>
          <w:sz w:val="24"/>
          <w:szCs w:val="24"/>
        </w:rPr>
        <w:t xml:space="preserve">Additional information: </w:t>
      </w:r>
      <w:hyperlink r:id="rId28" w:history="1">
        <w:r w:rsidRPr="002C03D0">
          <w:rPr>
            <w:rStyle w:val="Hyperlink"/>
            <w:rFonts w:cs="Arial"/>
            <w:sz w:val="24"/>
            <w:szCs w:val="24"/>
          </w:rPr>
          <w:t>https://leginfo.legislature.ca.gov/faces/billNavClient.xhtml?bill_id=201520160SB32</w:t>
        </w:r>
      </w:hyperlink>
    </w:p>
    <w:p w14:paraId="6CF49D77" w14:textId="77777777" w:rsidR="00B477E6" w:rsidRPr="002C03D0" w:rsidRDefault="00B477E6" w:rsidP="002C03D0">
      <w:pPr>
        <w:spacing w:after="240"/>
        <w:ind w:left="720"/>
        <w:rPr>
          <w:sz w:val="24"/>
          <w:szCs w:val="24"/>
          <w:u w:val="single"/>
        </w:rPr>
      </w:pPr>
      <w:r w:rsidRPr="002C03D0">
        <w:rPr>
          <w:sz w:val="24"/>
          <w:szCs w:val="24"/>
        </w:rPr>
        <w:t>Applicable Law: California Health and Safety Code § 38566. </w:t>
      </w:r>
    </w:p>
    <w:p w14:paraId="0888730D" w14:textId="77777777" w:rsidR="00BA3BBD" w:rsidRPr="002C03D0" w:rsidRDefault="00BA3BBD" w:rsidP="002C03D0">
      <w:pPr>
        <w:numPr>
          <w:ilvl w:val="0"/>
          <w:numId w:val="7"/>
        </w:numPr>
        <w:tabs>
          <w:tab w:val="left" w:pos="360"/>
          <w:tab w:val="left" w:pos="720"/>
        </w:tabs>
        <w:ind w:left="720"/>
        <w:rPr>
          <w:b/>
          <w:sz w:val="24"/>
          <w:szCs w:val="24"/>
        </w:rPr>
      </w:pPr>
      <w:r w:rsidRPr="002C03D0">
        <w:rPr>
          <w:b/>
          <w:sz w:val="24"/>
          <w:szCs w:val="24"/>
        </w:rPr>
        <w:t>AB 2514</w:t>
      </w:r>
      <w:r w:rsidRPr="002C03D0">
        <w:rPr>
          <w:rFonts w:cs="Times New Roman"/>
          <w:b/>
          <w:sz w:val="24"/>
          <w:szCs w:val="24"/>
          <w:vertAlign w:val="superscript"/>
        </w:rPr>
        <w:footnoteReference w:id="20"/>
      </w:r>
      <w:r w:rsidRPr="002C03D0">
        <w:rPr>
          <w:b/>
          <w:sz w:val="24"/>
          <w:szCs w:val="24"/>
        </w:rPr>
        <w:t xml:space="preserve"> - Energy Storage Systems, </w:t>
      </w:r>
    </w:p>
    <w:p w14:paraId="75B279DC" w14:textId="77777777" w:rsidR="00BA3BBD" w:rsidRPr="002C03D0" w:rsidRDefault="00BA3BBD" w:rsidP="002C03D0">
      <w:pPr>
        <w:tabs>
          <w:tab w:val="left" w:pos="1170"/>
        </w:tabs>
        <w:ind w:left="720"/>
        <w:rPr>
          <w:sz w:val="24"/>
          <w:szCs w:val="24"/>
        </w:rPr>
      </w:pPr>
      <w:r w:rsidRPr="002C03D0">
        <w:rPr>
          <w:sz w:val="24"/>
          <w:szCs w:val="24"/>
        </w:rPr>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4B074AE0" w:rsidR="00BA3BBD" w:rsidRPr="002C03D0" w:rsidRDefault="00BA3BBD" w:rsidP="002C03D0">
      <w:pPr>
        <w:spacing w:after="0"/>
        <w:ind w:left="720"/>
        <w:rPr>
          <w:sz w:val="24"/>
          <w:szCs w:val="24"/>
        </w:rPr>
      </w:pPr>
      <w:r w:rsidRPr="002C03D0">
        <w:rPr>
          <w:sz w:val="24"/>
          <w:szCs w:val="24"/>
        </w:rPr>
        <w:t xml:space="preserve">Additional information:  </w:t>
      </w:r>
      <w:hyperlink r:id="rId29" w:history="1">
        <w:r w:rsidRPr="002C03D0">
          <w:rPr>
            <w:rStyle w:val="Hyperlink"/>
            <w:rFonts w:cs="Arial"/>
            <w:sz w:val="24"/>
            <w:szCs w:val="24"/>
          </w:rPr>
          <w:t>http://www.cpuc.ca.gov/general.aspx?id=3462</w:t>
        </w:r>
      </w:hyperlink>
      <w:r w:rsidRPr="002C03D0">
        <w:rPr>
          <w:color w:val="0000FF"/>
          <w:sz w:val="24"/>
          <w:szCs w:val="24"/>
          <w:u w:val="single"/>
        </w:rPr>
        <w:t xml:space="preserve"> </w:t>
      </w:r>
    </w:p>
    <w:p w14:paraId="3E13D884" w14:textId="41731488" w:rsidR="00BA3BBD" w:rsidRPr="002C03D0" w:rsidRDefault="00BA3BBD" w:rsidP="002C03D0">
      <w:pPr>
        <w:tabs>
          <w:tab w:val="left" w:pos="720"/>
          <w:tab w:val="left" w:pos="1170"/>
        </w:tabs>
        <w:spacing w:after="240"/>
        <w:ind w:left="720"/>
        <w:rPr>
          <w:sz w:val="24"/>
          <w:szCs w:val="24"/>
        </w:rPr>
      </w:pPr>
      <w:r w:rsidRPr="002C03D0">
        <w:rPr>
          <w:sz w:val="24"/>
          <w:szCs w:val="24"/>
        </w:rPr>
        <w:t>Applicable Law:</w:t>
      </w:r>
      <w:r w:rsidRPr="002C03D0">
        <w:rPr>
          <w:color w:val="000000"/>
          <w:sz w:val="24"/>
          <w:szCs w:val="24"/>
        </w:rPr>
        <w:t xml:space="preserve"> California Public Utilities Code §§ 2835 et. seq., and § 9620 (</w:t>
      </w:r>
      <w:hyperlink r:id="rId30" w:history="1">
        <w:r w:rsidRPr="002C03D0">
          <w:rPr>
            <w:rStyle w:val="Hyperlink"/>
            <w:rFonts w:cs="Arial"/>
            <w:sz w:val="24"/>
            <w:szCs w:val="24"/>
          </w:rPr>
          <w:t>http://leginfo.legislature.ca.gov/faces/billNavClient.xhtml?bill_id=200920100AB2514</w:t>
        </w:r>
      </w:hyperlink>
      <w:r w:rsidRPr="002C03D0">
        <w:rPr>
          <w:sz w:val="24"/>
          <w:szCs w:val="24"/>
        </w:rPr>
        <w:t>)</w:t>
      </w:r>
    </w:p>
    <w:p w14:paraId="2B854A80" w14:textId="77777777" w:rsidR="00BA3BBD" w:rsidRPr="002C03D0" w:rsidRDefault="00BA3BBD" w:rsidP="002C03D0">
      <w:pPr>
        <w:numPr>
          <w:ilvl w:val="0"/>
          <w:numId w:val="49"/>
        </w:numPr>
        <w:spacing w:line="280" w:lineRule="atLeast"/>
        <w:ind w:hanging="302"/>
        <w:rPr>
          <w:rFonts w:ascii="Palatino Linotype" w:hAnsi="Palatino Linotype" w:cs="Times New Roman"/>
          <w:b/>
          <w:color w:val="000000"/>
          <w:sz w:val="24"/>
          <w:szCs w:val="24"/>
        </w:rPr>
      </w:pPr>
      <w:r w:rsidRPr="002C03D0">
        <w:rPr>
          <w:b/>
          <w:color w:val="000000"/>
          <w:sz w:val="24"/>
          <w:szCs w:val="24"/>
        </w:rPr>
        <w:t>SB 350</w:t>
      </w:r>
      <w:r w:rsidRPr="002C03D0">
        <w:rPr>
          <w:rFonts w:cs="Times New Roman"/>
          <w:b/>
          <w:color w:val="000000"/>
          <w:sz w:val="24"/>
          <w:szCs w:val="24"/>
          <w:vertAlign w:val="superscript"/>
        </w:rPr>
        <w:footnoteReference w:id="21"/>
      </w:r>
      <w:r w:rsidRPr="002C03D0">
        <w:rPr>
          <w:b/>
          <w:color w:val="000000"/>
          <w:sz w:val="24"/>
          <w:szCs w:val="24"/>
        </w:rPr>
        <w:t xml:space="preserve"> Clean Energy and Pollution Reduction Act of 2015, </w:t>
      </w:r>
    </w:p>
    <w:p w14:paraId="3387ED7D" w14:textId="77777777" w:rsidR="00BA3BBD" w:rsidRPr="002C03D0" w:rsidRDefault="00BA3BBD" w:rsidP="002C03D0">
      <w:pPr>
        <w:autoSpaceDE w:val="0"/>
        <w:autoSpaceDN w:val="0"/>
        <w:adjustRightInd w:val="0"/>
        <w:ind w:left="720"/>
        <w:rPr>
          <w:sz w:val="24"/>
          <w:szCs w:val="24"/>
        </w:rPr>
      </w:pPr>
      <w:r w:rsidRPr="002C03D0">
        <w:rPr>
          <w:sz w:val="24"/>
          <w:szCs w:val="24"/>
        </w:rPr>
        <w:t xml:space="preserve">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w:t>
      </w:r>
      <w:proofErr w:type="gramStart"/>
      <w:r w:rsidRPr="002C03D0">
        <w:rPr>
          <w:sz w:val="24"/>
          <w:szCs w:val="24"/>
        </w:rPr>
        <w:t>final end</w:t>
      </w:r>
      <w:proofErr w:type="gramEnd"/>
      <w:r w:rsidRPr="002C03D0">
        <w:rPr>
          <w:sz w:val="24"/>
          <w:szCs w:val="24"/>
        </w:rPr>
        <w:t xml:space="preserve"> uses of retail customers by January 1, 2030; and 3) provide for transformation of the Independent System Operator into a regional organization.</w:t>
      </w:r>
    </w:p>
    <w:p w14:paraId="00AE97DA" w14:textId="15B2F979" w:rsidR="00BA3BBD" w:rsidRPr="002C03D0" w:rsidRDefault="00BA3BBD" w:rsidP="002C03D0">
      <w:pPr>
        <w:spacing w:after="240" w:line="280" w:lineRule="atLeast"/>
        <w:ind w:left="720"/>
        <w:rPr>
          <w:color w:val="000000"/>
          <w:sz w:val="24"/>
          <w:szCs w:val="24"/>
        </w:rPr>
      </w:pPr>
      <w:r w:rsidRPr="002C03D0">
        <w:rPr>
          <w:color w:val="000000"/>
          <w:sz w:val="24"/>
          <w:szCs w:val="24"/>
        </w:rPr>
        <w:t xml:space="preserve">Additional information: </w:t>
      </w:r>
      <w:hyperlink r:id="rId31" w:history="1">
        <w:r w:rsidRPr="002C03D0">
          <w:rPr>
            <w:rStyle w:val="Hyperlink"/>
            <w:rFonts w:cs="Arial"/>
            <w:sz w:val="24"/>
            <w:szCs w:val="24"/>
          </w:rPr>
          <w:t>http://www.leginfo.ca.gov/pub/15-16/bill/sen/sb_0301-0350/sb_350_bill_20151007_chaptered.htm</w:t>
        </w:r>
      </w:hyperlink>
    </w:p>
    <w:p w14:paraId="45042597" w14:textId="77777777" w:rsidR="00BA3BBD" w:rsidRPr="002C03D0" w:rsidRDefault="00BA3BBD" w:rsidP="002C03D0">
      <w:pPr>
        <w:numPr>
          <w:ilvl w:val="0"/>
          <w:numId w:val="49"/>
        </w:numPr>
        <w:rPr>
          <w:b/>
          <w:bCs/>
          <w:sz w:val="24"/>
          <w:szCs w:val="24"/>
        </w:rPr>
      </w:pPr>
      <w:r w:rsidRPr="002C03D0">
        <w:rPr>
          <w:b/>
          <w:bCs/>
          <w:sz w:val="24"/>
          <w:szCs w:val="24"/>
        </w:rPr>
        <w:t>Senate Bill (SB) 100 - The 100 Percent Clean Energy Act of 2018</w:t>
      </w:r>
    </w:p>
    <w:p w14:paraId="4B22EFD1" w14:textId="77777777" w:rsidR="00BA3BBD" w:rsidRPr="002C03D0" w:rsidRDefault="00BA3BBD" w:rsidP="002C03D0">
      <w:pPr>
        <w:ind w:left="720"/>
        <w:rPr>
          <w:rFonts w:eastAsia="Calibri"/>
          <w:sz w:val="24"/>
          <w:szCs w:val="24"/>
        </w:rPr>
      </w:pPr>
      <w:r w:rsidRPr="002C03D0">
        <w:rPr>
          <w:sz w:val="24"/>
          <w:szCs w:val="24"/>
        </w:rPr>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165701B1" w14:textId="36EF2260" w:rsidR="00BA3BBD" w:rsidRPr="002C03D0" w:rsidRDefault="00BA3BBD" w:rsidP="00A614D3">
      <w:pPr>
        <w:spacing w:after="240"/>
        <w:ind w:left="720"/>
        <w:rPr>
          <w:color w:val="0066FF"/>
          <w:sz w:val="24"/>
          <w:szCs w:val="24"/>
        </w:rPr>
      </w:pPr>
      <w:r w:rsidRPr="002C03D0">
        <w:rPr>
          <w:sz w:val="24"/>
          <w:szCs w:val="24"/>
        </w:rPr>
        <w:t xml:space="preserve">Additional information: </w:t>
      </w:r>
      <w:hyperlink r:id="rId32" w:history="1">
        <w:r w:rsidRPr="002C03D0">
          <w:rPr>
            <w:rStyle w:val="Hyperlink"/>
            <w:rFonts w:cs="Arial"/>
            <w:sz w:val="24"/>
            <w:szCs w:val="24"/>
          </w:rPr>
          <w:t>https://leginfo.legislature.ca.gov/faces/billTextClient.xhtml?bill_id=201720180SB100</w:t>
        </w:r>
      </w:hyperlink>
      <w:r w:rsidRPr="002C03D0">
        <w:rPr>
          <w:color w:val="0066FF"/>
          <w:sz w:val="24"/>
          <w:szCs w:val="24"/>
        </w:rPr>
        <w:t xml:space="preserve"> </w:t>
      </w:r>
    </w:p>
    <w:p w14:paraId="3629AFD8" w14:textId="77777777" w:rsidR="00703702" w:rsidRPr="002C03D0" w:rsidRDefault="00703702" w:rsidP="002F32D3">
      <w:pPr>
        <w:pStyle w:val="ListParagraph"/>
        <w:numPr>
          <w:ilvl w:val="0"/>
          <w:numId w:val="49"/>
        </w:numPr>
        <w:spacing w:after="240"/>
        <w:rPr>
          <w:b/>
          <w:bCs/>
          <w:sz w:val="24"/>
          <w:szCs w:val="24"/>
        </w:rPr>
      </w:pPr>
      <w:r w:rsidRPr="002C03D0">
        <w:rPr>
          <w:b/>
          <w:bCs/>
          <w:sz w:val="24"/>
          <w:szCs w:val="24"/>
        </w:rPr>
        <w:t>Senate Bill (SB) 846 - Diablo Canyon powerplant: extension of operations</w:t>
      </w:r>
    </w:p>
    <w:p w14:paraId="784BC430" w14:textId="77777777" w:rsidR="00703702" w:rsidRPr="002C03D0" w:rsidRDefault="00703702" w:rsidP="00703702">
      <w:pPr>
        <w:spacing w:after="240"/>
        <w:ind w:left="720"/>
        <w:rPr>
          <w:sz w:val="24"/>
          <w:szCs w:val="24"/>
        </w:rPr>
      </w:pPr>
      <w:r w:rsidRPr="002C03D0">
        <w:rPr>
          <w:sz w:val="24"/>
          <w:szCs w:val="24"/>
        </w:rPr>
        <w:t>SB 846 tasked multiple state agencies, including the CPUC and CEC, with nearly 50 action items, the goal of which is to analyze the state's near- and long-term power needs and study whether Diablo Canyon is both a needed and cost-effective source of power between 2025 and 2030.</w:t>
      </w:r>
    </w:p>
    <w:p w14:paraId="0DB253A9" w14:textId="6CC2884E" w:rsidR="00703702" w:rsidRPr="002C03D0" w:rsidRDefault="00703702" w:rsidP="00703702">
      <w:pPr>
        <w:spacing w:after="240"/>
        <w:ind w:left="720"/>
        <w:rPr>
          <w:sz w:val="24"/>
          <w:szCs w:val="24"/>
        </w:rPr>
      </w:pPr>
      <w:r w:rsidRPr="002C03D0">
        <w:rPr>
          <w:sz w:val="24"/>
          <w:szCs w:val="24"/>
        </w:rPr>
        <w:t>Additional informat</w:t>
      </w:r>
      <w:r w:rsidR="005B3CCA" w:rsidRPr="002C03D0">
        <w:rPr>
          <w:sz w:val="24"/>
          <w:szCs w:val="24"/>
        </w:rPr>
        <w:t xml:space="preserve">ion: </w:t>
      </w:r>
      <w:hyperlink r:id="rId33" w:history="1">
        <w:r w:rsidR="005B3CCA" w:rsidRPr="002C03D0">
          <w:rPr>
            <w:rStyle w:val="Hyperlink"/>
            <w:rFonts w:cs="Arial"/>
            <w:sz w:val="24"/>
            <w:szCs w:val="24"/>
          </w:rPr>
          <w:t>https://le</w:t>
        </w:r>
        <w:r w:rsidRPr="002C03D0">
          <w:rPr>
            <w:rStyle w:val="Hyperlink"/>
            <w:rFonts w:cs="Arial"/>
            <w:sz w:val="24"/>
            <w:szCs w:val="24"/>
          </w:rPr>
          <w:t>ginfo.legislature.ca.gov/faces/billNavClient.xhtml?bill_id=202120220SB846</w:t>
        </w:r>
      </w:hyperlink>
    </w:p>
    <w:p w14:paraId="0D40355E" w14:textId="77777777" w:rsidR="00703702" w:rsidRPr="002C03D0" w:rsidRDefault="00703702" w:rsidP="002F32D3">
      <w:pPr>
        <w:pStyle w:val="ListParagraph"/>
        <w:numPr>
          <w:ilvl w:val="0"/>
          <w:numId w:val="49"/>
        </w:numPr>
        <w:spacing w:after="240"/>
        <w:rPr>
          <w:b/>
          <w:bCs/>
          <w:sz w:val="24"/>
          <w:szCs w:val="24"/>
        </w:rPr>
      </w:pPr>
      <w:r w:rsidRPr="002C03D0">
        <w:rPr>
          <w:b/>
          <w:bCs/>
          <w:sz w:val="24"/>
          <w:szCs w:val="24"/>
        </w:rPr>
        <w:t>Assembly Bill (AB) 205 – Energy</w:t>
      </w:r>
    </w:p>
    <w:p w14:paraId="734C08C0" w14:textId="77777777" w:rsidR="00703702" w:rsidRPr="002C03D0" w:rsidRDefault="00703702" w:rsidP="00703702">
      <w:pPr>
        <w:spacing w:after="240"/>
        <w:ind w:left="720"/>
        <w:rPr>
          <w:sz w:val="24"/>
          <w:szCs w:val="24"/>
        </w:rPr>
      </w:pPr>
      <w:r w:rsidRPr="002C03D0">
        <w:rPr>
          <w:sz w:val="24"/>
          <w:szCs w:val="24"/>
        </w:rPr>
        <w:t>AB 205 requires the CEC to establish and implement the Long-Duration Energy Storage Program to provide financial incentives for projects that have power ratings of at least one megawatt and can reach a target of at least 8 hours of continuous discharge of electricity to deploy innovative energy storage systems to the electrical grid for purposes of providing critical capacity and grid services.</w:t>
      </w:r>
    </w:p>
    <w:p w14:paraId="46F89108" w14:textId="4D53B711" w:rsidR="00703702" w:rsidRPr="002C03D0" w:rsidRDefault="00703702" w:rsidP="00703702">
      <w:pPr>
        <w:spacing w:after="240"/>
        <w:ind w:left="720"/>
        <w:rPr>
          <w:sz w:val="24"/>
          <w:szCs w:val="24"/>
        </w:rPr>
      </w:pPr>
      <w:r w:rsidRPr="002C03D0">
        <w:rPr>
          <w:sz w:val="24"/>
          <w:szCs w:val="24"/>
        </w:rPr>
        <w:t xml:space="preserve">Additional information: </w:t>
      </w:r>
      <w:hyperlink r:id="rId34" w:history="1">
        <w:r w:rsidRPr="002C03D0">
          <w:rPr>
            <w:rStyle w:val="Hyperlink"/>
            <w:rFonts w:cs="Arial"/>
            <w:sz w:val="24"/>
            <w:szCs w:val="24"/>
          </w:rPr>
          <w:t>https://leginfo.legislature.ca.gov/faces/billNavClient.xhtml?bill_id=202120220AB205</w:t>
        </w:r>
      </w:hyperlink>
    </w:p>
    <w:p w14:paraId="48E0AD4F" w14:textId="77777777" w:rsidR="00703702" w:rsidRPr="002C03D0" w:rsidRDefault="00703702" w:rsidP="002F32D3">
      <w:pPr>
        <w:pStyle w:val="ListParagraph"/>
        <w:numPr>
          <w:ilvl w:val="0"/>
          <w:numId w:val="49"/>
        </w:numPr>
        <w:spacing w:after="240"/>
        <w:rPr>
          <w:b/>
          <w:bCs/>
          <w:sz w:val="24"/>
          <w:szCs w:val="24"/>
        </w:rPr>
      </w:pPr>
      <w:r w:rsidRPr="002C03D0">
        <w:rPr>
          <w:b/>
          <w:bCs/>
          <w:sz w:val="24"/>
          <w:szCs w:val="24"/>
        </w:rPr>
        <w:t>Senate Bill (SB) 423 – Energy: firm zero-carbon resources</w:t>
      </w:r>
    </w:p>
    <w:p w14:paraId="6E657B86" w14:textId="77777777" w:rsidR="00703702" w:rsidRPr="002C03D0" w:rsidRDefault="00703702" w:rsidP="00703702">
      <w:pPr>
        <w:pStyle w:val="ListParagraph"/>
        <w:spacing w:after="240"/>
        <w:rPr>
          <w:sz w:val="24"/>
          <w:szCs w:val="24"/>
        </w:rPr>
      </w:pPr>
      <w:r w:rsidRPr="002C03D0">
        <w:rPr>
          <w:sz w:val="24"/>
          <w:szCs w:val="24"/>
        </w:rPr>
        <w:t>SB 423 requires the CEC biennially adopt an integrated energy policy report (IEPR) that includes an overview of major energy trends and issues facing the state and an assessment and forecast of system reliability. It also requires the CEC to incorporate into the IEPR electrical resources that can deliver electricity for the expected duration of multiday extreme or atypical weather events and facilitate integration of eligible renewable energy resources into the electrical grid and the transition to a zero-carbon electrical grid, referred to as “firm zero-carbon resources.”</w:t>
      </w:r>
    </w:p>
    <w:p w14:paraId="4640BCFD" w14:textId="0314F1CF" w:rsidR="00703702" w:rsidRPr="002C03D0" w:rsidRDefault="00703702" w:rsidP="00703702">
      <w:pPr>
        <w:pStyle w:val="ListParagraph"/>
        <w:rPr>
          <w:sz w:val="24"/>
          <w:szCs w:val="24"/>
        </w:rPr>
      </w:pPr>
      <w:r w:rsidRPr="002C03D0">
        <w:rPr>
          <w:sz w:val="24"/>
          <w:szCs w:val="24"/>
        </w:rPr>
        <w:t xml:space="preserve">Additional information: </w:t>
      </w:r>
      <w:hyperlink r:id="rId35" w:history="1">
        <w:r w:rsidRPr="002C03D0">
          <w:rPr>
            <w:rStyle w:val="Hyperlink"/>
            <w:rFonts w:cs="Arial"/>
            <w:sz w:val="24"/>
            <w:szCs w:val="24"/>
          </w:rPr>
          <w:t>https://leginfo.legislature.ca.gov/faces/billNavClient.xhtml?bill_id=202120220SB423</w:t>
        </w:r>
      </w:hyperlink>
    </w:p>
    <w:p w14:paraId="79F93BD5" w14:textId="77777777" w:rsidR="00BA3BBD" w:rsidRPr="002C03D0" w:rsidRDefault="00BA3BBD" w:rsidP="00BA3BBD">
      <w:pPr>
        <w:keepLines/>
        <w:jc w:val="both"/>
        <w:rPr>
          <w:sz w:val="24"/>
          <w:szCs w:val="24"/>
          <w:u w:val="single"/>
        </w:rPr>
      </w:pPr>
      <w:r w:rsidRPr="002C03D0">
        <w:rPr>
          <w:sz w:val="24"/>
          <w:szCs w:val="24"/>
          <w:u w:val="single"/>
        </w:rPr>
        <w:t>Policies/Plans</w:t>
      </w:r>
    </w:p>
    <w:p w14:paraId="65B07190" w14:textId="77777777" w:rsidR="00BA3BBD" w:rsidRPr="002C03D0" w:rsidRDefault="00BA3BBD" w:rsidP="002C03D0">
      <w:pPr>
        <w:numPr>
          <w:ilvl w:val="0"/>
          <w:numId w:val="7"/>
        </w:numPr>
        <w:tabs>
          <w:tab w:val="left" w:pos="720"/>
        </w:tabs>
        <w:ind w:left="720"/>
        <w:rPr>
          <w:b/>
          <w:sz w:val="24"/>
          <w:szCs w:val="24"/>
        </w:rPr>
      </w:pPr>
      <w:r w:rsidRPr="002C03D0">
        <w:rPr>
          <w:b/>
          <w:sz w:val="24"/>
          <w:szCs w:val="24"/>
        </w:rPr>
        <w:t>Integrated Energy Policy Report (Biennial)</w:t>
      </w:r>
    </w:p>
    <w:p w14:paraId="3D01832B" w14:textId="77777777" w:rsidR="00BA3BBD" w:rsidRPr="002C03D0" w:rsidRDefault="00BA3BBD" w:rsidP="002C03D0">
      <w:pPr>
        <w:ind w:left="720"/>
        <w:rPr>
          <w:sz w:val="24"/>
          <w:szCs w:val="24"/>
        </w:rPr>
      </w:pPr>
      <w:r w:rsidRPr="002C03D0">
        <w:rPr>
          <w:sz w:val="24"/>
          <w:szCs w:val="24"/>
        </w:rPr>
        <w:t>California Public Resources Code Section 25302 requires the Energy Commission to release a biennial report that provides an overview of major energy trends and issues facing the state. The IEPR assesses and forecasts all aspects of energy industry supply, production, transportation, delivery, distribution, demand, and pricing. The Energy Commission uses these assessments and forecasts to develop energy policies</w:t>
      </w:r>
      <w:r w:rsidR="00EC2034" w:rsidRPr="002C03D0">
        <w:rPr>
          <w:sz w:val="24"/>
          <w:szCs w:val="24"/>
        </w:rPr>
        <w:t xml:space="preserve"> and provide </w:t>
      </w:r>
      <w:r w:rsidRPr="002C03D0">
        <w:rPr>
          <w:sz w:val="24"/>
          <w:szCs w:val="24"/>
        </w:rPr>
        <w:t>recommendations for future research and analysis areas.</w:t>
      </w:r>
    </w:p>
    <w:p w14:paraId="7E11EB00" w14:textId="7DDB4C21" w:rsidR="00BA3BBD" w:rsidRPr="002C03D0" w:rsidRDefault="00BA3BBD" w:rsidP="002C03D0">
      <w:pPr>
        <w:ind w:left="720"/>
        <w:rPr>
          <w:sz w:val="24"/>
          <w:szCs w:val="24"/>
        </w:rPr>
      </w:pPr>
      <w:r w:rsidRPr="002C03D0">
        <w:rPr>
          <w:sz w:val="24"/>
          <w:szCs w:val="24"/>
        </w:rPr>
        <w:t xml:space="preserve">Additional information: </w:t>
      </w:r>
      <w:hyperlink r:id="rId36" w:history="1">
        <w:r w:rsidRPr="002C03D0">
          <w:rPr>
            <w:rStyle w:val="Hyperlink"/>
            <w:rFonts w:cs="Arial"/>
            <w:sz w:val="24"/>
            <w:szCs w:val="24"/>
          </w:rPr>
          <w:t>http://www.energy.ca.gov/energypolicy</w:t>
        </w:r>
      </w:hyperlink>
    </w:p>
    <w:p w14:paraId="10714BCD" w14:textId="77777777" w:rsidR="00BA3BBD" w:rsidRPr="002C03D0" w:rsidRDefault="00BA3BBD" w:rsidP="002C03D0">
      <w:pPr>
        <w:spacing w:after="240"/>
        <w:ind w:left="720"/>
        <w:rPr>
          <w:sz w:val="24"/>
          <w:szCs w:val="24"/>
        </w:rPr>
      </w:pPr>
      <w:r w:rsidRPr="002C03D0">
        <w:rPr>
          <w:sz w:val="24"/>
          <w:szCs w:val="24"/>
        </w:rPr>
        <w:t>Applicable Law:</w:t>
      </w:r>
      <w:r w:rsidRPr="002C03D0">
        <w:rPr>
          <w:color w:val="000000"/>
          <w:sz w:val="24"/>
          <w:szCs w:val="24"/>
        </w:rPr>
        <w:t xml:space="preserve"> California Public Resources Code § 25300 et seq.</w:t>
      </w:r>
      <w:r w:rsidRPr="002C03D0">
        <w:rPr>
          <w:sz w:val="24"/>
          <w:szCs w:val="24"/>
        </w:rPr>
        <w:t xml:space="preserve"> </w:t>
      </w:r>
    </w:p>
    <w:p w14:paraId="6575A10E" w14:textId="77777777" w:rsidR="00BA3BBD" w:rsidRPr="002C03D0" w:rsidRDefault="00BA3BBD" w:rsidP="002C03D0">
      <w:pPr>
        <w:keepNext/>
        <w:numPr>
          <w:ilvl w:val="0"/>
          <w:numId w:val="7"/>
        </w:numPr>
        <w:tabs>
          <w:tab w:val="left" w:pos="720"/>
        </w:tabs>
        <w:ind w:left="720"/>
        <w:rPr>
          <w:b/>
          <w:sz w:val="24"/>
          <w:szCs w:val="24"/>
        </w:rPr>
      </w:pPr>
      <w:r w:rsidRPr="002C03D0">
        <w:rPr>
          <w:b/>
          <w:sz w:val="24"/>
          <w:szCs w:val="24"/>
        </w:rPr>
        <w:t>CPUC Decision 13-10-040, “Decision Adopting Energy Storage Procurement Framework and Design Program” (2013)</w:t>
      </w:r>
    </w:p>
    <w:p w14:paraId="6CB08F05" w14:textId="77777777" w:rsidR="00BA3BBD" w:rsidRPr="002C03D0" w:rsidRDefault="00BA3BBD" w:rsidP="002C03D0">
      <w:pPr>
        <w:keepNext/>
        <w:tabs>
          <w:tab w:val="left" w:pos="720"/>
        </w:tabs>
        <w:ind w:left="720"/>
        <w:rPr>
          <w:sz w:val="24"/>
          <w:szCs w:val="24"/>
        </w:rPr>
      </w:pPr>
      <w:r w:rsidRPr="002C03D0">
        <w:rPr>
          <w:sz w:val="24"/>
          <w:szCs w:val="24"/>
        </w:rPr>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6B80ACEC" w:rsidR="00BA3BBD" w:rsidRPr="002C03D0" w:rsidRDefault="00BA3BBD" w:rsidP="002C03D0">
      <w:pPr>
        <w:tabs>
          <w:tab w:val="left" w:pos="720"/>
        </w:tabs>
        <w:spacing w:after="240"/>
        <w:ind w:left="720"/>
        <w:rPr>
          <w:sz w:val="24"/>
          <w:szCs w:val="24"/>
        </w:rPr>
      </w:pPr>
      <w:r w:rsidRPr="002C03D0">
        <w:rPr>
          <w:sz w:val="24"/>
          <w:szCs w:val="24"/>
        </w:rPr>
        <w:t xml:space="preserve">Additional information: </w:t>
      </w:r>
      <w:hyperlink r:id="rId37" w:history="1">
        <w:r w:rsidRPr="002C03D0">
          <w:rPr>
            <w:rStyle w:val="Hyperlink"/>
            <w:rFonts w:cs="Arial"/>
            <w:sz w:val="24"/>
            <w:szCs w:val="24"/>
          </w:rPr>
          <w:t>http://www.cpuc.ca.gov/uploadedfiles/cpuc_public_website/content/about_us/organization/former_commissioners/peevey(1)/news_and_announcements/ferron_peevey_concurrence_storaged1310040.pdf</w:t>
        </w:r>
      </w:hyperlink>
    </w:p>
    <w:p w14:paraId="56348417" w14:textId="77777777" w:rsidR="00BA3BBD" w:rsidRPr="002C03D0" w:rsidRDefault="00BA3BBD" w:rsidP="002C03D0">
      <w:pPr>
        <w:keepLines/>
        <w:widowControl w:val="0"/>
        <w:tabs>
          <w:tab w:val="left" w:pos="360"/>
        </w:tabs>
        <w:spacing w:before="240"/>
        <w:rPr>
          <w:sz w:val="24"/>
          <w:szCs w:val="24"/>
          <w:u w:val="single"/>
        </w:rPr>
      </w:pPr>
      <w:r w:rsidRPr="002C03D0">
        <w:rPr>
          <w:sz w:val="24"/>
          <w:szCs w:val="24"/>
          <w:u w:val="single"/>
        </w:rPr>
        <w:t>Reference Documents</w:t>
      </w:r>
    </w:p>
    <w:bookmarkEnd w:id="55"/>
    <w:p w14:paraId="37BC59F8" w14:textId="4276C8C7" w:rsidR="00BA3BBD" w:rsidRPr="002C03D0" w:rsidRDefault="00BA3BBD" w:rsidP="002C03D0">
      <w:pPr>
        <w:keepLines/>
        <w:widowControl w:val="0"/>
        <w:rPr>
          <w:sz w:val="24"/>
          <w:szCs w:val="24"/>
        </w:rPr>
      </w:pPr>
      <w:r w:rsidRPr="002C03D0">
        <w:rPr>
          <w:sz w:val="24"/>
          <w:szCs w:val="24"/>
        </w:rPr>
        <w:t xml:space="preserve">Refer to the link below for information about past CEC research projects and activities: </w:t>
      </w:r>
    </w:p>
    <w:p w14:paraId="4FD46359" w14:textId="3B9104D6" w:rsidR="00BA3BBD" w:rsidRPr="002C03D0" w:rsidRDefault="00000000" w:rsidP="002C03D0">
      <w:pPr>
        <w:keepLines/>
        <w:widowControl w:val="0"/>
        <w:numPr>
          <w:ilvl w:val="0"/>
          <w:numId w:val="29"/>
        </w:numPr>
        <w:spacing w:after="0"/>
        <w:ind w:hanging="270"/>
        <w:rPr>
          <w:sz w:val="24"/>
          <w:szCs w:val="24"/>
        </w:rPr>
      </w:pPr>
      <w:hyperlink r:id="rId38" w:history="1">
        <w:r w:rsidR="00BA3BBD" w:rsidRPr="002C03D0">
          <w:rPr>
            <w:rStyle w:val="Hyperlink"/>
            <w:rFonts w:cs="Arial"/>
            <w:sz w:val="24"/>
            <w:szCs w:val="24"/>
          </w:rPr>
          <w:t>http://www.energy.ca.gov/research/</w:t>
        </w:r>
      </w:hyperlink>
    </w:p>
    <w:p w14:paraId="21F42886" w14:textId="77777777" w:rsidR="00BA3BBD" w:rsidRPr="002C03D0" w:rsidRDefault="00BA3BBD" w:rsidP="002C03D0">
      <w:pPr>
        <w:tabs>
          <w:tab w:val="left" w:pos="1170"/>
        </w:tabs>
        <w:spacing w:after="0"/>
        <w:rPr>
          <w:sz w:val="24"/>
          <w:szCs w:val="24"/>
        </w:rPr>
      </w:pPr>
    </w:p>
    <w:p w14:paraId="532E031C" w14:textId="77777777" w:rsidR="00BA3BBD" w:rsidRPr="002C03D0" w:rsidRDefault="00BA3BBD" w:rsidP="002C03D0">
      <w:pPr>
        <w:pStyle w:val="Heading2"/>
        <w:numPr>
          <w:ilvl w:val="0"/>
          <w:numId w:val="54"/>
        </w:numPr>
        <w:rPr>
          <w:b w:val="0"/>
          <w:smallCaps w:val="0"/>
          <w:szCs w:val="28"/>
        </w:rPr>
      </w:pPr>
      <w:bookmarkStart w:id="56" w:name="_Toc522777848"/>
      <w:bookmarkStart w:id="57" w:name="_Toc26361581"/>
      <w:bookmarkStart w:id="58" w:name="_Toc121421339"/>
      <w:r w:rsidRPr="002C03D0">
        <w:rPr>
          <w:szCs w:val="28"/>
        </w:rPr>
        <w:t>Match Funding</w:t>
      </w:r>
      <w:bookmarkEnd w:id="56"/>
      <w:bookmarkEnd w:id="57"/>
      <w:bookmarkEnd w:id="58"/>
    </w:p>
    <w:bookmarkEnd w:id="53"/>
    <w:p w14:paraId="273A2243" w14:textId="77777777" w:rsidR="00BA3BBD" w:rsidRPr="002C03D0" w:rsidRDefault="00BA3BBD" w:rsidP="002C03D0">
      <w:pPr>
        <w:numPr>
          <w:ilvl w:val="0"/>
          <w:numId w:val="19"/>
        </w:numPr>
        <w:tabs>
          <w:tab w:val="left" w:pos="720"/>
        </w:tabs>
        <w:rPr>
          <w:sz w:val="24"/>
          <w:szCs w:val="24"/>
        </w:rPr>
      </w:pPr>
      <w:r w:rsidRPr="002C03D0">
        <w:rPr>
          <w:b/>
          <w:sz w:val="24"/>
          <w:szCs w:val="24"/>
        </w:rPr>
        <w:t>“Match funds”</w:t>
      </w:r>
      <w:r w:rsidRPr="002C03D0">
        <w:rPr>
          <w:sz w:val="24"/>
          <w:szCs w:val="24"/>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2C03D0" w:rsidRDefault="00BA3BBD" w:rsidP="002C03D0">
      <w:pPr>
        <w:tabs>
          <w:tab w:val="left" w:pos="720"/>
        </w:tabs>
        <w:ind w:left="720"/>
        <w:rPr>
          <w:sz w:val="24"/>
          <w:szCs w:val="24"/>
        </w:rPr>
      </w:pPr>
      <w:r w:rsidRPr="002C03D0">
        <w:rPr>
          <w:sz w:val="24"/>
          <w:szCs w:val="24"/>
        </w:rPr>
        <w:t xml:space="preserve">“Match funds” </w:t>
      </w:r>
      <w:r w:rsidRPr="002C03D0">
        <w:rPr>
          <w:sz w:val="24"/>
          <w:szCs w:val="24"/>
          <w:u w:val="single"/>
        </w:rPr>
        <w:t>do not</w:t>
      </w:r>
      <w:r w:rsidRPr="002C03D0">
        <w:rPr>
          <w:sz w:val="24"/>
          <w:szCs w:val="24"/>
        </w:rPr>
        <w:t xml:space="preserve"> </w:t>
      </w:r>
      <w:proofErr w:type="gramStart"/>
      <w:r w:rsidRPr="002C03D0">
        <w:rPr>
          <w:sz w:val="24"/>
          <w:szCs w:val="24"/>
        </w:rPr>
        <w:t>include:</w:t>
      </w:r>
      <w:proofErr w:type="gramEnd"/>
      <w:r w:rsidRPr="002C03D0">
        <w:rPr>
          <w:sz w:val="24"/>
          <w:szCs w:val="24"/>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2C03D0" w:rsidRDefault="00BA3BBD" w:rsidP="002C03D0">
      <w:pPr>
        <w:tabs>
          <w:tab w:val="left" w:pos="720"/>
        </w:tabs>
        <w:ind w:left="720"/>
        <w:rPr>
          <w:sz w:val="24"/>
          <w:szCs w:val="24"/>
        </w:rPr>
      </w:pPr>
      <w:r w:rsidRPr="002C03D0">
        <w:rPr>
          <w:sz w:val="24"/>
          <w:szCs w:val="24"/>
        </w:rPr>
        <w:t>Definitions of “match funding” categories are listed below:</w:t>
      </w:r>
    </w:p>
    <w:p w14:paraId="642820B4" w14:textId="77777777" w:rsidR="00BA3BBD" w:rsidRPr="002C03D0" w:rsidRDefault="00EC2034" w:rsidP="002C03D0">
      <w:pPr>
        <w:numPr>
          <w:ilvl w:val="2"/>
          <w:numId w:val="19"/>
        </w:numPr>
        <w:tabs>
          <w:tab w:val="left" w:pos="1080"/>
          <w:tab w:val="left" w:pos="1530"/>
        </w:tabs>
        <w:spacing w:before="120"/>
        <w:ind w:left="1080"/>
        <w:rPr>
          <w:sz w:val="24"/>
          <w:szCs w:val="24"/>
        </w:rPr>
      </w:pPr>
      <w:r w:rsidRPr="002C03D0">
        <w:rPr>
          <w:b/>
          <w:sz w:val="24"/>
          <w:szCs w:val="24"/>
        </w:rPr>
        <w:t>“</w:t>
      </w:r>
      <w:r w:rsidR="00BA3BBD" w:rsidRPr="002C03D0">
        <w:rPr>
          <w:b/>
          <w:sz w:val="24"/>
          <w:szCs w:val="24"/>
        </w:rPr>
        <w:t>Cash”</w:t>
      </w:r>
      <w:r w:rsidR="00BA3BBD" w:rsidRPr="002C03D0">
        <w:rPr>
          <w:sz w:val="24"/>
          <w:szCs w:val="24"/>
        </w:rPr>
        <w:t xml:space="preserve"> </w:t>
      </w:r>
      <w:r w:rsidR="00BA3BBD" w:rsidRPr="002C03D0">
        <w:rPr>
          <w:b/>
          <w:sz w:val="24"/>
          <w:szCs w:val="24"/>
        </w:rPr>
        <w:t>match</w:t>
      </w:r>
      <w:r w:rsidR="00BA3BBD" w:rsidRPr="002C03D0">
        <w:rPr>
          <w:sz w:val="24"/>
          <w:szCs w:val="24"/>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2C03D0" w:rsidRDefault="00BA3BBD" w:rsidP="002C03D0">
      <w:pPr>
        <w:numPr>
          <w:ilvl w:val="2"/>
          <w:numId w:val="19"/>
        </w:numPr>
        <w:tabs>
          <w:tab w:val="left" w:pos="1080"/>
          <w:tab w:val="left" w:pos="1530"/>
        </w:tabs>
        <w:spacing w:before="120"/>
        <w:ind w:left="1080"/>
        <w:rPr>
          <w:sz w:val="24"/>
          <w:szCs w:val="24"/>
        </w:rPr>
      </w:pPr>
      <w:r w:rsidRPr="002C03D0">
        <w:rPr>
          <w:b/>
          <w:sz w:val="24"/>
          <w:szCs w:val="24"/>
        </w:rPr>
        <w:t>“In-Kind”</w:t>
      </w:r>
      <w:r w:rsidRPr="002C03D0">
        <w:rPr>
          <w:sz w:val="24"/>
          <w:szCs w:val="24"/>
        </w:rPr>
        <w:t xml:space="preserve"> </w:t>
      </w:r>
      <w:r w:rsidRPr="002C03D0">
        <w:rPr>
          <w:b/>
          <w:sz w:val="24"/>
          <w:szCs w:val="24"/>
        </w:rPr>
        <w:t>match</w:t>
      </w:r>
      <w:r w:rsidRPr="002C03D0">
        <w:rPr>
          <w:sz w:val="24"/>
          <w:szCs w:val="24"/>
        </w:rPr>
        <w:t xml:space="preserve"> is typically in the form of the value of personnel, goods, and services, including direct and indirect costs. This can include equipment, facilities, and other property </w:t>
      </w:r>
      <w:proofErr w:type="gramStart"/>
      <w:r w:rsidRPr="002C03D0">
        <w:rPr>
          <w:sz w:val="24"/>
          <w:szCs w:val="24"/>
        </w:rPr>
        <w:t>as long as</w:t>
      </w:r>
      <w:proofErr w:type="gramEnd"/>
      <w:r w:rsidRPr="002C03D0">
        <w:rPr>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2C03D0" w:rsidRDefault="00BA3BBD" w:rsidP="002C03D0">
      <w:pPr>
        <w:numPr>
          <w:ilvl w:val="0"/>
          <w:numId w:val="19"/>
        </w:numPr>
        <w:tabs>
          <w:tab w:val="left" w:pos="720"/>
        </w:tabs>
        <w:spacing w:after="0"/>
        <w:rPr>
          <w:sz w:val="24"/>
          <w:szCs w:val="24"/>
        </w:rPr>
      </w:pPr>
      <w:r w:rsidRPr="002C03D0">
        <w:rPr>
          <w:sz w:val="24"/>
          <w:szCs w:val="24"/>
        </w:rPr>
        <w:t>Match funds m</w:t>
      </w:r>
      <w:r w:rsidR="00CE3E28" w:rsidRPr="002C03D0">
        <w:rPr>
          <w:sz w:val="24"/>
          <w:szCs w:val="24"/>
        </w:rPr>
        <w:t>ust</w:t>
      </w:r>
      <w:r w:rsidRPr="002C03D0">
        <w:rPr>
          <w:sz w:val="24"/>
          <w:szCs w:val="24"/>
        </w:rPr>
        <w:t xml:space="preserve"> be spent only during the agreement term, either before or concurrently with EPIC funds. Match funds also must be reported in invoices submitted to the CEC.</w:t>
      </w:r>
      <w:r w:rsidRPr="002C03D0">
        <w:rPr>
          <w:b/>
          <w:sz w:val="24"/>
          <w:szCs w:val="24"/>
        </w:rPr>
        <w:t xml:space="preserve"> </w:t>
      </w:r>
    </w:p>
    <w:p w14:paraId="2C2F9B99" w14:textId="77777777" w:rsidR="00BA3BBD" w:rsidRPr="002C03D0" w:rsidRDefault="00BA3BBD" w:rsidP="002C03D0">
      <w:pPr>
        <w:numPr>
          <w:ilvl w:val="0"/>
          <w:numId w:val="19"/>
        </w:numPr>
        <w:tabs>
          <w:tab w:val="left" w:pos="720"/>
        </w:tabs>
        <w:suppressAutoHyphens/>
        <w:rPr>
          <w:sz w:val="24"/>
          <w:szCs w:val="24"/>
        </w:rPr>
      </w:pPr>
      <w:r w:rsidRPr="002C03D0">
        <w:rPr>
          <w:sz w:val="24"/>
          <w:szCs w:val="24"/>
        </w:rPr>
        <w:t xml:space="preserve">All applicants providing match funds must submit commitment letters, </w:t>
      </w:r>
      <w:r w:rsidRPr="002C03D0">
        <w:rPr>
          <w:b/>
          <w:sz w:val="24"/>
          <w:szCs w:val="24"/>
        </w:rPr>
        <w:t>including prime and subcontractors</w:t>
      </w:r>
      <w:r w:rsidRPr="002C03D0">
        <w:rPr>
          <w:sz w:val="24"/>
          <w:szCs w:val="24"/>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2C03D0" w:rsidRDefault="00BA3BBD" w:rsidP="002C03D0">
      <w:pPr>
        <w:numPr>
          <w:ilvl w:val="0"/>
          <w:numId w:val="19"/>
        </w:numPr>
        <w:tabs>
          <w:tab w:val="left" w:pos="720"/>
        </w:tabs>
        <w:suppressAutoHyphens/>
        <w:rPr>
          <w:sz w:val="24"/>
          <w:szCs w:val="24"/>
        </w:rPr>
      </w:pPr>
      <w:r w:rsidRPr="002C03D0">
        <w:rPr>
          <w:color w:val="000000" w:themeColor="text1"/>
          <w:sz w:val="24"/>
          <w:szCs w:val="24"/>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2C03D0" w:rsidRDefault="00B2692C" w:rsidP="002C03D0">
      <w:pPr>
        <w:tabs>
          <w:tab w:val="left" w:pos="1080"/>
          <w:tab w:val="left" w:pos="1440"/>
          <w:tab w:val="left" w:pos="1530"/>
        </w:tabs>
        <w:spacing w:after="60"/>
        <w:rPr>
          <w:sz w:val="24"/>
          <w:szCs w:val="24"/>
        </w:rPr>
      </w:pPr>
      <w:r w:rsidRPr="002C03D0">
        <w:rPr>
          <w:sz w:val="24"/>
          <w:szCs w:val="24"/>
        </w:rPr>
        <w:t>Examples of preferred match share:</w:t>
      </w:r>
    </w:p>
    <w:p w14:paraId="1747B790" w14:textId="0FE9555A" w:rsidR="00B2692C" w:rsidRPr="002C03D0" w:rsidRDefault="00B2692C" w:rsidP="002C03D0">
      <w:pPr>
        <w:numPr>
          <w:ilvl w:val="2"/>
          <w:numId w:val="19"/>
        </w:numPr>
        <w:tabs>
          <w:tab w:val="left" w:pos="1260"/>
        </w:tabs>
        <w:spacing w:before="120"/>
        <w:ind w:left="1080"/>
        <w:rPr>
          <w:sz w:val="24"/>
          <w:szCs w:val="24"/>
        </w:rPr>
      </w:pPr>
      <w:r w:rsidRPr="002C03D0">
        <w:rPr>
          <w:b/>
          <w:sz w:val="24"/>
          <w:szCs w:val="24"/>
        </w:rPr>
        <w:t xml:space="preserve">“Travel” </w:t>
      </w:r>
      <w:r w:rsidRPr="002C03D0">
        <w:rPr>
          <w:sz w:val="24"/>
          <w:szCs w:val="24"/>
        </w:rPr>
        <w:t>refers to all travel required to complete the tasks identified in the Scope of Work. Travel includes in-state and out-of-state</w:t>
      </w:r>
      <w:r w:rsidR="00580534" w:rsidRPr="002C03D0">
        <w:rPr>
          <w:sz w:val="24"/>
          <w:szCs w:val="24"/>
        </w:rPr>
        <w:t xml:space="preserve">, </w:t>
      </w:r>
      <w:r w:rsidRPr="002C03D0">
        <w:rPr>
          <w:sz w:val="24"/>
          <w:szCs w:val="24"/>
        </w:rPr>
        <w:t xml:space="preserve">and travel to conferences. EPIC funds are limited to lodging and any form of transportation (e.g., airfare, rental car, public transit, parking, mileage). Use of match funds for out-of-state travel is encouraged, </w:t>
      </w:r>
      <w:r w:rsidR="00580534" w:rsidRPr="002C03D0">
        <w:rPr>
          <w:sz w:val="24"/>
          <w:szCs w:val="24"/>
        </w:rPr>
        <w:t>as</w:t>
      </w:r>
      <w:r w:rsidRPr="002C03D0">
        <w:rPr>
          <w:sz w:val="24"/>
          <w:szCs w:val="24"/>
        </w:rPr>
        <w:t xml:space="preserve"> the CEC </w:t>
      </w:r>
      <w:r w:rsidR="00580534" w:rsidRPr="002C03D0">
        <w:rPr>
          <w:sz w:val="24"/>
          <w:szCs w:val="24"/>
        </w:rPr>
        <w:t>discourages and may</w:t>
      </w:r>
      <w:r w:rsidRPr="002C03D0">
        <w:rPr>
          <w:sz w:val="24"/>
          <w:szCs w:val="24"/>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sidRPr="002C03D0">
        <w:rPr>
          <w:sz w:val="24"/>
          <w:szCs w:val="24"/>
        </w:rPr>
        <w:t xml:space="preserve">consider </w:t>
      </w:r>
      <w:r w:rsidRPr="002C03D0">
        <w:rPr>
          <w:sz w:val="24"/>
          <w:szCs w:val="24"/>
        </w:rPr>
        <w:t xml:space="preserve">the Attorney General’s website </w:t>
      </w:r>
      <w:hyperlink r:id="rId39" w:history="1">
        <w:r w:rsidRPr="002C03D0">
          <w:rPr>
            <w:rStyle w:val="Hyperlink"/>
            <w:rFonts w:cs="Arial"/>
            <w:sz w:val="24"/>
            <w:szCs w:val="24"/>
          </w:rPr>
          <w:t>https://oag.ca.gov/ab1887</w:t>
        </w:r>
      </w:hyperlink>
      <w:r w:rsidRPr="002C03D0">
        <w:rPr>
          <w:sz w:val="24"/>
          <w:szCs w:val="24"/>
        </w:rPr>
        <w:t xml:space="preserve"> for a current list of states subject to travel restrictions.  </w:t>
      </w:r>
      <w:r w:rsidR="00580534" w:rsidRPr="002C03D0">
        <w:rPr>
          <w:sz w:val="24"/>
          <w:szCs w:val="24"/>
        </w:rPr>
        <w:t xml:space="preserve">Awarded </w:t>
      </w:r>
      <w:r w:rsidRPr="002C03D0">
        <w:rPr>
          <w:sz w:val="24"/>
          <w:szCs w:val="24"/>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2C03D0" w:rsidRDefault="00B2692C" w:rsidP="002C03D0">
      <w:pPr>
        <w:numPr>
          <w:ilvl w:val="2"/>
          <w:numId w:val="19"/>
        </w:numPr>
        <w:tabs>
          <w:tab w:val="left" w:pos="1260"/>
        </w:tabs>
        <w:spacing w:before="120"/>
        <w:ind w:left="1080"/>
        <w:rPr>
          <w:sz w:val="24"/>
          <w:szCs w:val="24"/>
        </w:rPr>
      </w:pPr>
      <w:r w:rsidRPr="002C03D0">
        <w:rPr>
          <w:b/>
          <w:sz w:val="24"/>
          <w:szCs w:val="24"/>
        </w:rPr>
        <w:t xml:space="preserve">“Equipment” is </w:t>
      </w:r>
      <w:r w:rsidRPr="002C03D0">
        <w:rPr>
          <w:snapToGrid w:val="0"/>
          <w:sz w:val="24"/>
          <w:szCs w:val="24"/>
        </w:rPr>
        <w:t xml:space="preserve">an item </w:t>
      </w:r>
      <w:r w:rsidRPr="002C03D0">
        <w:rPr>
          <w:sz w:val="24"/>
          <w:szCs w:val="24"/>
        </w:rPr>
        <w:t>with a unit cost of at least $5,000 and a useful life of at least one ye</w:t>
      </w:r>
      <w:r w:rsidRPr="002C03D0">
        <w:rPr>
          <w:snapToGrid w:val="0"/>
          <w:sz w:val="24"/>
          <w:szCs w:val="24"/>
        </w:rPr>
        <w:t xml:space="preserve">ar. </w:t>
      </w:r>
      <w:r w:rsidRPr="002C03D0">
        <w:rPr>
          <w:b/>
          <w:snapToGrid w:val="0"/>
          <w:sz w:val="24"/>
          <w:szCs w:val="24"/>
        </w:rPr>
        <w:t xml:space="preserve">Purchasing equipment with match funding is </w:t>
      </w:r>
      <w:proofErr w:type="gramStart"/>
      <w:r w:rsidRPr="002C03D0">
        <w:rPr>
          <w:b/>
          <w:snapToGrid w:val="0"/>
          <w:sz w:val="24"/>
          <w:szCs w:val="24"/>
        </w:rPr>
        <w:t>encouraged</w:t>
      </w:r>
      <w:r w:rsidRPr="002C03D0">
        <w:rPr>
          <w:snapToGrid w:val="0"/>
          <w:sz w:val="24"/>
          <w:szCs w:val="24"/>
        </w:rPr>
        <w:t xml:space="preserve"> </w:t>
      </w:r>
      <w:r w:rsidR="00580534" w:rsidRPr="002C03D0">
        <w:rPr>
          <w:snapToGrid w:val="0"/>
          <w:sz w:val="24"/>
          <w:szCs w:val="24"/>
        </w:rPr>
        <w:t xml:space="preserve"> as</w:t>
      </w:r>
      <w:proofErr w:type="gramEnd"/>
      <w:r w:rsidRPr="002C03D0">
        <w:rPr>
          <w:snapToGrid w:val="0"/>
          <w:sz w:val="24"/>
          <w:szCs w:val="24"/>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2C03D0" w:rsidRDefault="00B2692C" w:rsidP="002C03D0">
      <w:pPr>
        <w:numPr>
          <w:ilvl w:val="2"/>
          <w:numId w:val="19"/>
        </w:numPr>
        <w:tabs>
          <w:tab w:val="left" w:pos="1260"/>
        </w:tabs>
        <w:spacing w:before="120"/>
        <w:ind w:left="1080"/>
        <w:rPr>
          <w:sz w:val="24"/>
          <w:szCs w:val="24"/>
        </w:rPr>
      </w:pPr>
      <w:r w:rsidRPr="002C03D0">
        <w:rPr>
          <w:b/>
          <w:sz w:val="24"/>
          <w:szCs w:val="24"/>
        </w:rPr>
        <w:t xml:space="preserve">“Materials” </w:t>
      </w:r>
      <w:r w:rsidRPr="002C03D0">
        <w:rPr>
          <w:sz w:val="24"/>
          <w:szCs w:val="24"/>
        </w:rPr>
        <w:t>under Materials and Miscellaneous are items under the agreement that do not meet the definition of Equipment (unit cost of at least $5,000 and a useful life of at least one ye</w:t>
      </w:r>
      <w:r w:rsidRPr="002C03D0">
        <w:rPr>
          <w:snapToGrid w:val="0"/>
          <w:sz w:val="24"/>
          <w:szCs w:val="24"/>
        </w:rPr>
        <w:t>ar)</w:t>
      </w:r>
      <w:r w:rsidRPr="002C03D0">
        <w:rPr>
          <w:sz w:val="24"/>
          <w:szCs w:val="24"/>
        </w:rPr>
        <w:t xml:space="preserve">. </w:t>
      </w:r>
      <w:r w:rsidR="003A2FCD" w:rsidRPr="002C03D0">
        <w:rPr>
          <w:b/>
          <w:sz w:val="24"/>
          <w:szCs w:val="24"/>
        </w:rPr>
        <w:t>Using match funds for p</w:t>
      </w:r>
      <w:r w:rsidRPr="002C03D0">
        <w:rPr>
          <w:b/>
          <w:sz w:val="24"/>
          <w:szCs w:val="24"/>
        </w:rPr>
        <w:t xml:space="preserve">urchasing items such as </w:t>
      </w:r>
      <w:r w:rsidR="00974CF0" w:rsidRPr="002C03D0">
        <w:rPr>
          <w:b/>
          <w:sz w:val="24"/>
          <w:szCs w:val="24"/>
        </w:rPr>
        <w:t>laptops, notebooks and</w:t>
      </w:r>
      <w:r w:rsidR="003A2FCD" w:rsidRPr="002C03D0">
        <w:rPr>
          <w:b/>
          <w:sz w:val="24"/>
          <w:szCs w:val="24"/>
        </w:rPr>
        <w:t>/or</w:t>
      </w:r>
      <w:r w:rsidR="00974CF0" w:rsidRPr="002C03D0">
        <w:rPr>
          <w:b/>
          <w:sz w:val="24"/>
          <w:szCs w:val="24"/>
        </w:rPr>
        <w:t xml:space="preserve"> </w:t>
      </w:r>
      <w:r w:rsidR="00580534" w:rsidRPr="002C03D0">
        <w:rPr>
          <w:b/>
          <w:sz w:val="24"/>
          <w:szCs w:val="24"/>
        </w:rPr>
        <w:t xml:space="preserve">personal </w:t>
      </w:r>
      <w:r w:rsidR="00974CF0" w:rsidRPr="002C03D0">
        <w:rPr>
          <w:b/>
          <w:sz w:val="24"/>
          <w:szCs w:val="24"/>
        </w:rPr>
        <w:t xml:space="preserve">tablets is encouraged, as Energy Commission funds </w:t>
      </w:r>
      <w:r w:rsidR="003A2FCD" w:rsidRPr="002C03D0">
        <w:rPr>
          <w:b/>
          <w:sz w:val="24"/>
          <w:szCs w:val="24"/>
        </w:rPr>
        <w:t>for these purchases is not allowed</w:t>
      </w:r>
      <w:r w:rsidR="00974CF0" w:rsidRPr="002C03D0">
        <w:rPr>
          <w:b/>
          <w:sz w:val="24"/>
          <w:szCs w:val="24"/>
        </w:rPr>
        <w:t>.</w:t>
      </w:r>
      <w:r w:rsidR="00974CF0" w:rsidRPr="002C03D0">
        <w:rPr>
          <w:sz w:val="24"/>
          <w:szCs w:val="24"/>
        </w:rPr>
        <w:t xml:space="preserve">  </w:t>
      </w:r>
      <w:r w:rsidRPr="002C03D0">
        <w:rPr>
          <w:sz w:val="24"/>
          <w:szCs w:val="24"/>
        </w:rPr>
        <w:t xml:space="preserve">  </w:t>
      </w:r>
    </w:p>
    <w:p w14:paraId="61F68DF7" w14:textId="77777777" w:rsidR="00BA3BBD" w:rsidRPr="002C03D0" w:rsidRDefault="00BA3BBD" w:rsidP="002C03D0">
      <w:pPr>
        <w:tabs>
          <w:tab w:val="left" w:pos="1080"/>
        </w:tabs>
        <w:suppressAutoHyphens/>
        <w:spacing w:after="0"/>
        <w:ind w:left="1080"/>
        <w:rPr>
          <w:sz w:val="24"/>
          <w:szCs w:val="24"/>
        </w:rPr>
      </w:pPr>
    </w:p>
    <w:p w14:paraId="4AB13524" w14:textId="77777777" w:rsidR="00BA3BBD" w:rsidRPr="002C03D0" w:rsidRDefault="00BA3BBD" w:rsidP="002C03D0">
      <w:pPr>
        <w:pStyle w:val="Heading2"/>
        <w:numPr>
          <w:ilvl w:val="0"/>
          <w:numId w:val="54"/>
        </w:numPr>
        <w:rPr>
          <w:b w:val="0"/>
          <w:smallCaps w:val="0"/>
          <w:sz w:val="24"/>
          <w:szCs w:val="24"/>
        </w:rPr>
      </w:pPr>
      <w:bookmarkStart w:id="59" w:name="_Toc26361582"/>
      <w:bookmarkStart w:id="60" w:name="_Toc121421340"/>
      <w:r w:rsidRPr="002C03D0">
        <w:rPr>
          <w:sz w:val="24"/>
          <w:szCs w:val="24"/>
        </w:rPr>
        <w:t>Funds Spent in California</w:t>
      </w:r>
      <w:bookmarkEnd w:id="59"/>
      <w:bookmarkEnd w:id="60"/>
    </w:p>
    <w:p w14:paraId="0B507BF3" w14:textId="77777777" w:rsidR="00BA3BBD" w:rsidRPr="002C03D0" w:rsidRDefault="00BA3BBD" w:rsidP="002C03D0">
      <w:pPr>
        <w:keepNext/>
        <w:keepLines/>
        <w:numPr>
          <w:ilvl w:val="0"/>
          <w:numId w:val="41"/>
        </w:numPr>
        <w:spacing w:before="60" w:after="60"/>
        <w:outlineLvl w:val="2"/>
        <w:rPr>
          <w:b/>
          <w:sz w:val="24"/>
          <w:szCs w:val="24"/>
        </w:rPr>
      </w:pPr>
      <w:r w:rsidRPr="002C03D0">
        <w:rPr>
          <w:sz w:val="24"/>
          <w:szCs w:val="24"/>
        </w:rPr>
        <w:t>Only CEC reimbursable funds counts towards funds spent in California total.</w:t>
      </w:r>
    </w:p>
    <w:p w14:paraId="29AFD2E6" w14:textId="77777777" w:rsidR="00BA3BBD" w:rsidRPr="002C03D0" w:rsidRDefault="00BA3BBD" w:rsidP="002C03D0">
      <w:pPr>
        <w:keepNext/>
        <w:keepLines/>
        <w:numPr>
          <w:ilvl w:val="0"/>
          <w:numId w:val="41"/>
        </w:numPr>
        <w:spacing w:before="60" w:after="60"/>
        <w:outlineLvl w:val="2"/>
        <w:rPr>
          <w:sz w:val="24"/>
          <w:szCs w:val="24"/>
        </w:rPr>
      </w:pPr>
      <w:r w:rsidRPr="002C03D0">
        <w:rPr>
          <w:sz w:val="24"/>
          <w:szCs w:val="24"/>
        </w:rPr>
        <w:t xml:space="preserve">"Spent in California" means that: </w:t>
      </w:r>
    </w:p>
    <w:p w14:paraId="593A8F2E" w14:textId="77777777" w:rsidR="00BA3BBD" w:rsidRPr="002C03D0" w:rsidRDefault="00BA3BBD" w:rsidP="002C03D0">
      <w:pPr>
        <w:keepNext/>
        <w:keepLines/>
        <w:numPr>
          <w:ilvl w:val="1"/>
          <w:numId w:val="41"/>
        </w:numPr>
        <w:spacing w:before="60" w:after="60"/>
        <w:ind w:left="1080"/>
        <w:outlineLvl w:val="2"/>
        <w:rPr>
          <w:sz w:val="24"/>
          <w:szCs w:val="24"/>
        </w:rPr>
      </w:pPr>
      <w:r w:rsidRPr="002C03D0">
        <w:rPr>
          <w:sz w:val="24"/>
          <w:szCs w:val="24"/>
        </w:rPr>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2C03D0" w:rsidRDefault="00BA3BBD" w:rsidP="002C03D0">
      <w:pPr>
        <w:keepNext/>
        <w:keepLines/>
        <w:numPr>
          <w:ilvl w:val="1"/>
          <w:numId w:val="41"/>
        </w:numPr>
        <w:spacing w:before="60" w:after="60"/>
        <w:ind w:left="1080"/>
        <w:outlineLvl w:val="2"/>
        <w:rPr>
          <w:sz w:val="24"/>
          <w:szCs w:val="24"/>
        </w:rPr>
      </w:pPr>
      <w:r w:rsidRPr="002C03D0">
        <w:rPr>
          <w:sz w:val="24"/>
          <w:szCs w:val="24"/>
        </w:rPr>
        <w:t xml:space="preserve">(2) Business transactions (e.g., material and equipment purchases, leases, and rentals) are entered into with a business located in California. </w:t>
      </w:r>
    </w:p>
    <w:p w14:paraId="5C17B3FF" w14:textId="77777777" w:rsidR="00BA3BBD" w:rsidRPr="002C03D0" w:rsidRDefault="00BA3BBD" w:rsidP="002C03D0">
      <w:pPr>
        <w:keepNext/>
        <w:keepLines/>
        <w:numPr>
          <w:ilvl w:val="1"/>
          <w:numId w:val="41"/>
        </w:numPr>
        <w:spacing w:before="60" w:after="60"/>
        <w:ind w:left="1080"/>
        <w:outlineLvl w:val="2"/>
        <w:rPr>
          <w:b/>
          <w:sz w:val="24"/>
          <w:szCs w:val="24"/>
        </w:rPr>
      </w:pPr>
      <w:r w:rsidRPr="002C03D0">
        <w:rPr>
          <w:sz w:val="24"/>
          <w:szCs w:val="24"/>
        </w:rPr>
        <w:t>(3) Total should include any applicable subcontractors.</w:t>
      </w:r>
    </w:p>
    <w:p w14:paraId="14611B86" w14:textId="77777777" w:rsidR="00BA3BBD" w:rsidRPr="002C03D0" w:rsidRDefault="00BA3BBD" w:rsidP="002C03D0">
      <w:pPr>
        <w:tabs>
          <w:tab w:val="left" w:pos="1170"/>
        </w:tabs>
        <w:autoSpaceDE w:val="0"/>
        <w:autoSpaceDN w:val="0"/>
        <w:adjustRightInd w:val="0"/>
        <w:spacing w:after="0"/>
        <w:ind w:left="720"/>
        <w:rPr>
          <w:sz w:val="24"/>
          <w:szCs w:val="24"/>
        </w:rPr>
      </w:pPr>
    </w:p>
    <w:p w14:paraId="6C69AE02" w14:textId="77777777" w:rsidR="00BA3BBD" w:rsidRPr="002C03D0" w:rsidRDefault="00BA3BBD" w:rsidP="002C03D0">
      <w:pPr>
        <w:numPr>
          <w:ilvl w:val="0"/>
          <w:numId w:val="41"/>
        </w:numPr>
        <w:spacing w:before="60" w:after="60"/>
        <w:outlineLvl w:val="2"/>
        <w:rPr>
          <w:sz w:val="24"/>
          <w:szCs w:val="24"/>
        </w:rPr>
      </w:pPr>
      <w:r w:rsidRPr="002C03D0">
        <w:rPr>
          <w:sz w:val="24"/>
          <w:szCs w:val="24"/>
        </w:rPr>
        <w:t>Airline ticket purchases for out-of-state travel and payments made to out-of-state workers are not considered funds “spent in California.” However, funds spent by out-of-state workers in California (</w:t>
      </w:r>
      <w:proofErr w:type="gramStart"/>
      <w:r w:rsidRPr="002C03D0">
        <w:rPr>
          <w:sz w:val="24"/>
          <w:szCs w:val="24"/>
        </w:rPr>
        <w:t>e.g.</w:t>
      </w:r>
      <w:proofErr w:type="gramEnd"/>
      <w:r w:rsidRPr="002C03D0">
        <w:rPr>
          <w:sz w:val="24"/>
          <w:szCs w:val="24"/>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2C03D0" w:rsidRDefault="00BA3BBD" w:rsidP="002C03D0">
      <w:pPr>
        <w:numPr>
          <w:ilvl w:val="1"/>
          <w:numId w:val="41"/>
        </w:numPr>
        <w:tabs>
          <w:tab w:val="left" w:pos="1800"/>
        </w:tabs>
        <w:autoSpaceDE w:val="0"/>
        <w:autoSpaceDN w:val="0"/>
        <w:adjustRightInd w:val="0"/>
        <w:ind w:left="1080"/>
        <w:rPr>
          <w:sz w:val="24"/>
          <w:szCs w:val="24"/>
        </w:rPr>
      </w:pPr>
      <w:r w:rsidRPr="002C03D0">
        <w:rPr>
          <w:sz w:val="24"/>
          <w:szCs w:val="24"/>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2C03D0" w:rsidRDefault="00BA3BBD" w:rsidP="002C03D0">
      <w:pPr>
        <w:numPr>
          <w:ilvl w:val="1"/>
          <w:numId w:val="41"/>
        </w:numPr>
        <w:tabs>
          <w:tab w:val="left" w:pos="1800"/>
        </w:tabs>
        <w:autoSpaceDE w:val="0"/>
        <w:autoSpaceDN w:val="0"/>
        <w:adjustRightInd w:val="0"/>
        <w:ind w:left="1080"/>
        <w:rPr>
          <w:sz w:val="24"/>
          <w:szCs w:val="24"/>
        </w:rPr>
      </w:pPr>
      <w:r w:rsidRPr="002C03D0">
        <w:rPr>
          <w:sz w:val="24"/>
          <w:szCs w:val="24"/>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61" w:name="_Toc336443618"/>
      <w:bookmarkStart w:id="62" w:name="_Toc366671173"/>
      <w:bookmarkStart w:id="63" w:name="_Toc121421341"/>
      <w:bookmarkStart w:id="64" w:name="_Toc310513471"/>
      <w:bookmarkStart w:id="65" w:name="_Toc198951306"/>
      <w:bookmarkStart w:id="66" w:name="_Toc201713533"/>
      <w:bookmarkStart w:id="67" w:name="_Toc217726087"/>
      <w:bookmarkStart w:id="68" w:name="_Toc219275083"/>
      <w:bookmarkEnd w:id="0"/>
      <w:bookmarkEnd w:id="1"/>
      <w:bookmarkEnd w:id="2"/>
      <w:bookmarkEnd w:id="3"/>
      <w:bookmarkEnd w:id="4"/>
      <w:bookmarkEnd w:id="5"/>
      <w:bookmarkEnd w:id="31"/>
      <w:bookmarkEnd w:id="32"/>
      <w:bookmarkEnd w:id="33"/>
      <w:r w:rsidRPr="00C31C1D">
        <w:t>II.</w:t>
      </w:r>
      <w:r w:rsidRPr="00C31C1D">
        <w:tab/>
        <w:t>Eligibility Requirements</w:t>
      </w:r>
      <w:bookmarkEnd w:id="61"/>
      <w:bookmarkEnd w:id="62"/>
      <w:bookmarkEnd w:id="63"/>
    </w:p>
    <w:p w14:paraId="70704BB3" w14:textId="77777777" w:rsidR="0067542B" w:rsidRPr="00756BAC" w:rsidRDefault="0067542B" w:rsidP="002F32D3">
      <w:pPr>
        <w:pStyle w:val="Heading2"/>
        <w:numPr>
          <w:ilvl w:val="0"/>
          <w:numId w:val="55"/>
        </w:numPr>
      </w:pPr>
      <w:bookmarkStart w:id="69" w:name="_Toc336443619"/>
      <w:bookmarkStart w:id="70" w:name="_Toc366671174"/>
      <w:bookmarkStart w:id="71" w:name="_Toc121421342"/>
      <w:bookmarkEnd w:id="64"/>
      <w:r w:rsidRPr="00756BAC">
        <w:t>Applicant</w:t>
      </w:r>
      <w:bookmarkEnd w:id="69"/>
      <w:bookmarkEnd w:id="70"/>
      <w:r w:rsidRPr="00756BAC">
        <w:t xml:space="preserve"> Requirements</w:t>
      </w:r>
      <w:bookmarkEnd w:id="71"/>
    </w:p>
    <w:p w14:paraId="1F1511A2" w14:textId="77777777" w:rsidR="00DE1CBD" w:rsidRPr="002C03D0" w:rsidRDefault="00DE1CBD" w:rsidP="002C03D0">
      <w:pPr>
        <w:numPr>
          <w:ilvl w:val="0"/>
          <w:numId w:val="27"/>
        </w:numPr>
        <w:spacing w:before="240"/>
        <w:rPr>
          <w:b/>
          <w:sz w:val="24"/>
          <w:szCs w:val="24"/>
        </w:rPr>
      </w:pPr>
      <w:bookmarkStart w:id="72" w:name="Elig"/>
      <w:r w:rsidRPr="002C03D0">
        <w:rPr>
          <w:b/>
          <w:sz w:val="24"/>
          <w:szCs w:val="24"/>
        </w:rPr>
        <w:t>Eligibility</w:t>
      </w:r>
    </w:p>
    <w:p w14:paraId="30248F3D" w14:textId="2DE994BA" w:rsidR="00EE5DA8" w:rsidRPr="002C03D0" w:rsidRDefault="00CA43FA" w:rsidP="002C03D0">
      <w:pPr>
        <w:spacing w:after="0"/>
        <w:textAlignment w:val="baseline"/>
        <w:rPr>
          <w:rFonts w:ascii="Segoe UI" w:hAnsi="Segoe UI" w:cs="Segoe UI"/>
          <w:sz w:val="24"/>
          <w:szCs w:val="24"/>
        </w:rPr>
      </w:pPr>
      <w:bookmarkStart w:id="73" w:name="_Toc381079914"/>
      <w:bookmarkStart w:id="74" w:name="_Toc382571176"/>
      <w:bookmarkStart w:id="75" w:name="_Toc395180678"/>
      <w:bookmarkStart w:id="76" w:name="_Toc433981305"/>
      <w:bookmarkEnd w:id="72"/>
      <w:r w:rsidRPr="00D66CBF">
        <w:rPr>
          <w:sz w:val="24"/>
          <w:szCs w:val="24"/>
        </w:rPr>
        <w:t xml:space="preserve">This solicitation is open </w:t>
      </w:r>
      <w:r w:rsidR="003C17EA" w:rsidRPr="00D66CBF">
        <w:rPr>
          <w:sz w:val="24"/>
          <w:szCs w:val="24"/>
        </w:rPr>
        <w:t>to the</w:t>
      </w:r>
      <w:r w:rsidRPr="00D66CBF">
        <w:rPr>
          <w:sz w:val="24"/>
          <w:szCs w:val="24"/>
        </w:rPr>
        <w:t xml:space="preserve"> entities</w:t>
      </w:r>
      <w:r w:rsidR="003C17EA" w:rsidRPr="00D66CBF">
        <w:rPr>
          <w:sz w:val="24"/>
          <w:szCs w:val="24"/>
        </w:rPr>
        <w:t xml:space="preserve"> listed below</w:t>
      </w:r>
      <w:r w:rsidRPr="00D66CBF">
        <w:rPr>
          <w:sz w:val="24"/>
          <w:szCs w:val="24"/>
        </w:rPr>
        <w:t xml:space="preserve"> </w:t>
      </w:r>
      <w:proofErr w:type="gramStart"/>
      <w:r w:rsidRPr="00D66CBF">
        <w:rPr>
          <w:sz w:val="24"/>
          <w:szCs w:val="24"/>
        </w:rPr>
        <w:t>with the exception of</w:t>
      </w:r>
      <w:proofErr w:type="gramEnd"/>
      <w:r w:rsidRPr="00D66CBF">
        <w:rPr>
          <w:sz w:val="24"/>
          <w:szCs w:val="24"/>
        </w:rPr>
        <w:t xml:space="preserve"> local publicly owned electric utilities.</w:t>
      </w:r>
      <w:r w:rsidR="003C17EA" w:rsidRPr="00D66CBF">
        <w:rPr>
          <w:rStyle w:val="FootnoteReference"/>
          <w:sz w:val="24"/>
          <w:szCs w:val="24"/>
        </w:rPr>
        <w:footnoteReference w:id="22"/>
      </w:r>
      <w:r>
        <w:rPr>
          <w:sz w:val="24"/>
          <w:szCs w:val="24"/>
        </w:rPr>
        <w:t xml:space="preserve"> </w:t>
      </w:r>
      <w:r w:rsidR="00EE5DA8" w:rsidRPr="002C03D0">
        <w:rPr>
          <w:sz w:val="24"/>
          <w:szCs w:val="24"/>
        </w:rPr>
        <w:t>This solicitation has special applicant eligibility requirements because the CEC is looking for applicants with clear intentions, and a path forward for commercializing the technology in California as demonstrated by the responses in the Project Narrative. This solicitation requires the prime applicant to be one of the following: </w:t>
      </w:r>
    </w:p>
    <w:p w14:paraId="0597EF0E" w14:textId="77777777" w:rsidR="00EE5DA8" w:rsidRPr="002C03D0" w:rsidRDefault="00EE5DA8" w:rsidP="002C03D0">
      <w:pPr>
        <w:pStyle w:val="ListParagraph"/>
        <w:numPr>
          <w:ilvl w:val="0"/>
          <w:numId w:val="75"/>
        </w:numPr>
        <w:spacing w:after="0"/>
        <w:ind w:left="360"/>
        <w:textAlignment w:val="baseline"/>
        <w:rPr>
          <w:sz w:val="24"/>
          <w:szCs w:val="24"/>
        </w:rPr>
      </w:pPr>
      <w:r w:rsidRPr="002C03D0">
        <w:rPr>
          <w:sz w:val="24"/>
          <w:szCs w:val="24"/>
        </w:rPr>
        <w:t>Project Developer/System Integrator: An individual, corporation, or other legal entity responsible for the overall planning, installation, and commissioning of the LDES system.  </w:t>
      </w:r>
    </w:p>
    <w:p w14:paraId="30BAA209" w14:textId="77777777" w:rsidR="00EE5DA8" w:rsidRPr="002C03D0" w:rsidRDefault="00EE5DA8" w:rsidP="002C03D0">
      <w:pPr>
        <w:pStyle w:val="ListParagraph"/>
        <w:numPr>
          <w:ilvl w:val="0"/>
          <w:numId w:val="75"/>
        </w:numPr>
        <w:spacing w:after="0"/>
        <w:ind w:left="360"/>
        <w:textAlignment w:val="baseline"/>
        <w:rPr>
          <w:sz w:val="24"/>
          <w:szCs w:val="24"/>
        </w:rPr>
      </w:pPr>
      <w:r w:rsidRPr="002C03D0">
        <w:rPr>
          <w:sz w:val="24"/>
          <w:szCs w:val="24"/>
        </w:rPr>
        <w:t>Site Owner or Operator: The owner or operator of the site where the LDES system will be installed and operated. </w:t>
      </w:r>
    </w:p>
    <w:p w14:paraId="02E704B8" w14:textId="77777777" w:rsidR="00EE5DA8" w:rsidRPr="002C03D0" w:rsidRDefault="00EE5DA8" w:rsidP="002C03D0">
      <w:pPr>
        <w:pStyle w:val="ListParagraph"/>
        <w:numPr>
          <w:ilvl w:val="0"/>
          <w:numId w:val="75"/>
        </w:numPr>
        <w:spacing w:after="0"/>
        <w:ind w:left="360"/>
        <w:textAlignment w:val="baseline"/>
        <w:rPr>
          <w:sz w:val="24"/>
          <w:szCs w:val="24"/>
        </w:rPr>
      </w:pPr>
      <w:r w:rsidRPr="002C03D0">
        <w:rPr>
          <w:sz w:val="24"/>
          <w:szCs w:val="24"/>
        </w:rPr>
        <w:t>Technology Developer: A for-profit commercial entity or individual with the rights to commercialize the intellectual property being advanced under the proposed project.  </w:t>
      </w:r>
    </w:p>
    <w:p w14:paraId="73ACCB53" w14:textId="77777777" w:rsidR="00EE5DA8" w:rsidRPr="002C03D0" w:rsidRDefault="00EE5DA8" w:rsidP="002C03D0">
      <w:pPr>
        <w:spacing w:after="0"/>
        <w:textAlignment w:val="baseline"/>
        <w:rPr>
          <w:rFonts w:ascii="Segoe UI" w:hAnsi="Segoe UI" w:cs="Segoe UI"/>
          <w:sz w:val="24"/>
          <w:szCs w:val="24"/>
        </w:rPr>
      </w:pPr>
      <w:r w:rsidRPr="002C03D0">
        <w:rPr>
          <w:sz w:val="24"/>
          <w:szCs w:val="24"/>
        </w:rPr>
        <w:t>Because the purpose of this solicitation is to advance technology development to commercialization, the following entities are not eligible to be prime applicants for projects under this solicitation: </w:t>
      </w:r>
    </w:p>
    <w:p w14:paraId="4701301B" w14:textId="77777777" w:rsidR="00EE5DA8" w:rsidRPr="002C03D0" w:rsidRDefault="00EE5DA8" w:rsidP="002C03D0">
      <w:pPr>
        <w:pStyle w:val="ListParagraph"/>
        <w:numPr>
          <w:ilvl w:val="0"/>
          <w:numId w:val="74"/>
        </w:numPr>
        <w:spacing w:after="0"/>
        <w:ind w:left="360"/>
        <w:textAlignment w:val="baseline"/>
        <w:rPr>
          <w:sz w:val="24"/>
          <w:szCs w:val="24"/>
        </w:rPr>
      </w:pPr>
      <w:r w:rsidRPr="002C03D0">
        <w:rPr>
          <w:sz w:val="24"/>
          <w:szCs w:val="24"/>
        </w:rPr>
        <w:t>Public and private universities </w:t>
      </w:r>
    </w:p>
    <w:p w14:paraId="139F5D71" w14:textId="77777777" w:rsidR="00EE5DA8" w:rsidRPr="002C03D0" w:rsidRDefault="00EE5DA8" w:rsidP="002C03D0">
      <w:pPr>
        <w:pStyle w:val="ListParagraph"/>
        <w:numPr>
          <w:ilvl w:val="0"/>
          <w:numId w:val="74"/>
        </w:numPr>
        <w:spacing w:after="0"/>
        <w:ind w:left="360"/>
        <w:textAlignment w:val="baseline"/>
        <w:rPr>
          <w:sz w:val="24"/>
          <w:szCs w:val="24"/>
        </w:rPr>
      </w:pPr>
      <w:r w:rsidRPr="002C03D0">
        <w:rPr>
          <w:sz w:val="24"/>
          <w:szCs w:val="24"/>
        </w:rPr>
        <w:t>National Labs, and </w:t>
      </w:r>
    </w:p>
    <w:p w14:paraId="63D08586" w14:textId="77777777" w:rsidR="00EE5DA8" w:rsidRPr="002C03D0" w:rsidRDefault="00EE5DA8" w:rsidP="002C03D0">
      <w:pPr>
        <w:pStyle w:val="ListParagraph"/>
        <w:numPr>
          <w:ilvl w:val="0"/>
          <w:numId w:val="74"/>
        </w:numPr>
        <w:spacing w:after="0"/>
        <w:ind w:left="360"/>
        <w:textAlignment w:val="baseline"/>
        <w:rPr>
          <w:sz w:val="24"/>
          <w:szCs w:val="24"/>
        </w:rPr>
      </w:pPr>
      <w:r w:rsidRPr="002C03D0">
        <w:rPr>
          <w:sz w:val="24"/>
          <w:szCs w:val="24"/>
        </w:rPr>
        <w:t>Private non-profit research organizations. </w:t>
      </w:r>
    </w:p>
    <w:p w14:paraId="519F5ED7" w14:textId="6DF33B42" w:rsidR="00EE5DA8" w:rsidRPr="002C03D0" w:rsidRDefault="00EE5DA8" w:rsidP="002C03D0">
      <w:pPr>
        <w:spacing w:after="0"/>
        <w:textAlignment w:val="baseline"/>
        <w:rPr>
          <w:rFonts w:ascii="Segoe UI" w:hAnsi="Segoe UI" w:cs="Segoe UI"/>
          <w:sz w:val="24"/>
          <w:szCs w:val="24"/>
        </w:rPr>
      </w:pPr>
      <w:r w:rsidRPr="002C03D0">
        <w:rPr>
          <w:sz w:val="24"/>
          <w:szCs w:val="24"/>
        </w:rPr>
        <w:t xml:space="preserve">All public and private entities, </w:t>
      </w:r>
      <w:proofErr w:type="gramStart"/>
      <w:r w:rsidRPr="002C03D0">
        <w:rPr>
          <w:sz w:val="24"/>
          <w:szCs w:val="24"/>
        </w:rPr>
        <w:t>with the exception of</w:t>
      </w:r>
      <w:proofErr w:type="gramEnd"/>
      <w:r w:rsidRPr="002C03D0">
        <w:rPr>
          <w:sz w:val="24"/>
          <w:szCs w:val="24"/>
        </w:rPr>
        <w:t xml:space="preserve"> local publicly owned electric utilities, may serve as subrecipients for this solicitation. In accordance with CPUC Decision 12-05-037, funds administered by the CEC may not be used for any purposes associated with local publicly owned electric utility activities. </w:t>
      </w:r>
    </w:p>
    <w:p w14:paraId="3FC9E9BE" w14:textId="77777777" w:rsidR="00B13BC2" w:rsidRPr="002C03D0" w:rsidRDefault="001C2D56" w:rsidP="002C03D0">
      <w:pPr>
        <w:numPr>
          <w:ilvl w:val="0"/>
          <w:numId w:val="27"/>
        </w:numPr>
        <w:spacing w:before="240"/>
        <w:rPr>
          <w:rFonts w:ascii="Arial Bold" w:hAnsi="Arial Bold"/>
          <w:b/>
          <w:smallCaps/>
          <w:sz w:val="24"/>
          <w:szCs w:val="24"/>
          <w:u w:val="single"/>
        </w:rPr>
      </w:pPr>
      <w:r w:rsidRPr="002C03D0">
        <w:rPr>
          <w:b/>
          <w:sz w:val="24"/>
          <w:szCs w:val="24"/>
        </w:rPr>
        <w:t>Terms and Conditions</w:t>
      </w:r>
      <w:bookmarkEnd w:id="73"/>
      <w:bookmarkEnd w:id="74"/>
      <w:bookmarkEnd w:id="75"/>
      <w:bookmarkEnd w:id="76"/>
    </w:p>
    <w:p w14:paraId="401901AE" w14:textId="42306688" w:rsidR="002C206F" w:rsidRPr="002C03D0" w:rsidRDefault="002C206F" w:rsidP="002C03D0">
      <w:pPr>
        <w:rPr>
          <w:sz w:val="24"/>
          <w:szCs w:val="24"/>
        </w:rPr>
      </w:pPr>
      <w:r w:rsidRPr="002C03D0">
        <w:rPr>
          <w:sz w:val="24"/>
          <w:szCs w:val="24"/>
        </w:rPr>
        <w:t xml:space="preserve">Each grant agreement resulting from this solicitation will include terms and conditions that set forth the recipient’s rights and responsibilities. By signing the Application Form (Attachment 1), each applicant </w:t>
      </w:r>
      <w:r w:rsidRPr="002C03D0">
        <w:rPr>
          <w:bCs/>
          <w:iCs/>
          <w:sz w:val="24"/>
          <w:szCs w:val="24"/>
        </w:rPr>
        <w:t xml:space="preserve">agrees to </w:t>
      </w:r>
      <w:r w:rsidRPr="002C03D0">
        <w:rPr>
          <w:rStyle w:val="Style10pt"/>
          <w:sz w:val="24"/>
          <w:szCs w:val="24"/>
        </w:rPr>
        <w:t xml:space="preserve">enter into an agreement with the </w:t>
      </w:r>
      <w:r w:rsidR="008F4A0E" w:rsidRPr="002C03D0">
        <w:rPr>
          <w:rStyle w:val="Style10pt"/>
          <w:sz w:val="24"/>
          <w:szCs w:val="24"/>
        </w:rPr>
        <w:t>CEC</w:t>
      </w:r>
      <w:r w:rsidRPr="002C03D0">
        <w:rPr>
          <w:rStyle w:val="Style10pt"/>
          <w:sz w:val="24"/>
          <w:szCs w:val="24"/>
        </w:rPr>
        <w:t xml:space="preserve"> to conduct the proposed project according to the terms and conditions that correspond to its organization, without negotiation</w:t>
      </w:r>
      <w:r w:rsidRPr="002C03D0">
        <w:rPr>
          <w:sz w:val="24"/>
          <w:szCs w:val="24"/>
        </w:rPr>
        <w:t xml:space="preserve">: (1) University of California </w:t>
      </w:r>
      <w:r w:rsidR="0072493D" w:rsidRPr="002C03D0">
        <w:rPr>
          <w:sz w:val="24"/>
          <w:szCs w:val="24"/>
        </w:rPr>
        <w:t xml:space="preserve">and California State University </w:t>
      </w:r>
      <w:r w:rsidRPr="002C03D0">
        <w:rPr>
          <w:sz w:val="24"/>
          <w:szCs w:val="24"/>
        </w:rPr>
        <w:t xml:space="preserve">terms and conditions; (2) U.S. Department of Energy terms and conditions; or (3) standard terms and conditions. </w:t>
      </w:r>
      <w:r w:rsidR="00194E6F" w:rsidRPr="002C03D0">
        <w:rPr>
          <w:sz w:val="24"/>
          <w:szCs w:val="24"/>
        </w:rPr>
        <w:t>All</w:t>
      </w:r>
      <w:r w:rsidR="00445569" w:rsidRPr="002C03D0">
        <w:rPr>
          <w:sz w:val="24"/>
          <w:szCs w:val="24"/>
        </w:rPr>
        <w:t xml:space="preserve"> </w:t>
      </w:r>
      <w:r w:rsidRPr="002C03D0">
        <w:rPr>
          <w:sz w:val="24"/>
          <w:szCs w:val="24"/>
        </w:rPr>
        <w:t xml:space="preserve">terms and conditions are located </w:t>
      </w:r>
      <w:r w:rsidR="00EE4939" w:rsidRPr="002C03D0">
        <w:rPr>
          <w:sz w:val="24"/>
          <w:szCs w:val="24"/>
        </w:rPr>
        <w:t xml:space="preserve">at </w:t>
      </w:r>
      <w:hyperlink r:id="rId40" w:history="1">
        <w:r w:rsidR="007F0DC9" w:rsidRPr="002C03D0">
          <w:rPr>
            <w:rStyle w:val="Hyperlink"/>
            <w:rFonts w:cs="Arial"/>
            <w:sz w:val="24"/>
            <w:szCs w:val="24"/>
          </w:rPr>
          <w:t>http://www.energy.ca.gov/research/contractors.html</w:t>
        </w:r>
      </w:hyperlink>
      <w:r w:rsidRPr="002C03D0">
        <w:rPr>
          <w:sz w:val="24"/>
          <w:szCs w:val="24"/>
        </w:rPr>
        <w:t xml:space="preserve">. </w:t>
      </w:r>
      <w:r w:rsidR="007E22AE" w:rsidRPr="002C03D0">
        <w:rPr>
          <w:sz w:val="24"/>
          <w:szCs w:val="24"/>
        </w:rPr>
        <w:t xml:space="preserve">Please refer to the applicable </w:t>
      </w:r>
      <w:r w:rsidR="00CC559A" w:rsidRPr="002C03D0">
        <w:rPr>
          <w:sz w:val="24"/>
          <w:szCs w:val="24"/>
        </w:rPr>
        <w:t xml:space="preserve">EPIC </w:t>
      </w:r>
      <w:r w:rsidR="007E22AE" w:rsidRPr="002C03D0">
        <w:rPr>
          <w:sz w:val="24"/>
          <w:szCs w:val="24"/>
        </w:rPr>
        <w:t>Grant terms and conditions.</w:t>
      </w:r>
      <w:r w:rsidRPr="002C03D0">
        <w:rPr>
          <w:sz w:val="24"/>
          <w:szCs w:val="24"/>
        </w:rPr>
        <w:t xml:space="preserve"> Failure to agree to the terms and conditions by taking actions such as failing to sign the Application Form or indicating that acceptance is based on modification of the terms will result in </w:t>
      </w:r>
      <w:r w:rsidRPr="002C03D0">
        <w:rPr>
          <w:b/>
          <w:sz w:val="24"/>
          <w:szCs w:val="24"/>
        </w:rPr>
        <w:t>rejection</w:t>
      </w:r>
      <w:r w:rsidRPr="002C03D0">
        <w:rPr>
          <w:sz w:val="24"/>
          <w:szCs w:val="24"/>
        </w:rPr>
        <w:t xml:space="preserve"> of the application. Applicants </w:t>
      </w:r>
      <w:r w:rsidRPr="002C03D0">
        <w:rPr>
          <w:b/>
          <w:sz w:val="24"/>
          <w:szCs w:val="24"/>
        </w:rPr>
        <w:t>must</w:t>
      </w:r>
      <w:r w:rsidRPr="002C03D0">
        <w:rPr>
          <w:sz w:val="24"/>
          <w:szCs w:val="24"/>
        </w:rPr>
        <w:t xml:space="preserve"> </w:t>
      </w:r>
      <w:r w:rsidRPr="002C03D0">
        <w:rPr>
          <w:b/>
          <w:sz w:val="24"/>
          <w:szCs w:val="24"/>
        </w:rPr>
        <w:t xml:space="preserve">read </w:t>
      </w:r>
      <w:r w:rsidRPr="002C03D0">
        <w:rPr>
          <w:sz w:val="24"/>
          <w:szCs w:val="24"/>
        </w:rPr>
        <w:t>the terms and conditions carefully.</w:t>
      </w:r>
      <w:r w:rsidRPr="002C03D0">
        <w:rPr>
          <w:b/>
          <w:sz w:val="24"/>
          <w:szCs w:val="24"/>
        </w:rPr>
        <w:t xml:space="preserve"> </w:t>
      </w:r>
      <w:r w:rsidRPr="002C03D0">
        <w:rPr>
          <w:bCs/>
          <w:sz w:val="24"/>
          <w:szCs w:val="24"/>
        </w:rPr>
        <w:t xml:space="preserve">The </w:t>
      </w:r>
      <w:r w:rsidR="008F4A0E" w:rsidRPr="002C03D0">
        <w:rPr>
          <w:bCs/>
          <w:sz w:val="24"/>
          <w:szCs w:val="24"/>
        </w:rPr>
        <w:t>CEC</w:t>
      </w:r>
      <w:r w:rsidRPr="002C03D0">
        <w:rPr>
          <w:bCs/>
          <w:sz w:val="24"/>
          <w:szCs w:val="24"/>
        </w:rPr>
        <w:t xml:space="preserve"> reserves the right to modify the terms and conditions</w:t>
      </w:r>
      <w:r w:rsidRPr="002C03D0">
        <w:rPr>
          <w:b/>
          <w:bCs/>
          <w:sz w:val="24"/>
          <w:szCs w:val="24"/>
        </w:rPr>
        <w:t xml:space="preserve"> </w:t>
      </w:r>
      <w:r w:rsidRPr="002C03D0">
        <w:rPr>
          <w:sz w:val="24"/>
          <w:szCs w:val="24"/>
        </w:rPr>
        <w:t xml:space="preserve">prior to executing grant agreements.  </w:t>
      </w:r>
    </w:p>
    <w:p w14:paraId="1A623A05" w14:textId="77777777" w:rsidR="001C2D56" w:rsidRPr="002C03D0" w:rsidRDefault="001C2D56" w:rsidP="002C03D0">
      <w:pPr>
        <w:numPr>
          <w:ilvl w:val="0"/>
          <w:numId w:val="27"/>
        </w:numPr>
        <w:spacing w:before="240"/>
        <w:rPr>
          <w:b/>
          <w:sz w:val="24"/>
          <w:szCs w:val="24"/>
        </w:rPr>
      </w:pPr>
      <w:r w:rsidRPr="002C03D0">
        <w:rPr>
          <w:b/>
          <w:sz w:val="24"/>
          <w:szCs w:val="24"/>
        </w:rPr>
        <w:t>California Secretary of State Registration</w:t>
      </w:r>
    </w:p>
    <w:p w14:paraId="45588212" w14:textId="47FA60CC" w:rsidR="00EE3573" w:rsidRPr="002C03D0" w:rsidRDefault="00896485" w:rsidP="002C03D0">
      <w:pPr>
        <w:rPr>
          <w:sz w:val="24"/>
          <w:szCs w:val="24"/>
        </w:rPr>
      </w:pPr>
      <w:r w:rsidRPr="002C03D0">
        <w:rPr>
          <w:sz w:val="24"/>
          <w:szCs w:val="24"/>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002C03D0">
        <w:rPr>
          <w:sz w:val="24"/>
          <w:szCs w:val="24"/>
        </w:rPr>
        <w:t>CEC</w:t>
      </w:r>
      <w:r w:rsidRPr="002C03D0">
        <w:rPr>
          <w:sz w:val="24"/>
          <w:szCs w:val="24"/>
        </w:rP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hyperlink r:id="rId41" w:history="1">
        <w:r w:rsidRPr="002C03D0">
          <w:rPr>
            <w:rStyle w:val="Hyperlink"/>
            <w:sz w:val="24"/>
            <w:szCs w:val="24"/>
          </w:rPr>
          <w:t>www.sos.ca.gov</w:t>
        </w:r>
      </w:hyperlink>
      <w:r w:rsidRPr="002C03D0">
        <w:rPr>
          <w:sz w:val="24"/>
          <w:szCs w:val="24"/>
        </w:rPr>
        <w:t xml:space="preserve">.  Sole proprietors using a fictitious business name must be registered with the appropriate county and provide evidence of registration to the </w:t>
      </w:r>
      <w:r w:rsidR="008F4A0E" w:rsidRPr="002C03D0">
        <w:rPr>
          <w:sz w:val="24"/>
          <w:szCs w:val="24"/>
        </w:rPr>
        <w:t>CEC</w:t>
      </w:r>
      <w:r w:rsidRPr="002C03D0">
        <w:rPr>
          <w:sz w:val="24"/>
          <w:szCs w:val="24"/>
        </w:rPr>
        <w:t xml:space="preserve"> prior to their project being recommended for approval at an </w:t>
      </w:r>
      <w:r w:rsidR="008F4A0E" w:rsidRPr="002C03D0">
        <w:rPr>
          <w:sz w:val="24"/>
          <w:szCs w:val="24"/>
        </w:rPr>
        <w:t>CEC</w:t>
      </w:r>
      <w:r w:rsidRPr="002C03D0">
        <w:rPr>
          <w:sz w:val="24"/>
          <w:szCs w:val="24"/>
        </w:rPr>
        <w:t xml:space="preserve"> Business Meeting.</w:t>
      </w:r>
    </w:p>
    <w:p w14:paraId="6F82C57A" w14:textId="3807AF24" w:rsidR="009F702B" w:rsidRPr="002C03D0" w:rsidRDefault="009F702B" w:rsidP="002C03D0">
      <w:pPr>
        <w:numPr>
          <w:ilvl w:val="0"/>
          <w:numId w:val="58"/>
        </w:numPr>
        <w:spacing w:before="240" w:line="259" w:lineRule="auto"/>
        <w:rPr>
          <w:b/>
          <w:sz w:val="24"/>
          <w:szCs w:val="24"/>
        </w:rPr>
      </w:pPr>
      <w:r w:rsidRPr="002C03D0">
        <w:rPr>
          <w:b/>
          <w:sz w:val="24"/>
          <w:szCs w:val="24"/>
        </w:rPr>
        <w:t xml:space="preserve">  Disadvantaged &amp; Low-income Communities </w:t>
      </w:r>
    </w:p>
    <w:p w14:paraId="06DECA77" w14:textId="77777777" w:rsidR="009F702B" w:rsidRPr="002C03D0" w:rsidRDefault="00951531" w:rsidP="002C03D0">
      <w:pPr>
        <w:rPr>
          <w:bCs/>
          <w:sz w:val="24"/>
          <w:szCs w:val="24"/>
        </w:rPr>
      </w:pPr>
      <w:r w:rsidRPr="002C03D0">
        <w:rPr>
          <w:bCs/>
          <w:sz w:val="24"/>
          <w:szCs w:val="24"/>
        </w:rPr>
        <w:t>A</w:t>
      </w:r>
      <w:r w:rsidR="009F702B" w:rsidRPr="002C03D0">
        <w:rPr>
          <w:bCs/>
          <w:sz w:val="24"/>
          <w:szCs w:val="24"/>
        </w:rPr>
        <w:t xml:space="preserve">t least 25% of available Electric Program Investment Charge (EPIC) technology demonstration and deployment funding </w:t>
      </w:r>
      <w:r w:rsidRPr="002C03D0">
        <w:rPr>
          <w:bCs/>
          <w:sz w:val="24"/>
          <w:szCs w:val="24"/>
        </w:rPr>
        <w:t xml:space="preserve">must </w:t>
      </w:r>
      <w:r w:rsidR="009F702B" w:rsidRPr="002C03D0">
        <w:rPr>
          <w:bCs/>
          <w:sz w:val="24"/>
          <w:szCs w:val="24"/>
        </w:rPr>
        <w:t xml:space="preserve">be allocated to project sites located in, and benefiting, disadvantaged communities; and an additional minimum 10% of funds </w:t>
      </w:r>
      <w:r w:rsidRPr="002C03D0">
        <w:rPr>
          <w:bCs/>
          <w:sz w:val="24"/>
          <w:szCs w:val="24"/>
        </w:rPr>
        <w:t xml:space="preserve">must </w:t>
      </w:r>
      <w:r w:rsidR="009F702B" w:rsidRPr="002C03D0">
        <w:rPr>
          <w:bCs/>
          <w:sz w:val="24"/>
          <w:szCs w:val="24"/>
        </w:rPr>
        <w:t>be allocated to projects sites located in and benefiting low-income communities.</w:t>
      </w:r>
      <w:r w:rsidRPr="002C03D0">
        <w:rPr>
          <w:rStyle w:val="FootnoteReference"/>
          <w:bCs/>
          <w:sz w:val="24"/>
          <w:szCs w:val="24"/>
        </w:rPr>
        <w:footnoteReference w:id="23"/>
      </w:r>
      <w:r w:rsidR="009F702B" w:rsidRPr="002C03D0">
        <w:rPr>
          <w:sz w:val="24"/>
          <w:szCs w:val="24"/>
        </w:rPr>
        <w:t xml:space="preserve"> </w:t>
      </w:r>
      <w:r w:rsidR="0081043E" w:rsidRPr="002C03D0">
        <w:rPr>
          <w:bCs/>
          <w:sz w:val="24"/>
          <w:szCs w:val="24"/>
        </w:rPr>
        <w:t xml:space="preserve">The Energy Commission in administering </w:t>
      </w:r>
      <w:r w:rsidR="009F702B" w:rsidRPr="002C03D0">
        <w:rPr>
          <w:bCs/>
          <w:sz w:val="24"/>
          <w:szCs w:val="24"/>
        </w:rPr>
        <w:t xml:space="preserve">EPIC </w:t>
      </w:r>
      <w:r w:rsidR="0081043E" w:rsidRPr="002C03D0">
        <w:rPr>
          <w:bCs/>
          <w:sz w:val="24"/>
          <w:szCs w:val="24"/>
        </w:rPr>
        <w:t xml:space="preserve">must also </w:t>
      </w:r>
      <w:r w:rsidR="009F702B" w:rsidRPr="002C03D0">
        <w:rPr>
          <w:bCs/>
          <w:sz w:val="24"/>
          <w:szCs w:val="24"/>
        </w:rPr>
        <w:t>take into account adverse localized health impacts of proposed projects to the greatest extent possible,</w:t>
      </w:r>
      <w:r w:rsidR="0081043E" w:rsidRPr="002C03D0">
        <w:rPr>
          <w:rStyle w:val="FootnoteReference"/>
          <w:bCs/>
          <w:sz w:val="24"/>
          <w:szCs w:val="24"/>
        </w:rPr>
        <w:footnoteReference w:id="24"/>
      </w:r>
      <w:r w:rsidR="009F702B" w:rsidRPr="002C03D0">
        <w:rPr>
          <w:bCs/>
          <w:sz w:val="24"/>
          <w:szCs w:val="24"/>
        </w:rPr>
        <w:t xml:space="preserve"> and give preference for funding to clean energy projects that benefit residents of low-income or disadvantaged communities.</w:t>
      </w:r>
      <w:r w:rsidR="0081043E" w:rsidRPr="002C03D0">
        <w:rPr>
          <w:rStyle w:val="FootnoteReference"/>
          <w:bCs/>
          <w:sz w:val="24"/>
          <w:szCs w:val="24"/>
        </w:rPr>
        <w:footnoteReference w:id="25"/>
      </w:r>
    </w:p>
    <w:p w14:paraId="62D543CE" w14:textId="77777777" w:rsidR="007517C5" w:rsidRPr="002C03D0" w:rsidRDefault="007517C5" w:rsidP="002C03D0">
      <w:pPr>
        <w:spacing w:after="0"/>
        <w:rPr>
          <w:b/>
          <w:i/>
          <w:color w:val="0070C0"/>
          <w:sz w:val="24"/>
          <w:szCs w:val="24"/>
        </w:rPr>
      </w:pPr>
    </w:p>
    <w:p w14:paraId="2072CD1A" w14:textId="7D6BF50C" w:rsidR="009F702B" w:rsidRPr="002C03D0" w:rsidRDefault="00541B38" w:rsidP="002C03D0">
      <w:pPr>
        <w:spacing w:after="0"/>
        <w:rPr>
          <w:sz w:val="24"/>
          <w:szCs w:val="24"/>
        </w:rPr>
      </w:pPr>
      <w:r w:rsidRPr="002C03D0">
        <w:rPr>
          <w:sz w:val="24"/>
          <w:szCs w:val="24"/>
        </w:rPr>
        <w:t xml:space="preserve">Disadvantaged Communities are those designated pursuant to Health and Safety Code section 39711 as representing the 25% highest scoring census tracts in </w:t>
      </w:r>
      <w:proofErr w:type="spellStart"/>
      <w:r w:rsidRPr="002C03D0">
        <w:rPr>
          <w:sz w:val="24"/>
          <w:szCs w:val="24"/>
        </w:rPr>
        <w:t>CalEnviroScreen</w:t>
      </w:r>
      <w:proofErr w:type="spellEnd"/>
      <w:r w:rsidRPr="002C03D0">
        <w:rPr>
          <w:sz w:val="24"/>
          <w:szCs w:val="24"/>
        </w:rPr>
        <w:t xml:space="preserve"> or other areas with high amounts of pollution and low populations as identified by CalEPA.  Please see </w:t>
      </w:r>
      <w:hyperlink r:id="rId42" w:history="1">
        <w:r w:rsidRPr="002C03D0">
          <w:rPr>
            <w:rStyle w:val="Hyperlink"/>
            <w:rFonts w:cs="Arial"/>
            <w:sz w:val="24"/>
            <w:szCs w:val="24"/>
          </w:rPr>
          <w:t>https://calepa.ca.gov/envjustice/ghginvest/</w:t>
        </w:r>
      </w:hyperlink>
      <w:r w:rsidRPr="002C03D0">
        <w:rPr>
          <w:sz w:val="24"/>
          <w:szCs w:val="24"/>
        </w:rPr>
        <w:t xml:space="preserve"> for the most current CalEPA designations. </w:t>
      </w:r>
    </w:p>
    <w:p w14:paraId="6F331A4F" w14:textId="77777777" w:rsidR="009F702B" w:rsidRPr="002C03D0" w:rsidRDefault="009F702B" w:rsidP="002C03D0">
      <w:pPr>
        <w:autoSpaceDE w:val="0"/>
        <w:autoSpaceDN w:val="0"/>
        <w:adjustRightInd w:val="0"/>
        <w:spacing w:after="0"/>
        <w:rPr>
          <w:sz w:val="24"/>
          <w:szCs w:val="24"/>
        </w:rPr>
      </w:pPr>
    </w:p>
    <w:p w14:paraId="16854DED" w14:textId="77777777" w:rsidR="009F702B" w:rsidRPr="002C03D0" w:rsidRDefault="009F702B" w:rsidP="002C03D0">
      <w:pPr>
        <w:shd w:val="clear" w:color="auto" w:fill="FFFFFF"/>
        <w:textAlignment w:val="baseline"/>
        <w:rPr>
          <w:sz w:val="24"/>
          <w:szCs w:val="24"/>
        </w:rPr>
      </w:pPr>
      <w:r w:rsidRPr="002C03D0">
        <w:rPr>
          <w:sz w:val="24"/>
          <w:szCs w:val="24"/>
        </w:rPr>
        <w:t>“Low-income communities” are defined as communities within census tracts with median household incomes at or below either of the following levels:</w:t>
      </w:r>
    </w:p>
    <w:p w14:paraId="130B2F14" w14:textId="77777777" w:rsidR="009F702B" w:rsidRPr="002C03D0" w:rsidRDefault="009F702B" w:rsidP="002C03D0">
      <w:pPr>
        <w:numPr>
          <w:ilvl w:val="0"/>
          <w:numId w:val="59"/>
        </w:numPr>
        <w:shd w:val="clear" w:color="auto" w:fill="FFFFFF"/>
        <w:ind w:left="720"/>
        <w:textAlignment w:val="baseline"/>
        <w:rPr>
          <w:sz w:val="24"/>
          <w:szCs w:val="24"/>
        </w:rPr>
      </w:pPr>
      <w:r w:rsidRPr="002C03D0">
        <w:rPr>
          <w:sz w:val="24"/>
          <w:szCs w:val="24"/>
        </w:rPr>
        <w:t>Eighty percent of the statewide median income.</w:t>
      </w:r>
    </w:p>
    <w:p w14:paraId="2F19CBA9" w14:textId="77777777" w:rsidR="009F702B" w:rsidRPr="002C03D0" w:rsidRDefault="009F702B" w:rsidP="002C03D0">
      <w:pPr>
        <w:numPr>
          <w:ilvl w:val="0"/>
          <w:numId w:val="59"/>
        </w:numPr>
        <w:shd w:val="clear" w:color="auto" w:fill="FFFFFF"/>
        <w:ind w:left="720"/>
        <w:textAlignment w:val="baseline"/>
        <w:rPr>
          <w:sz w:val="24"/>
          <w:szCs w:val="24"/>
        </w:rPr>
      </w:pPr>
      <w:r w:rsidRPr="002C03D0">
        <w:rPr>
          <w:sz w:val="24"/>
          <w:szCs w:val="24"/>
        </w:rPr>
        <w:t>The applicable low-income threshold listed in the state income limits updated by the Department of Housing and Community Development and filed with the Office of Administrative Law pursuant to subdivision (c) of Section 50093 of the Health and Safety Code.</w:t>
      </w:r>
    </w:p>
    <w:p w14:paraId="0BA6F17B" w14:textId="6B07487D" w:rsidR="006116A3" w:rsidRPr="002C03D0" w:rsidRDefault="006116A3" w:rsidP="002C03D0">
      <w:pPr>
        <w:spacing w:after="0"/>
        <w:rPr>
          <w:sz w:val="24"/>
          <w:szCs w:val="24"/>
        </w:rPr>
      </w:pPr>
      <w:r w:rsidRPr="002C03D0">
        <w:rPr>
          <w:sz w:val="24"/>
          <w:szCs w:val="24"/>
        </w:rPr>
        <w:t>Visit the California Department of Housing &amp; Community Development site for the current HCD State Income Limits</w:t>
      </w:r>
      <w:r w:rsidR="006558A6" w:rsidRPr="002C03D0">
        <w:rPr>
          <w:sz w:val="24"/>
          <w:szCs w:val="24"/>
        </w:rPr>
        <w:t xml:space="preserve"> at</w:t>
      </w:r>
      <w:r w:rsidRPr="002C03D0">
        <w:rPr>
          <w:sz w:val="24"/>
          <w:szCs w:val="24"/>
        </w:rPr>
        <w:t xml:space="preserve">: </w:t>
      </w:r>
      <w:hyperlink r:id="rId43" w:history="1">
        <w:r w:rsidRPr="002C03D0">
          <w:rPr>
            <w:rStyle w:val="Hyperlink"/>
            <w:rFonts w:cs="Arial"/>
            <w:sz w:val="24"/>
            <w:szCs w:val="24"/>
          </w:rPr>
          <w:t>http://www.hcd.ca.gov/grants-funding/income-limits/index.shtml</w:t>
        </w:r>
      </w:hyperlink>
      <w:r w:rsidRPr="002C03D0">
        <w:rPr>
          <w:sz w:val="24"/>
          <w:szCs w:val="24"/>
        </w:rPr>
        <w:t xml:space="preserve">.  Disadvantaged communities are defined as areas representing census tracts scoring in the top 25% in </w:t>
      </w:r>
      <w:proofErr w:type="spellStart"/>
      <w:r w:rsidRPr="002C03D0">
        <w:rPr>
          <w:sz w:val="24"/>
          <w:szCs w:val="24"/>
        </w:rPr>
        <w:t>CalEnviroScreen</w:t>
      </w:r>
      <w:proofErr w:type="spellEnd"/>
      <w:r w:rsidRPr="002C03D0">
        <w:rPr>
          <w:sz w:val="24"/>
          <w:szCs w:val="24"/>
        </w:rPr>
        <w:t>. For more information on disadvantaged communities and to determine if your project is in a disadvantaged community, use the California Communities Environmental Health Screening tool (</w:t>
      </w:r>
      <w:proofErr w:type="spellStart"/>
      <w:r w:rsidRPr="002C03D0">
        <w:rPr>
          <w:sz w:val="24"/>
          <w:szCs w:val="24"/>
        </w:rPr>
        <w:t>CalEnviroScreen</w:t>
      </w:r>
      <w:proofErr w:type="spellEnd"/>
      <w:r w:rsidRPr="002C03D0">
        <w:rPr>
          <w:sz w:val="24"/>
          <w:szCs w:val="24"/>
        </w:rPr>
        <w:t>)</w:t>
      </w:r>
      <w:r w:rsidR="00974E41" w:rsidRPr="002C03D0">
        <w:rPr>
          <w:sz w:val="24"/>
          <w:szCs w:val="24"/>
        </w:rPr>
        <w:t xml:space="preserve"> at</w:t>
      </w:r>
      <w:r w:rsidRPr="002C03D0">
        <w:rPr>
          <w:sz w:val="24"/>
          <w:szCs w:val="24"/>
        </w:rPr>
        <w:t>:</w:t>
      </w:r>
    </w:p>
    <w:p w14:paraId="1E8AC26B" w14:textId="6721BD11" w:rsidR="009F702B" w:rsidRPr="002C03D0" w:rsidRDefault="00000000" w:rsidP="002C03D0">
      <w:pPr>
        <w:spacing w:after="0"/>
        <w:rPr>
          <w:rFonts w:cs="Times New Roman"/>
          <w:bCs/>
          <w:sz w:val="24"/>
          <w:szCs w:val="24"/>
        </w:rPr>
      </w:pPr>
      <w:hyperlink r:id="rId44" w:history="1">
        <w:r w:rsidR="006116A3" w:rsidRPr="002C03D0">
          <w:rPr>
            <w:rStyle w:val="Hyperlink"/>
            <w:rFonts w:cs="Arial"/>
            <w:sz w:val="24"/>
            <w:szCs w:val="24"/>
          </w:rPr>
          <w:t>https://oehha.ca.gov/calenviroscreen/report/calenviroscreen-</w:t>
        </w:r>
        <w:r w:rsidR="00C43F0B" w:rsidRPr="002C03D0">
          <w:rPr>
            <w:rStyle w:val="Hyperlink"/>
            <w:rFonts w:cs="Arial"/>
            <w:sz w:val="24"/>
            <w:szCs w:val="24"/>
          </w:rPr>
          <w:t>4</w:t>
        </w:r>
        <w:r w:rsidR="006116A3" w:rsidRPr="002C03D0">
          <w:rPr>
            <w:rStyle w:val="Hyperlink"/>
            <w:rFonts w:cs="Arial"/>
            <w:sz w:val="24"/>
            <w:szCs w:val="24"/>
          </w:rPr>
          <w:t>0</w:t>
        </w:r>
      </w:hyperlink>
    </w:p>
    <w:p w14:paraId="4C514854" w14:textId="77777777" w:rsidR="009F702B" w:rsidRPr="002C03D0" w:rsidRDefault="009F702B" w:rsidP="002C03D0">
      <w:pPr>
        <w:spacing w:after="0"/>
        <w:rPr>
          <w:rFonts w:cs="Times New Roman"/>
          <w:bCs/>
          <w:sz w:val="24"/>
          <w:szCs w:val="24"/>
        </w:rPr>
      </w:pPr>
    </w:p>
    <w:p w14:paraId="6550A6F7" w14:textId="74A880C3" w:rsidR="009F702B" w:rsidRPr="002C03D0" w:rsidRDefault="009F702B" w:rsidP="002C03D0">
      <w:pPr>
        <w:rPr>
          <w:bCs/>
          <w:sz w:val="24"/>
          <w:szCs w:val="24"/>
        </w:rPr>
      </w:pPr>
      <w:r w:rsidRPr="002C03D0">
        <w:rPr>
          <w:rFonts w:cs="Times New Roman"/>
          <w:bCs/>
          <w:sz w:val="24"/>
          <w:szCs w:val="24"/>
        </w:rPr>
        <w:t xml:space="preserve">Another resource is the Healthy Places Index Tool for California, located at: </w:t>
      </w:r>
      <w:hyperlink r:id="rId45" w:history="1">
        <w:r w:rsidRPr="002C03D0">
          <w:rPr>
            <w:rStyle w:val="Hyperlink"/>
            <w:bCs/>
            <w:sz w:val="24"/>
            <w:szCs w:val="24"/>
          </w:rPr>
          <w:t>https://healthyplacesindex.org/</w:t>
        </w:r>
      </w:hyperlink>
      <w:r w:rsidRPr="002C03D0">
        <w:rPr>
          <w:bCs/>
          <w:sz w:val="24"/>
          <w:szCs w:val="24"/>
        </w:rPr>
        <w:t xml:space="preserve"> </w:t>
      </w:r>
    </w:p>
    <w:p w14:paraId="62223383" w14:textId="77777777" w:rsidR="0081409B" w:rsidRPr="002C03D0" w:rsidRDefault="0081409B" w:rsidP="002C03D0">
      <w:pPr>
        <w:rPr>
          <w:sz w:val="24"/>
          <w:szCs w:val="24"/>
        </w:rPr>
      </w:pPr>
    </w:p>
    <w:p w14:paraId="551F0400" w14:textId="77777777" w:rsidR="005E52CD" w:rsidRPr="00CF6DED" w:rsidRDefault="001C2D56" w:rsidP="002F32D3">
      <w:pPr>
        <w:pStyle w:val="Heading2"/>
        <w:numPr>
          <w:ilvl w:val="0"/>
          <w:numId w:val="55"/>
        </w:numPr>
      </w:pPr>
      <w:bookmarkStart w:id="77" w:name="_Toc336443620"/>
      <w:bookmarkStart w:id="78" w:name="_Toc366671175"/>
      <w:bookmarkStart w:id="79" w:name="_Toc121421343"/>
      <w:bookmarkStart w:id="80" w:name="PrjReq"/>
      <w:r w:rsidRPr="00CF6DED">
        <w:t>Project</w:t>
      </w:r>
      <w:bookmarkEnd w:id="77"/>
      <w:bookmarkEnd w:id="78"/>
      <w:r w:rsidRPr="00CF6DED">
        <w:t xml:space="preserve"> Requirements</w:t>
      </w:r>
      <w:bookmarkEnd w:id="79"/>
    </w:p>
    <w:p w14:paraId="21E964EB" w14:textId="3794F012" w:rsidR="0067542B" w:rsidRPr="002C03D0" w:rsidRDefault="0067542B" w:rsidP="002F32D3">
      <w:pPr>
        <w:numPr>
          <w:ilvl w:val="0"/>
          <w:numId w:val="26"/>
        </w:numPr>
        <w:ind w:left="720"/>
        <w:jc w:val="both"/>
        <w:rPr>
          <w:b/>
          <w:sz w:val="24"/>
          <w:szCs w:val="24"/>
        </w:rPr>
      </w:pPr>
      <w:bookmarkStart w:id="81" w:name="_Toc433981307"/>
      <w:bookmarkEnd w:id="80"/>
      <w:r w:rsidRPr="002C03D0">
        <w:rPr>
          <w:b/>
          <w:color w:val="000000" w:themeColor="text1"/>
          <w:sz w:val="24"/>
          <w:szCs w:val="24"/>
        </w:rPr>
        <w:t>Technology Demonstration and Deployment</w:t>
      </w:r>
      <w:r w:rsidR="007517C5" w:rsidRPr="002C03D0">
        <w:rPr>
          <w:b/>
          <w:color w:val="000000" w:themeColor="text1"/>
          <w:sz w:val="24"/>
          <w:szCs w:val="24"/>
        </w:rPr>
        <w:t xml:space="preserve"> </w:t>
      </w:r>
      <w:r w:rsidRPr="002C03D0">
        <w:rPr>
          <w:b/>
          <w:sz w:val="24"/>
          <w:szCs w:val="24"/>
        </w:rPr>
        <w:t>Stage</w:t>
      </w:r>
    </w:p>
    <w:p w14:paraId="31AD684F" w14:textId="77777777" w:rsidR="00ED5203" w:rsidRPr="002C03D0" w:rsidRDefault="00ED5203" w:rsidP="00312DAD">
      <w:pPr>
        <w:rPr>
          <w:sz w:val="24"/>
          <w:szCs w:val="22"/>
        </w:rPr>
      </w:pPr>
      <w:bookmarkStart w:id="82" w:name="_Toc395180684"/>
      <w:bookmarkStart w:id="83" w:name="_Toc433981311"/>
      <w:bookmarkEnd w:id="81"/>
      <w:r w:rsidRPr="002C03D0">
        <w:rPr>
          <w:sz w:val="24"/>
          <w:szCs w:val="22"/>
        </w:rPr>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2C03D0">
        <w:rPr>
          <w:rStyle w:val="FootnoteReference"/>
          <w:b/>
          <w:sz w:val="24"/>
          <w:szCs w:val="24"/>
        </w:rPr>
        <w:footnoteReference w:id="26"/>
      </w:r>
      <w:bookmarkEnd w:id="82"/>
      <w:bookmarkEnd w:id="83"/>
      <w:r w:rsidRPr="002C03D0">
        <w:rPr>
          <w:sz w:val="24"/>
          <w:szCs w:val="22"/>
        </w:rPr>
        <w:t xml:space="preserve"> </w:t>
      </w:r>
    </w:p>
    <w:p w14:paraId="75885476" w14:textId="77777777" w:rsidR="001C2D56" w:rsidRPr="002C03D0" w:rsidRDefault="001C2D56" w:rsidP="002F32D3">
      <w:pPr>
        <w:numPr>
          <w:ilvl w:val="0"/>
          <w:numId w:val="26"/>
        </w:numPr>
        <w:ind w:left="720"/>
        <w:jc w:val="both"/>
        <w:rPr>
          <w:b/>
          <w:sz w:val="24"/>
          <w:szCs w:val="22"/>
        </w:rPr>
      </w:pPr>
      <w:bookmarkStart w:id="84" w:name="_Toc381079916"/>
      <w:bookmarkStart w:id="85" w:name="_Toc382571178"/>
      <w:bookmarkStart w:id="86" w:name="_Toc395180687"/>
      <w:bookmarkStart w:id="87" w:name="_Toc433981316"/>
      <w:bookmarkStart w:id="88" w:name="_Toc366671176"/>
      <w:r w:rsidRPr="002C03D0">
        <w:rPr>
          <w:b/>
          <w:sz w:val="24"/>
          <w:szCs w:val="22"/>
        </w:rPr>
        <w:t>Ratepayer Benefits, Technological Advancements, and Breakthroughs</w:t>
      </w:r>
      <w:bookmarkEnd w:id="84"/>
      <w:bookmarkEnd w:id="85"/>
      <w:bookmarkEnd w:id="86"/>
      <w:bookmarkEnd w:id="87"/>
    </w:p>
    <w:p w14:paraId="0A1D28A8" w14:textId="77777777" w:rsidR="001C2D56" w:rsidRPr="002C03D0" w:rsidRDefault="001C2D56" w:rsidP="002C03D0">
      <w:pPr>
        <w:rPr>
          <w:sz w:val="24"/>
          <w:szCs w:val="22"/>
        </w:rPr>
      </w:pPr>
      <w:bookmarkStart w:id="89" w:name="_Toc381079917"/>
      <w:bookmarkStart w:id="90" w:name="_Toc382571179"/>
      <w:bookmarkStart w:id="91" w:name="_Toc395180688"/>
      <w:bookmarkStart w:id="92" w:name="_Toc433981317"/>
      <w:r w:rsidRPr="002C03D0">
        <w:rPr>
          <w:sz w:val="24"/>
          <w:szCs w:val="22"/>
        </w:rPr>
        <w:t>California Public Resources Code Section 25711.5(a) requires EPIC-funded projects to:</w:t>
      </w:r>
      <w:bookmarkEnd w:id="89"/>
      <w:bookmarkEnd w:id="90"/>
      <w:bookmarkEnd w:id="91"/>
      <w:bookmarkEnd w:id="92"/>
    </w:p>
    <w:p w14:paraId="1BAD7D31" w14:textId="77777777" w:rsidR="005E52CD" w:rsidRPr="002C03D0" w:rsidRDefault="001C2D56" w:rsidP="002C03D0">
      <w:pPr>
        <w:pStyle w:val="ListParagraph"/>
        <w:numPr>
          <w:ilvl w:val="0"/>
          <w:numId w:val="25"/>
        </w:numPr>
        <w:ind w:left="360"/>
        <w:rPr>
          <w:sz w:val="24"/>
          <w:szCs w:val="22"/>
        </w:rPr>
      </w:pPr>
      <w:bookmarkStart w:id="93" w:name="_Toc381079918"/>
      <w:bookmarkStart w:id="94" w:name="_Toc382571180"/>
      <w:bookmarkStart w:id="95" w:name="_Toc395180689"/>
      <w:bookmarkStart w:id="96" w:name="_Toc433981318"/>
      <w:r w:rsidRPr="002C03D0">
        <w:rPr>
          <w:sz w:val="24"/>
          <w:szCs w:val="22"/>
        </w:rPr>
        <w:t>Benefit electricity ratepayers; and</w:t>
      </w:r>
      <w:bookmarkEnd w:id="93"/>
      <w:bookmarkEnd w:id="94"/>
      <w:bookmarkEnd w:id="95"/>
      <w:bookmarkEnd w:id="96"/>
      <w:r w:rsidRPr="002C03D0">
        <w:rPr>
          <w:sz w:val="24"/>
          <w:szCs w:val="22"/>
        </w:rPr>
        <w:t xml:space="preserve"> </w:t>
      </w:r>
    </w:p>
    <w:p w14:paraId="69A87134" w14:textId="77777777" w:rsidR="005E52CD" w:rsidRPr="002C03D0" w:rsidRDefault="001C2D56" w:rsidP="002C03D0">
      <w:pPr>
        <w:pStyle w:val="ListParagraph"/>
        <w:numPr>
          <w:ilvl w:val="0"/>
          <w:numId w:val="25"/>
        </w:numPr>
        <w:ind w:left="360"/>
        <w:rPr>
          <w:sz w:val="24"/>
          <w:szCs w:val="22"/>
        </w:rPr>
      </w:pPr>
      <w:bookmarkStart w:id="97" w:name="_Toc381079919"/>
      <w:bookmarkStart w:id="98" w:name="_Toc382571181"/>
      <w:bookmarkStart w:id="99" w:name="_Toc395180690"/>
      <w:bookmarkStart w:id="100" w:name="_Toc433981319"/>
      <w:r w:rsidRPr="002C03D0">
        <w:rPr>
          <w:sz w:val="24"/>
          <w:szCs w:val="22"/>
        </w:rPr>
        <w:t>Lead to technological advancement and breakthroughs to overcome the barriers that prevent the achievement of the state’s statutory energy goals.</w:t>
      </w:r>
      <w:bookmarkEnd w:id="97"/>
      <w:bookmarkEnd w:id="98"/>
      <w:bookmarkEnd w:id="99"/>
      <w:bookmarkEnd w:id="100"/>
      <w:r w:rsidRPr="002C03D0">
        <w:rPr>
          <w:sz w:val="24"/>
          <w:szCs w:val="22"/>
        </w:rPr>
        <w:t xml:space="preserve"> </w:t>
      </w:r>
    </w:p>
    <w:p w14:paraId="7A44B686" w14:textId="6C718367" w:rsidR="003548FE" w:rsidRPr="002C03D0" w:rsidRDefault="008D4F40" w:rsidP="002C03D0">
      <w:pPr>
        <w:rPr>
          <w:sz w:val="24"/>
          <w:szCs w:val="22"/>
        </w:rPr>
      </w:pPr>
      <w:bookmarkStart w:id="101" w:name="_Toc395180691"/>
      <w:bookmarkStart w:id="102" w:name="_Toc433981320"/>
      <w:bookmarkStart w:id="103" w:name="_Toc381079920"/>
      <w:bookmarkStart w:id="104" w:name="_Toc382571182"/>
      <w:r w:rsidRPr="002C03D0">
        <w:rPr>
          <w:sz w:val="24"/>
          <w:szCs w:val="22"/>
        </w:rPr>
        <w:t>EPIC's mandatory guiding principle is to provide ratepayer benefits</w:t>
      </w:r>
      <w:r w:rsidR="00800A77" w:rsidRPr="002C03D0">
        <w:rPr>
          <w:sz w:val="24"/>
          <w:szCs w:val="22"/>
        </w:rPr>
        <w:t>, which is defined as</w:t>
      </w:r>
      <w:r w:rsidRPr="002C03D0">
        <w:rPr>
          <w:sz w:val="24"/>
          <w:szCs w:val="22"/>
        </w:rPr>
        <w:t xml:space="preserve"> (1) improving safety, (2) increasing reliability, (3) increasing affordability, (4) improving environmental sustainability, and (5) improving equity, all as related to California's electric system.</w:t>
      </w:r>
      <w:r w:rsidR="00E14641" w:rsidRPr="002C03D0">
        <w:rPr>
          <w:rStyle w:val="FootnoteReference"/>
          <w:sz w:val="24"/>
          <w:szCs w:val="22"/>
        </w:rPr>
        <w:footnoteReference w:id="27"/>
      </w:r>
      <w:r w:rsidRPr="002C03D0" w:rsidDel="008D4F40">
        <w:rPr>
          <w:sz w:val="24"/>
          <w:szCs w:val="22"/>
        </w:rPr>
        <w:t xml:space="preserve"> </w:t>
      </w:r>
      <w:bookmarkStart w:id="105" w:name="_Toc395180692"/>
      <w:bookmarkStart w:id="106" w:name="_Toc433981321"/>
      <w:bookmarkEnd w:id="101"/>
      <w:bookmarkEnd w:id="102"/>
    </w:p>
    <w:p w14:paraId="23A24E1B" w14:textId="2C6EFFFE" w:rsidR="00D157D1" w:rsidRPr="002C03D0" w:rsidRDefault="00E719CB" w:rsidP="002C03D0">
      <w:pPr>
        <w:rPr>
          <w:color w:val="548DD4" w:themeColor="text2" w:themeTint="99"/>
          <w:sz w:val="24"/>
          <w:szCs w:val="22"/>
        </w:rPr>
      </w:pPr>
      <w:r w:rsidRPr="002C03D0">
        <w:rPr>
          <w:sz w:val="24"/>
          <w:szCs w:val="22"/>
        </w:rPr>
        <w:t>Accordingly, t</w:t>
      </w:r>
      <w:r w:rsidR="001C2D56" w:rsidRPr="002C03D0">
        <w:rPr>
          <w:sz w:val="24"/>
          <w:szCs w:val="22"/>
        </w:rPr>
        <w:t>he Project Narrative Form (Attachment</w:t>
      </w:r>
      <w:r w:rsidR="00B254F0" w:rsidRPr="002C03D0">
        <w:rPr>
          <w:sz w:val="24"/>
          <w:szCs w:val="22"/>
        </w:rPr>
        <w:t>)</w:t>
      </w:r>
      <w:r w:rsidR="001C2D56" w:rsidRPr="002C03D0">
        <w:rPr>
          <w:sz w:val="24"/>
          <w:szCs w:val="22"/>
        </w:rPr>
        <w:t xml:space="preserve"> and the “Goals and Objectives” section of the Scope of Work Template (Attachment) must describe how the project will</w:t>
      </w:r>
      <w:r w:rsidRPr="002C03D0">
        <w:rPr>
          <w:sz w:val="24"/>
          <w:szCs w:val="22"/>
        </w:rPr>
        <w:t xml:space="preserve">: (1) benefit California IOU ratepayers by </w:t>
      </w:r>
      <w:r w:rsidR="00800A77" w:rsidRPr="002C03D0">
        <w:rPr>
          <w:sz w:val="24"/>
          <w:szCs w:val="22"/>
        </w:rPr>
        <w:t>improving safety, increasing reliability, increasing affordability, improving environmental sustainability, and improving equity, all as related to California's electric system</w:t>
      </w:r>
      <w:r w:rsidRPr="002C03D0">
        <w:rPr>
          <w:sz w:val="24"/>
          <w:szCs w:val="22"/>
        </w:rPr>
        <w:t>; and (2) lead to technological advancement and breakthroughs to overcome barriers to achieving the state’s statutory energy goals</w:t>
      </w:r>
      <w:r w:rsidR="001C2D56" w:rsidRPr="002C03D0">
        <w:rPr>
          <w:sz w:val="24"/>
          <w:szCs w:val="22"/>
        </w:rPr>
        <w:t>.</w:t>
      </w:r>
      <w:bookmarkEnd w:id="103"/>
      <w:bookmarkEnd w:id="104"/>
      <w:bookmarkEnd w:id="105"/>
      <w:bookmarkEnd w:id="106"/>
      <w:r w:rsidR="001C2D56" w:rsidRPr="002C03D0">
        <w:rPr>
          <w:sz w:val="24"/>
          <w:szCs w:val="22"/>
        </w:rPr>
        <w:t xml:space="preserve">  </w:t>
      </w:r>
      <w:r w:rsidR="00D157D1" w:rsidRPr="002C03D0">
        <w:rPr>
          <w:sz w:val="24"/>
          <w:szCs w:val="22"/>
        </w:rPr>
        <w:t>Any estimates of energy and water savings or GHG impacts must be calculated using the References for Calculating Electricity End-Use, Electricity Demand, and GHG Emissions (Attachment</w:t>
      </w:r>
      <w:r w:rsidR="007517C5" w:rsidRPr="002C03D0">
        <w:rPr>
          <w:sz w:val="24"/>
          <w:szCs w:val="22"/>
        </w:rPr>
        <w:t xml:space="preserve"> 13</w:t>
      </w:r>
      <w:r w:rsidR="001F0EDC" w:rsidRPr="002C03D0">
        <w:rPr>
          <w:sz w:val="24"/>
          <w:szCs w:val="22"/>
        </w:rPr>
        <w:t>)</w:t>
      </w:r>
      <w:r w:rsidR="00D157D1" w:rsidRPr="002C03D0">
        <w:rPr>
          <w:sz w:val="24"/>
          <w:szCs w:val="22"/>
        </w:rPr>
        <w:t xml:space="preserve">. </w:t>
      </w:r>
    </w:p>
    <w:p w14:paraId="249B20AD" w14:textId="77777777" w:rsidR="001C2D56" w:rsidRPr="002C03D0" w:rsidRDefault="001C2D56" w:rsidP="00A84811">
      <w:pPr>
        <w:ind w:left="720"/>
        <w:rPr>
          <w:sz w:val="24"/>
          <w:szCs w:val="22"/>
        </w:rPr>
      </w:pPr>
    </w:p>
    <w:p w14:paraId="6E414F88" w14:textId="5514040D" w:rsidR="001D15BA" w:rsidRPr="002C03D0" w:rsidRDefault="008D3624" w:rsidP="002F32D3">
      <w:pPr>
        <w:numPr>
          <w:ilvl w:val="0"/>
          <w:numId w:val="26"/>
        </w:numPr>
        <w:ind w:left="720"/>
        <w:jc w:val="both"/>
        <w:rPr>
          <w:sz w:val="24"/>
          <w:szCs w:val="22"/>
        </w:rPr>
      </w:pPr>
      <w:bookmarkStart w:id="107" w:name="TechKnow"/>
      <w:bookmarkStart w:id="108" w:name="_Toc395180693"/>
      <w:bookmarkStart w:id="109" w:name="_Toc433981322"/>
      <w:bookmarkStart w:id="110" w:name="_Toc381079922"/>
      <w:bookmarkStart w:id="111" w:name="_Toc382571183"/>
      <w:r w:rsidRPr="002C03D0">
        <w:rPr>
          <w:b/>
          <w:sz w:val="24"/>
          <w:szCs w:val="22"/>
        </w:rPr>
        <w:t>Knowledge Transfer Expenditures</w:t>
      </w:r>
      <w:r w:rsidR="009546C7" w:rsidRPr="002C03D0">
        <w:rPr>
          <w:sz w:val="24"/>
          <w:szCs w:val="22"/>
        </w:rPr>
        <w:t xml:space="preserve"> </w:t>
      </w:r>
      <w:bookmarkEnd w:id="107"/>
    </w:p>
    <w:p w14:paraId="5A950792" w14:textId="1257149F" w:rsidR="001D15BA" w:rsidRPr="002C03D0" w:rsidRDefault="008D3624" w:rsidP="002C03D0">
      <w:pPr>
        <w:pStyle w:val="HeadingNew1"/>
        <w:numPr>
          <w:ilvl w:val="0"/>
          <w:numId w:val="0"/>
        </w:numPr>
        <w:jc w:val="left"/>
        <w:rPr>
          <w:b w:val="0"/>
          <w:sz w:val="24"/>
          <w:szCs w:val="24"/>
        </w:rPr>
      </w:pPr>
      <w:r w:rsidRPr="002C03D0">
        <w:rPr>
          <w:b w:val="0"/>
          <w:sz w:val="24"/>
          <w:szCs w:val="24"/>
        </w:rPr>
        <w:t xml:space="preserve">To maximize the impact of EPIC projects and to promote the further development and </w:t>
      </w:r>
      <w:r w:rsidRPr="002C03D0">
        <w:rPr>
          <w:b w:val="0"/>
          <w:color w:val="000000" w:themeColor="text1"/>
          <w:sz w:val="24"/>
          <w:szCs w:val="24"/>
        </w:rPr>
        <w:t xml:space="preserve">deployment of EPIC-funded technologies, a minimum of </w:t>
      </w:r>
      <w:r w:rsidR="00CB334A" w:rsidRPr="00B1786B">
        <w:rPr>
          <w:b w:val="0"/>
          <w:color w:val="000000" w:themeColor="text1"/>
          <w:sz w:val="24"/>
          <w:szCs w:val="24"/>
        </w:rPr>
        <w:t>2.5</w:t>
      </w:r>
      <w:r w:rsidRPr="002C03D0">
        <w:rPr>
          <w:b w:val="0"/>
          <w:color w:val="000000" w:themeColor="text1"/>
          <w:sz w:val="24"/>
          <w:szCs w:val="24"/>
        </w:rPr>
        <w:t xml:space="preserve"> percent of </w:t>
      </w:r>
      <w:r w:rsidR="008F4A0E" w:rsidRPr="002C03D0">
        <w:rPr>
          <w:b w:val="0"/>
          <w:color w:val="000000" w:themeColor="text1"/>
          <w:sz w:val="24"/>
          <w:szCs w:val="24"/>
        </w:rPr>
        <w:t>CEC</w:t>
      </w:r>
      <w:r w:rsidRPr="002C03D0">
        <w:rPr>
          <w:b w:val="0"/>
          <w:color w:val="000000" w:themeColor="text1"/>
          <w:sz w:val="24"/>
          <w:szCs w:val="24"/>
        </w:rPr>
        <w:t xml:space="preserve"> funds requested should go towards </w:t>
      </w:r>
      <w:r w:rsidRPr="002C03D0">
        <w:rPr>
          <w:b w:val="0"/>
          <w:color w:val="000000" w:themeColor="text1"/>
          <w:sz w:val="24"/>
        </w:rPr>
        <w:t>knowledge</w:t>
      </w:r>
      <w:r w:rsidRPr="002C03D0">
        <w:rPr>
          <w:b w:val="0"/>
          <w:color w:val="000000" w:themeColor="text1"/>
          <w:sz w:val="24"/>
          <w:szCs w:val="24"/>
        </w:rPr>
        <w:t xml:space="preserve"> transfer activities. Appropriate </w:t>
      </w:r>
      <w:r w:rsidRPr="002C03D0">
        <w:rPr>
          <w:b w:val="0"/>
          <w:color w:val="000000" w:themeColor="text1"/>
          <w:sz w:val="24"/>
        </w:rPr>
        <w:t>knowledge</w:t>
      </w:r>
      <w:r w:rsidRPr="002C03D0">
        <w:rPr>
          <w:b w:val="0"/>
          <w:color w:val="000000" w:themeColor="text1"/>
          <w:sz w:val="24"/>
          <w:szCs w:val="24"/>
        </w:rPr>
        <w:t xml:space="preserve"> transfer activities for this solicitation are listed in the Scope of Work Template (Attachment</w:t>
      </w:r>
      <w:r w:rsidR="007517C5" w:rsidRPr="002C03D0">
        <w:rPr>
          <w:b w:val="0"/>
          <w:color w:val="000000" w:themeColor="text1"/>
          <w:sz w:val="24"/>
          <w:szCs w:val="24"/>
        </w:rPr>
        <w:t xml:space="preserve"> 5</w:t>
      </w:r>
      <w:r w:rsidRPr="002C03D0">
        <w:rPr>
          <w:b w:val="0"/>
          <w:color w:val="000000" w:themeColor="text1"/>
          <w:sz w:val="24"/>
          <w:szCs w:val="24"/>
        </w:rPr>
        <w:t xml:space="preserve">). The Budget Forms (Attachment) should clearly distinguish funds dedicated for </w:t>
      </w:r>
      <w:r w:rsidRPr="002C03D0">
        <w:rPr>
          <w:b w:val="0"/>
          <w:color w:val="000000" w:themeColor="text1"/>
          <w:sz w:val="24"/>
        </w:rPr>
        <w:t>knowledge</w:t>
      </w:r>
      <w:r w:rsidRPr="002C03D0">
        <w:rPr>
          <w:b w:val="0"/>
          <w:color w:val="000000" w:themeColor="text1"/>
          <w:sz w:val="24"/>
          <w:szCs w:val="24"/>
        </w:rPr>
        <w:t xml:space="preserve"> transfer.</w:t>
      </w:r>
    </w:p>
    <w:p w14:paraId="22504CEC" w14:textId="77777777" w:rsidR="001D15BA" w:rsidRPr="002C03D0" w:rsidRDefault="001D15BA" w:rsidP="005332F2">
      <w:pPr>
        <w:pStyle w:val="HeadingNew1"/>
        <w:numPr>
          <w:ilvl w:val="0"/>
          <w:numId w:val="0"/>
        </w:numPr>
        <w:ind w:left="990" w:hanging="360"/>
        <w:rPr>
          <w:b w:val="0"/>
          <w:sz w:val="24"/>
          <w:szCs w:val="24"/>
        </w:rPr>
      </w:pPr>
    </w:p>
    <w:p w14:paraId="7DA3CE40" w14:textId="31CF1BBD" w:rsidR="001C2D56" w:rsidRPr="002C03D0" w:rsidRDefault="001C2D56" w:rsidP="009F702B">
      <w:pPr>
        <w:pStyle w:val="HeadingNew1"/>
        <w:ind w:left="720"/>
        <w:rPr>
          <w:b w:val="0"/>
          <w:sz w:val="24"/>
          <w:szCs w:val="24"/>
        </w:rPr>
      </w:pPr>
      <w:bookmarkStart w:id="112" w:name="MandV"/>
      <w:r w:rsidRPr="002C03D0">
        <w:rPr>
          <w:sz w:val="24"/>
          <w:szCs w:val="24"/>
        </w:rPr>
        <w:t>Measurement and Verification Plan</w:t>
      </w:r>
      <w:bookmarkEnd w:id="108"/>
      <w:bookmarkEnd w:id="109"/>
      <w:r w:rsidRPr="002C03D0">
        <w:rPr>
          <w:sz w:val="24"/>
          <w:szCs w:val="24"/>
        </w:rPr>
        <w:t xml:space="preserve"> </w:t>
      </w:r>
      <w:bookmarkEnd w:id="110"/>
      <w:bookmarkEnd w:id="111"/>
      <w:bookmarkEnd w:id="112"/>
    </w:p>
    <w:p w14:paraId="102C6942" w14:textId="73D8D352" w:rsidR="00D157D1" w:rsidRPr="002C03D0" w:rsidRDefault="00D157D1" w:rsidP="002C03D0">
      <w:pPr>
        <w:pStyle w:val="HeadingNew1"/>
        <w:numPr>
          <w:ilvl w:val="0"/>
          <w:numId w:val="0"/>
        </w:numPr>
        <w:jc w:val="left"/>
        <w:rPr>
          <w:b w:val="0"/>
          <w:sz w:val="24"/>
          <w:szCs w:val="24"/>
        </w:rPr>
      </w:pPr>
      <w:bookmarkStart w:id="113" w:name="_Toc381079923"/>
      <w:bookmarkStart w:id="114" w:name="_Toc382571184"/>
      <w:bookmarkStart w:id="115" w:name="_Toc395180694"/>
      <w:bookmarkStart w:id="116" w:name="_Toc433981323"/>
      <w:r w:rsidRPr="002C03D0">
        <w:rPr>
          <w:b w:val="0"/>
          <w:sz w:val="24"/>
          <w:szCs w:val="24"/>
        </w:rPr>
        <w:t>The Project Narrative (Attachment</w:t>
      </w:r>
      <w:r w:rsidR="00355ACB" w:rsidRPr="002C03D0">
        <w:rPr>
          <w:b w:val="0"/>
          <w:sz w:val="24"/>
          <w:szCs w:val="24"/>
        </w:rPr>
        <w:t xml:space="preserve"> 3</w:t>
      </w:r>
      <w:r w:rsidRPr="002C03D0">
        <w:rPr>
          <w:b w:val="0"/>
          <w:sz w:val="24"/>
          <w:szCs w:val="24"/>
        </w:rPr>
        <w:t xml:space="preserve">) must include a Measurement and Verification Plan that describes how actual project benefits will be measured and quantified, such as by </w:t>
      </w:r>
      <w:bookmarkEnd w:id="113"/>
      <w:r w:rsidR="004376C2" w:rsidRPr="002C03D0">
        <w:rPr>
          <w:b w:val="0"/>
          <w:sz w:val="24"/>
          <w:szCs w:val="24"/>
        </w:rPr>
        <w:t xml:space="preserve">pre- and post-project energy use (kW-hours, kW) and reduced greenhouse gas (GHG) emissions. </w:t>
      </w:r>
      <w:r w:rsidRPr="002C03D0">
        <w:rPr>
          <w:b w:val="0"/>
          <w:sz w:val="24"/>
          <w:szCs w:val="24"/>
        </w:rPr>
        <w:t>The activities proposed in the Measurement and Verification Plan must be included in the “Technical Tasks” section of the Scope of Work Template (Attachment</w:t>
      </w:r>
      <w:r w:rsidR="004376C2" w:rsidRPr="002C03D0">
        <w:rPr>
          <w:b w:val="0"/>
          <w:sz w:val="24"/>
          <w:szCs w:val="24"/>
        </w:rPr>
        <w:t xml:space="preserve"> 5</w:t>
      </w:r>
      <w:r w:rsidRPr="002C03D0">
        <w:rPr>
          <w:b w:val="0"/>
          <w:sz w:val="24"/>
          <w:szCs w:val="24"/>
        </w:rPr>
        <w:t xml:space="preserve">) </w:t>
      </w:r>
      <w:bookmarkEnd w:id="114"/>
      <w:bookmarkEnd w:id="115"/>
      <w:bookmarkEnd w:id="116"/>
    </w:p>
    <w:p w14:paraId="12CED422" w14:textId="77777777" w:rsidR="005161B8" w:rsidRPr="002C03D0" w:rsidRDefault="005161B8" w:rsidP="00D157D1">
      <w:pPr>
        <w:ind w:left="720"/>
        <w:rPr>
          <w:b/>
          <w:sz w:val="24"/>
          <w:szCs w:val="24"/>
        </w:rPr>
      </w:pPr>
    </w:p>
    <w:p w14:paraId="23ACD6F3" w14:textId="3CA517D9" w:rsidR="005161B8" w:rsidRPr="002C03D0" w:rsidRDefault="005161B8" w:rsidP="005161B8">
      <w:pPr>
        <w:pStyle w:val="HeadingNew1"/>
        <w:rPr>
          <w:sz w:val="24"/>
          <w:szCs w:val="24"/>
        </w:rPr>
      </w:pPr>
      <w:r w:rsidRPr="002C03D0">
        <w:rPr>
          <w:sz w:val="24"/>
          <w:szCs w:val="24"/>
        </w:rPr>
        <w:t xml:space="preserve">Community Based Organizations </w:t>
      </w:r>
    </w:p>
    <w:p w14:paraId="38BEDD67" w14:textId="77777777" w:rsidR="009F702B" w:rsidRPr="002C03D0" w:rsidRDefault="00D52F10" w:rsidP="002C03D0">
      <w:pPr>
        <w:pStyle w:val="HeadingNew1"/>
        <w:numPr>
          <w:ilvl w:val="0"/>
          <w:numId w:val="0"/>
        </w:numPr>
        <w:jc w:val="left"/>
        <w:rPr>
          <w:b w:val="0"/>
          <w:sz w:val="24"/>
          <w:szCs w:val="24"/>
        </w:rPr>
      </w:pPr>
      <w:bookmarkStart w:id="117" w:name="_Toc366671177"/>
      <w:bookmarkEnd w:id="88"/>
      <w:r w:rsidRPr="002C03D0">
        <w:rPr>
          <w:b w:val="0"/>
          <w:sz w:val="24"/>
          <w:szCs w:val="24"/>
        </w:rPr>
        <w:t xml:space="preserve">In </w:t>
      </w:r>
      <w:r w:rsidR="009F702B" w:rsidRPr="002C03D0">
        <w:rPr>
          <w:b w:val="0"/>
          <w:sz w:val="24"/>
          <w:szCs w:val="24"/>
        </w:rPr>
        <w:t xml:space="preserve">TD&amp;D solicitations with set aside funding for proposed projects located in and benefiting low-income and/or disadvantaged communities within IOU service territories, the project must allocate appropriate funding for CBO engagement for relevant tasks under the scope of work. </w:t>
      </w:r>
    </w:p>
    <w:p w14:paraId="0D4089F2" w14:textId="77777777" w:rsidR="009F702B" w:rsidRPr="002C03D0" w:rsidRDefault="009F702B" w:rsidP="002C03D0">
      <w:pPr>
        <w:pStyle w:val="HeadingNew1"/>
        <w:numPr>
          <w:ilvl w:val="0"/>
          <w:numId w:val="0"/>
        </w:numPr>
        <w:jc w:val="left"/>
        <w:rPr>
          <w:b w:val="0"/>
          <w:sz w:val="24"/>
          <w:szCs w:val="24"/>
        </w:rPr>
      </w:pPr>
      <w:r w:rsidRPr="002C03D0">
        <w:rPr>
          <w:b w:val="0"/>
          <w:sz w:val="24"/>
          <w:szCs w:val="24"/>
        </w:rPr>
        <w:t>Community Based Organizations (CBO) should meet, and will be evaluated on the following criteria for this solicitation:</w:t>
      </w:r>
    </w:p>
    <w:p w14:paraId="7FF8AE00" w14:textId="77777777" w:rsidR="009F702B" w:rsidRPr="002C03D0" w:rsidRDefault="009F702B" w:rsidP="002C03D0">
      <w:pPr>
        <w:pStyle w:val="ListParagraph"/>
        <w:numPr>
          <w:ilvl w:val="0"/>
          <w:numId w:val="60"/>
        </w:numPr>
        <w:spacing w:after="200" w:line="276" w:lineRule="auto"/>
        <w:ind w:left="360"/>
        <w:contextualSpacing/>
        <w:rPr>
          <w:strike/>
          <w:sz w:val="24"/>
          <w:szCs w:val="22"/>
        </w:rPr>
      </w:pPr>
      <w:r w:rsidRPr="002C03D0">
        <w:rPr>
          <w:sz w:val="24"/>
          <w:szCs w:val="22"/>
        </w:rPr>
        <w:t>Has an office in the region (e.g., air basin or county) and meets the demographic profile of the communities they serve.</w:t>
      </w:r>
    </w:p>
    <w:p w14:paraId="023832D6" w14:textId="77777777" w:rsidR="009F702B" w:rsidRPr="002C03D0" w:rsidRDefault="009F702B" w:rsidP="002C03D0">
      <w:pPr>
        <w:pStyle w:val="ListParagraph"/>
        <w:numPr>
          <w:ilvl w:val="0"/>
          <w:numId w:val="60"/>
        </w:numPr>
        <w:spacing w:after="200" w:line="276" w:lineRule="auto"/>
        <w:ind w:left="360"/>
        <w:contextualSpacing/>
        <w:rPr>
          <w:strike/>
          <w:sz w:val="24"/>
          <w:szCs w:val="22"/>
        </w:rPr>
      </w:pPr>
      <w:r w:rsidRPr="002C03D0">
        <w:rPr>
          <w:sz w:val="24"/>
          <w:szCs w:val="22"/>
        </w:rPr>
        <w:t xml:space="preserve">Has deployed projects and/or outreach efforts within the region (e.g., air basin or county) of the proposed disadvantaged or low-income community. </w:t>
      </w:r>
    </w:p>
    <w:p w14:paraId="4102E088" w14:textId="77777777" w:rsidR="009F702B" w:rsidRPr="002C03D0" w:rsidRDefault="009F702B" w:rsidP="002C03D0">
      <w:pPr>
        <w:pStyle w:val="ListParagraph"/>
        <w:numPr>
          <w:ilvl w:val="0"/>
          <w:numId w:val="60"/>
        </w:numPr>
        <w:shd w:val="clear" w:color="auto" w:fill="FFFFFF"/>
        <w:ind w:left="360"/>
        <w:jc w:val="both"/>
        <w:textAlignment w:val="baseline"/>
        <w:rPr>
          <w:sz w:val="24"/>
          <w:szCs w:val="22"/>
        </w:rPr>
      </w:pPr>
      <w:r w:rsidRPr="002C03D0">
        <w:rPr>
          <w:sz w:val="24"/>
          <w:szCs w:val="22"/>
        </w:rPr>
        <w:t xml:space="preserve">Have official mission and vision statements that expressly identifies serving disadvantaged and/or low-income communities. </w:t>
      </w:r>
    </w:p>
    <w:p w14:paraId="266CA25E" w14:textId="77777777" w:rsidR="001C2D56" w:rsidRPr="002C03D0" w:rsidRDefault="009F702B" w:rsidP="002C03D0">
      <w:pPr>
        <w:pStyle w:val="ListParagraph"/>
        <w:numPr>
          <w:ilvl w:val="0"/>
          <w:numId w:val="60"/>
        </w:numPr>
        <w:shd w:val="clear" w:color="auto" w:fill="FFFFFF"/>
        <w:spacing w:after="0"/>
        <w:ind w:left="360"/>
        <w:jc w:val="both"/>
        <w:textAlignment w:val="baseline"/>
        <w:rPr>
          <w:sz w:val="24"/>
          <w:szCs w:val="24"/>
        </w:rPr>
      </w:pPr>
      <w:r w:rsidRPr="002C03D0">
        <w:rPr>
          <w:sz w:val="24"/>
          <w:szCs w:val="22"/>
        </w:rPr>
        <w:t>Currently employs staff member(s) who specialized in and are dedicated to – diversity, or equity, or inclusion, or is a 501(c)(3) non-profit.</w:t>
      </w:r>
      <w:r w:rsidR="001C2D56" w:rsidRPr="002C03D0">
        <w:rPr>
          <w:sz w:val="24"/>
          <w:szCs w:val="22"/>
        </w:rPr>
        <w:br w:type="page"/>
      </w:r>
      <w:bookmarkEnd w:id="65"/>
      <w:bookmarkEnd w:id="66"/>
      <w:bookmarkEnd w:id="67"/>
      <w:bookmarkEnd w:id="68"/>
      <w:bookmarkEnd w:id="117"/>
    </w:p>
    <w:p w14:paraId="309DBC47" w14:textId="77777777" w:rsidR="0061342D" w:rsidRDefault="001C2D56" w:rsidP="0061342D">
      <w:pPr>
        <w:pStyle w:val="Heading1"/>
        <w:keepLines w:val="0"/>
        <w:spacing w:before="0" w:after="120"/>
        <w:jc w:val="both"/>
      </w:pPr>
      <w:bookmarkStart w:id="118" w:name="_Toc12770892"/>
      <w:bookmarkStart w:id="119" w:name="_Toc219275109"/>
      <w:bookmarkStart w:id="120" w:name="_Toc336443626"/>
      <w:bookmarkStart w:id="121" w:name="_Toc366671182"/>
      <w:bookmarkStart w:id="122" w:name="_Toc121421344"/>
      <w:bookmarkStart w:id="123" w:name="_Toc219275098"/>
      <w:r w:rsidRPr="00C31C1D">
        <w:t>III.</w:t>
      </w:r>
      <w:r w:rsidRPr="00C31C1D">
        <w:tab/>
      </w:r>
      <w:bookmarkEnd w:id="118"/>
      <w:r w:rsidRPr="00C31C1D">
        <w:t xml:space="preserve">Application Organization and Submission </w:t>
      </w:r>
      <w:bookmarkEnd w:id="119"/>
      <w:bookmarkEnd w:id="120"/>
      <w:bookmarkEnd w:id="121"/>
      <w:r w:rsidRPr="00C31C1D">
        <w:t>Instructions</w:t>
      </w:r>
      <w:bookmarkEnd w:id="122"/>
    </w:p>
    <w:p w14:paraId="2E4CB840" w14:textId="77777777" w:rsidR="001C2D56" w:rsidRPr="00CF6DED" w:rsidRDefault="001C2D56" w:rsidP="002F32D3">
      <w:pPr>
        <w:pStyle w:val="Heading2"/>
        <w:numPr>
          <w:ilvl w:val="0"/>
          <w:numId w:val="56"/>
        </w:numPr>
      </w:pPr>
      <w:bookmarkStart w:id="124" w:name="_Toc201713573"/>
      <w:bookmarkStart w:id="125" w:name="_Toc121421345"/>
      <w:bookmarkStart w:id="126" w:name="_Toc219275111"/>
      <w:bookmarkStart w:id="127" w:name="_Toc336443628"/>
      <w:bookmarkStart w:id="128" w:name="_Toc366671184"/>
      <w:r w:rsidRPr="00CF6DED">
        <w:t>Application Format</w:t>
      </w:r>
      <w:bookmarkEnd w:id="124"/>
      <w:r w:rsidRPr="00CF6DED">
        <w:t>, Page Limits, and Number of Copies</w:t>
      </w:r>
      <w:bookmarkEnd w:id="125"/>
      <w:r w:rsidRPr="00CF6DED">
        <w:t xml:space="preserve"> </w:t>
      </w:r>
      <w:bookmarkEnd w:id="126"/>
      <w:bookmarkEnd w:id="127"/>
      <w:bookmarkEnd w:id="128"/>
    </w:p>
    <w:p w14:paraId="50453B87" w14:textId="77777777" w:rsidR="001C2D56" w:rsidRPr="002C03D0" w:rsidRDefault="001C2D56" w:rsidP="002C03D0">
      <w:pPr>
        <w:keepLines/>
        <w:widowControl w:val="0"/>
        <w:spacing w:after="0"/>
        <w:rPr>
          <w:sz w:val="24"/>
          <w:szCs w:val="24"/>
        </w:rPr>
      </w:pPr>
      <w:r w:rsidRPr="002C03D0">
        <w:rPr>
          <w:sz w:val="24"/>
          <w:szCs w:val="24"/>
        </w:rPr>
        <w:t xml:space="preserve">The following table summarizes the application formatting and page limit </w:t>
      </w:r>
      <w:r w:rsidR="0081409B" w:rsidRPr="002C03D0">
        <w:rPr>
          <w:sz w:val="24"/>
          <w:szCs w:val="24"/>
        </w:rPr>
        <w:t>recommendations</w:t>
      </w:r>
      <w:r w:rsidRPr="002C03D0">
        <w:rPr>
          <w:sz w:val="24"/>
          <w:szCs w:val="24"/>
        </w:rPr>
        <w:t>:</w:t>
      </w:r>
    </w:p>
    <w:p w14:paraId="0B098070" w14:textId="4EE18373" w:rsidR="001C2D56" w:rsidRPr="002C03D0" w:rsidRDefault="001C2D56" w:rsidP="002C03D0">
      <w:pPr>
        <w:keepLines/>
        <w:widowControl w:val="0"/>
        <w:spacing w:after="0"/>
        <w:rPr>
          <w:sz w:val="24"/>
          <w:szCs w:val="24"/>
        </w:rPr>
      </w:pPr>
    </w:p>
    <w:p w14:paraId="1EABA226" w14:textId="2D30B0F7" w:rsidR="00624855" w:rsidRPr="002C03D0" w:rsidRDefault="00624855" w:rsidP="002C03D0">
      <w:pPr>
        <w:spacing w:after="0"/>
        <w:ind w:left="360"/>
        <w:rPr>
          <w:sz w:val="24"/>
          <w:szCs w:val="22"/>
        </w:rPr>
      </w:pPr>
      <w:r w:rsidRPr="002C03D0">
        <w:rPr>
          <w:sz w:val="24"/>
          <w:szCs w:val="22"/>
        </w:rPr>
        <w:t xml:space="preserve">The CEC may have waived the requirement for a signature on application materials for this solicitation. If a notice regarding CEC’s waiver of the signature requirement appears here: </w:t>
      </w:r>
      <w:hyperlink r:id="rId46" w:history="1">
        <w:r w:rsidRPr="002C03D0">
          <w:rPr>
            <w:rStyle w:val="Hyperlink"/>
            <w:rFonts w:cs="Arial"/>
            <w:sz w:val="24"/>
            <w:szCs w:val="22"/>
          </w:rPr>
          <w:t>https://www.energy.ca.gov/funding-opportunities/solicitations</w:t>
        </w:r>
      </w:hyperlink>
      <w:r w:rsidRPr="002C03D0">
        <w:rPr>
          <w:sz w:val="24"/>
          <w:szCs w:val="22"/>
        </w:rPr>
        <w:t>,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6878"/>
      </w:tblGrid>
      <w:tr w:rsidR="001C2D56" w:rsidRPr="002C03D0" w14:paraId="3D2E1B02" w14:textId="77777777" w:rsidTr="002A7931">
        <w:trPr>
          <w:trHeight w:val="2980"/>
        </w:trPr>
        <w:tc>
          <w:tcPr>
            <w:tcW w:w="2185" w:type="dxa"/>
          </w:tcPr>
          <w:p w14:paraId="06910CBA" w14:textId="77777777" w:rsidR="001C2D56" w:rsidRPr="002C03D0" w:rsidRDefault="001C2D56" w:rsidP="005F0C5F">
            <w:pPr>
              <w:jc w:val="both"/>
              <w:rPr>
                <w:b/>
                <w:sz w:val="24"/>
                <w:szCs w:val="28"/>
              </w:rPr>
            </w:pPr>
            <w:r w:rsidRPr="002C03D0">
              <w:rPr>
                <w:b/>
                <w:sz w:val="24"/>
                <w:szCs w:val="28"/>
              </w:rPr>
              <w:t>Format</w:t>
            </w:r>
          </w:p>
        </w:tc>
        <w:tc>
          <w:tcPr>
            <w:tcW w:w="7057" w:type="dxa"/>
          </w:tcPr>
          <w:p w14:paraId="05A1EC5A" w14:textId="77777777" w:rsidR="001C2D56" w:rsidRPr="002C03D0" w:rsidRDefault="001C2D56" w:rsidP="00734C0C">
            <w:pPr>
              <w:numPr>
                <w:ilvl w:val="0"/>
                <w:numId w:val="13"/>
              </w:numPr>
              <w:spacing w:after="0"/>
              <w:jc w:val="both"/>
              <w:rPr>
                <w:sz w:val="24"/>
                <w:szCs w:val="28"/>
              </w:rPr>
            </w:pPr>
            <w:r w:rsidRPr="002C03D0">
              <w:rPr>
                <w:b/>
                <w:sz w:val="24"/>
                <w:szCs w:val="28"/>
              </w:rPr>
              <w:t>Font:</w:t>
            </w:r>
            <w:r w:rsidRPr="002C03D0">
              <w:rPr>
                <w:sz w:val="24"/>
                <w:szCs w:val="28"/>
              </w:rPr>
              <w:t xml:space="preserve"> 11-point, </w:t>
            </w:r>
            <w:r w:rsidR="00624F21" w:rsidRPr="002C03D0">
              <w:rPr>
                <w:sz w:val="24"/>
                <w:szCs w:val="28"/>
              </w:rPr>
              <w:t>A</w:t>
            </w:r>
            <w:r w:rsidRPr="002C03D0">
              <w:rPr>
                <w:sz w:val="24"/>
                <w:szCs w:val="28"/>
              </w:rPr>
              <w:t xml:space="preserve">rial </w:t>
            </w:r>
            <w:r w:rsidR="0035406F" w:rsidRPr="002C03D0">
              <w:rPr>
                <w:sz w:val="24"/>
                <w:szCs w:val="28"/>
              </w:rPr>
              <w:t xml:space="preserve">(excluding </w:t>
            </w:r>
            <w:r w:rsidR="00624F21" w:rsidRPr="002C03D0">
              <w:rPr>
                <w:sz w:val="24"/>
                <w:szCs w:val="28"/>
              </w:rPr>
              <w:t>E</w:t>
            </w:r>
            <w:r w:rsidR="0035406F" w:rsidRPr="002C03D0">
              <w:rPr>
                <w:sz w:val="24"/>
                <w:szCs w:val="28"/>
              </w:rPr>
              <w:t>xcel spreadsheets</w:t>
            </w:r>
            <w:r w:rsidR="00FB5A02" w:rsidRPr="002C03D0">
              <w:rPr>
                <w:sz w:val="24"/>
                <w:szCs w:val="28"/>
              </w:rPr>
              <w:t>, original template headers and footers, and commitment or support letters</w:t>
            </w:r>
            <w:r w:rsidR="00097BE8" w:rsidRPr="002C03D0">
              <w:rPr>
                <w:sz w:val="24"/>
                <w:szCs w:val="28"/>
              </w:rPr>
              <w:t>)</w:t>
            </w:r>
          </w:p>
          <w:p w14:paraId="2FF4F5B0" w14:textId="77777777" w:rsidR="001C2D56" w:rsidRPr="002C03D0" w:rsidRDefault="001C2D56" w:rsidP="00734C0C">
            <w:pPr>
              <w:numPr>
                <w:ilvl w:val="0"/>
                <w:numId w:val="13"/>
              </w:numPr>
              <w:spacing w:after="0"/>
              <w:jc w:val="both"/>
              <w:rPr>
                <w:sz w:val="24"/>
                <w:szCs w:val="28"/>
              </w:rPr>
            </w:pPr>
            <w:r w:rsidRPr="002C03D0">
              <w:rPr>
                <w:b/>
                <w:sz w:val="24"/>
                <w:szCs w:val="28"/>
              </w:rPr>
              <w:t>Margins:</w:t>
            </w:r>
            <w:r w:rsidRPr="002C03D0">
              <w:rPr>
                <w:sz w:val="24"/>
                <w:szCs w:val="28"/>
              </w:rPr>
              <w:t xml:space="preserve"> </w:t>
            </w:r>
            <w:r w:rsidR="006465F7" w:rsidRPr="002C03D0">
              <w:rPr>
                <w:sz w:val="24"/>
                <w:szCs w:val="28"/>
              </w:rPr>
              <w:t>N</w:t>
            </w:r>
            <w:r w:rsidR="0035406F" w:rsidRPr="002C03D0">
              <w:rPr>
                <w:sz w:val="24"/>
                <w:szCs w:val="28"/>
              </w:rPr>
              <w:t xml:space="preserve">o less than </w:t>
            </w:r>
            <w:r w:rsidR="0026009C" w:rsidRPr="002C03D0">
              <w:rPr>
                <w:sz w:val="24"/>
                <w:szCs w:val="28"/>
              </w:rPr>
              <w:t>one inch</w:t>
            </w:r>
            <w:r w:rsidRPr="002C03D0">
              <w:rPr>
                <w:sz w:val="24"/>
                <w:szCs w:val="28"/>
              </w:rPr>
              <w:t xml:space="preserve"> on all sides (excluding headers and footers)</w:t>
            </w:r>
          </w:p>
          <w:p w14:paraId="6382353B" w14:textId="77777777" w:rsidR="001C2D56" w:rsidRPr="002C03D0" w:rsidRDefault="001C2D56" w:rsidP="00734C0C">
            <w:pPr>
              <w:numPr>
                <w:ilvl w:val="0"/>
                <w:numId w:val="13"/>
              </w:numPr>
              <w:spacing w:after="0"/>
              <w:jc w:val="both"/>
              <w:rPr>
                <w:sz w:val="24"/>
                <w:szCs w:val="28"/>
              </w:rPr>
            </w:pPr>
            <w:r w:rsidRPr="002C03D0">
              <w:rPr>
                <w:b/>
                <w:sz w:val="24"/>
                <w:szCs w:val="28"/>
              </w:rPr>
              <w:t>Spacing:</w:t>
            </w:r>
            <w:r w:rsidRPr="002C03D0">
              <w:rPr>
                <w:sz w:val="24"/>
                <w:szCs w:val="28"/>
              </w:rPr>
              <w:t xml:space="preserve">  Single spaced, with a blank line between each paragraph</w:t>
            </w:r>
          </w:p>
          <w:p w14:paraId="1540FF8A" w14:textId="77777777" w:rsidR="00FB5A02" w:rsidRPr="002C03D0" w:rsidRDefault="00FB5A02" w:rsidP="00FB5A02">
            <w:pPr>
              <w:numPr>
                <w:ilvl w:val="0"/>
                <w:numId w:val="13"/>
              </w:numPr>
              <w:spacing w:after="0"/>
              <w:jc w:val="both"/>
              <w:rPr>
                <w:sz w:val="24"/>
                <w:szCs w:val="28"/>
              </w:rPr>
            </w:pPr>
            <w:r w:rsidRPr="002C03D0">
              <w:rPr>
                <w:b/>
                <w:sz w:val="24"/>
                <w:szCs w:val="28"/>
              </w:rPr>
              <w:t>Signatures</w:t>
            </w:r>
            <w:r w:rsidRPr="002C03D0">
              <w:rPr>
                <w:sz w:val="24"/>
                <w:szCs w:val="28"/>
              </w:rPr>
              <w:t xml:space="preserve">: </w:t>
            </w:r>
            <w:r w:rsidR="000B5232" w:rsidRPr="002C03D0">
              <w:rPr>
                <w:sz w:val="24"/>
                <w:szCs w:val="28"/>
              </w:rPr>
              <w:t xml:space="preserve">Wet signatures only </w:t>
            </w:r>
            <w:r w:rsidRPr="002C03D0">
              <w:rPr>
                <w:sz w:val="24"/>
                <w:szCs w:val="28"/>
              </w:rPr>
              <w:t>(i.e., not electronic)</w:t>
            </w:r>
          </w:p>
          <w:p w14:paraId="79980235" w14:textId="77777777" w:rsidR="001C2D56" w:rsidRPr="002C03D0" w:rsidRDefault="001C2D56" w:rsidP="00734C0C">
            <w:pPr>
              <w:numPr>
                <w:ilvl w:val="0"/>
                <w:numId w:val="13"/>
              </w:numPr>
              <w:spacing w:after="0"/>
              <w:jc w:val="both"/>
              <w:rPr>
                <w:sz w:val="24"/>
                <w:szCs w:val="28"/>
              </w:rPr>
            </w:pPr>
            <w:r w:rsidRPr="002C03D0">
              <w:rPr>
                <w:b/>
                <w:sz w:val="24"/>
                <w:szCs w:val="28"/>
              </w:rPr>
              <w:t>File Format:</w:t>
            </w:r>
            <w:r w:rsidRPr="002C03D0">
              <w:rPr>
                <w:sz w:val="24"/>
                <w:szCs w:val="28"/>
              </w:rPr>
              <w:t xml:space="preserve"> MS Word </w:t>
            </w:r>
            <w:r w:rsidR="005E76CE" w:rsidRPr="002C03D0">
              <w:rPr>
                <w:sz w:val="24"/>
                <w:szCs w:val="28"/>
              </w:rPr>
              <w:t xml:space="preserve">version 2007 or later </w:t>
            </w:r>
            <w:r w:rsidRPr="002C03D0">
              <w:rPr>
                <w:sz w:val="24"/>
                <w:szCs w:val="28"/>
              </w:rPr>
              <w:t xml:space="preserve">(.doc </w:t>
            </w:r>
            <w:r w:rsidR="005E76CE" w:rsidRPr="002C03D0">
              <w:rPr>
                <w:sz w:val="24"/>
                <w:szCs w:val="28"/>
              </w:rPr>
              <w:t xml:space="preserve">or .docx </w:t>
            </w:r>
            <w:r w:rsidRPr="002C03D0">
              <w:rPr>
                <w:sz w:val="24"/>
                <w:szCs w:val="28"/>
              </w:rPr>
              <w:t xml:space="preserve">format), </w:t>
            </w:r>
            <w:r w:rsidR="0035406F" w:rsidRPr="002C03D0">
              <w:rPr>
                <w:sz w:val="24"/>
                <w:szCs w:val="28"/>
              </w:rPr>
              <w:t xml:space="preserve">excluding </w:t>
            </w:r>
            <w:r w:rsidR="00FB5A02" w:rsidRPr="002C03D0">
              <w:rPr>
                <w:sz w:val="24"/>
                <w:szCs w:val="28"/>
              </w:rPr>
              <w:t>E</w:t>
            </w:r>
            <w:r w:rsidR="0035406F" w:rsidRPr="002C03D0">
              <w:rPr>
                <w:sz w:val="24"/>
                <w:szCs w:val="28"/>
              </w:rPr>
              <w:t>xcel spreadsheets</w:t>
            </w:r>
            <w:r w:rsidR="00FB5A02" w:rsidRPr="002C03D0">
              <w:rPr>
                <w:sz w:val="24"/>
                <w:szCs w:val="28"/>
              </w:rPr>
              <w:t xml:space="preserve"> and commitment or support letters (PDF files are acceptable for the letters)</w:t>
            </w:r>
          </w:p>
          <w:p w14:paraId="5799AA7B" w14:textId="77777777" w:rsidR="00624F21" w:rsidRPr="002C03D0" w:rsidRDefault="001C2D56" w:rsidP="000B5232">
            <w:pPr>
              <w:numPr>
                <w:ilvl w:val="0"/>
                <w:numId w:val="13"/>
              </w:numPr>
              <w:spacing w:after="0"/>
              <w:jc w:val="both"/>
              <w:rPr>
                <w:sz w:val="24"/>
                <w:szCs w:val="28"/>
              </w:rPr>
            </w:pPr>
            <w:r w:rsidRPr="002C03D0">
              <w:rPr>
                <w:b/>
                <w:sz w:val="24"/>
                <w:szCs w:val="28"/>
              </w:rPr>
              <w:t>File Storage:</w:t>
            </w:r>
            <w:r w:rsidRPr="002C03D0">
              <w:rPr>
                <w:sz w:val="24"/>
                <w:szCs w:val="28"/>
              </w:rPr>
              <w:t xml:space="preserve"> Electronic files of the application must be submitted on a USB memory stick</w:t>
            </w:r>
            <w:r w:rsidR="00315BDB" w:rsidRPr="002C03D0">
              <w:rPr>
                <w:sz w:val="24"/>
                <w:szCs w:val="28"/>
              </w:rPr>
              <w:t xml:space="preserve"> when submitting via </w:t>
            </w:r>
            <w:r w:rsidR="00315BDB" w:rsidRPr="002C03D0">
              <w:rPr>
                <w:b/>
                <w:sz w:val="24"/>
                <w:szCs w:val="28"/>
              </w:rPr>
              <w:t>hard copy</w:t>
            </w:r>
            <w:r w:rsidR="00443957" w:rsidRPr="002C03D0">
              <w:rPr>
                <w:b/>
                <w:sz w:val="24"/>
                <w:szCs w:val="28"/>
              </w:rPr>
              <w:t>.</w:t>
            </w:r>
          </w:p>
        </w:tc>
      </w:tr>
      <w:tr w:rsidR="001C2D56" w:rsidRPr="002C03D0" w14:paraId="071DF560" w14:textId="77777777" w:rsidTr="002A7931">
        <w:tc>
          <w:tcPr>
            <w:tcW w:w="2185" w:type="dxa"/>
          </w:tcPr>
          <w:p w14:paraId="2CCEEBE7" w14:textId="77777777" w:rsidR="001C2D56" w:rsidRPr="002C03D0" w:rsidRDefault="002E65B5" w:rsidP="00CC1385">
            <w:pPr>
              <w:rPr>
                <w:b/>
                <w:sz w:val="24"/>
                <w:szCs w:val="28"/>
              </w:rPr>
            </w:pPr>
            <w:r w:rsidRPr="002C03D0">
              <w:rPr>
                <w:b/>
                <w:sz w:val="24"/>
                <w:szCs w:val="28"/>
              </w:rPr>
              <w:t xml:space="preserve">Maximum </w:t>
            </w:r>
            <w:r w:rsidR="001C2D56" w:rsidRPr="002C03D0">
              <w:rPr>
                <w:b/>
                <w:sz w:val="24"/>
                <w:szCs w:val="28"/>
              </w:rPr>
              <w:t>Page Limit</w:t>
            </w:r>
            <w:r w:rsidR="00DF20D4" w:rsidRPr="002C03D0">
              <w:rPr>
                <w:b/>
                <w:sz w:val="24"/>
                <w:szCs w:val="28"/>
              </w:rPr>
              <w:t xml:space="preserve"> Recommendation</w:t>
            </w:r>
            <w:r w:rsidR="001C2D56" w:rsidRPr="002C03D0">
              <w:rPr>
                <w:b/>
                <w:sz w:val="24"/>
                <w:szCs w:val="28"/>
              </w:rPr>
              <w:t>s</w:t>
            </w:r>
          </w:p>
        </w:tc>
        <w:tc>
          <w:tcPr>
            <w:tcW w:w="7057" w:type="dxa"/>
          </w:tcPr>
          <w:p w14:paraId="4A530CD3" w14:textId="77777777" w:rsidR="005E52CD" w:rsidRPr="002C03D0" w:rsidRDefault="001C2D56" w:rsidP="00B32815">
            <w:pPr>
              <w:numPr>
                <w:ilvl w:val="0"/>
                <w:numId w:val="14"/>
              </w:numPr>
              <w:spacing w:after="0"/>
              <w:jc w:val="both"/>
              <w:rPr>
                <w:sz w:val="24"/>
                <w:szCs w:val="28"/>
              </w:rPr>
            </w:pPr>
            <w:r w:rsidRPr="002C03D0">
              <w:rPr>
                <w:b/>
                <w:sz w:val="24"/>
                <w:szCs w:val="28"/>
              </w:rPr>
              <w:t xml:space="preserve">Executive Summary </w:t>
            </w:r>
            <w:r w:rsidRPr="002C03D0">
              <w:rPr>
                <w:sz w:val="24"/>
                <w:szCs w:val="28"/>
              </w:rPr>
              <w:t xml:space="preserve">(Attachment): </w:t>
            </w:r>
            <w:r w:rsidRPr="002C03D0">
              <w:rPr>
                <w:b/>
                <w:sz w:val="24"/>
                <w:szCs w:val="28"/>
              </w:rPr>
              <w:t>two</w:t>
            </w:r>
            <w:r w:rsidRPr="002C03D0">
              <w:rPr>
                <w:sz w:val="24"/>
                <w:szCs w:val="28"/>
              </w:rPr>
              <w:t xml:space="preserve"> pages </w:t>
            </w:r>
          </w:p>
          <w:p w14:paraId="6F1FE546" w14:textId="1AEFA97F" w:rsidR="005E52CD" w:rsidRPr="002C03D0" w:rsidRDefault="001C2D56" w:rsidP="00B32815">
            <w:pPr>
              <w:numPr>
                <w:ilvl w:val="0"/>
                <w:numId w:val="14"/>
              </w:numPr>
              <w:spacing w:after="0"/>
              <w:jc w:val="both"/>
              <w:rPr>
                <w:sz w:val="24"/>
                <w:szCs w:val="28"/>
              </w:rPr>
            </w:pPr>
            <w:r w:rsidRPr="002C03D0">
              <w:rPr>
                <w:b/>
                <w:sz w:val="24"/>
                <w:szCs w:val="28"/>
              </w:rPr>
              <w:t xml:space="preserve">Project Narrative Form </w:t>
            </w:r>
            <w:r w:rsidRPr="002C03D0">
              <w:rPr>
                <w:sz w:val="24"/>
                <w:szCs w:val="28"/>
              </w:rPr>
              <w:t xml:space="preserve">(Attachment): </w:t>
            </w:r>
            <w:r w:rsidR="0026009C" w:rsidRPr="002C03D0">
              <w:rPr>
                <w:b/>
                <w:sz w:val="24"/>
                <w:szCs w:val="28"/>
              </w:rPr>
              <w:t>t</w:t>
            </w:r>
            <w:r w:rsidR="004376C2" w:rsidRPr="002C03D0">
              <w:rPr>
                <w:b/>
                <w:sz w:val="24"/>
                <w:szCs w:val="28"/>
              </w:rPr>
              <w:t>hirty</w:t>
            </w:r>
            <w:r w:rsidRPr="002C03D0">
              <w:rPr>
                <w:sz w:val="24"/>
                <w:szCs w:val="28"/>
              </w:rPr>
              <w:t xml:space="preserve"> pages </w:t>
            </w:r>
            <w:r w:rsidR="0013362C" w:rsidRPr="002C03D0">
              <w:rPr>
                <w:sz w:val="24"/>
                <w:szCs w:val="28"/>
              </w:rPr>
              <w:t xml:space="preserve">excluding documentation for </w:t>
            </w:r>
            <w:proofErr w:type="gramStart"/>
            <w:r w:rsidR="0013362C" w:rsidRPr="002C03D0">
              <w:rPr>
                <w:sz w:val="24"/>
                <w:szCs w:val="28"/>
              </w:rPr>
              <w:t>CEQA</w:t>
            </w:r>
            <w:proofErr w:type="gramEnd"/>
          </w:p>
          <w:p w14:paraId="35AB9A7A" w14:textId="77777777" w:rsidR="005E52CD" w:rsidRPr="002C03D0" w:rsidRDefault="001C2D56" w:rsidP="00B32815">
            <w:pPr>
              <w:numPr>
                <w:ilvl w:val="0"/>
                <w:numId w:val="14"/>
              </w:numPr>
              <w:spacing w:after="0"/>
              <w:jc w:val="both"/>
              <w:rPr>
                <w:sz w:val="24"/>
                <w:szCs w:val="28"/>
              </w:rPr>
            </w:pPr>
            <w:r w:rsidRPr="002C03D0">
              <w:rPr>
                <w:b/>
                <w:sz w:val="24"/>
                <w:szCs w:val="28"/>
              </w:rPr>
              <w:t>Project Team Form</w:t>
            </w:r>
            <w:r w:rsidRPr="002C03D0">
              <w:rPr>
                <w:sz w:val="24"/>
                <w:szCs w:val="28"/>
              </w:rPr>
              <w:t xml:space="preserve"> (Attachment): </w:t>
            </w:r>
            <w:r w:rsidRPr="002C03D0">
              <w:rPr>
                <w:b/>
                <w:sz w:val="24"/>
                <w:szCs w:val="28"/>
              </w:rPr>
              <w:t>two</w:t>
            </w:r>
            <w:r w:rsidRPr="002C03D0">
              <w:rPr>
                <w:sz w:val="24"/>
                <w:szCs w:val="28"/>
              </w:rPr>
              <w:t xml:space="preserve"> pages for each resume</w:t>
            </w:r>
          </w:p>
          <w:p w14:paraId="13521177" w14:textId="77777777" w:rsidR="005E52CD" w:rsidRPr="002C03D0" w:rsidRDefault="001C2D56" w:rsidP="00B32815">
            <w:pPr>
              <w:numPr>
                <w:ilvl w:val="0"/>
                <w:numId w:val="14"/>
              </w:numPr>
              <w:spacing w:after="0"/>
              <w:jc w:val="both"/>
              <w:rPr>
                <w:sz w:val="24"/>
                <w:szCs w:val="28"/>
              </w:rPr>
            </w:pPr>
            <w:r w:rsidRPr="002C03D0">
              <w:rPr>
                <w:b/>
                <w:sz w:val="24"/>
                <w:szCs w:val="28"/>
              </w:rPr>
              <w:t>Reference and Work Product Form</w:t>
            </w:r>
            <w:r w:rsidRPr="002C03D0">
              <w:rPr>
                <w:sz w:val="24"/>
                <w:szCs w:val="28"/>
              </w:rPr>
              <w:t xml:space="preserve"> (Attachment)</w:t>
            </w:r>
            <w:r w:rsidR="00B72CD2" w:rsidRPr="002C03D0">
              <w:rPr>
                <w:sz w:val="24"/>
                <w:szCs w:val="28"/>
              </w:rPr>
              <w:t xml:space="preserve">: </w:t>
            </w:r>
            <w:r w:rsidR="00FB5A02" w:rsidRPr="002C03D0">
              <w:rPr>
                <w:b/>
                <w:sz w:val="24"/>
                <w:szCs w:val="28"/>
              </w:rPr>
              <w:t>one</w:t>
            </w:r>
            <w:r w:rsidR="00FB5A02" w:rsidRPr="002C03D0">
              <w:rPr>
                <w:sz w:val="24"/>
                <w:szCs w:val="28"/>
              </w:rPr>
              <w:t xml:space="preserve"> page for each reference, </w:t>
            </w:r>
            <w:r w:rsidRPr="002C03D0">
              <w:rPr>
                <w:b/>
                <w:sz w:val="24"/>
                <w:szCs w:val="28"/>
              </w:rPr>
              <w:t>two</w:t>
            </w:r>
            <w:r w:rsidRPr="002C03D0">
              <w:rPr>
                <w:sz w:val="24"/>
                <w:szCs w:val="28"/>
              </w:rPr>
              <w:t xml:space="preserve"> pages for </w:t>
            </w:r>
            <w:r w:rsidR="00FB5A02" w:rsidRPr="002C03D0">
              <w:rPr>
                <w:sz w:val="24"/>
                <w:szCs w:val="28"/>
              </w:rPr>
              <w:t xml:space="preserve">each </w:t>
            </w:r>
            <w:r w:rsidRPr="002C03D0">
              <w:rPr>
                <w:sz w:val="24"/>
                <w:szCs w:val="28"/>
              </w:rPr>
              <w:t>project description</w:t>
            </w:r>
          </w:p>
          <w:p w14:paraId="4E74BF39" w14:textId="77777777" w:rsidR="005E52CD" w:rsidRPr="002C03D0" w:rsidRDefault="001C2D56" w:rsidP="002C03D0">
            <w:pPr>
              <w:numPr>
                <w:ilvl w:val="0"/>
                <w:numId w:val="14"/>
              </w:numPr>
              <w:spacing w:after="0"/>
              <w:jc w:val="both"/>
              <w:rPr>
                <w:sz w:val="24"/>
                <w:szCs w:val="28"/>
              </w:rPr>
            </w:pPr>
            <w:r w:rsidRPr="002C03D0">
              <w:rPr>
                <w:b/>
                <w:sz w:val="24"/>
                <w:szCs w:val="28"/>
              </w:rPr>
              <w:t>Commitment and Support Letter</w:t>
            </w:r>
            <w:r w:rsidR="006520E3" w:rsidRPr="002C03D0">
              <w:rPr>
                <w:b/>
                <w:sz w:val="24"/>
                <w:szCs w:val="28"/>
              </w:rPr>
              <w:t xml:space="preserve"> Form</w:t>
            </w:r>
            <w:r w:rsidRPr="002C03D0">
              <w:rPr>
                <w:b/>
                <w:sz w:val="24"/>
                <w:szCs w:val="28"/>
              </w:rPr>
              <w:t xml:space="preserve"> </w:t>
            </w:r>
            <w:r w:rsidRPr="002C03D0">
              <w:rPr>
                <w:sz w:val="24"/>
                <w:szCs w:val="28"/>
              </w:rPr>
              <w:t xml:space="preserve">(Attachment): </w:t>
            </w:r>
            <w:r w:rsidRPr="002C03D0">
              <w:rPr>
                <w:b/>
                <w:sz w:val="24"/>
                <w:szCs w:val="28"/>
              </w:rPr>
              <w:t>two</w:t>
            </w:r>
            <w:r w:rsidRPr="002C03D0">
              <w:rPr>
                <w:sz w:val="24"/>
                <w:szCs w:val="28"/>
              </w:rPr>
              <w:t xml:space="preserve"> pages, excluding </w:t>
            </w:r>
            <w:r w:rsidR="008153B5" w:rsidRPr="002C03D0">
              <w:rPr>
                <w:sz w:val="24"/>
                <w:szCs w:val="28"/>
              </w:rPr>
              <w:t xml:space="preserve">the </w:t>
            </w:r>
            <w:r w:rsidRPr="002C03D0">
              <w:rPr>
                <w:sz w:val="24"/>
                <w:szCs w:val="28"/>
              </w:rPr>
              <w:t xml:space="preserve">cover </w:t>
            </w:r>
            <w:proofErr w:type="gramStart"/>
            <w:r w:rsidRPr="002C03D0">
              <w:rPr>
                <w:sz w:val="24"/>
                <w:szCs w:val="28"/>
              </w:rPr>
              <w:t>page</w:t>
            </w:r>
            <w:proofErr w:type="gramEnd"/>
          </w:p>
          <w:p w14:paraId="6FD8C200" w14:textId="77777777" w:rsidR="003B24B0" w:rsidRPr="002C03D0" w:rsidRDefault="003B24B0" w:rsidP="002C03D0">
            <w:pPr>
              <w:numPr>
                <w:ilvl w:val="0"/>
                <w:numId w:val="14"/>
              </w:numPr>
              <w:spacing w:after="0"/>
              <w:jc w:val="both"/>
              <w:rPr>
                <w:sz w:val="24"/>
                <w:szCs w:val="28"/>
              </w:rPr>
            </w:pPr>
            <w:r w:rsidRPr="002C03D0">
              <w:rPr>
                <w:b/>
                <w:sz w:val="24"/>
                <w:szCs w:val="28"/>
              </w:rPr>
              <w:t>Scope of Work</w:t>
            </w:r>
            <w:r w:rsidRPr="002C03D0">
              <w:rPr>
                <w:sz w:val="24"/>
                <w:szCs w:val="28"/>
              </w:rPr>
              <w:t xml:space="preserve"> (Attachment): </w:t>
            </w:r>
            <w:r w:rsidRPr="002C03D0">
              <w:rPr>
                <w:b/>
                <w:sz w:val="24"/>
                <w:szCs w:val="28"/>
              </w:rPr>
              <w:t>thirty</w:t>
            </w:r>
            <w:r w:rsidRPr="002C03D0">
              <w:rPr>
                <w:sz w:val="24"/>
                <w:szCs w:val="28"/>
              </w:rPr>
              <w:t xml:space="preserve"> pages</w:t>
            </w:r>
          </w:p>
          <w:p w14:paraId="69976119" w14:textId="77777777" w:rsidR="003B24B0" w:rsidRPr="002C03D0" w:rsidRDefault="003B24B0" w:rsidP="002C03D0">
            <w:pPr>
              <w:numPr>
                <w:ilvl w:val="0"/>
                <w:numId w:val="14"/>
              </w:numPr>
              <w:spacing w:after="0"/>
              <w:jc w:val="both"/>
              <w:rPr>
                <w:sz w:val="24"/>
                <w:szCs w:val="28"/>
              </w:rPr>
            </w:pPr>
            <w:r w:rsidRPr="002C03D0">
              <w:rPr>
                <w:b/>
                <w:sz w:val="24"/>
                <w:szCs w:val="28"/>
              </w:rPr>
              <w:t>Project Schedule</w:t>
            </w:r>
            <w:r w:rsidRPr="002C03D0">
              <w:rPr>
                <w:sz w:val="24"/>
                <w:szCs w:val="28"/>
              </w:rPr>
              <w:t xml:space="preserve"> (Attachment): </w:t>
            </w:r>
            <w:r w:rsidRPr="002C03D0">
              <w:rPr>
                <w:b/>
                <w:sz w:val="24"/>
                <w:szCs w:val="28"/>
              </w:rPr>
              <w:t>four</w:t>
            </w:r>
            <w:r w:rsidRPr="002C03D0">
              <w:rPr>
                <w:sz w:val="24"/>
                <w:szCs w:val="28"/>
              </w:rPr>
              <w:t xml:space="preserve"> pages</w:t>
            </w:r>
          </w:p>
          <w:p w14:paraId="6F74F9E2" w14:textId="77777777" w:rsidR="001C2D56" w:rsidRPr="002C03D0" w:rsidRDefault="001C2D56" w:rsidP="00734C0C">
            <w:pPr>
              <w:numPr>
                <w:ilvl w:val="0"/>
                <w:numId w:val="14"/>
              </w:numPr>
              <w:spacing w:after="0"/>
              <w:jc w:val="both"/>
              <w:rPr>
                <w:sz w:val="24"/>
                <w:szCs w:val="28"/>
              </w:rPr>
            </w:pPr>
            <w:r w:rsidRPr="002C03D0">
              <w:rPr>
                <w:sz w:val="24"/>
                <w:szCs w:val="28"/>
              </w:rPr>
              <w:t>There are no page limits for the following:</w:t>
            </w:r>
          </w:p>
          <w:p w14:paraId="75A35254" w14:textId="77777777" w:rsidR="005E52CD" w:rsidRPr="002C03D0" w:rsidRDefault="001C2D56" w:rsidP="00734C0C">
            <w:pPr>
              <w:numPr>
                <w:ilvl w:val="1"/>
                <w:numId w:val="14"/>
              </w:numPr>
              <w:spacing w:after="0"/>
              <w:ind w:left="702"/>
              <w:jc w:val="both"/>
              <w:rPr>
                <w:sz w:val="24"/>
                <w:szCs w:val="28"/>
              </w:rPr>
            </w:pPr>
            <w:r w:rsidRPr="002C03D0">
              <w:rPr>
                <w:b/>
                <w:sz w:val="24"/>
                <w:szCs w:val="28"/>
              </w:rPr>
              <w:t>Application Form</w:t>
            </w:r>
            <w:r w:rsidRPr="002C03D0">
              <w:rPr>
                <w:sz w:val="24"/>
                <w:szCs w:val="28"/>
              </w:rPr>
              <w:t xml:space="preserve"> (Attachment) </w:t>
            </w:r>
          </w:p>
          <w:p w14:paraId="159A4AD7" w14:textId="77777777" w:rsidR="005E52CD" w:rsidRPr="002C03D0" w:rsidRDefault="001C2D56" w:rsidP="00734C0C">
            <w:pPr>
              <w:numPr>
                <w:ilvl w:val="1"/>
                <w:numId w:val="14"/>
              </w:numPr>
              <w:spacing w:after="0"/>
              <w:ind w:left="702"/>
              <w:jc w:val="both"/>
              <w:rPr>
                <w:sz w:val="24"/>
                <w:szCs w:val="28"/>
              </w:rPr>
            </w:pPr>
            <w:r w:rsidRPr="002C03D0">
              <w:rPr>
                <w:b/>
                <w:sz w:val="24"/>
                <w:szCs w:val="28"/>
              </w:rPr>
              <w:t>Budget Forms</w:t>
            </w:r>
            <w:r w:rsidRPr="002C03D0">
              <w:rPr>
                <w:sz w:val="24"/>
                <w:szCs w:val="28"/>
              </w:rPr>
              <w:t xml:space="preserve"> (Attachment)</w:t>
            </w:r>
          </w:p>
          <w:p w14:paraId="5B35EA5A" w14:textId="77777777" w:rsidR="004C7AB4" w:rsidRPr="002C03D0" w:rsidRDefault="001C2D56" w:rsidP="003A0A6F">
            <w:pPr>
              <w:numPr>
                <w:ilvl w:val="1"/>
                <w:numId w:val="14"/>
              </w:numPr>
              <w:spacing w:after="0"/>
              <w:ind w:left="702"/>
              <w:jc w:val="both"/>
              <w:rPr>
                <w:sz w:val="24"/>
                <w:szCs w:val="28"/>
              </w:rPr>
            </w:pPr>
            <w:r w:rsidRPr="002C03D0">
              <w:rPr>
                <w:b/>
                <w:sz w:val="24"/>
                <w:szCs w:val="28"/>
              </w:rPr>
              <w:t>CEQA Compliance Form</w:t>
            </w:r>
            <w:r w:rsidRPr="002C03D0">
              <w:rPr>
                <w:sz w:val="24"/>
                <w:szCs w:val="28"/>
              </w:rPr>
              <w:t xml:space="preserve"> (Attachment)</w:t>
            </w:r>
            <w:r w:rsidR="004C7AB4" w:rsidRPr="002C03D0">
              <w:rPr>
                <w:sz w:val="24"/>
                <w:szCs w:val="28"/>
              </w:rPr>
              <w:t xml:space="preserve"> </w:t>
            </w:r>
          </w:p>
          <w:p w14:paraId="60A3CDE0" w14:textId="70202EB7" w:rsidR="005E52CD" w:rsidRPr="002C03D0" w:rsidRDefault="004C7AB4" w:rsidP="002C03D0">
            <w:pPr>
              <w:numPr>
                <w:ilvl w:val="1"/>
                <w:numId w:val="14"/>
              </w:numPr>
              <w:spacing w:after="0"/>
              <w:ind w:left="702"/>
              <w:jc w:val="both"/>
              <w:rPr>
                <w:sz w:val="24"/>
                <w:szCs w:val="28"/>
              </w:rPr>
            </w:pPr>
            <w:r w:rsidRPr="002C03D0">
              <w:rPr>
                <w:b/>
                <w:sz w:val="24"/>
                <w:szCs w:val="28"/>
              </w:rPr>
              <w:t>Project Performance Metrics</w:t>
            </w:r>
            <w:r w:rsidRPr="002C03D0">
              <w:rPr>
                <w:sz w:val="24"/>
                <w:szCs w:val="28"/>
              </w:rPr>
              <w:t xml:space="preserve"> (Attachment)</w:t>
            </w: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2F32D3">
      <w:pPr>
        <w:pStyle w:val="Heading2"/>
        <w:numPr>
          <w:ilvl w:val="0"/>
          <w:numId w:val="56"/>
        </w:numPr>
      </w:pPr>
      <w:bookmarkStart w:id="129" w:name="_Toc428191083"/>
      <w:bookmarkStart w:id="130" w:name="_Toc121421346"/>
      <w:bookmarkStart w:id="131" w:name="_Toc201713575"/>
      <w:bookmarkStart w:id="132" w:name="_Toc219275113"/>
      <w:bookmarkStart w:id="133" w:name="_Toc336443630"/>
      <w:bookmarkStart w:id="134" w:name="_Toc366671186"/>
      <w:r w:rsidRPr="00CF6DED">
        <w:t>Method For Delivery</w:t>
      </w:r>
      <w:bookmarkEnd w:id="129"/>
      <w:bookmarkEnd w:id="130"/>
    </w:p>
    <w:p w14:paraId="758B6A49" w14:textId="0CAC8150" w:rsidR="0090258A" w:rsidRPr="002C03D0" w:rsidRDefault="0090258A" w:rsidP="002C03D0">
      <w:pPr>
        <w:keepNext/>
        <w:rPr>
          <w:b/>
          <w:sz w:val="24"/>
          <w:szCs w:val="24"/>
        </w:rPr>
      </w:pPr>
      <w:r w:rsidRPr="002C03D0">
        <w:rPr>
          <w:sz w:val="24"/>
          <w:szCs w:val="24"/>
        </w:rPr>
        <w:t xml:space="preserve">The </w:t>
      </w:r>
      <w:r w:rsidR="00D005C2" w:rsidRPr="002C03D0">
        <w:rPr>
          <w:sz w:val="24"/>
          <w:szCs w:val="24"/>
        </w:rPr>
        <w:t xml:space="preserve">only </w:t>
      </w:r>
      <w:r w:rsidRPr="002C03D0">
        <w:rPr>
          <w:sz w:val="24"/>
          <w:szCs w:val="24"/>
        </w:rPr>
        <w:t xml:space="preserve">method of </w:t>
      </w:r>
      <w:r w:rsidR="00E77625" w:rsidRPr="002C03D0">
        <w:rPr>
          <w:sz w:val="24"/>
          <w:szCs w:val="24"/>
        </w:rPr>
        <w:t>submitting applications</w:t>
      </w:r>
      <w:r w:rsidR="0096573A" w:rsidRPr="002C03D0">
        <w:rPr>
          <w:sz w:val="24"/>
          <w:szCs w:val="24"/>
        </w:rPr>
        <w:t xml:space="preserve"> to</w:t>
      </w:r>
      <w:r w:rsidRPr="002C03D0">
        <w:rPr>
          <w:sz w:val="24"/>
          <w:szCs w:val="24"/>
        </w:rPr>
        <w:t xml:space="preserve"> this solicitation is the </w:t>
      </w:r>
      <w:r w:rsidR="0096573A" w:rsidRPr="002C03D0">
        <w:rPr>
          <w:sz w:val="24"/>
          <w:szCs w:val="24"/>
        </w:rPr>
        <w:t>CEC</w:t>
      </w:r>
      <w:r w:rsidRPr="002C03D0">
        <w:rPr>
          <w:sz w:val="24"/>
          <w:szCs w:val="24"/>
        </w:rPr>
        <w:t xml:space="preserve"> Grant Solicitation System</w:t>
      </w:r>
      <w:r w:rsidR="00E81542" w:rsidRPr="002C03D0">
        <w:rPr>
          <w:sz w:val="24"/>
          <w:szCs w:val="24"/>
        </w:rPr>
        <w:t xml:space="preserve"> (GSS)</w:t>
      </w:r>
      <w:r w:rsidRPr="002C03D0">
        <w:rPr>
          <w:sz w:val="24"/>
          <w:szCs w:val="24"/>
        </w:rPr>
        <w:t xml:space="preserve">, available at: </w:t>
      </w:r>
      <w:hyperlink r:id="rId47" w:history="1">
        <w:r w:rsidRPr="002C03D0">
          <w:rPr>
            <w:rStyle w:val="Hyperlink"/>
            <w:sz w:val="24"/>
            <w:szCs w:val="24"/>
          </w:rPr>
          <w:t>https://gss.energy.ca.gov/</w:t>
        </w:r>
      </w:hyperlink>
      <w:r w:rsidR="00387A14" w:rsidRPr="002C03D0">
        <w:rPr>
          <w:sz w:val="24"/>
          <w:szCs w:val="24"/>
        </w:rPr>
        <w:t>.</w:t>
      </w:r>
      <w:r w:rsidRPr="002C03D0">
        <w:rPr>
          <w:sz w:val="24"/>
          <w:szCs w:val="24"/>
        </w:rPr>
        <w:t xml:space="preserve"> This online tool allows applicants to submit their electronic documents to the </w:t>
      </w:r>
      <w:r w:rsidR="008F4A0E" w:rsidRPr="002C03D0">
        <w:rPr>
          <w:sz w:val="24"/>
          <w:szCs w:val="24"/>
        </w:rPr>
        <w:t>CEC</w:t>
      </w:r>
      <w:r w:rsidRPr="002C03D0">
        <w:rPr>
          <w:sz w:val="24"/>
          <w:szCs w:val="24"/>
        </w:rPr>
        <w:t xml:space="preserve"> prior to the date and time specified in this solicitation</w:t>
      </w:r>
      <w:r w:rsidR="00387A14" w:rsidRPr="002C03D0">
        <w:rPr>
          <w:sz w:val="24"/>
          <w:szCs w:val="24"/>
        </w:rPr>
        <w:t>.</w:t>
      </w:r>
      <w:r w:rsidRPr="002C03D0">
        <w:rPr>
          <w:sz w:val="24"/>
          <w:szCs w:val="24"/>
        </w:rPr>
        <w:t xml:space="preserve"> Electronic files must be in Microsoft Word XP (.doc format) </w:t>
      </w:r>
      <w:r w:rsidR="00CE6606" w:rsidRPr="002C03D0">
        <w:rPr>
          <w:sz w:val="24"/>
          <w:szCs w:val="24"/>
        </w:rPr>
        <w:t xml:space="preserve">or newer </w:t>
      </w:r>
      <w:r w:rsidRPr="002C03D0">
        <w:rPr>
          <w:sz w:val="24"/>
          <w:szCs w:val="24"/>
        </w:rPr>
        <w:t xml:space="preserve">and Excel Office Suite formats unless originally provided in the solicitation in another format.  Attachments requiring signatures may be scanned and submitted in PDF format.  Completed Budget Forms, </w:t>
      </w:r>
      <w:r w:rsidR="0084752E" w:rsidRPr="002C03D0">
        <w:rPr>
          <w:sz w:val="24"/>
          <w:szCs w:val="24"/>
        </w:rPr>
        <w:t>(</w:t>
      </w:r>
      <w:r w:rsidRPr="002C03D0">
        <w:rPr>
          <w:sz w:val="24"/>
          <w:szCs w:val="24"/>
        </w:rPr>
        <w:t>Attachment</w:t>
      </w:r>
      <w:r w:rsidR="0084752E" w:rsidRPr="002C03D0">
        <w:rPr>
          <w:sz w:val="24"/>
          <w:szCs w:val="24"/>
        </w:rPr>
        <w:t>)</w:t>
      </w:r>
      <w:r w:rsidRPr="002C03D0">
        <w:rPr>
          <w:sz w:val="24"/>
          <w:szCs w:val="24"/>
        </w:rPr>
        <w:t xml:space="preserve">, must be in Excel format.  </w:t>
      </w:r>
    </w:p>
    <w:p w14:paraId="140C1D08" w14:textId="77777777" w:rsidR="00FA17A4" w:rsidRPr="002C03D0" w:rsidRDefault="00FA17A4" w:rsidP="002C03D0">
      <w:pPr>
        <w:keepNext/>
        <w:rPr>
          <w:bCs/>
          <w:sz w:val="24"/>
          <w:szCs w:val="24"/>
        </w:rPr>
      </w:pPr>
      <w:r w:rsidRPr="002C03D0">
        <w:rPr>
          <w:bCs/>
          <w:sz w:val="24"/>
          <w:szCs w:val="24"/>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2C03D0" w:rsidRDefault="00FA17A4" w:rsidP="002C03D0">
      <w:pPr>
        <w:keepNext/>
        <w:rPr>
          <w:bCs/>
          <w:sz w:val="24"/>
          <w:szCs w:val="24"/>
        </w:rPr>
      </w:pPr>
      <w:r w:rsidRPr="002C03D0">
        <w:rPr>
          <w:bCs/>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41748DAF" w:rsidR="0090258A" w:rsidRPr="002C03D0" w:rsidRDefault="00FA17A4" w:rsidP="002C03D0">
      <w:pPr>
        <w:keepNext/>
        <w:rPr>
          <w:sz w:val="24"/>
          <w:szCs w:val="24"/>
        </w:rPr>
      </w:pPr>
      <w:r w:rsidRPr="002C03D0">
        <w:rPr>
          <w:bCs/>
          <w:sz w:val="24"/>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w:t>
      </w:r>
      <w:hyperlink r:id="rId48" w:history="1">
        <w:r w:rsidRPr="002C03D0">
          <w:rPr>
            <w:rStyle w:val="Hyperlink"/>
            <w:rFonts w:cs="Arial"/>
            <w:bCs/>
            <w:sz w:val="24"/>
            <w:szCs w:val="24"/>
          </w:rPr>
          <w:t> https://www.energy.ca.gov/media/1654</w:t>
        </w:r>
      </w:hyperlink>
      <w:r w:rsidRPr="002C03D0">
        <w:rPr>
          <w:bCs/>
          <w:sz w:val="24"/>
          <w:szCs w:val="24"/>
        </w:rPr>
        <w:t>. </w:t>
      </w:r>
    </w:p>
    <w:p w14:paraId="4D97BBF0" w14:textId="7FF07555" w:rsidR="0090258A" w:rsidRPr="002C03D0" w:rsidRDefault="0090258A" w:rsidP="002C03D0">
      <w:pPr>
        <w:keepNext/>
        <w:rPr>
          <w:sz w:val="24"/>
          <w:szCs w:val="24"/>
        </w:rPr>
      </w:pPr>
      <w:r w:rsidRPr="002C03D0">
        <w:rPr>
          <w:sz w:val="24"/>
          <w:szCs w:val="24"/>
        </w:rP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rsidRPr="002C03D0">
        <w:rPr>
          <w:sz w:val="24"/>
          <w:szCs w:val="24"/>
        </w:rPr>
        <w:t>workshop,</w:t>
      </w:r>
      <w:r w:rsidRPr="002C03D0">
        <w:rPr>
          <w:sz w:val="24"/>
          <w:szCs w:val="24"/>
        </w:rPr>
        <w:t xml:space="preserve"> and you may contact the Commission Agreement Officer identified in the Questions section of the solicitation for more assistance.</w:t>
      </w:r>
    </w:p>
    <w:p w14:paraId="517A7FA1" w14:textId="151E4C90" w:rsidR="00344986" w:rsidRPr="00CF6DED" w:rsidRDefault="001C2D56" w:rsidP="002F32D3">
      <w:pPr>
        <w:pStyle w:val="Heading2"/>
        <w:numPr>
          <w:ilvl w:val="0"/>
          <w:numId w:val="56"/>
        </w:numPr>
      </w:pPr>
      <w:bookmarkStart w:id="135" w:name="_Toc121421347"/>
      <w:bookmarkStart w:id="136" w:name="_Toc219275114"/>
      <w:bookmarkStart w:id="137" w:name="_Toc336443632"/>
      <w:bookmarkStart w:id="138" w:name="_Toc366671188"/>
      <w:bookmarkEnd w:id="131"/>
      <w:bookmarkEnd w:id="132"/>
      <w:bookmarkEnd w:id="133"/>
      <w:bookmarkEnd w:id="134"/>
      <w:r w:rsidRPr="00CF6DED">
        <w:t>Application Content</w:t>
      </w:r>
      <w:bookmarkEnd w:id="135"/>
    </w:p>
    <w:p w14:paraId="16F31403" w14:textId="5B34620E" w:rsidR="001C2D56" w:rsidRPr="002C03D0" w:rsidRDefault="001C2D56" w:rsidP="0034260F">
      <w:pPr>
        <w:rPr>
          <w:sz w:val="24"/>
          <w:szCs w:val="22"/>
        </w:rPr>
      </w:pPr>
      <w:bookmarkStart w:id="139" w:name="_Toc381079929"/>
      <w:bookmarkStart w:id="140" w:name="_Toc382571192"/>
      <w:bookmarkStart w:id="141" w:name="_Toc395180702"/>
      <w:bookmarkStart w:id="142" w:name="_Toc433981331"/>
      <w:bookmarkStart w:id="143" w:name="_Toc35074593"/>
      <w:bookmarkStart w:id="144" w:name="_Toc366671191"/>
      <w:bookmarkEnd w:id="136"/>
      <w:bookmarkEnd w:id="137"/>
      <w:bookmarkEnd w:id="138"/>
      <w:r w:rsidRPr="002C03D0">
        <w:rPr>
          <w:sz w:val="24"/>
          <w:szCs w:val="22"/>
        </w:rPr>
        <w:t xml:space="preserve">Below is a </w:t>
      </w:r>
      <w:r w:rsidR="00463E0B" w:rsidRPr="002C03D0">
        <w:rPr>
          <w:sz w:val="24"/>
          <w:szCs w:val="22"/>
        </w:rPr>
        <w:t xml:space="preserve">general </w:t>
      </w:r>
      <w:r w:rsidRPr="002C03D0">
        <w:rPr>
          <w:sz w:val="24"/>
          <w:szCs w:val="22"/>
        </w:rPr>
        <w:t>description of each required section of the application</w:t>
      </w:r>
      <w:r w:rsidR="00686D5C" w:rsidRPr="002C03D0">
        <w:rPr>
          <w:sz w:val="24"/>
          <w:szCs w:val="22"/>
        </w:rPr>
        <w:t xml:space="preserve">.  </w:t>
      </w:r>
      <w:r w:rsidR="00736A5C" w:rsidRPr="002C03D0">
        <w:rPr>
          <w:sz w:val="24"/>
          <w:szCs w:val="22"/>
        </w:rPr>
        <w:t xml:space="preserve">Please reference each individual attachment for a detailed description of the information requested by that attachment. </w:t>
      </w:r>
      <w:r w:rsidR="00686D5C" w:rsidRPr="002C03D0">
        <w:rPr>
          <w:sz w:val="24"/>
          <w:szCs w:val="22"/>
        </w:rPr>
        <w:t>Completeness in submitting a</w:t>
      </w:r>
      <w:r w:rsidR="00736A5C" w:rsidRPr="002C03D0">
        <w:rPr>
          <w:sz w:val="24"/>
          <w:szCs w:val="22"/>
        </w:rPr>
        <w:t>ll</w:t>
      </w:r>
      <w:r w:rsidR="00686D5C" w:rsidRPr="002C03D0">
        <w:rPr>
          <w:sz w:val="24"/>
          <w:szCs w:val="22"/>
        </w:rPr>
        <w:t xml:space="preserve"> the information requested in each attachment will be factored into </w:t>
      </w:r>
      <w:r w:rsidR="00BF6C04" w:rsidRPr="002C03D0">
        <w:rPr>
          <w:sz w:val="24"/>
          <w:szCs w:val="22"/>
        </w:rPr>
        <w:t>application</w:t>
      </w:r>
      <w:r w:rsidR="00686D5C" w:rsidRPr="002C03D0">
        <w:rPr>
          <w:sz w:val="24"/>
          <w:szCs w:val="22"/>
        </w:rPr>
        <w:t xml:space="preserve"> scoring</w:t>
      </w:r>
      <w:bookmarkEnd w:id="139"/>
      <w:bookmarkEnd w:id="140"/>
      <w:bookmarkEnd w:id="141"/>
      <w:bookmarkEnd w:id="142"/>
      <w:r w:rsidR="00BF6C04" w:rsidRPr="002C03D0">
        <w:rPr>
          <w:sz w:val="24"/>
          <w:szCs w:val="22"/>
        </w:rPr>
        <w:t>.</w:t>
      </w:r>
    </w:p>
    <w:bookmarkEnd w:id="143"/>
    <w:bookmarkEnd w:id="144"/>
    <w:p w14:paraId="06536639" w14:textId="77777777" w:rsidR="005E52CD" w:rsidRPr="002C03D0" w:rsidRDefault="001C2D56" w:rsidP="002C03D0">
      <w:pPr>
        <w:pStyle w:val="HeadingNew1"/>
        <w:numPr>
          <w:ilvl w:val="0"/>
          <w:numId w:val="38"/>
        </w:numPr>
        <w:ind w:left="360"/>
        <w:jc w:val="left"/>
        <w:rPr>
          <w:sz w:val="24"/>
          <w:szCs w:val="24"/>
        </w:rPr>
      </w:pPr>
      <w:r w:rsidRPr="002C03D0">
        <w:rPr>
          <w:sz w:val="24"/>
          <w:szCs w:val="24"/>
        </w:rPr>
        <w:t>Application Form (Attachment 1)</w:t>
      </w:r>
    </w:p>
    <w:p w14:paraId="488555D9" w14:textId="7BB44D10" w:rsidR="001C2D56" w:rsidRPr="002C03D0" w:rsidRDefault="001C2D56" w:rsidP="002C03D0">
      <w:pPr>
        <w:widowControl w:val="0"/>
        <w:spacing w:after="0"/>
        <w:ind w:left="360"/>
        <w:rPr>
          <w:sz w:val="24"/>
          <w:szCs w:val="22"/>
        </w:rPr>
      </w:pPr>
      <w:r w:rsidRPr="002C03D0">
        <w:rPr>
          <w:sz w:val="24"/>
          <w:szCs w:val="22"/>
        </w:rPr>
        <w:t xml:space="preserve">This form requests basic information about the applicant and the project.  The application </w:t>
      </w:r>
      <w:r w:rsidR="00D055DE" w:rsidRPr="002C03D0">
        <w:rPr>
          <w:sz w:val="24"/>
          <w:szCs w:val="22"/>
        </w:rPr>
        <w:t xml:space="preserve">must </w:t>
      </w:r>
      <w:r w:rsidRPr="002C03D0">
        <w:rPr>
          <w:sz w:val="24"/>
          <w:szCs w:val="22"/>
        </w:rPr>
        <w:t xml:space="preserve">include an original </w:t>
      </w:r>
      <w:r w:rsidR="00B513CA" w:rsidRPr="002C03D0">
        <w:rPr>
          <w:sz w:val="24"/>
          <w:szCs w:val="22"/>
        </w:rPr>
        <w:t>Application</w:t>
      </w:r>
      <w:r w:rsidR="00B513CA" w:rsidRPr="002C03D0">
        <w:rPr>
          <w:color w:val="0078D4"/>
          <w:sz w:val="24"/>
          <w:szCs w:val="24"/>
          <w:shd w:val="clear" w:color="auto" w:fill="FFFFFF"/>
        </w:rPr>
        <w:t xml:space="preserve"> </w:t>
      </w:r>
      <w:r w:rsidR="00B513CA" w:rsidRPr="002C03D0">
        <w:rPr>
          <w:sz w:val="24"/>
          <w:szCs w:val="22"/>
        </w:rPr>
        <w:t>F</w:t>
      </w:r>
      <w:r w:rsidRPr="002C03D0">
        <w:rPr>
          <w:sz w:val="24"/>
          <w:szCs w:val="22"/>
        </w:rPr>
        <w:t>orm that includes all requested information</w:t>
      </w:r>
      <w:r w:rsidR="00686D5C" w:rsidRPr="002C03D0">
        <w:rPr>
          <w:sz w:val="24"/>
          <w:szCs w:val="22"/>
        </w:rPr>
        <w:t xml:space="preserve">.  The </w:t>
      </w:r>
      <w:r w:rsidR="00B449E1" w:rsidRPr="002C03D0">
        <w:rPr>
          <w:sz w:val="24"/>
          <w:szCs w:val="22"/>
        </w:rPr>
        <w:t>Application Form</w:t>
      </w:r>
      <w:r w:rsidR="00686D5C" w:rsidRPr="002C03D0">
        <w:rPr>
          <w:sz w:val="24"/>
          <w:szCs w:val="22"/>
        </w:rPr>
        <w:t xml:space="preserve"> must be</w:t>
      </w:r>
      <w:r w:rsidRPr="002C03D0">
        <w:rPr>
          <w:sz w:val="24"/>
          <w:szCs w:val="22"/>
        </w:rPr>
        <w:t xml:space="preserve"> signed by an authorized representative of the applicant’s organization</w:t>
      </w:r>
      <w:r w:rsidR="00686D5C" w:rsidRPr="002C03D0">
        <w:rPr>
          <w:sz w:val="24"/>
          <w:szCs w:val="22"/>
        </w:rPr>
        <w:t xml:space="preserve"> or will be failed as indicated in Section IV.E</w:t>
      </w:r>
      <w:r w:rsidRPr="002C03D0">
        <w:rPr>
          <w:noProof/>
          <w:sz w:val="24"/>
          <w:szCs w:val="22"/>
        </w:rPr>
        <w:t>.</w:t>
      </w:r>
      <w:r w:rsidRPr="002C03D0">
        <w:rPr>
          <w:sz w:val="24"/>
          <w:szCs w:val="22"/>
        </w:rPr>
        <w:t xml:space="preserve"> </w:t>
      </w:r>
    </w:p>
    <w:p w14:paraId="3E3B4810" w14:textId="39704D63" w:rsidR="001C2D56" w:rsidRPr="002C03D0" w:rsidRDefault="001C2D56" w:rsidP="002C03D0">
      <w:pPr>
        <w:spacing w:after="0"/>
        <w:ind w:left="720"/>
        <w:rPr>
          <w:sz w:val="24"/>
          <w:szCs w:val="22"/>
        </w:rPr>
      </w:pPr>
    </w:p>
    <w:p w14:paraId="4C82629D" w14:textId="06115147" w:rsidR="00624855" w:rsidRPr="002C03D0" w:rsidRDefault="00624855" w:rsidP="002C03D0">
      <w:pPr>
        <w:spacing w:after="0"/>
        <w:ind w:left="360"/>
        <w:rPr>
          <w:sz w:val="24"/>
          <w:szCs w:val="24"/>
        </w:rPr>
      </w:pPr>
      <w:r w:rsidRPr="002C03D0">
        <w:rPr>
          <w:sz w:val="24"/>
          <w:szCs w:val="24"/>
        </w:rPr>
        <w:t xml:space="preserve">The CEC may have waived the requirement for a signature on application materials for this solicitation. If a notice regarding CEC’s waiver of the signature requirement appears here: </w:t>
      </w:r>
      <w:hyperlink r:id="rId49" w:history="1">
        <w:r w:rsidRPr="002C03D0">
          <w:rPr>
            <w:rStyle w:val="Hyperlink"/>
            <w:rFonts w:cs="Arial"/>
            <w:sz w:val="24"/>
            <w:szCs w:val="24"/>
          </w:rPr>
          <w:t>https://www.energy.ca.gov/funding-opportunities/solicitations</w:t>
        </w:r>
      </w:hyperlink>
      <w:r w:rsidRPr="002C03D0">
        <w:rPr>
          <w:sz w:val="24"/>
          <w:szCs w:val="24"/>
        </w:rPr>
        <w:t>, the waiver applies to this solicitation. In the event of a conflict between the notice and any language in this solicitation regarding signatures, the notice will govern.</w:t>
      </w:r>
    </w:p>
    <w:p w14:paraId="24559819" w14:textId="77777777" w:rsidR="00624855" w:rsidRPr="00C31C1D" w:rsidRDefault="00624855" w:rsidP="00A10CB4">
      <w:pPr>
        <w:spacing w:after="0"/>
        <w:ind w:left="720"/>
        <w:jc w:val="both"/>
      </w:pPr>
    </w:p>
    <w:p w14:paraId="03486CAD" w14:textId="77777777" w:rsidR="005E52CD" w:rsidRPr="002C03D0" w:rsidRDefault="001C2D56" w:rsidP="002F32D3">
      <w:pPr>
        <w:pStyle w:val="HeadingNew1"/>
        <w:numPr>
          <w:ilvl w:val="0"/>
          <w:numId w:val="38"/>
        </w:numPr>
        <w:ind w:left="360"/>
        <w:rPr>
          <w:sz w:val="24"/>
          <w:szCs w:val="24"/>
        </w:rPr>
      </w:pPr>
      <w:r w:rsidRPr="002C03D0">
        <w:rPr>
          <w:sz w:val="24"/>
          <w:szCs w:val="24"/>
        </w:rPr>
        <w:t>Executive Summary Form (Attachment 2)</w:t>
      </w:r>
    </w:p>
    <w:p w14:paraId="0C7DDAAE" w14:textId="77777777" w:rsidR="001C2D56" w:rsidRPr="002C03D0" w:rsidRDefault="001C2D56" w:rsidP="00271699">
      <w:pPr>
        <w:spacing w:after="0"/>
        <w:ind w:left="360" w:right="360"/>
        <w:jc w:val="both"/>
        <w:rPr>
          <w:sz w:val="24"/>
          <w:szCs w:val="22"/>
        </w:rPr>
      </w:pPr>
      <w:r w:rsidRPr="002C03D0">
        <w:rPr>
          <w:sz w:val="24"/>
          <w:szCs w:val="22"/>
        </w:rPr>
        <w:t>The Executive Summary include</w:t>
      </w:r>
      <w:r w:rsidR="00686D5C" w:rsidRPr="002C03D0">
        <w:rPr>
          <w:sz w:val="24"/>
          <w:szCs w:val="22"/>
        </w:rPr>
        <w:t>s</w:t>
      </w:r>
      <w:r w:rsidRPr="002C03D0">
        <w:rPr>
          <w:sz w:val="24"/>
          <w:szCs w:val="22"/>
        </w:rPr>
        <w:t>: a project description; the project goals and objectives to be achieved; an explanation of how the goals and objectives will be achieved, quantified, and measured; and a description of the project tasks and overa</w:t>
      </w:r>
      <w:r w:rsidR="00656DB6" w:rsidRPr="002C03D0">
        <w:rPr>
          <w:sz w:val="24"/>
          <w:szCs w:val="22"/>
        </w:rPr>
        <w:t>ll management of the agreement.</w:t>
      </w:r>
    </w:p>
    <w:p w14:paraId="533AF0AC" w14:textId="77777777" w:rsidR="001C2D56" w:rsidRDefault="001C2D56" w:rsidP="00BB0CE6">
      <w:pPr>
        <w:spacing w:after="0"/>
        <w:ind w:left="360" w:right="360"/>
        <w:jc w:val="both"/>
        <w:rPr>
          <w:b/>
        </w:rPr>
      </w:pPr>
    </w:p>
    <w:p w14:paraId="172FCE72" w14:textId="77777777" w:rsidR="005E52CD" w:rsidRPr="002C03D0" w:rsidRDefault="001C2D56" w:rsidP="002C03D0">
      <w:pPr>
        <w:pStyle w:val="HeadingNew1"/>
        <w:numPr>
          <w:ilvl w:val="0"/>
          <w:numId w:val="38"/>
        </w:numPr>
        <w:ind w:left="360"/>
        <w:jc w:val="left"/>
        <w:rPr>
          <w:sz w:val="24"/>
          <w:szCs w:val="24"/>
        </w:rPr>
      </w:pPr>
      <w:r w:rsidRPr="002C03D0">
        <w:rPr>
          <w:sz w:val="24"/>
          <w:szCs w:val="24"/>
        </w:rPr>
        <w:t xml:space="preserve">Project Narrative Form (Attachment </w:t>
      </w:r>
      <w:r w:rsidR="003B24B0" w:rsidRPr="002C03D0">
        <w:rPr>
          <w:sz w:val="24"/>
          <w:szCs w:val="24"/>
        </w:rPr>
        <w:t>3</w:t>
      </w:r>
      <w:r w:rsidRPr="002C03D0">
        <w:rPr>
          <w:sz w:val="24"/>
          <w:szCs w:val="24"/>
        </w:rPr>
        <w:t xml:space="preserve">) </w:t>
      </w:r>
    </w:p>
    <w:p w14:paraId="200F990C" w14:textId="77777777" w:rsidR="00142AAE" w:rsidRPr="002C03D0" w:rsidRDefault="00C2239B" w:rsidP="002C03D0">
      <w:pPr>
        <w:ind w:left="360" w:right="360"/>
        <w:rPr>
          <w:sz w:val="24"/>
          <w:szCs w:val="24"/>
        </w:rPr>
      </w:pPr>
      <w:r w:rsidRPr="002C03D0">
        <w:rPr>
          <w:sz w:val="24"/>
          <w:szCs w:val="24"/>
        </w:rPr>
        <w:t xml:space="preserve">This form will include </w:t>
      </w:r>
      <w:proofErr w:type="gramStart"/>
      <w:r w:rsidRPr="002C03D0">
        <w:rPr>
          <w:sz w:val="24"/>
          <w:szCs w:val="24"/>
        </w:rPr>
        <w:t>the majority of</w:t>
      </w:r>
      <w:proofErr w:type="gramEnd"/>
      <w:r w:rsidRPr="002C03D0">
        <w:rPr>
          <w:sz w:val="24"/>
          <w:szCs w:val="24"/>
        </w:rPr>
        <w:t xml:space="preserve"> the applicant’s responses to the Scoring Criteria in </w:t>
      </w:r>
      <w:r w:rsidR="00076BD7" w:rsidRPr="002C03D0">
        <w:rPr>
          <w:sz w:val="24"/>
          <w:szCs w:val="24"/>
        </w:rPr>
        <w:t xml:space="preserve">Section </w:t>
      </w:r>
      <w:r w:rsidRPr="002C03D0">
        <w:rPr>
          <w:sz w:val="24"/>
          <w:szCs w:val="24"/>
        </w:rPr>
        <w:t>IV</w:t>
      </w:r>
      <w:r w:rsidR="00142AAE" w:rsidRPr="002C03D0">
        <w:rPr>
          <w:sz w:val="24"/>
          <w:szCs w:val="24"/>
        </w:rPr>
        <w:t>, including the following which must be addressed for both Applied Research &amp; Technology Demonstration projects:</w:t>
      </w:r>
    </w:p>
    <w:p w14:paraId="116F2C97" w14:textId="2AFE82A3" w:rsidR="007065BB" w:rsidRPr="002C03D0" w:rsidRDefault="007065BB" w:rsidP="002C03D0">
      <w:pPr>
        <w:numPr>
          <w:ilvl w:val="1"/>
          <w:numId w:val="27"/>
        </w:numPr>
        <w:tabs>
          <w:tab w:val="left" w:pos="288"/>
        </w:tabs>
        <w:spacing w:after="0"/>
        <w:ind w:left="720"/>
        <w:rPr>
          <w:rFonts w:eastAsia="MS Mincho" w:cs="Times New Roman"/>
          <w:sz w:val="24"/>
          <w:szCs w:val="24"/>
        </w:rPr>
      </w:pPr>
      <w:r w:rsidRPr="002C03D0">
        <w:rPr>
          <w:rFonts w:eastAsia="MS Mincho" w:cs="Times New Roman"/>
          <w:b/>
          <w:sz w:val="24"/>
          <w:szCs w:val="24"/>
        </w:rPr>
        <w:t>Group Specific Questions</w:t>
      </w:r>
    </w:p>
    <w:p w14:paraId="710E5E6A" w14:textId="77777777" w:rsidR="007065BB" w:rsidRPr="002C03D0" w:rsidRDefault="007065BB" w:rsidP="002C03D0">
      <w:pPr>
        <w:numPr>
          <w:ilvl w:val="2"/>
          <w:numId w:val="27"/>
        </w:numPr>
        <w:tabs>
          <w:tab w:val="left" w:pos="288"/>
        </w:tabs>
        <w:ind w:left="1080" w:hanging="360"/>
        <w:rPr>
          <w:rFonts w:eastAsia="MS Mincho" w:cs="Times New Roman"/>
          <w:sz w:val="24"/>
          <w:szCs w:val="24"/>
        </w:rPr>
      </w:pPr>
      <w:r w:rsidRPr="002C03D0">
        <w:rPr>
          <w:rFonts w:eastAsia="MS Mincho" w:cs="Times New Roman"/>
          <w:sz w:val="24"/>
          <w:szCs w:val="24"/>
        </w:rPr>
        <w:t>Include required group specific information (see Section I.</w:t>
      </w:r>
      <w:r w:rsidR="003A07F9" w:rsidRPr="002C03D0">
        <w:rPr>
          <w:rFonts w:eastAsia="MS Mincho" w:cs="Times New Roman"/>
          <w:sz w:val="24"/>
          <w:szCs w:val="24"/>
        </w:rPr>
        <w:t>C.</w:t>
      </w:r>
      <w:r w:rsidRPr="002C03D0">
        <w:rPr>
          <w:rFonts w:eastAsia="MS Mincho" w:cs="Times New Roman"/>
          <w:sz w:val="24"/>
          <w:szCs w:val="24"/>
        </w:rPr>
        <w:t xml:space="preserve">) in the specified sections. </w:t>
      </w:r>
    </w:p>
    <w:p w14:paraId="4F49063D" w14:textId="77777777" w:rsidR="007065BB" w:rsidRPr="002C03D0" w:rsidRDefault="007065BB" w:rsidP="002C03D0">
      <w:pPr>
        <w:numPr>
          <w:ilvl w:val="1"/>
          <w:numId w:val="27"/>
        </w:numPr>
        <w:tabs>
          <w:tab w:val="left" w:pos="288"/>
        </w:tabs>
        <w:spacing w:after="0"/>
        <w:ind w:left="720"/>
        <w:rPr>
          <w:rFonts w:eastAsia="MS Mincho" w:cs="Times New Roman"/>
          <w:b/>
          <w:sz w:val="24"/>
          <w:szCs w:val="24"/>
        </w:rPr>
      </w:pPr>
      <w:r w:rsidRPr="002C03D0">
        <w:rPr>
          <w:rFonts w:eastAsia="MS Mincho" w:cs="Times New Roman"/>
          <w:b/>
          <w:sz w:val="24"/>
          <w:szCs w:val="24"/>
        </w:rPr>
        <w:t>Project Readiness</w:t>
      </w:r>
    </w:p>
    <w:p w14:paraId="3F812435" w14:textId="4E6E5036" w:rsidR="007065BB" w:rsidRPr="002C03D0" w:rsidRDefault="007065BB" w:rsidP="002C03D0">
      <w:pPr>
        <w:numPr>
          <w:ilvl w:val="2"/>
          <w:numId w:val="27"/>
        </w:numPr>
        <w:tabs>
          <w:tab w:val="left" w:pos="288"/>
        </w:tabs>
        <w:ind w:left="1080" w:hanging="360"/>
        <w:rPr>
          <w:rFonts w:eastAsia="MS Mincho" w:cs="Times New Roman"/>
          <w:sz w:val="24"/>
          <w:szCs w:val="24"/>
        </w:rPr>
      </w:pPr>
      <w:r w:rsidRPr="002C03D0">
        <w:rPr>
          <w:rFonts w:eastAsia="MS Mincho" w:cs="Times New Roman"/>
          <w:sz w:val="24"/>
          <w:szCs w:val="24"/>
        </w:rPr>
        <w:t xml:space="preserve">Include information about the permitting required for the project and </w:t>
      </w:r>
      <w:proofErr w:type="gramStart"/>
      <w:r w:rsidRPr="002C03D0">
        <w:rPr>
          <w:rFonts w:eastAsia="MS Mincho" w:cs="Times New Roman"/>
          <w:sz w:val="24"/>
          <w:szCs w:val="24"/>
        </w:rPr>
        <w:t>whether or not</w:t>
      </w:r>
      <w:proofErr w:type="gramEnd"/>
      <w:r w:rsidRPr="002C03D0">
        <w:rPr>
          <w:rFonts w:eastAsia="MS Mincho" w:cs="Times New Roman"/>
          <w:sz w:val="24"/>
          <w:szCs w:val="24"/>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002C03D0">
        <w:rPr>
          <w:rFonts w:eastAsia="MS Mincho" w:cs="Times New Roman"/>
          <w:sz w:val="24"/>
          <w:szCs w:val="24"/>
        </w:rPr>
        <w:t>E</w:t>
      </w:r>
      <w:r w:rsidRPr="002C03D0">
        <w:rPr>
          <w:rFonts w:eastAsia="MS Mincho" w:cs="Times New Roman"/>
          <w:sz w:val="24"/>
          <w:szCs w:val="24"/>
        </w:rPr>
        <w:t>).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2C03D0" w:rsidRDefault="001C2D56" w:rsidP="002C03D0">
      <w:pPr>
        <w:pStyle w:val="HeadingNew1"/>
        <w:numPr>
          <w:ilvl w:val="0"/>
          <w:numId w:val="38"/>
        </w:numPr>
        <w:ind w:left="360"/>
        <w:jc w:val="left"/>
        <w:rPr>
          <w:sz w:val="24"/>
          <w:szCs w:val="24"/>
        </w:rPr>
      </w:pPr>
      <w:r w:rsidRPr="002C03D0">
        <w:rPr>
          <w:sz w:val="24"/>
          <w:szCs w:val="24"/>
        </w:rPr>
        <w:t xml:space="preserve">Project Team Form (Attachment </w:t>
      </w:r>
      <w:r w:rsidR="003B24B0" w:rsidRPr="002C03D0">
        <w:rPr>
          <w:sz w:val="24"/>
          <w:szCs w:val="24"/>
        </w:rPr>
        <w:t>4</w:t>
      </w:r>
      <w:r w:rsidRPr="002C03D0">
        <w:rPr>
          <w:sz w:val="24"/>
          <w:szCs w:val="24"/>
        </w:rPr>
        <w:t>)</w:t>
      </w:r>
    </w:p>
    <w:p w14:paraId="6B128283" w14:textId="77777777" w:rsidR="001C2D56" w:rsidRPr="002C03D0" w:rsidRDefault="001C2D56" w:rsidP="002C03D0">
      <w:pPr>
        <w:keepLines/>
        <w:widowControl w:val="0"/>
        <w:tabs>
          <w:tab w:val="left" w:pos="1170"/>
        </w:tabs>
        <w:spacing w:after="0"/>
        <w:ind w:left="360"/>
        <w:rPr>
          <w:sz w:val="24"/>
          <w:szCs w:val="24"/>
        </w:rPr>
      </w:pPr>
      <w:r w:rsidRPr="002C03D0">
        <w:rPr>
          <w:sz w:val="24"/>
          <w:szCs w:val="24"/>
        </w:rPr>
        <w:t>Identify by name all key personnel</w:t>
      </w:r>
      <w:r w:rsidRPr="002C03D0">
        <w:rPr>
          <w:rStyle w:val="FootnoteReference"/>
          <w:rFonts w:cs="Arial"/>
          <w:sz w:val="24"/>
          <w:szCs w:val="24"/>
        </w:rPr>
        <w:footnoteReference w:id="28"/>
      </w:r>
      <w:r w:rsidRPr="002C03D0">
        <w:rPr>
          <w:sz w:val="24"/>
          <w:szCs w:val="24"/>
        </w:rPr>
        <w:t xml:space="preserve"> assigned to the project, including the project manager and principal investigator (if applicable)</w:t>
      </w:r>
      <w:r w:rsidR="0044145F" w:rsidRPr="002C03D0">
        <w:rPr>
          <w:sz w:val="24"/>
          <w:szCs w:val="24"/>
        </w:rPr>
        <w:t xml:space="preserve">, </w:t>
      </w:r>
      <w:r w:rsidR="004D6FD1" w:rsidRPr="002C03D0">
        <w:rPr>
          <w:sz w:val="24"/>
          <w:szCs w:val="24"/>
        </w:rPr>
        <w:t xml:space="preserve">and individuals employed by any major subcontractor (a </w:t>
      </w:r>
      <w:r w:rsidR="00DF20D4" w:rsidRPr="002C03D0">
        <w:rPr>
          <w:sz w:val="24"/>
          <w:szCs w:val="24"/>
        </w:rPr>
        <w:t xml:space="preserve">major </w:t>
      </w:r>
      <w:r w:rsidR="004D6FD1" w:rsidRPr="002C03D0">
        <w:rPr>
          <w:sz w:val="24"/>
          <w:szCs w:val="24"/>
        </w:rPr>
        <w:t>subcontractor</w:t>
      </w:r>
      <w:r w:rsidR="00DF20D4" w:rsidRPr="002C03D0">
        <w:rPr>
          <w:sz w:val="24"/>
          <w:szCs w:val="24"/>
        </w:rPr>
        <w:t xml:space="preserve"> is a su</w:t>
      </w:r>
      <w:r w:rsidR="00F55B93" w:rsidRPr="002C03D0">
        <w:rPr>
          <w:sz w:val="24"/>
          <w:szCs w:val="24"/>
        </w:rPr>
        <w:t>b</w:t>
      </w:r>
      <w:r w:rsidR="00DF20D4" w:rsidRPr="002C03D0">
        <w:rPr>
          <w:sz w:val="24"/>
          <w:szCs w:val="24"/>
        </w:rPr>
        <w:t>contractor</w:t>
      </w:r>
      <w:r w:rsidR="004D6FD1" w:rsidRPr="002C03D0">
        <w:rPr>
          <w:sz w:val="24"/>
          <w:szCs w:val="24"/>
        </w:rPr>
        <w:t xml:space="preserve"> receiving at least 25% of Commission funds or $100,000, whichever is less)</w:t>
      </w:r>
      <w:r w:rsidRPr="002C03D0">
        <w:rPr>
          <w:sz w:val="24"/>
          <w:szCs w:val="24"/>
        </w:rPr>
        <w:t xml:space="preserve">. Clearly describe their individual areas of responsibility. Include the information required for </w:t>
      </w:r>
      <w:proofErr w:type="gramStart"/>
      <w:r w:rsidRPr="002C03D0">
        <w:rPr>
          <w:sz w:val="24"/>
          <w:szCs w:val="24"/>
        </w:rPr>
        <w:t>each individual</w:t>
      </w:r>
      <w:proofErr w:type="gramEnd"/>
      <w:r w:rsidRPr="002C03D0">
        <w:rPr>
          <w:sz w:val="24"/>
          <w:szCs w:val="24"/>
        </w:rPr>
        <w:t>, including a resume (maximum two pages, printed double-sided).</w:t>
      </w:r>
    </w:p>
    <w:p w14:paraId="4025BC53" w14:textId="77777777" w:rsidR="001C2D56" w:rsidRPr="002C03D0" w:rsidRDefault="001C2D56" w:rsidP="002C03D0">
      <w:pPr>
        <w:keepLines/>
        <w:widowControl w:val="0"/>
        <w:spacing w:after="0"/>
        <w:ind w:left="360"/>
        <w:rPr>
          <w:b/>
          <w:sz w:val="24"/>
          <w:szCs w:val="24"/>
        </w:rPr>
      </w:pPr>
    </w:p>
    <w:p w14:paraId="02B682D0" w14:textId="77777777" w:rsidR="005E52CD" w:rsidRPr="002C03D0" w:rsidRDefault="001C2D56" w:rsidP="002C03D0">
      <w:pPr>
        <w:pStyle w:val="HeadingNew1"/>
        <w:numPr>
          <w:ilvl w:val="0"/>
          <w:numId w:val="38"/>
        </w:numPr>
        <w:ind w:left="360"/>
        <w:jc w:val="left"/>
        <w:rPr>
          <w:sz w:val="24"/>
          <w:szCs w:val="24"/>
        </w:rPr>
      </w:pPr>
      <w:r w:rsidRPr="002C03D0">
        <w:rPr>
          <w:sz w:val="24"/>
          <w:szCs w:val="24"/>
        </w:rPr>
        <w:t>Scope of Work Template (Attachment</w:t>
      </w:r>
      <w:r w:rsidR="00713198" w:rsidRPr="002C03D0">
        <w:rPr>
          <w:sz w:val="24"/>
          <w:szCs w:val="24"/>
        </w:rPr>
        <w:t>s</w:t>
      </w:r>
      <w:r w:rsidRPr="002C03D0">
        <w:rPr>
          <w:sz w:val="24"/>
          <w:szCs w:val="24"/>
        </w:rPr>
        <w:t xml:space="preserve"> </w:t>
      </w:r>
      <w:r w:rsidR="003B24B0" w:rsidRPr="002C03D0">
        <w:rPr>
          <w:sz w:val="24"/>
          <w:szCs w:val="24"/>
        </w:rPr>
        <w:t>5</w:t>
      </w:r>
      <w:r w:rsidRPr="002C03D0">
        <w:rPr>
          <w:sz w:val="24"/>
          <w:szCs w:val="24"/>
        </w:rPr>
        <w:t>)</w:t>
      </w:r>
    </w:p>
    <w:p w14:paraId="2EC5240E" w14:textId="77777777" w:rsidR="001C2D56" w:rsidRPr="002C03D0" w:rsidRDefault="001C2D56" w:rsidP="002C03D0">
      <w:pPr>
        <w:pStyle w:val="BulletedList"/>
        <w:spacing w:after="0"/>
        <w:ind w:left="360" w:firstLine="0"/>
        <w:rPr>
          <w:sz w:val="24"/>
          <w:szCs w:val="22"/>
        </w:rPr>
      </w:pPr>
      <w:r w:rsidRPr="002C03D0">
        <w:rPr>
          <w:sz w:val="24"/>
          <w:szCs w:val="22"/>
        </w:rPr>
        <w:t xml:space="preserve">Applicants must include a completed Scope of Work for each project, as instructed in the template. The Scope of Work identifies the tasks required to complete the project. </w:t>
      </w:r>
      <w:r w:rsidR="00076A0E" w:rsidRPr="002C03D0">
        <w:rPr>
          <w:sz w:val="24"/>
          <w:szCs w:val="22"/>
        </w:rPr>
        <w:t xml:space="preserve">See requirements in section III.A. </w:t>
      </w:r>
    </w:p>
    <w:p w14:paraId="5C04F34B" w14:textId="77777777" w:rsidR="001C2D56" w:rsidRPr="002C03D0" w:rsidRDefault="001C2D56" w:rsidP="002C03D0">
      <w:pPr>
        <w:pStyle w:val="BulletedList"/>
        <w:spacing w:after="0"/>
        <w:ind w:left="720" w:firstLine="0"/>
        <w:rPr>
          <w:sz w:val="24"/>
          <w:szCs w:val="22"/>
        </w:rPr>
      </w:pPr>
    </w:p>
    <w:p w14:paraId="44F67CA8" w14:textId="77777777" w:rsidR="001970B9" w:rsidRPr="002C03D0" w:rsidRDefault="001C2D56" w:rsidP="002C03D0">
      <w:pPr>
        <w:pStyle w:val="BulletedList"/>
        <w:ind w:left="360" w:firstLine="0"/>
        <w:rPr>
          <w:sz w:val="24"/>
          <w:szCs w:val="22"/>
        </w:rPr>
      </w:pPr>
      <w:r w:rsidRPr="002C03D0">
        <w:rPr>
          <w:sz w:val="24"/>
          <w:szCs w:val="22"/>
        </w:rPr>
        <w:t>Electronic</w:t>
      </w:r>
      <w:r w:rsidRPr="002C03D0">
        <w:rPr>
          <w:b/>
          <w:sz w:val="24"/>
          <w:szCs w:val="22"/>
        </w:rPr>
        <w:t xml:space="preserve"> </w:t>
      </w:r>
      <w:r w:rsidRPr="002C03D0">
        <w:rPr>
          <w:sz w:val="24"/>
          <w:szCs w:val="22"/>
        </w:rPr>
        <w:t xml:space="preserve">files for the Scope of Work </w:t>
      </w:r>
      <w:r w:rsidR="003B24B0" w:rsidRPr="002C03D0">
        <w:rPr>
          <w:sz w:val="24"/>
          <w:szCs w:val="22"/>
        </w:rPr>
        <w:t xml:space="preserve">must be in </w:t>
      </w:r>
      <w:r w:rsidRPr="002C03D0">
        <w:rPr>
          <w:b/>
          <w:sz w:val="24"/>
          <w:szCs w:val="22"/>
        </w:rPr>
        <w:t>MS Word</w:t>
      </w:r>
      <w:r w:rsidR="003B24B0" w:rsidRPr="002C03D0">
        <w:rPr>
          <w:sz w:val="24"/>
          <w:szCs w:val="22"/>
        </w:rPr>
        <w:t xml:space="preserve"> file format</w:t>
      </w:r>
      <w:r w:rsidR="00656DB6" w:rsidRPr="002C03D0">
        <w:rPr>
          <w:b/>
          <w:sz w:val="24"/>
          <w:szCs w:val="22"/>
        </w:rPr>
        <w:t>.</w:t>
      </w:r>
    </w:p>
    <w:p w14:paraId="3F190EE6" w14:textId="77777777" w:rsidR="001970B9" w:rsidRPr="002C03D0" w:rsidRDefault="001970B9" w:rsidP="002C03D0">
      <w:pPr>
        <w:pStyle w:val="BulletedList"/>
        <w:spacing w:after="0"/>
        <w:ind w:left="720" w:firstLine="0"/>
        <w:rPr>
          <w:b/>
          <w:sz w:val="24"/>
          <w:szCs w:val="22"/>
        </w:rPr>
      </w:pPr>
    </w:p>
    <w:p w14:paraId="3F5D6D8A" w14:textId="77777777" w:rsidR="00A14C92" w:rsidRPr="002C03D0" w:rsidRDefault="00A14C92" w:rsidP="002C03D0">
      <w:pPr>
        <w:pStyle w:val="HeadingNew1"/>
        <w:numPr>
          <w:ilvl w:val="0"/>
          <w:numId w:val="38"/>
        </w:numPr>
        <w:ind w:left="360"/>
        <w:jc w:val="left"/>
        <w:rPr>
          <w:sz w:val="24"/>
          <w:szCs w:val="24"/>
        </w:rPr>
      </w:pPr>
      <w:bookmarkStart w:id="145" w:name="_Toc35074602"/>
      <w:r w:rsidRPr="002C03D0">
        <w:rPr>
          <w:sz w:val="24"/>
          <w:szCs w:val="24"/>
        </w:rPr>
        <w:t>Project Schedule (Attachment 6)</w:t>
      </w:r>
    </w:p>
    <w:p w14:paraId="7E4014C1" w14:textId="77777777" w:rsidR="00A14C92" w:rsidRPr="002C03D0" w:rsidRDefault="003B24B0" w:rsidP="002C03D0">
      <w:pPr>
        <w:pStyle w:val="HeadingNew1"/>
        <w:numPr>
          <w:ilvl w:val="0"/>
          <w:numId w:val="0"/>
        </w:numPr>
        <w:ind w:left="360"/>
        <w:jc w:val="left"/>
        <w:rPr>
          <w:b w:val="0"/>
          <w:sz w:val="24"/>
          <w:szCs w:val="24"/>
        </w:rPr>
      </w:pPr>
      <w:r w:rsidRPr="002C03D0">
        <w:rPr>
          <w:b w:val="0"/>
          <w:sz w:val="24"/>
          <w:szCs w:val="24"/>
        </w:rPr>
        <w:t xml:space="preserve">The Project Schedule includes a list of all </w:t>
      </w:r>
      <w:proofErr w:type="gramStart"/>
      <w:r w:rsidRPr="002C03D0">
        <w:rPr>
          <w:b w:val="0"/>
          <w:sz w:val="24"/>
          <w:szCs w:val="24"/>
        </w:rPr>
        <w:t>product</w:t>
      </w:r>
      <w:proofErr w:type="gramEnd"/>
      <w:r w:rsidRPr="002C03D0">
        <w:rPr>
          <w:b w:val="0"/>
          <w:sz w:val="24"/>
          <w:szCs w:val="24"/>
        </w:rPr>
        <w:t xml:space="preserve">, meetings, and due dates. All work must be scheduled for completion </w:t>
      </w:r>
      <w:r w:rsidR="000B648E" w:rsidRPr="002C03D0">
        <w:rPr>
          <w:b w:val="0"/>
          <w:sz w:val="24"/>
          <w:szCs w:val="24"/>
        </w:rPr>
        <w:t xml:space="preserve">by </w:t>
      </w:r>
      <w:r w:rsidRPr="002C03D0">
        <w:rPr>
          <w:b w:val="0"/>
          <w:sz w:val="24"/>
          <w:szCs w:val="24"/>
        </w:rPr>
        <w:t xml:space="preserve">the “Key Dates” section of </w:t>
      </w:r>
      <w:r w:rsidR="00D53D5D" w:rsidRPr="002C03D0">
        <w:rPr>
          <w:b w:val="0"/>
          <w:sz w:val="24"/>
          <w:szCs w:val="24"/>
        </w:rPr>
        <w:t xml:space="preserve">this </w:t>
      </w:r>
      <w:r w:rsidRPr="002C03D0">
        <w:rPr>
          <w:b w:val="0"/>
          <w:sz w:val="24"/>
          <w:szCs w:val="24"/>
        </w:rPr>
        <w:t>solicitation manual.</w:t>
      </w:r>
    </w:p>
    <w:p w14:paraId="7B693735" w14:textId="77777777" w:rsidR="003B24B0" w:rsidRPr="002C03D0" w:rsidRDefault="003B24B0" w:rsidP="002C03D0">
      <w:pPr>
        <w:pStyle w:val="HeadingNew1"/>
        <w:numPr>
          <w:ilvl w:val="0"/>
          <w:numId w:val="0"/>
        </w:numPr>
        <w:ind w:left="360"/>
        <w:jc w:val="left"/>
        <w:rPr>
          <w:b w:val="0"/>
          <w:sz w:val="24"/>
          <w:szCs w:val="24"/>
        </w:rPr>
      </w:pPr>
      <w:r w:rsidRPr="002C03D0">
        <w:rPr>
          <w:b w:val="0"/>
          <w:sz w:val="24"/>
          <w:szCs w:val="24"/>
        </w:rPr>
        <w:t xml:space="preserve">Electronic files for the Project schedule must be in </w:t>
      </w:r>
      <w:r w:rsidRPr="002C03D0">
        <w:rPr>
          <w:sz w:val="24"/>
          <w:szCs w:val="24"/>
        </w:rPr>
        <w:t>MS Excel</w:t>
      </w:r>
      <w:r w:rsidRPr="002C03D0">
        <w:rPr>
          <w:b w:val="0"/>
          <w:sz w:val="24"/>
          <w:szCs w:val="24"/>
        </w:rPr>
        <w:t xml:space="preserve"> file format.</w:t>
      </w:r>
    </w:p>
    <w:p w14:paraId="0E77D947" w14:textId="77777777" w:rsidR="005E52CD" w:rsidRPr="002C03D0" w:rsidRDefault="001C2D56" w:rsidP="002C03D0">
      <w:pPr>
        <w:pStyle w:val="HeadingNew1"/>
        <w:numPr>
          <w:ilvl w:val="0"/>
          <w:numId w:val="38"/>
        </w:numPr>
        <w:ind w:left="360"/>
        <w:jc w:val="left"/>
        <w:rPr>
          <w:sz w:val="24"/>
          <w:szCs w:val="24"/>
        </w:rPr>
      </w:pPr>
      <w:r w:rsidRPr="002C03D0">
        <w:rPr>
          <w:sz w:val="24"/>
          <w:szCs w:val="24"/>
        </w:rPr>
        <w:t>Budget Forms (Attachment 7)</w:t>
      </w:r>
    </w:p>
    <w:bookmarkEnd w:id="145"/>
    <w:p w14:paraId="26D7375C" w14:textId="77777777" w:rsidR="00142AAE" w:rsidRPr="002C03D0" w:rsidRDefault="00142AAE" w:rsidP="002C03D0">
      <w:pPr>
        <w:pStyle w:val="BulletedList"/>
        <w:ind w:left="360" w:firstLine="0"/>
        <w:rPr>
          <w:sz w:val="24"/>
          <w:szCs w:val="22"/>
        </w:rPr>
      </w:pPr>
      <w:r w:rsidRPr="002C03D0">
        <w:rPr>
          <w:sz w:val="24"/>
          <w:szCs w:val="22"/>
        </w:rPr>
        <w:t xml:space="preserve">The budget forms are in MS Excel format.  Detailed instructions for completing them are included at the beginning of Attachment 7. </w:t>
      </w:r>
      <w:r w:rsidRPr="002C03D0">
        <w:rPr>
          <w:b/>
          <w:sz w:val="24"/>
          <w:szCs w:val="22"/>
        </w:rPr>
        <w:t xml:space="preserve"> Read the instructions before completing the worksheets</w:t>
      </w:r>
      <w:r w:rsidRPr="002C03D0">
        <w:rPr>
          <w:sz w:val="24"/>
          <w:szCs w:val="22"/>
        </w:rPr>
        <w:t xml:space="preserve">. Complete and submit information on </w:t>
      </w:r>
      <w:r w:rsidRPr="002C03D0">
        <w:rPr>
          <w:b/>
          <w:sz w:val="24"/>
          <w:szCs w:val="22"/>
        </w:rPr>
        <w:t>all</w:t>
      </w:r>
      <w:r w:rsidRPr="002C03D0">
        <w:rPr>
          <w:sz w:val="24"/>
          <w:szCs w:val="22"/>
        </w:rPr>
        <w:t xml:space="preserve"> budget worksheets. The salaries, rates, and other costs entered on the worksheets will become a part of the final agreement.  </w:t>
      </w:r>
    </w:p>
    <w:p w14:paraId="2973919A" w14:textId="77777777" w:rsidR="005E52CD" w:rsidRPr="002C03D0" w:rsidRDefault="001C2D56" w:rsidP="002C03D0">
      <w:pPr>
        <w:keepLines/>
        <w:widowControl w:val="0"/>
        <w:numPr>
          <w:ilvl w:val="0"/>
          <w:numId w:val="12"/>
        </w:numPr>
        <w:tabs>
          <w:tab w:val="left" w:pos="720"/>
        </w:tabs>
        <w:spacing w:after="60"/>
        <w:ind w:left="720"/>
        <w:rPr>
          <w:sz w:val="24"/>
          <w:szCs w:val="24"/>
        </w:rPr>
      </w:pPr>
      <w:r w:rsidRPr="002C03D0">
        <w:rPr>
          <w:sz w:val="24"/>
          <w:szCs w:val="24"/>
        </w:rPr>
        <w:t xml:space="preserve">All project expenditures (match share and reimbursable) must be made within the approved agreement term. Match share requirements are discussed in Part I of this solicitation.  The entire term of the agreement and projected rate increases must be considered when preparing the budget.  </w:t>
      </w:r>
    </w:p>
    <w:p w14:paraId="51A577DE" w14:textId="77777777" w:rsidR="005E52CD" w:rsidRPr="002C03D0" w:rsidRDefault="001C2D56" w:rsidP="002C03D0">
      <w:pPr>
        <w:keepLines/>
        <w:widowControl w:val="0"/>
        <w:numPr>
          <w:ilvl w:val="0"/>
          <w:numId w:val="12"/>
        </w:numPr>
        <w:tabs>
          <w:tab w:val="left" w:pos="720"/>
          <w:tab w:val="left" w:pos="1800"/>
        </w:tabs>
        <w:spacing w:after="60"/>
        <w:ind w:left="720"/>
        <w:rPr>
          <w:sz w:val="24"/>
          <w:szCs w:val="24"/>
        </w:rPr>
      </w:pPr>
      <w:r w:rsidRPr="002C03D0">
        <w:rPr>
          <w:sz w:val="24"/>
          <w:szCs w:val="24"/>
        </w:rPr>
        <w:t xml:space="preserve">The budget must reflect estimates for </w:t>
      </w:r>
      <w:r w:rsidRPr="002C03D0">
        <w:rPr>
          <w:b/>
          <w:sz w:val="24"/>
          <w:szCs w:val="24"/>
        </w:rPr>
        <w:t>actual</w:t>
      </w:r>
      <w:r w:rsidRPr="002C03D0">
        <w:rPr>
          <w:sz w:val="24"/>
          <w:szCs w:val="24"/>
        </w:rPr>
        <w:t xml:space="preserve"> costs to be incurred during the agreement term. The </w:t>
      </w:r>
      <w:r w:rsidR="008F4A0E" w:rsidRPr="002C03D0">
        <w:rPr>
          <w:sz w:val="24"/>
          <w:szCs w:val="24"/>
        </w:rPr>
        <w:t>CEC</w:t>
      </w:r>
      <w:r w:rsidRPr="002C03D0">
        <w:rPr>
          <w:sz w:val="24"/>
          <w:szCs w:val="24"/>
        </w:rPr>
        <w:t xml:space="preserve"> may only approve and reimburse for actual costs that are properly documented in accordance with the grant terms and conditions. Rates and personnel shown must reflect the rates and personnel the applicant would include if selected as a Recipient.  </w:t>
      </w:r>
    </w:p>
    <w:p w14:paraId="53F45EF5" w14:textId="77777777" w:rsidR="005E52CD" w:rsidRPr="002C03D0" w:rsidRDefault="001C2D56" w:rsidP="002C03D0">
      <w:pPr>
        <w:keepLines/>
        <w:numPr>
          <w:ilvl w:val="0"/>
          <w:numId w:val="12"/>
        </w:numPr>
        <w:tabs>
          <w:tab w:val="left" w:pos="720"/>
        </w:tabs>
        <w:spacing w:after="60"/>
        <w:ind w:left="720"/>
        <w:rPr>
          <w:sz w:val="24"/>
          <w:szCs w:val="24"/>
        </w:rPr>
      </w:pPr>
      <w:r w:rsidRPr="002C03D0">
        <w:rPr>
          <w:sz w:val="24"/>
          <w:szCs w:val="24"/>
        </w:rPr>
        <w:t xml:space="preserve">The proposed rates are considered capped and may not change during the agreement term.  </w:t>
      </w:r>
      <w:r w:rsidRPr="002C03D0">
        <w:rPr>
          <w:spacing w:val="-3"/>
          <w:sz w:val="24"/>
          <w:szCs w:val="24"/>
        </w:rPr>
        <w:t xml:space="preserve">The Recipient will only be reimbursed for </w:t>
      </w:r>
      <w:r w:rsidRPr="002C03D0">
        <w:rPr>
          <w:b/>
          <w:spacing w:val="-3"/>
          <w:sz w:val="24"/>
          <w:szCs w:val="24"/>
        </w:rPr>
        <w:t>actual</w:t>
      </w:r>
      <w:r w:rsidRPr="002C03D0">
        <w:rPr>
          <w:spacing w:val="-3"/>
          <w:sz w:val="24"/>
          <w:szCs w:val="24"/>
        </w:rPr>
        <w:t xml:space="preserve"> rates up to the rate caps.  </w:t>
      </w:r>
    </w:p>
    <w:p w14:paraId="60EBB8A4" w14:textId="77777777" w:rsidR="005E52CD" w:rsidRPr="002C03D0" w:rsidRDefault="001C2D56" w:rsidP="002C03D0">
      <w:pPr>
        <w:keepLines/>
        <w:widowControl w:val="0"/>
        <w:numPr>
          <w:ilvl w:val="0"/>
          <w:numId w:val="12"/>
        </w:numPr>
        <w:tabs>
          <w:tab w:val="left" w:pos="720"/>
        </w:tabs>
        <w:spacing w:after="60"/>
        <w:ind w:left="720"/>
        <w:rPr>
          <w:sz w:val="24"/>
          <w:szCs w:val="24"/>
        </w:rPr>
      </w:pPr>
      <w:r w:rsidRPr="002C03D0">
        <w:rPr>
          <w:sz w:val="24"/>
          <w:szCs w:val="24"/>
        </w:rPr>
        <w:t xml:space="preserve">The budget must NOT include any </w:t>
      </w:r>
      <w:r w:rsidR="004F4641" w:rsidRPr="002C03D0">
        <w:rPr>
          <w:sz w:val="24"/>
          <w:szCs w:val="24"/>
        </w:rPr>
        <w:t xml:space="preserve">Recipient </w:t>
      </w:r>
      <w:r w:rsidRPr="002C03D0">
        <w:rPr>
          <w:sz w:val="24"/>
          <w:szCs w:val="24"/>
        </w:rPr>
        <w:t>profit from the proposed project, either as a reimbursed item, match share, or as part of overhead or general and administrative expenses</w:t>
      </w:r>
      <w:r w:rsidR="004F4641" w:rsidRPr="002C03D0">
        <w:rPr>
          <w:sz w:val="24"/>
          <w:szCs w:val="24"/>
        </w:rPr>
        <w:t xml:space="preserve"> (subcontractor profit is allowable</w:t>
      </w:r>
      <w:r w:rsidR="00866389" w:rsidRPr="002C03D0">
        <w:rPr>
          <w:sz w:val="24"/>
          <w:szCs w:val="24"/>
        </w:rPr>
        <w:t>, though t</w:t>
      </w:r>
      <w:r w:rsidR="00AA737D" w:rsidRPr="002C03D0">
        <w:rPr>
          <w:sz w:val="24"/>
          <w:szCs w:val="24"/>
        </w:rPr>
        <w:t xml:space="preserve">he maximum percentage allowed is 10 </w:t>
      </w:r>
      <w:r w:rsidR="00162357" w:rsidRPr="002C03D0">
        <w:rPr>
          <w:sz w:val="24"/>
          <w:szCs w:val="24"/>
        </w:rPr>
        <w:t>%</w:t>
      </w:r>
      <w:r w:rsidR="004E58A4" w:rsidRPr="002C03D0">
        <w:rPr>
          <w:sz w:val="24"/>
          <w:szCs w:val="24"/>
        </w:rPr>
        <w:t xml:space="preserve"> of </w:t>
      </w:r>
      <w:r w:rsidR="00DF20D4" w:rsidRPr="002C03D0">
        <w:rPr>
          <w:sz w:val="24"/>
          <w:szCs w:val="24"/>
        </w:rPr>
        <w:t>the total subcontractor rates for labor, and other direct and indirect costs as indicated in the Category Budget form</w:t>
      </w:r>
      <w:r w:rsidR="00866389" w:rsidRPr="002C03D0">
        <w:rPr>
          <w:sz w:val="24"/>
          <w:szCs w:val="24"/>
        </w:rPr>
        <w:t>)</w:t>
      </w:r>
      <w:r w:rsidR="00AA737D" w:rsidRPr="002C03D0">
        <w:rPr>
          <w:sz w:val="24"/>
          <w:szCs w:val="24"/>
        </w:rPr>
        <w:t xml:space="preserve">. </w:t>
      </w:r>
      <w:r w:rsidRPr="002C03D0">
        <w:rPr>
          <w:sz w:val="24"/>
          <w:szCs w:val="24"/>
        </w:rPr>
        <w:t xml:space="preserve">Please review the terms and conditions </w:t>
      </w:r>
      <w:r w:rsidR="004F4641" w:rsidRPr="002C03D0">
        <w:rPr>
          <w:sz w:val="24"/>
          <w:szCs w:val="24"/>
        </w:rPr>
        <w:t xml:space="preserve">and budget forms </w:t>
      </w:r>
      <w:r w:rsidRPr="002C03D0">
        <w:rPr>
          <w:sz w:val="24"/>
          <w:szCs w:val="24"/>
        </w:rPr>
        <w:t xml:space="preserve">for additional </w:t>
      </w:r>
      <w:r w:rsidR="005E76CE" w:rsidRPr="002C03D0">
        <w:rPr>
          <w:sz w:val="24"/>
          <w:szCs w:val="24"/>
        </w:rPr>
        <w:t xml:space="preserve">restrictions and </w:t>
      </w:r>
      <w:r w:rsidRPr="002C03D0">
        <w:rPr>
          <w:sz w:val="24"/>
          <w:szCs w:val="24"/>
        </w:rPr>
        <w:t>requirements.</w:t>
      </w:r>
    </w:p>
    <w:p w14:paraId="4E174B09" w14:textId="77777777" w:rsidR="005E52CD" w:rsidRPr="002C03D0" w:rsidRDefault="001C2D56" w:rsidP="002C03D0">
      <w:pPr>
        <w:keepLines/>
        <w:widowControl w:val="0"/>
        <w:numPr>
          <w:ilvl w:val="0"/>
          <w:numId w:val="12"/>
        </w:numPr>
        <w:tabs>
          <w:tab w:val="left" w:pos="720"/>
        </w:tabs>
        <w:spacing w:after="60"/>
        <w:ind w:left="720"/>
        <w:rPr>
          <w:sz w:val="24"/>
          <w:szCs w:val="24"/>
        </w:rPr>
      </w:pPr>
      <w:r w:rsidRPr="002C03D0">
        <w:rPr>
          <w:sz w:val="24"/>
          <w:szCs w:val="24"/>
        </w:rPr>
        <w:t xml:space="preserve">The budget must allow for the expenses of all meetings and products described in the Scope of Work. Meetings may be conducted at the </w:t>
      </w:r>
      <w:r w:rsidR="008F4A0E" w:rsidRPr="002C03D0">
        <w:rPr>
          <w:sz w:val="24"/>
          <w:szCs w:val="24"/>
        </w:rPr>
        <w:t>CEC</w:t>
      </w:r>
      <w:r w:rsidRPr="002C03D0">
        <w:rPr>
          <w:sz w:val="24"/>
          <w:szCs w:val="24"/>
        </w:rPr>
        <w:t xml:space="preserve"> or by conference call, as determined by the Commission Agreement Manager.</w:t>
      </w:r>
    </w:p>
    <w:p w14:paraId="6EA681D7" w14:textId="77777777" w:rsidR="005E52CD" w:rsidRPr="002C03D0" w:rsidRDefault="00C36BFE" w:rsidP="002C03D0">
      <w:pPr>
        <w:keepLines/>
        <w:widowControl w:val="0"/>
        <w:numPr>
          <w:ilvl w:val="0"/>
          <w:numId w:val="12"/>
        </w:numPr>
        <w:tabs>
          <w:tab w:val="left" w:pos="720"/>
        </w:tabs>
        <w:spacing w:after="60"/>
        <w:ind w:left="720"/>
        <w:rPr>
          <w:sz w:val="24"/>
          <w:szCs w:val="24"/>
        </w:rPr>
      </w:pPr>
      <w:r w:rsidRPr="002C03D0">
        <w:rPr>
          <w:sz w:val="24"/>
          <w:szCs w:val="24"/>
        </w:rPr>
        <w:t>Applicants must budget for permits and insurance</w:t>
      </w:r>
      <w:r w:rsidR="001C2D56" w:rsidRPr="002C03D0">
        <w:rPr>
          <w:sz w:val="24"/>
          <w:szCs w:val="24"/>
        </w:rPr>
        <w:t>. Permitting costs may be accounted for in match share</w:t>
      </w:r>
      <w:r w:rsidR="006758FA" w:rsidRPr="002C03D0">
        <w:rPr>
          <w:sz w:val="24"/>
          <w:szCs w:val="24"/>
        </w:rPr>
        <w:t xml:space="preserve">. Permit costs and the expenses associated with obtaining permits are not reimbursable under this Agreement with </w:t>
      </w:r>
      <w:r w:rsidR="008F4A0E" w:rsidRPr="002C03D0">
        <w:rPr>
          <w:sz w:val="24"/>
          <w:szCs w:val="24"/>
        </w:rPr>
        <w:t>CEC</w:t>
      </w:r>
      <w:r w:rsidR="006758FA" w:rsidRPr="002C03D0">
        <w:rPr>
          <w:sz w:val="24"/>
          <w:szCs w:val="24"/>
        </w:rPr>
        <w:t xml:space="preserve"> funds, </w:t>
      </w:r>
      <w:proofErr w:type="gramStart"/>
      <w:r w:rsidR="006758FA" w:rsidRPr="002C03D0">
        <w:rPr>
          <w:sz w:val="24"/>
          <w:szCs w:val="24"/>
        </w:rPr>
        <w:t>with the exception of</w:t>
      </w:r>
      <w:proofErr w:type="gramEnd"/>
      <w:r w:rsidR="006758FA" w:rsidRPr="002C03D0">
        <w:rPr>
          <w:sz w:val="24"/>
          <w:szCs w:val="24"/>
        </w:rPr>
        <w:t xml:space="preserve"> costs incurred by University of California recipients.</w:t>
      </w:r>
      <w:r w:rsidR="001C2D56" w:rsidRPr="002C03D0">
        <w:rPr>
          <w:sz w:val="24"/>
          <w:szCs w:val="24"/>
        </w:rPr>
        <w:t xml:space="preserve"> </w:t>
      </w:r>
    </w:p>
    <w:p w14:paraId="04D012B0" w14:textId="77777777" w:rsidR="003A4967" w:rsidRPr="002C03D0" w:rsidRDefault="003A4967" w:rsidP="002C03D0">
      <w:pPr>
        <w:keepLines/>
        <w:widowControl w:val="0"/>
        <w:numPr>
          <w:ilvl w:val="0"/>
          <w:numId w:val="12"/>
        </w:numPr>
        <w:tabs>
          <w:tab w:val="left" w:pos="720"/>
        </w:tabs>
        <w:spacing w:after="60"/>
        <w:ind w:left="720"/>
        <w:rPr>
          <w:sz w:val="24"/>
          <w:szCs w:val="24"/>
        </w:rPr>
      </w:pPr>
      <w:r w:rsidRPr="002C03D0">
        <w:rPr>
          <w:bCs/>
          <w:sz w:val="24"/>
          <w:szCs w:val="22"/>
        </w:rPr>
        <w:t>The budget must NOT identify that EPIC funds will be spent outside of the United States or for out</w:t>
      </w:r>
      <w:r w:rsidR="00D53D5D" w:rsidRPr="002C03D0">
        <w:rPr>
          <w:bCs/>
          <w:sz w:val="24"/>
          <w:szCs w:val="22"/>
        </w:rPr>
        <w:t>-</w:t>
      </w:r>
      <w:r w:rsidRPr="002C03D0">
        <w:rPr>
          <w:bCs/>
          <w:sz w:val="24"/>
          <w:szCs w:val="22"/>
        </w:rPr>
        <w:t>of</w:t>
      </w:r>
      <w:r w:rsidR="00D53D5D" w:rsidRPr="002C03D0">
        <w:rPr>
          <w:bCs/>
          <w:sz w:val="24"/>
          <w:szCs w:val="22"/>
        </w:rPr>
        <w:t>-</w:t>
      </w:r>
      <w:r w:rsidRPr="002C03D0">
        <w:rPr>
          <w:bCs/>
          <w:sz w:val="24"/>
          <w:szCs w:val="22"/>
        </w:rPr>
        <w:t>country travel.  However, match funds may cover these costs if there are no legal restrictions.</w:t>
      </w:r>
    </w:p>
    <w:p w14:paraId="3D69ADE6" w14:textId="5695F59D" w:rsidR="001B277D" w:rsidRPr="002C03D0" w:rsidRDefault="001B277D" w:rsidP="002C03D0">
      <w:pPr>
        <w:keepLines/>
        <w:widowControl w:val="0"/>
        <w:numPr>
          <w:ilvl w:val="0"/>
          <w:numId w:val="12"/>
        </w:numPr>
        <w:tabs>
          <w:tab w:val="left" w:pos="720"/>
        </w:tabs>
        <w:spacing w:after="60"/>
        <w:ind w:left="720"/>
        <w:rPr>
          <w:sz w:val="24"/>
          <w:szCs w:val="24"/>
        </w:rPr>
      </w:pPr>
      <w:r w:rsidRPr="002C03D0">
        <w:rPr>
          <w:sz w:val="24"/>
          <w:szCs w:val="24"/>
        </w:rPr>
        <w:t xml:space="preserve">All applicants should go to the Attorney General’s website </w:t>
      </w:r>
      <w:hyperlink r:id="rId50" w:history="1">
        <w:r w:rsidRPr="002C03D0">
          <w:rPr>
            <w:rStyle w:val="Hyperlink"/>
            <w:rFonts w:cs="Arial"/>
            <w:sz w:val="24"/>
            <w:szCs w:val="24"/>
          </w:rPr>
          <w:t>https://oag.ca.gov/ab1887</w:t>
        </w:r>
      </w:hyperlink>
      <w:r w:rsidRPr="002C03D0">
        <w:rPr>
          <w:sz w:val="24"/>
          <w:szCs w:val="24"/>
        </w:rPr>
        <w:t xml:space="preserve">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exceptions under the law</w:t>
      </w:r>
      <w:r w:rsidR="001A3ECA" w:rsidRPr="002C03D0">
        <w:rPr>
          <w:sz w:val="24"/>
          <w:szCs w:val="24"/>
        </w:rPr>
        <w:t>.</w:t>
      </w:r>
    </w:p>
    <w:p w14:paraId="1A4120BB" w14:textId="77777777" w:rsidR="00AD2D4A" w:rsidRPr="002C03D0" w:rsidRDefault="00A8248C" w:rsidP="002C03D0">
      <w:pPr>
        <w:keepLines/>
        <w:widowControl w:val="0"/>
        <w:numPr>
          <w:ilvl w:val="0"/>
          <w:numId w:val="12"/>
        </w:numPr>
        <w:tabs>
          <w:tab w:val="left" w:pos="720"/>
        </w:tabs>
        <w:spacing w:after="60"/>
        <w:ind w:left="720"/>
        <w:rPr>
          <w:bCs/>
          <w:sz w:val="24"/>
          <w:szCs w:val="22"/>
        </w:rPr>
      </w:pPr>
      <w:r w:rsidRPr="002C03D0">
        <w:rPr>
          <w:b/>
          <w:sz w:val="24"/>
          <w:szCs w:val="24"/>
        </w:rPr>
        <w:t>Prevailing wage requirement:</w:t>
      </w:r>
      <w:r w:rsidR="00656DB6" w:rsidRPr="002C03D0">
        <w:rPr>
          <w:sz w:val="24"/>
          <w:szCs w:val="24"/>
        </w:rPr>
        <w:t xml:space="preserve"> </w:t>
      </w:r>
      <w:r w:rsidR="00AD2D4A" w:rsidRPr="002C03D0">
        <w:rPr>
          <w:bCs/>
          <w:sz w:val="24"/>
          <w:szCs w:val="22"/>
        </w:rPr>
        <w:t xml:space="preserve">Projects that receive an award of public funds from the </w:t>
      </w:r>
      <w:r w:rsidR="008F4A0E" w:rsidRPr="002C03D0">
        <w:rPr>
          <w:bCs/>
          <w:sz w:val="24"/>
          <w:szCs w:val="22"/>
        </w:rPr>
        <w:t>CEC</w:t>
      </w:r>
      <w:r w:rsidR="00AD2D4A" w:rsidRPr="002C03D0">
        <w:rPr>
          <w:bCs/>
          <w:sz w:val="24"/>
          <w:szCs w:val="22"/>
        </w:rPr>
        <w:t xml:space="preserve"> often involve construction, alteration, demolition, installation, </w:t>
      </w:r>
      <w:proofErr w:type="gramStart"/>
      <w:r w:rsidR="00AD2D4A" w:rsidRPr="002C03D0">
        <w:rPr>
          <w:bCs/>
          <w:sz w:val="24"/>
          <w:szCs w:val="22"/>
        </w:rPr>
        <w:t>repair</w:t>
      </w:r>
      <w:proofErr w:type="gramEnd"/>
      <w:r w:rsidR="00AD2D4A" w:rsidRPr="002C03D0">
        <w:rPr>
          <w:bCs/>
          <w:sz w:val="24"/>
          <w:szCs w:val="22"/>
        </w:rPr>
        <w:t xml:space="preserve"> or maintenance work over $1,000.  For this reason, projects that receive an award of public funds from the </w:t>
      </w:r>
      <w:r w:rsidR="008F4A0E" w:rsidRPr="002C03D0">
        <w:rPr>
          <w:bCs/>
          <w:sz w:val="24"/>
          <w:szCs w:val="22"/>
        </w:rPr>
        <w:t>CEC</w:t>
      </w:r>
      <w:r w:rsidR="00AD2D4A" w:rsidRPr="002C03D0">
        <w:rPr>
          <w:bCs/>
          <w:sz w:val="24"/>
          <w:szCs w:val="22"/>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4F91670C" w14:textId="77777777" w:rsidR="00AD2D4A" w:rsidRPr="002C03D0" w:rsidRDefault="00AD2D4A" w:rsidP="002C03D0">
      <w:pPr>
        <w:keepLines/>
        <w:widowControl w:val="0"/>
        <w:tabs>
          <w:tab w:val="left" w:pos="720"/>
        </w:tabs>
        <w:spacing w:after="60"/>
        <w:ind w:left="720"/>
        <w:rPr>
          <w:bCs/>
          <w:sz w:val="24"/>
          <w:szCs w:val="22"/>
        </w:rPr>
      </w:pPr>
    </w:p>
    <w:p w14:paraId="182B0B48" w14:textId="77777777" w:rsidR="00AD2D4A" w:rsidRPr="002C03D0" w:rsidRDefault="00AD2D4A" w:rsidP="002C03D0">
      <w:pPr>
        <w:keepLines/>
        <w:widowControl w:val="0"/>
        <w:tabs>
          <w:tab w:val="left" w:pos="720"/>
        </w:tabs>
        <w:spacing w:after="60"/>
        <w:ind w:left="720"/>
        <w:rPr>
          <w:bCs/>
          <w:sz w:val="24"/>
          <w:szCs w:val="22"/>
        </w:rPr>
      </w:pPr>
      <w:r w:rsidRPr="002C03D0">
        <w:rPr>
          <w:bCs/>
          <w:sz w:val="24"/>
          <w:szCs w:val="22"/>
        </w:rPr>
        <w:t>Projects deemed to be public works require among other things the payment of prevailing wages, which can be significantly higher than non-prevailing wages.</w:t>
      </w:r>
    </w:p>
    <w:p w14:paraId="465C8D6A" w14:textId="77777777" w:rsidR="00AD2D4A" w:rsidRPr="002C03D0" w:rsidRDefault="00AD2D4A" w:rsidP="002C03D0">
      <w:pPr>
        <w:keepLines/>
        <w:widowControl w:val="0"/>
        <w:spacing w:after="60"/>
        <w:ind w:left="1080"/>
        <w:rPr>
          <w:bCs/>
          <w:sz w:val="24"/>
          <w:szCs w:val="22"/>
        </w:rPr>
      </w:pPr>
    </w:p>
    <w:p w14:paraId="67AA078D" w14:textId="77777777" w:rsidR="006A2B28" w:rsidRPr="002C03D0" w:rsidRDefault="006A2B28" w:rsidP="002C03D0">
      <w:pPr>
        <w:keepNext/>
        <w:keepLines/>
        <w:widowControl w:val="0"/>
        <w:autoSpaceDE w:val="0"/>
        <w:autoSpaceDN w:val="0"/>
        <w:adjustRightInd w:val="0"/>
        <w:ind w:left="720"/>
        <w:rPr>
          <w:rFonts w:eastAsia="Calibri"/>
          <w:sz w:val="24"/>
          <w:szCs w:val="28"/>
        </w:rPr>
      </w:pPr>
      <w:r w:rsidRPr="002C03D0">
        <w:rPr>
          <w:rFonts w:eastAsia="Calibri"/>
          <w:sz w:val="24"/>
          <w:szCs w:val="28"/>
        </w:rPr>
        <w:t>By accepting this grant, Recipient as a material term of this agreement shall be fully responsible for complying with all California public works requirements including but not limited to payment of prevailing wage.  Therefore, a</w:t>
      </w:r>
      <w:r w:rsidRPr="002C03D0">
        <w:rPr>
          <w:sz w:val="24"/>
          <w:szCs w:val="28"/>
        </w:rPr>
        <w:t xml:space="preserve">s a material term of this grant, </w:t>
      </w:r>
      <w:r w:rsidRPr="002C03D0">
        <w:rPr>
          <w:rFonts w:eastAsia="Calibri"/>
          <w:sz w:val="24"/>
          <w:szCs w:val="28"/>
        </w:rPr>
        <w:t>Recipient must either:</w:t>
      </w:r>
    </w:p>
    <w:p w14:paraId="00F0A995" w14:textId="77777777" w:rsidR="006A2B28" w:rsidRPr="002C03D0" w:rsidRDefault="006A2B28" w:rsidP="002C03D0">
      <w:pPr>
        <w:keepNext/>
        <w:keepLines/>
        <w:widowControl w:val="0"/>
        <w:autoSpaceDE w:val="0"/>
        <w:autoSpaceDN w:val="0"/>
        <w:adjustRightInd w:val="0"/>
        <w:ind w:left="720" w:firstLine="90"/>
        <w:rPr>
          <w:rFonts w:eastAsia="Calibri"/>
          <w:sz w:val="24"/>
          <w:szCs w:val="28"/>
        </w:rPr>
      </w:pPr>
      <w:r w:rsidRPr="002C03D0">
        <w:rPr>
          <w:rFonts w:eastAsia="Calibri"/>
          <w:sz w:val="24"/>
          <w:szCs w:val="28"/>
        </w:rPr>
        <w:t xml:space="preserve">(a) Proceed on the assumption that the project is a public work and ensure that: </w:t>
      </w:r>
    </w:p>
    <w:p w14:paraId="2BA6682F" w14:textId="77777777" w:rsidR="007065BB" w:rsidRPr="002C03D0" w:rsidRDefault="007065BB" w:rsidP="002C03D0">
      <w:pPr>
        <w:keepLines/>
        <w:widowControl w:val="0"/>
        <w:numPr>
          <w:ilvl w:val="0"/>
          <w:numId w:val="39"/>
        </w:numPr>
        <w:autoSpaceDE w:val="0"/>
        <w:autoSpaceDN w:val="0"/>
        <w:adjustRightInd w:val="0"/>
        <w:ind w:left="1440" w:hanging="360"/>
        <w:rPr>
          <w:rFonts w:ascii="ArialMT" w:eastAsia="Calibri" w:hAnsi="ArialMT" w:cs="ArialMT"/>
          <w:sz w:val="24"/>
          <w:szCs w:val="26"/>
        </w:rPr>
      </w:pPr>
      <w:r w:rsidRPr="002C03D0">
        <w:rPr>
          <w:rFonts w:eastAsia="Calibri"/>
          <w:sz w:val="24"/>
          <w:szCs w:val="28"/>
        </w:rPr>
        <w:t>prevailing wages are paid; and</w:t>
      </w:r>
    </w:p>
    <w:p w14:paraId="29F7AF9D" w14:textId="77777777" w:rsidR="007065BB" w:rsidRPr="002C03D0" w:rsidRDefault="007065BB" w:rsidP="002C03D0">
      <w:pPr>
        <w:keepLines/>
        <w:widowControl w:val="0"/>
        <w:numPr>
          <w:ilvl w:val="0"/>
          <w:numId w:val="39"/>
        </w:numPr>
        <w:autoSpaceDE w:val="0"/>
        <w:autoSpaceDN w:val="0"/>
        <w:adjustRightInd w:val="0"/>
        <w:ind w:left="1440" w:hanging="360"/>
        <w:rPr>
          <w:rFonts w:ascii="ArialMT" w:eastAsia="Calibri" w:hAnsi="ArialMT" w:cs="ArialMT"/>
          <w:sz w:val="24"/>
          <w:szCs w:val="26"/>
        </w:rPr>
      </w:pPr>
      <w:r w:rsidRPr="002C03D0">
        <w:rPr>
          <w:rFonts w:eastAsia="Calibri"/>
          <w:sz w:val="24"/>
          <w:szCs w:val="28"/>
        </w:rPr>
        <w:t>the project budget for labor reflects these prev</w:t>
      </w:r>
      <w:r w:rsidRPr="002C03D0">
        <w:rPr>
          <w:rFonts w:ascii="ArialMT" w:eastAsia="Calibri" w:hAnsi="ArialMT" w:cs="ArialMT"/>
          <w:sz w:val="24"/>
          <w:szCs w:val="26"/>
        </w:rPr>
        <w:t xml:space="preserve">ailing wage requirements; and </w:t>
      </w:r>
    </w:p>
    <w:p w14:paraId="1E18E587" w14:textId="77777777" w:rsidR="007065BB" w:rsidRPr="002C03D0" w:rsidRDefault="007065BB" w:rsidP="002C03D0">
      <w:pPr>
        <w:keepLines/>
        <w:widowControl w:val="0"/>
        <w:numPr>
          <w:ilvl w:val="0"/>
          <w:numId w:val="39"/>
        </w:numPr>
        <w:autoSpaceDE w:val="0"/>
        <w:autoSpaceDN w:val="0"/>
        <w:adjustRightInd w:val="0"/>
        <w:ind w:left="1440" w:hanging="360"/>
        <w:rPr>
          <w:rFonts w:ascii="ArialMT" w:eastAsia="Calibri" w:hAnsi="ArialMT" w:cs="ArialMT"/>
          <w:sz w:val="24"/>
          <w:szCs w:val="26"/>
        </w:rPr>
      </w:pPr>
      <w:r w:rsidRPr="002C03D0">
        <w:rPr>
          <w:rFonts w:ascii="ArialMT" w:eastAsia="Calibri" w:hAnsi="ArialMT" w:cs="ArialMT"/>
          <w:sz w:val="24"/>
          <w:szCs w:val="26"/>
        </w:rPr>
        <w:t xml:space="preserve">the project complies with all other requirements of prevailing wage law including but not limited to keeping accurate payroll records, and complying with all working hour requirements and apprenticeship </w:t>
      </w:r>
      <w:proofErr w:type="gramStart"/>
      <w:r w:rsidRPr="002C03D0">
        <w:rPr>
          <w:rFonts w:ascii="ArialMT" w:eastAsia="Calibri" w:hAnsi="ArialMT" w:cs="ArialMT"/>
          <w:sz w:val="24"/>
          <w:szCs w:val="26"/>
        </w:rPr>
        <w:t>obligations;</w:t>
      </w:r>
      <w:proofErr w:type="gramEnd"/>
      <w:r w:rsidRPr="002C03D0">
        <w:rPr>
          <w:rFonts w:ascii="ArialMT" w:eastAsia="Calibri" w:hAnsi="ArialMT" w:cs="ArialMT"/>
          <w:sz w:val="24"/>
          <w:szCs w:val="26"/>
        </w:rPr>
        <w:t xml:space="preserve"> </w:t>
      </w:r>
    </w:p>
    <w:p w14:paraId="3C2A32D0" w14:textId="77777777" w:rsidR="006A2B28" w:rsidRPr="002C03D0" w:rsidRDefault="006A2B28" w:rsidP="002C03D0">
      <w:pPr>
        <w:pStyle w:val="ListParagraph"/>
        <w:keepLines/>
        <w:widowControl w:val="0"/>
        <w:rPr>
          <w:rFonts w:ascii="ArialMT" w:eastAsia="Calibri" w:hAnsi="ArialMT" w:cs="ArialMT"/>
          <w:sz w:val="24"/>
          <w:szCs w:val="26"/>
        </w:rPr>
      </w:pPr>
      <w:r w:rsidRPr="002C03D0">
        <w:rPr>
          <w:rFonts w:ascii="ArialMT" w:eastAsia="Calibri" w:hAnsi="ArialMT" w:cs="ArialMT"/>
          <w:sz w:val="24"/>
          <w:szCs w:val="26"/>
        </w:rPr>
        <w:t>or,</w:t>
      </w:r>
    </w:p>
    <w:p w14:paraId="39EC31B0" w14:textId="1BDF0766" w:rsidR="00AD2D4A" w:rsidRPr="002C03D0" w:rsidRDefault="006A2B28" w:rsidP="002C03D0">
      <w:pPr>
        <w:keepLines/>
        <w:widowControl w:val="0"/>
        <w:spacing w:after="60"/>
        <w:ind w:left="720"/>
        <w:rPr>
          <w:bCs/>
          <w:sz w:val="24"/>
          <w:szCs w:val="22"/>
        </w:rPr>
      </w:pPr>
      <w:r w:rsidRPr="002C03D0">
        <w:rPr>
          <w:rFonts w:eastAsia="Calibri"/>
          <w:sz w:val="24"/>
          <w:szCs w:val="28"/>
        </w:rPr>
        <w:t>(b)</w:t>
      </w:r>
      <w:r w:rsidRPr="002C03D0">
        <w:rPr>
          <w:rFonts w:ascii="ArialMT" w:eastAsia="Calibri" w:hAnsi="ArialMT" w:cs="ArialMT"/>
          <w:sz w:val="24"/>
          <w:szCs w:val="26"/>
        </w:rPr>
        <w:t xml:space="preserve">  T</w:t>
      </w:r>
      <w:r w:rsidRPr="002C03D0">
        <w:rPr>
          <w:rFonts w:eastAsia="Calibri"/>
          <w:sz w:val="24"/>
          <w:szCs w:val="28"/>
        </w:rPr>
        <w: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424A73" w:rsidRDefault="001C2D56" w:rsidP="002C03D0">
      <w:pPr>
        <w:keepLines/>
        <w:widowControl w:val="0"/>
        <w:spacing w:after="0"/>
        <w:ind w:left="1440"/>
        <w:rPr>
          <w:szCs w:val="22"/>
        </w:rPr>
      </w:pPr>
    </w:p>
    <w:p w14:paraId="337FFD7A" w14:textId="77777777" w:rsidR="00FB7DFE" w:rsidRPr="002C03D0" w:rsidRDefault="00FB7DFE" w:rsidP="002C03D0">
      <w:pPr>
        <w:pStyle w:val="HeadingNew1"/>
        <w:numPr>
          <w:ilvl w:val="0"/>
          <w:numId w:val="38"/>
        </w:numPr>
        <w:ind w:left="360"/>
        <w:jc w:val="left"/>
        <w:rPr>
          <w:sz w:val="24"/>
          <w:szCs w:val="24"/>
        </w:rPr>
      </w:pPr>
      <w:r w:rsidRPr="002C03D0">
        <w:rPr>
          <w:sz w:val="24"/>
          <w:szCs w:val="24"/>
        </w:rPr>
        <w:t>California Environmental Quality Act (CEQA) Compliance Form</w:t>
      </w:r>
      <w:r w:rsidRPr="002C03D0" w:rsidDel="00E3682B">
        <w:rPr>
          <w:sz w:val="24"/>
          <w:szCs w:val="24"/>
        </w:rPr>
        <w:t xml:space="preserve"> </w:t>
      </w:r>
      <w:r w:rsidRPr="002C03D0">
        <w:rPr>
          <w:sz w:val="24"/>
          <w:szCs w:val="24"/>
        </w:rPr>
        <w:t>(Attachment 8)</w:t>
      </w:r>
    </w:p>
    <w:p w14:paraId="502BF9DA" w14:textId="77777777" w:rsidR="00FB7DFE" w:rsidRPr="002C03D0" w:rsidRDefault="00FB7DFE" w:rsidP="002C03D0">
      <w:pPr>
        <w:spacing w:after="0"/>
        <w:ind w:left="720"/>
        <w:rPr>
          <w:i/>
          <w:sz w:val="24"/>
          <w:szCs w:val="24"/>
        </w:rPr>
      </w:pPr>
      <w:r w:rsidRPr="002C03D0">
        <w:rPr>
          <w:sz w:val="24"/>
          <w:szCs w:val="24"/>
        </w:rPr>
        <w:t xml:space="preserve">The </w:t>
      </w:r>
      <w:r w:rsidR="008F4A0E" w:rsidRPr="002C03D0">
        <w:rPr>
          <w:sz w:val="24"/>
          <w:szCs w:val="24"/>
        </w:rPr>
        <w:t>CEC</w:t>
      </w:r>
      <w:r w:rsidRPr="002C03D0">
        <w:rPr>
          <w:sz w:val="24"/>
          <w:szCs w:val="24"/>
        </w:rPr>
        <w:t xml:space="preserve"> requires the information on this form to facilitate its evaluation of </w:t>
      </w:r>
      <w:r w:rsidR="003F0C1D" w:rsidRPr="002C03D0">
        <w:rPr>
          <w:sz w:val="24"/>
          <w:szCs w:val="24"/>
        </w:rPr>
        <w:t>proposed</w:t>
      </w:r>
      <w:r w:rsidRPr="002C03D0">
        <w:rPr>
          <w:sz w:val="24"/>
          <w:szCs w:val="24"/>
        </w:rPr>
        <w:t xml:space="preserve"> activities under CEQA (</w:t>
      </w:r>
      <w:r w:rsidR="00363AC1" w:rsidRPr="002C03D0">
        <w:rPr>
          <w:sz w:val="24"/>
          <w:szCs w:val="24"/>
        </w:rPr>
        <w:t xml:space="preserve">California </w:t>
      </w:r>
      <w:r w:rsidRPr="002C03D0">
        <w:rPr>
          <w:sz w:val="24"/>
          <w:szCs w:val="24"/>
        </w:rPr>
        <w:t xml:space="preserve">Public Resources Code Section 21000 et. seq.), a law that requires state and local agencies in California to </w:t>
      </w:r>
      <w:r w:rsidR="003F0C1D" w:rsidRPr="002C03D0">
        <w:rPr>
          <w:sz w:val="24"/>
          <w:szCs w:val="24"/>
        </w:rPr>
        <w:t xml:space="preserve">assess the potential </w:t>
      </w:r>
      <w:r w:rsidRPr="002C03D0">
        <w:rPr>
          <w:sz w:val="24"/>
          <w:szCs w:val="24"/>
        </w:rPr>
        <w:t xml:space="preserve">environmental impacts of their </w:t>
      </w:r>
      <w:r w:rsidR="003F0C1D" w:rsidRPr="002C03D0">
        <w:rPr>
          <w:sz w:val="24"/>
          <w:szCs w:val="24"/>
        </w:rPr>
        <w:t xml:space="preserve">proposed </w:t>
      </w:r>
      <w:r w:rsidRPr="002C03D0">
        <w:rPr>
          <w:sz w:val="24"/>
          <w:szCs w:val="24"/>
        </w:rPr>
        <w:t xml:space="preserve">actions. The form will also help applicants to determine CEQA compliance obligations by identifying which </w:t>
      </w:r>
      <w:r w:rsidR="003F0C1D" w:rsidRPr="002C03D0">
        <w:rPr>
          <w:sz w:val="24"/>
          <w:szCs w:val="24"/>
        </w:rPr>
        <w:t>proposed</w:t>
      </w:r>
      <w:r w:rsidRPr="002C03D0">
        <w:rPr>
          <w:sz w:val="24"/>
          <w:szCs w:val="24"/>
        </w:rPr>
        <w:t xml:space="preserve"> activities may</w:t>
      </w:r>
      <w:r w:rsidR="003F0C1D" w:rsidRPr="002C03D0">
        <w:rPr>
          <w:sz w:val="24"/>
          <w:szCs w:val="24"/>
        </w:rPr>
        <w:t xml:space="preserve"> be exempt from </w:t>
      </w:r>
      <w:r w:rsidRPr="002C03D0">
        <w:rPr>
          <w:sz w:val="24"/>
          <w:szCs w:val="24"/>
        </w:rPr>
        <w:t>CEQA</w:t>
      </w:r>
      <w:r w:rsidR="003F0C1D" w:rsidRPr="002C03D0">
        <w:rPr>
          <w:sz w:val="24"/>
          <w:szCs w:val="24"/>
        </w:rPr>
        <w:t xml:space="preserve"> and which activities may require additional environmental review</w:t>
      </w:r>
      <w:r w:rsidRPr="002C03D0">
        <w:rPr>
          <w:sz w:val="24"/>
          <w:szCs w:val="24"/>
        </w:rPr>
        <w:t xml:space="preserve">. If </w:t>
      </w:r>
      <w:r w:rsidR="003F0C1D" w:rsidRPr="002C03D0">
        <w:rPr>
          <w:sz w:val="24"/>
          <w:szCs w:val="24"/>
        </w:rPr>
        <w:t xml:space="preserve">proposed </w:t>
      </w:r>
      <w:r w:rsidRPr="002C03D0">
        <w:rPr>
          <w:sz w:val="24"/>
          <w:szCs w:val="24"/>
        </w:rPr>
        <w:t>activities</w:t>
      </w:r>
      <w:r w:rsidR="003F0C1D" w:rsidRPr="002C03D0">
        <w:rPr>
          <w:sz w:val="24"/>
          <w:szCs w:val="24"/>
        </w:rPr>
        <w:t xml:space="preserve"> are exempt from </w:t>
      </w:r>
      <w:r w:rsidRPr="002C03D0">
        <w:rPr>
          <w:sz w:val="24"/>
          <w:szCs w:val="24"/>
        </w:rPr>
        <w:t xml:space="preserve">CEQA (such as paper studies), the worksheet will help to identify and document this.  </w:t>
      </w:r>
      <w:r w:rsidRPr="002C03D0">
        <w:rPr>
          <w:sz w:val="24"/>
          <w:szCs w:val="24"/>
          <w:u w:val="single"/>
        </w:rPr>
        <w:t>This form must be completed regardless of whether the proposed activities are considered a “project” under CEQA.</w:t>
      </w:r>
      <w:r w:rsidRPr="002C03D0">
        <w:rPr>
          <w:i/>
          <w:sz w:val="24"/>
          <w:szCs w:val="24"/>
        </w:rPr>
        <w:t xml:space="preserve"> </w:t>
      </w:r>
    </w:p>
    <w:p w14:paraId="421CF371" w14:textId="77777777" w:rsidR="00FB7DFE" w:rsidRPr="002C03D0" w:rsidRDefault="00FB7DFE" w:rsidP="002C03D0">
      <w:pPr>
        <w:keepLines/>
        <w:widowControl w:val="0"/>
        <w:spacing w:after="0"/>
        <w:ind w:left="720"/>
        <w:rPr>
          <w:sz w:val="24"/>
          <w:szCs w:val="24"/>
        </w:rPr>
      </w:pPr>
    </w:p>
    <w:p w14:paraId="6BB40852" w14:textId="77777777" w:rsidR="00FB7DFE" w:rsidRPr="002C03D0" w:rsidRDefault="00FB7DFE" w:rsidP="002C03D0">
      <w:pPr>
        <w:keepLines/>
        <w:widowControl w:val="0"/>
        <w:spacing w:after="0"/>
        <w:ind w:left="720"/>
        <w:rPr>
          <w:sz w:val="24"/>
          <w:szCs w:val="24"/>
        </w:rPr>
      </w:pPr>
      <w:r w:rsidRPr="002C03D0">
        <w:rPr>
          <w:sz w:val="24"/>
          <w:szCs w:val="24"/>
        </w:rPr>
        <w:t xml:space="preserve">Failure to complete the CEQA process in a timely manner after the </w:t>
      </w:r>
      <w:r w:rsidR="008F4A0E" w:rsidRPr="002C03D0">
        <w:rPr>
          <w:sz w:val="24"/>
          <w:szCs w:val="24"/>
        </w:rPr>
        <w:t>CEC</w:t>
      </w:r>
      <w:r w:rsidRPr="002C03D0">
        <w:rPr>
          <w:sz w:val="24"/>
          <w:szCs w:val="24"/>
        </w:rPr>
        <w:t xml:space="preserve">’s Notice of Proposed Award may result in </w:t>
      </w:r>
      <w:r w:rsidR="003F0C1D" w:rsidRPr="002C03D0">
        <w:rPr>
          <w:sz w:val="24"/>
          <w:szCs w:val="24"/>
        </w:rPr>
        <w:t xml:space="preserve">the </w:t>
      </w:r>
      <w:r w:rsidRPr="002C03D0">
        <w:rPr>
          <w:sz w:val="24"/>
          <w:szCs w:val="24"/>
        </w:rPr>
        <w:t>cancellation of</w:t>
      </w:r>
      <w:r w:rsidR="003F0C1D" w:rsidRPr="002C03D0">
        <w:rPr>
          <w:sz w:val="24"/>
          <w:szCs w:val="24"/>
        </w:rPr>
        <w:t xml:space="preserve"> a</w:t>
      </w:r>
      <w:r w:rsidRPr="002C03D0">
        <w:rPr>
          <w:sz w:val="24"/>
          <w:szCs w:val="24"/>
        </w:rPr>
        <w:t xml:space="preserve"> </w:t>
      </w:r>
      <w:r w:rsidR="003F0C1D" w:rsidRPr="002C03D0">
        <w:rPr>
          <w:sz w:val="24"/>
          <w:szCs w:val="24"/>
        </w:rPr>
        <w:t>proposed</w:t>
      </w:r>
      <w:r w:rsidRPr="002C03D0">
        <w:rPr>
          <w:sz w:val="24"/>
          <w:szCs w:val="24"/>
        </w:rPr>
        <w:t xml:space="preserve"> award and allocation of funding </w:t>
      </w:r>
      <w:r w:rsidR="001235A7" w:rsidRPr="002C03D0">
        <w:rPr>
          <w:sz w:val="24"/>
          <w:szCs w:val="24"/>
        </w:rPr>
        <w:t xml:space="preserve">elsewhere, such as </w:t>
      </w:r>
      <w:r w:rsidRPr="002C03D0">
        <w:rPr>
          <w:sz w:val="24"/>
          <w:szCs w:val="24"/>
        </w:rPr>
        <w:t>to the next highest-scoring project.</w:t>
      </w:r>
    </w:p>
    <w:p w14:paraId="74B01C8F" w14:textId="77777777" w:rsidR="001C2D56" w:rsidRPr="002C03D0" w:rsidRDefault="001C2D56" w:rsidP="002C03D0">
      <w:pPr>
        <w:keepLines/>
        <w:widowControl w:val="0"/>
        <w:spacing w:after="0"/>
        <w:ind w:left="720"/>
        <w:rPr>
          <w:sz w:val="24"/>
          <w:szCs w:val="24"/>
        </w:rPr>
      </w:pPr>
    </w:p>
    <w:p w14:paraId="23449402" w14:textId="77777777" w:rsidR="001C2D56" w:rsidRPr="002C03D0" w:rsidRDefault="001C2D56" w:rsidP="002C03D0">
      <w:pPr>
        <w:pStyle w:val="HeadingNew1"/>
        <w:numPr>
          <w:ilvl w:val="0"/>
          <w:numId w:val="38"/>
        </w:numPr>
        <w:ind w:left="360"/>
        <w:jc w:val="left"/>
        <w:rPr>
          <w:b w:val="0"/>
          <w:sz w:val="24"/>
          <w:szCs w:val="24"/>
        </w:rPr>
      </w:pPr>
      <w:r w:rsidRPr="002C03D0">
        <w:rPr>
          <w:sz w:val="24"/>
          <w:szCs w:val="24"/>
        </w:rPr>
        <w:t>Reference and Work Product Form (Attachment 9)</w:t>
      </w:r>
    </w:p>
    <w:p w14:paraId="18EEE686" w14:textId="77777777" w:rsidR="007065BB" w:rsidRPr="002C03D0" w:rsidRDefault="007065BB" w:rsidP="002C03D0">
      <w:pPr>
        <w:keepLines/>
        <w:widowControl w:val="0"/>
        <w:numPr>
          <w:ilvl w:val="2"/>
          <w:numId w:val="20"/>
        </w:numPr>
        <w:tabs>
          <w:tab w:val="left" w:pos="720"/>
          <w:tab w:val="left" w:pos="1260"/>
        </w:tabs>
        <w:spacing w:after="0"/>
        <w:ind w:left="900" w:hanging="360"/>
        <w:rPr>
          <w:sz w:val="24"/>
          <w:szCs w:val="24"/>
        </w:rPr>
      </w:pPr>
      <w:r w:rsidRPr="002C03D0">
        <w:rPr>
          <w:sz w:val="24"/>
          <w:szCs w:val="24"/>
          <w:u w:val="single"/>
        </w:rPr>
        <w:t>Section 1</w:t>
      </w:r>
      <w:r w:rsidRPr="002C03D0">
        <w:rPr>
          <w:sz w:val="24"/>
          <w:szCs w:val="24"/>
        </w:rPr>
        <w:t xml:space="preserve">: Provide applicant and subcontractor references as instructed. </w:t>
      </w:r>
    </w:p>
    <w:p w14:paraId="60EC6FA0" w14:textId="79D55C25" w:rsidR="007065BB" w:rsidRPr="002C03D0" w:rsidRDefault="007065BB" w:rsidP="002C03D0">
      <w:pPr>
        <w:keepLines/>
        <w:widowControl w:val="0"/>
        <w:numPr>
          <w:ilvl w:val="2"/>
          <w:numId w:val="20"/>
        </w:numPr>
        <w:tabs>
          <w:tab w:val="left" w:pos="720"/>
        </w:tabs>
        <w:spacing w:after="0"/>
        <w:ind w:left="900" w:hanging="360"/>
        <w:rPr>
          <w:sz w:val="24"/>
          <w:szCs w:val="24"/>
        </w:rPr>
      </w:pPr>
      <w:r w:rsidRPr="002C03D0">
        <w:rPr>
          <w:sz w:val="24"/>
          <w:szCs w:val="24"/>
          <w:u w:val="single"/>
        </w:rPr>
        <w:t>Section 2</w:t>
      </w:r>
      <w:r w:rsidRPr="002C03D0">
        <w:rPr>
          <w:sz w:val="24"/>
          <w:szCs w:val="24"/>
        </w:rPr>
        <w:t>:  Provide a list of past projects detailing technical and business experience of the applicant (or any member of the project team) that is related to the proposed work.  Identify past projects that resulted in market-ready technology, advancement of codes and standards, and/or advancement of state energy policy.  Include copies of up to three of the applicant or team member’s recent publications in scientific or technical journals related to the proposed project, as applicable.</w:t>
      </w:r>
    </w:p>
    <w:p w14:paraId="69832D7B" w14:textId="77777777" w:rsidR="001C2D56" w:rsidRPr="002C03D0" w:rsidRDefault="001C2D56" w:rsidP="002C03D0">
      <w:pPr>
        <w:spacing w:after="0"/>
        <w:rPr>
          <w:sz w:val="24"/>
          <w:szCs w:val="24"/>
        </w:rPr>
      </w:pPr>
    </w:p>
    <w:p w14:paraId="6874B826" w14:textId="77777777" w:rsidR="001C2D56" w:rsidRPr="002C03D0" w:rsidRDefault="001C2D56" w:rsidP="002C03D0">
      <w:pPr>
        <w:pStyle w:val="HeadingNew1"/>
        <w:numPr>
          <w:ilvl w:val="0"/>
          <w:numId w:val="38"/>
        </w:numPr>
        <w:ind w:left="360"/>
        <w:jc w:val="left"/>
        <w:rPr>
          <w:sz w:val="24"/>
          <w:szCs w:val="24"/>
        </w:rPr>
      </w:pPr>
      <w:r w:rsidRPr="002C03D0">
        <w:rPr>
          <w:b w:val="0"/>
          <w:sz w:val="24"/>
          <w:szCs w:val="24"/>
        </w:rPr>
        <w:t xml:space="preserve"> </w:t>
      </w:r>
      <w:bookmarkStart w:id="146" w:name="CommLttr"/>
      <w:r w:rsidR="006760F9" w:rsidRPr="002C03D0">
        <w:rPr>
          <w:sz w:val="24"/>
          <w:szCs w:val="24"/>
        </w:rPr>
        <w:t>Commitment and Su</w:t>
      </w:r>
      <w:r w:rsidR="000B648E" w:rsidRPr="002C03D0">
        <w:rPr>
          <w:sz w:val="24"/>
          <w:szCs w:val="24"/>
        </w:rPr>
        <w:t>pport Letter Form (Attachment 10</w:t>
      </w:r>
      <w:r w:rsidR="006760F9" w:rsidRPr="002C03D0">
        <w:rPr>
          <w:sz w:val="24"/>
          <w:szCs w:val="24"/>
        </w:rPr>
        <w:t>)</w:t>
      </w:r>
      <w:bookmarkEnd w:id="146"/>
    </w:p>
    <w:p w14:paraId="60C97C4B" w14:textId="77777777" w:rsidR="001C2D56" w:rsidRPr="002C03D0" w:rsidRDefault="001C2D56" w:rsidP="002C03D0">
      <w:pPr>
        <w:tabs>
          <w:tab w:val="left" w:pos="720"/>
          <w:tab w:val="left" w:pos="1080"/>
        </w:tabs>
        <w:ind w:left="360"/>
        <w:rPr>
          <w:sz w:val="24"/>
          <w:szCs w:val="24"/>
        </w:rPr>
      </w:pPr>
      <w:r w:rsidRPr="002C03D0">
        <w:rPr>
          <w:sz w:val="24"/>
          <w:szCs w:val="24"/>
        </w:rPr>
        <w:t>A commitment letter commits an entity or individual to providing the service or funding described in the letter.  A support letter details an entity or individual’s support for the project.</w:t>
      </w:r>
      <w:r w:rsidR="005841E5" w:rsidRPr="002C03D0">
        <w:rPr>
          <w:sz w:val="24"/>
          <w:szCs w:val="24"/>
        </w:rPr>
        <w:t xml:space="preserve"> </w:t>
      </w:r>
      <w:r w:rsidR="004B221F" w:rsidRPr="002C03D0">
        <w:rPr>
          <w:sz w:val="24"/>
          <w:szCs w:val="24"/>
        </w:rPr>
        <w:t xml:space="preserve">Commitment and Support Letters must be submitted with the application.  Letters that are not submitted </w:t>
      </w:r>
      <w:r w:rsidR="00BD7BC1" w:rsidRPr="002C03D0">
        <w:rPr>
          <w:sz w:val="24"/>
          <w:szCs w:val="24"/>
        </w:rPr>
        <w:t xml:space="preserve">by the application deadline </w:t>
      </w:r>
      <w:r w:rsidR="004B221F" w:rsidRPr="002C03D0">
        <w:rPr>
          <w:sz w:val="24"/>
          <w:szCs w:val="24"/>
        </w:rPr>
        <w:t>will not be reviewed and counted towards meeting the requirement specified in the solicitation.</w:t>
      </w:r>
    </w:p>
    <w:p w14:paraId="2CB23811" w14:textId="77777777" w:rsidR="006D5C5E" w:rsidRPr="002C03D0" w:rsidRDefault="006D5C5E" w:rsidP="002C03D0">
      <w:pPr>
        <w:numPr>
          <w:ilvl w:val="2"/>
          <w:numId w:val="20"/>
        </w:numPr>
        <w:tabs>
          <w:tab w:val="left" w:pos="720"/>
          <w:tab w:val="left" w:pos="990"/>
          <w:tab w:val="left" w:pos="1080"/>
        </w:tabs>
        <w:spacing w:after="0"/>
        <w:ind w:left="720"/>
        <w:rPr>
          <w:b/>
          <w:sz w:val="24"/>
          <w:szCs w:val="24"/>
          <w:u w:val="single"/>
        </w:rPr>
      </w:pPr>
      <w:r w:rsidRPr="002C03D0">
        <w:rPr>
          <w:sz w:val="24"/>
          <w:szCs w:val="24"/>
          <w:u w:val="single"/>
        </w:rPr>
        <w:t xml:space="preserve">Commitment Letters </w:t>
      </w:r>
    </w:p>
    <w:p w14:paraId="4C1DB074" w14:textId="77777777" w:rsidR="006D5C5E" w:rsidRPr="002C03D0" w:rsidRDefault="006D5C5E" w:rsidP="002C03D0">
      <w:pPr>
        <w:tabs>
          <w:tab w:val="left" w:pos="720"/>
          <w:tab w:val="left" w:pos="1080"/>
          <w:tab w:val="left" w:pos="1170"/>
        </w:tabs>
        <w:spacing w:after="0"/>
        <w:ind w:left="720"/>
        <w:rPr>
          <w:b/>
          <w:color w:val="000000" w:themeColor="text1"/>
          <w:sz w:val="24"/>
          <w:szCs w:val="24"/>
        </w:rPr>
      </w:pPr>
      <w:r w:rsidRPr="002C03D0">
        <w:rPr>
          <w:sz w:val="24"/>
          <w:szCs w:val="24"/>
        </w:rPr>
        <w:t xml:space="preserve">Applicants must submit a </w:t>
      </w:r>
      <w:r w:rsidRPr="002C03D0">
        <w:rPr>
          <w:b/>
          <w:sz w:val="24"/>
          <w:szCs w:val="24"/>
        </w:rPr>
        <w:t>match funding</w:t>
      </w:r>
      <w:r w:rsidRPr="002C03D0">
        <w:rPr>
          <w:sz w:val="24"/>
          <w:szCs w:val="24"/>
        </w:rPr>
        <w:t xml:space="preserve"> commitment letter signed</w:t>
      </w:r>
      <w:r w:rsidRPr="002C03D0">
        <w:rPr>
          <w:b/>
          <w:sz w:val="24"/>
          <w:szCs w:val="24"/>
        </w:rPr>
        <w:t xml:space="preserve"> </w:t>
      </w:r>
      <w:r w:rsidRPr="002C03D0">
        <w:rPr>
          <w:sz w:val="24"/>
          <w:szCs w:val="24"/>
        </w:rPr>
        <w:t xml:space="preserve">by </w:t>
      </w:r>
      <w:r w:rsidRPr="002C03D0">
        <w:rPr>
          <w:sz w:val="24"/>
          <w:szCs w:val="24"/>
          <w:u w:val="single"/>
        </w:rPr>
        <w:t>each</w:t>
      </w:r>
      <w:r w:rsidRPr="002C03D0">
        <w:rPr>
          <w:b/>
          <w:sz w:val="24"/>
          <w:szCs w:val="24"/>
        </w:rPr>
        <w:t xml:space="preserve"> </w:t>
      </w:r>
      <w:r w:rsidRPr="002C03D0">
        <w:rPr>
          <w:sz w:val="24"/>
          <w:szCs w:val="24"/>
        </w:rPr>
        <w:t xml:space="preserve">representative of the entity </w:t>
      </w:r>
      <w:r w:rsidRPr="002C03D0">
        <w:rPr>
          <w:sz w:val="24"/>
          <w:szCs w:val="24"/>
          <w:u w:val="single"/>
        </w:rPr>
        <w:t>or i</w:t>
      </w:r>
      <w:r w:rsidRPr="002C03D0">
        <w:rPr>
          <w:sz w:val="24"/>
          <w:szCs w:val="24"/>
        </w:rPr>
        <w:t xml:space="preserve">ndividual that is committing to providing match funding. The letter must: (1) identify the source(s) of the funds; and (2) guarantee the </w:t>
      </w:r>
      <w:r w:rsidRPr="002C03D0">
        <w:rPr>
          <w:color w:val="000000" w:themeColor="text1"/>
          <w:sz w:val="24"/>
          <w:szCs w:val="24"/>
        </w:rPr>
        <w:t>availability of the funds for the project.</w:t>
      </w:r>
    </w:p>
    <w:p w14:paraId="2A072889" w14:textId="049DFEB8" w:rsidR="006D5C5E" w:rsidRPr="002C03D0" w:rsidRDefault="006D5C5E" w:rsidP="002C03D0">
      <w:pPr>
        <w:numPr>
          <w:ilvl w:val="0"/>
          <w:numId w:val="40"/>
        </w:numPr>
        <w:tabs>
          <w:tab w:val="left" w:pos="720"/>
          <w:tab w:val="left" w:pos="1170"/>
          <w:tab w:val="left" w:pos="1260"/>
          <w:tab w:val="left" w:pos="1530"/>
        </w:tabs>
        <w:spacing w:after="0"/>
        <w:ind w:left="1080"/>
        <w:rPr>
          <w:b/>
          <w:bCs/>
          <w:color w:val="000000" w:themeColor="text1"/>
          <w:sz w:val="24"/>
          <w:szCs w:val="24"/>
        </w:rPr>
      </w:pPr>
      <w:r w:rsidRPr="002C03D0">
        <w:rPr>
          <w:color w:val="000000" w:themeColor="text1"/>
          <w:sz w:val="24"/>
          <w:szCs w:val="24"/>
        </w:rPr>
        <w:t xml:space="preserve">If the project involves </w:t>
      </w:r>
      <w:r w:rsidRPr="002C03D0">
        <w:rPr>
          <w:b/>
          <w:bCs/>
          <w:color w:val="000000" w:themeColor="text1"/>
          <w:sz w:val="24"/>
          <w:szCs w:val="24"/>
        </w:rPr>
        <w:t xml:space="preserve">demonstration </w:t>
      </w:r>
      <w:r w:rsidRPr="002C03D0">
        <w:rPr>
          <w:color w:val="000000" w:themeColor="text1"/>
          <w:sz w:val="24"/>
          <w:szCs w:val="24"/>
        </w:rPr>
        <w:t>activities, the applicant must include a site commitment letter signed by an authorized representative of the proposed demonstration</w:t>
      </w:r>
      <w:r w:rsidR="0052263D" w:rsidRPr="002C03D0">
        <w:rPr>
          <w:color w:val="000000" w:themeColor="text1"/>
          <w:sz w:val="24"/>
          <w:szCs w:val="24"/>
        </w:rPr>
        <w:t xml:space="preserve"> </w:t>
      </w:r>
      <w:r w:rsidRPr="002C03D0">
        <w:rPr>
          <w:color w:val="000000" w:themeColor="text1"/>
          <w:sz w:val="24"/>
          <w:szCs w:val="24"/>
        </w:rPr>
        <w:t xml:space="preserve">site. The letter </w:t>
      </w:r>
      <w:r w:rsidR="71C1E241" w:rsidRPr="002C03D0">
        <w:rPr>
          <w:color w:val="000000" w:themeColor="text1"/>
          <w:sz w:val="24"/>
          <w:szCs w:val="24"/>
        </w:rPr>
        <w:t>should</w:t>
      </w:r>
      <w:r w:rsidRPr="002C03D0">
        <w:rPr>
          <w:color w:val="000000" w:themeColor="text1"/>
          <w:sz w:val="24"/>
          <w:szCs w:val="24"/>
        </w:rPr>
        <w:t xml:space="preserve">: (1) identify the location of the site (street address, parcel number, tract map, plot map, etc.) which must be consistent with Attachments 1 and 8. and (2) commit to providing the site for the proposed activities.  </w:t>
      </w:r>
    </w:p>
    <w:p w14:paraId="6FAAD3CD" w14:textId="4355C57D" w:rsidR="006D5C5E" w:rsidRPr="002C03D0" w:rsidRDefault="006D5C5E" w:rsidP="002C03D0">
      <w:pPr>
        <w:numPr>
          <w:ilvl w:val="0"/>
          <w:numId w:val="40"/>
        </w:numPr>
        <w:tabs>
          <w:tab w:val="left" w:pos="720"/>
          <w:tab w:val="left" w:pos="1170"/>
          <w:tab w:val="left" w:pos="1260"/>
        </w:tabs>
        <w:ind w:left="1080"/>
        <w:rPr>
          <w:b/>
          <w:sz w:val="24"/>
          <w:szCs w:val="24"/>
        </w:rPr>
      </w:pPr>
      <w:r w:rsidRPr="002C03D0">
        <w:rPr>
          <w:b/>
          <w:color w:val="000000" w:themeColor="text1"/>
          <w:sz w:val="24"/>
          <w:szCs w:val="24"/>
        </w:rPr>
        <w:t>Project partners</w:t>
      </w:r>
      <w:r w:rsidRPr="002C03D0">
        <w:rPr>
          <w:color w:val="000000" w:themeColor="text1"/>
          <w:sz w:val="24"/>
          <w:szCs w:val="24"/>
        </w:rPr>
        <w:t xml:space="preserve"> that are making contributions other than match funding or a demonstration site, and are not receiving </w:t>
      </w:r>
      <w:r w:rsidR="008F4A0E" w:rsidRPr="002C03D0">
        <w:rPr>
          <w:color w:val="000000" w:themeColor="text1"/>
          <w:sz w:val="24"/>
          <w:szCs w:val="24"/>
        </w:rPr>
        <w:t>CEC</w:t>
      </w:r>
      <w:r w:rsidRPr="002C03D0">
        <w:rPr>
          <w:color w:val="000000" w:themeColor="text1"/>
          <w:sz w:val="24"/>
          <w:szCs w:val="24"/>
        </w:rPr>
        <w:t xml:space="preserve"> funds, must submit a commitment letter signed by an authorized representative that: (1) identifies how the partner will contribute to the </w:t>
      </w:r>
      <w:r w:rsidRPr="002C03D0">
        <w:rPr>
          <w:sz w:val="24"/>
          <w:szCs w:val="24"/>
        </w:rPr>
        <w:t xml:space="preserve">project; and (2) commits to making the contribution. </w:t>
      </w:r>
    </w:p>
    <w:p w14:paraId="078C5CFB" w14:textId="77777777" w:rsidR="006D5C5E" w:rsidRPr="002C03D0" w:rsidRDefault="006D5C5E" w:rsidP="002C03D0">
      <w:pPr>
        <w:numPr>
          <w:ilvl w:val="2"/>
          <w:numId w:val="20"/>
        </w:numPr>
        <w:tabs>
          <w:tab w:val="left" w:pos="720"/>
          <w:tab w:val="left" w:pos="990"/>
          <w:tab w:val="left" w:pos="1080"/>
        </w:tabs>
        <w:spacing w:after="0"/>
        <w:ind w:left="720"/>
        <w:rPr>
          <w:sz w:val="24"/>
          <w:szCs w:val="24"/>
          <w:u w:val="single"/>
        </w:rPr>
      </w:pPr>
      <w:r w:rsidRPr="002C03D0">
        <w:rPr>
          <w:sz w:val="24"/>
          <w:szCs w:val="24"/>
          <w:u w:val="single"/>
        </w:rPr>
        <w:t>Support Letters</w:t>
      </w:r>
    </w:p>
    <w:p w14:paraId="2ED7C640" w14:textId="3D13D6E1" w:rsidR="006D5C5E" w:rsidRPr="002C03D0" w:rsidRDefault="006D5C5E" w:rsidP="002C03D0">
      <w:pPr>
        <w:tabs>
          <w:tab w:val="left" w:pos="720"/>
          <w:tab w:val="left" w:pos="1260"/>
        </w:tabs>
        <w:spacing w:after="0"/>
        <w:ind w:left="720"/>
        <w:rPr>
          <w:sz w:val="24"/>
          <w:szCs w:val="24"/>
        </w:rPr>
      </w:pPr>
      <w:r w:rsidRPr="002C03D0">
        <w:rPr>
          <w:sz w:val="24"/>
          <w:szCs w:val="24"/>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w:t>
      </w:r>
      <w:r w:rsidRPr="002C03D0">
        <w:rPr>
          <w:color w:val="000000" w:themeColor="text1"/>
          <w:sz w:val="24"/>
          <w:szCs w:val="24"/>
        </w:rPr>
        <w:t>of a demonstration</w:t>
      </w:r>
      <w:r w:rsidR="00BF0FA8" w:rsidRPr="002C03D0">
        <w:rPr>
          <w:color w:val="000000" w:themeColor="text1"/>
          <w:sz w:val="24"/>
          <w:szCs w:val="24"/>
        </w:rPr>
        <w:t xml:space="preserve"> </w:t>
      </w:r>
      <w:r w:rsidRPr="002C03D0">
        <w:rPr>
          <w:color w:val="000000" w:themeColor="text1"/>
          <w:sz w:val="24"/>
          <w:szCs w:val="24"/>
        </w:rPr>
        <w:t>site.</w:t>
      </w:r>
    </w:p>
    <w:p w14:paraId="26DD6084" w14:textId="013F06CD" w:rsidR="00BD4343" w:rsidRPr="002C03D0" w:rsidRDefault="00BD4343" w:rsidP="002C03D0">
      <w:pPr>
        <w:tabs>
          <w:tab w:val="left" w:pos="720"/>
          <w:tab w:val="left" w:pos="1170"/>
          <w:tab w:val="left" w:pos="1260"/>
        </w:tabs>
        <w:spacing w:after="0"/>
        <w:ind w:left="1170"/>
        <w:rPr>
          <w:b/>
          <w:sz w:val="24"/>
          <w:szCs w:val="24"/>
        </w:rPr>
      </w:pPr>
    </w:p>
    <w:p w14:paraId="18D6C292" w14:textId="0DF849D7" w:rsidR="00624855" w:rsidRPr="002C03D0" w:rsidRDefault="00624855" w:rsidP="002C03D0">
      <w:pPr>
        <w:spacing w:after="0"/>
        <w:rPr>
          <w:sz w:val="24"/>
          <w:szCs w:val="24"/>
        </w:rPr>
      </w:pPr>
      <w:r w:rsidRPr="002C03D0">
        <w:rPr>
          <w:sz w:val="24"/>
          <w:szCs w:val="24"/>
        </w:rPr>
        <w:t xml:space="preserve">The CEC may have waived the requirement for a signature on application materials for this solicitation. If a notice regarding CEC’s waiver of the signature requirement appears here: </w:t>
      </w:r>
      <w:hyperlink r:id="rId51" w:history="1">
        <w:r w:rsidRPr="002C03D0">
          <w:rPr>
            <w:rStyle w:val="Hyperlink"/>
            <w:rFonts w:cs="Arial"/>
            <w:sz w:val="24"/>
            <w:szCs w:val="24"/>
          </w:rPr>
          <w:t>https://www.energy.ca.gov/funding-opportunities/solicitations</w:t>
        </w:r>
      </w:hyperlink>
      <w:r w:rsidRPr="002C03D0">
        <w:rPr>
          <w:sz w:val="24"/>
          <w:szCs w:val="24"/>
        </w:rPr>
        <w:t>, the waiver applies to this solicitation. In the event of a conflict between the notice and any language in this solicitation regarding signatures, the notice will govern.</w:t>
      </w:r>
    </w:p>
    <w:p w14:paraId="69F4A2CA" w14:textId="77777777" w:rsidR="00624855" w:rsidRPr="002C03D0" w:rsidRDefault="00624855" w:rsidP="002C03D0">
      <w:pPr>
        <w:tabs>
          <w:tab w:val="left" w:pos="720"/>
          <w:tab w:val="left" w:pos="1170"/>
          <w:tab w:val="left" w:pos="1260"/>
        </w:tabs>
        <w:spacing w:after="0"/>
        <w:ind w:left="1170"/>
        <w:rPr>
          <w:b/>
          <w:sz w:val="24"/>
          <w:szCs w:val="24"/>
        </w:rPr>
      </w:pPr>
    </w:p>
    <w:p w14:paraId="15CC6493" w14:textId="77777777" w:rsidR="00BD4343" w:rsidRPr="002C03D0" w:rsidRDefault="00BD4343" w:rsidP="002C03D0">
      <w:pPr>
        <w:pStyle w:val="HeadingNew1"/>
        <w:numPr>
          <w:ilvl w:val="0"/>
          <w:numId w:val="38"/>
        </w:numPr>
        <w:ind w:left="360"/>
        <w:jc w:val="left"/>
        <w:rPr>
          <w:sz w:val="24"/>
          <w:szCs w:val="24"/>
        </w:rPr>
      </w:pPr>
      <w:r w:rsidRPr="002C03D0">
        <w:rPr>
          <w:sz w:val="24"/>
          <w:szCs w:val="24"/>
        </w:rPr>
        <w:t>Project Performance Metrics</w:t>
      </w:r>
      <w:r w:rsidR="00943E11" w:rsidRPr="002C03D0">
        <w:rPr>
          <w:sz w:val="24"/>
          <w:szCs w:val="24"/>
        </w:rPr>
        <w:t xml:space="preserve"> (Attachment 11)</w:t>
      </w:r>
    </w:p>
    <w:p w14:paraId="5D3B0CDB" w14:textId="77777777" w:rsidR="004B2FDF" w:rsidRPr="002C03D0" w:rsidRDefault="007A2434" w:rsidP="002C03D0">
      <w:pPr>
        <w:spacing w:after="0"/>
        <w:rPr>
          <w:sz w:val="24"/>
          <w:szCs w:val="24"/>
        </w:rPr>
      </w:pPr>
      <w:r w:rsidRPr="002C03D0">
        <w:rPr>
          <w:sz w:val="24"/>
          <w:szCs w:val="24"/>
        </w:rP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Pr="002C03D0" w:rsidRDefault="004B2FDF" w:rsidP="002C03D0">
      <w:pPr>
        <w:spacing w:after="0"/>
        <w:ind w:left="720"/>
        <w:rPr>
          <w:sz w:val="24"/>
          <w:szCs w:val="24"/>
        </w:rPr>
      </w:pPr>
    </w:p>
    <w:p w14:paraId="00A12D7E" w14:textId="77777777" w:rsidR="004B2FDF" w:rsidRPr="002C03D0" w:rsidRDefault="004B2FDF" w:rsidP="002C03D0">
      <w:pPr>
        <w:pStyle w:val="HeadingNew1"/>
        <w:numPr>
          <w:ilvl w:val="0"/>
          <w:numId w:val="38"/>
        </w:numPr>
        <w:ind w:left="360"/>
        <w:jc w:val="left"/>
        <w:rPr>
          <w:sz w:val="24"/>
          <w:szCs w:val="24"/>
        </w:rPr>
      </w:pPr>
      <w:r w:rsidRPr="002C03D0">
        <w:rPr>
          <w:sz w:val="24"/>
          <w:szCs w:val="24"/>
        </w:rPr>
        <w:t>Applicant Declaration</w:t>
      </w:r>
      <w:r w:rsidR="002953A8" w:rsidRPr="002C03D0">
        <w:rPr>
          <w:sz w:val="24"/>
          <w:szCs w:val="24"/>
        </w:rPr>
        <w:t xml:space="preserve"> (Attachment 12)</w:t>
      </w:r>
    </w:p>
    <w:p w14:paraId="4E9D8DA2" w14:textId="77777777" w:rsidR="00624855" w:rsidRPr="002C03D0" w:rsidRDefault="00260970" w:rsidP="002C03D0">
      <w:pPr>
        <w:spacing w:after="0"/>
        <w:contextualSpacing/>
        <w:rPr>
          <w:sz w:val="24"/>
          <w:szCs w:val="24"/>
        </w:rPr>
      </w:pPr>
      <w:r w:rsidRPr="002C03D0">
        <w:rPr>
          <w:sz w:val="24"/>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sidRPr="002C03D0">
        <w:rPr>
          <w:sz w:val="24"/>
          <w:szCs w:val="24"/>
        </w:rPr>
        <w:t>are complying with any demand letter made on the Applicant by the Energy Commission or another public agency or entity</w:t>
      </w:r>
      <w:r w:rsidRPr="002C03D0">
        <w:rPr>
          <w:sz w:val="24"/>
          <w:szCs w:val="24"/>
        </w:rPr>
        <w:t>;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2C03D0">
        <w:rPr>
          <w:sz w:val="24"/>
          <w:szCs w:val="24"/>
        </w:rPr>
        <w:t xml:space="preserve"> </w:t>
      </w:r>
    </w:p>
    <w:p w14:paraId="57FFE930" w14:textId="77777777" w:rsidR="00624855" w:rsidRPr="002C03D0" w:rsidRDefault="00624855" w:rsidP="002C03D0">
      <w:pPr>
        <w:spacing w:after="0"/>
        <w:contextualSpacing/>
        <w:rPr>
          <w:sz w:val="24"/>
          <w:szCs w:val="24"/>
        </w:rPr>
      </w:pPr>
    </w:p>
    <w:p w14:paraId="25ED1839" w14:textId="4B172ACC" w:rsidR="00624855" w:rsidRPr="002C03D0" w:rsidRDefault="00624855" w:rsidP="002C03D0">
      <w:pPr>
        <w:spacing w:after="0"/>
        <w:rPr>
          <w:sz w:val="24"/>
          <w:szCs w:val="24"/>
        </w:rPr>
      </w:pPr>
      <w:r w:rsidRPr="002C03D0">
        <w:rPr>
          <w:sz w:val="24"/>
          <w:szCs w:val="24"/>
        </w:rPr>
        <w:t xml:space="preserve">The CEC may have waived the requirement for a signature on application materials for this solicitation. If a notice regarding CEC’s waiver of the signature requirement appears here: </w:t>
      </w:r>
      <w:hyperlink r:id="rId52" w:history="1">
        <w:r w:rsidRPr="002C03D0">
          <w:rPr>
            <w:rStyle w:val="Hyperlink"/>
            <w:rFonts w:cs="Arial"/>
            <w:sz w:val="24"/>
            <w:szCs w:val="24"/>
          </w:rPr>
          <w:t>https://www.energy.ca.gov/funding-opportunities/solicitations</w:t>
        </w:r>
      </w:hyperlink>
      <w:r w:rsidRPr="002C03D0">
        <w:rPr>
          <w:sz w:val="24"/>
          <w:szCs w:val="24"/>
        </w:rPr>
        <w:t>, the waiver applies to this solicitation. In the event of a conflict between the notice and any language in this solicitation regarding signatures, the notice will govern.</w:t>
      </w:r>
    </w:p>
    <w:p w14:paraId="467D65E5" w14:textId="77777777" w:rsidR="009D1F77" w:rsidRPr="002C03D0" w:rsidRDefault="009D1F77" w:rsidP="002C03D0">
      <w:pPr>
        <w:spacing w:after="0"/>
        <w:rPr>
          <w:sz w:val="24"/>
          <w:szCs w:val="24"/>
        </w:rPr>
      </w:pPr>
    </w:p>
    <w:p w14:paraId="1542A0B7" w14:textId="7B073A3E" w:rsidR="009D1F77" w:rsidRPr="002C03D0" w:rsidRDefault="009D1F77" w:rsidP="002C03D0">
      <w:pPr>
        <w:pStyle w:val="HeadingNew1"/>
        <w:numPr>
          <w:ilvl w:val="0"/>
          <w:numId w:val="38"/>
        </w:numPr>
        <w:ind w:left="360"/>
        <w:jc w:val="left"/>
        <w:rPr>
          <w:bCs/>
          <w:sz w:val="24"/>
          <w:szCs w:val="24"/>
        </w:rPr>
      </w:pPr>
      <w:r w:rsidRPr="002C03D0">
        <w:rPr>
          <w:sz w:val="24"/>
          <w:szCs w:val="24"/>
        </w:rPr>
        <w:t>References for Calculating Energy End-Use and GHG Emissions (Attachment 13)</w:t>
      </w:r>
      <w:r w:rsidRPr="002C03D0">
        <w:rPr>
          <w:bCs/>
          <w:color w:val="365F91" w:themeColor="accent1" w:themeShade="BF"/>
          <w:sz w:val="24"/>
          <w:szCs w:val="24"/>
        </w:rPr>
        <w:t> </w:t>
      </w:r>
    </w:p>
    <w:p w14:paraId="381C529D" w14:textId="77777777" w:rsidR="009D1F77" w:rsidRPr="002C03D0" w:rsidRDefault="009D1F77" w:rsidP="002C03D0">
      <w:pPr>
        <w:spacing w:after="0"/>
        <w:contextualSpacing/>
        <w:rPr>
          <w:b/>
          <w:bCs/>
          <w:sz w:val="24"/>
          <w:szCs w:val="24"/>
        </w:rPr>
      </w:pPr>
      <w:r w:rsidRPr="002C03D0">
        <w:rPr>
          <w:sz w:val="24"/>
          <w:szCs w:val="24"/>
        </w:rPr>
        <w:t>Any estimates of energy savings or GHG impacts described in the application should be calculated as specified on this form, to the extent that the references apply to the proposed project.</w:t>
      </w:r>
    </w:p>
    <w:p w14:paraId="425AD885" w14:textId="00B918FA" w:rsidR="004B2FDF" w:rsidRPr="00B45766" w:rsidRDefault="004B2FDF">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47" w:name="_Toc121421348"/>
      <w:bookmarkStart w:id="148" w:name="_Toc336443635"/>
      <w:bookmarkStart w:id="149" w:name="_Toc366671192"/>
      <w:r w:rsidRPr="00C31C1D">
        <w:t>IV.</w:t>
      </w:r>
      <w:r w:rsidRPr="00C31C1D">
        <w:tab/>
        <w:t xml:space="preserve">Evaluation </w:t>
      </w:r>
      <w:r>
        <w:t xml:space="preserve">and Award </w:t>
      </w:r>
      <w:r w:rsidRPr="00C31C1D">
        <w:t>Process</w:t>
      </w:r>
      <w:bookmarkEnd w:id="147"/>
      <w:r w:rsidRPr="00C31C1D">
        <w:t xml:space="preserve"> </w:t>
      </w:r>
      <w:bookmarkEnd w:id="123"/>
      <w:bookmarkEnd w:id="148"/>
      <w:bookmarkEnd w:id="149"/>
    </w:p>
    <w:p w14:paraId="501AD443" w14:textId="77777777" w:rsidR="003417AD" w:rsidRPr="00CF6DED" w:rsidRDefault="003417AD" w:rsidP="002F32D3">
      <w:pPr>
        <w:pStyle w:val="Heading2"/>
        <w:numPr>
          <w:ilvl w:val="0"/>
          <w:numId w:val="57"/>
        </w:numPr>
      </w:pPr>
      <w:bookmarkStart w:id="150" w:name="_Toc339284338"/>
      <w:bookmarkStart w:id="151" w:name="_Toc366671194"/>
      <w:bookmarkStart w:id="152" w:name="_Toc121421349"/>
      <w:bookmarkStart w:id="153" w:name="_Toc338162913"/>
      <w:bookmarkStart w:id="154" w:name="_Toc35074632"/>
      <w:bookmarkStart w:id="155" w:name="_Toc219275099"/>
      <w:bookmarkStart w:id="156" w:name="_Toc336443636"/>
      <w:r w:rsidRPr="00CF6DED">
        <w:t>Application Evaluation</w:t>
      </w:r>
      <w:bookmarkEnd w:id="150"/>
      <w:bookmarkEnd w:id="151"/>
      <w:bookmarkEnd w:id="152"/>
    </w:p>
    <w:bookmarkEnd w:id="153"/>
    <w:p w14:paraId="304DE136" w14:textId="77777777" w:rsidR="001C2D56" w:rsidRPr="002C03D0" w:rsidRDefault="001C2D56" w:rsidP="002C03D0">
      <w:pPr>
        <w:rPr>
          <w:sz w:val="24"/>
          <w:szCs w:val="28"/>
        </w:rPr>
      </w:pPr>
      <w:r w:rsidRPr="002C03D0">
        <w:rPr>
          <w:sz w:val="24"/>
          <w:szCs w:val="28"/>
        </w:rPr>
        <w:t>Applications will be evaluated and scored based on responses to the information requested in this solicitation</w:t>
      </w:r>
      <w:r w:rsidR="00015220" w:rsidRPr="002C03D0">
        <w:rPr>
          <w:sz w:val="24"/>
          <w:szCs w:val="28"/>
        </w:rPr>
        <w:t xml:space="preserve"> and on any other information available, such as on past performance of CEC agreements</w:t>
      </w:r>
      <w:r w:rsidRPr="002C03D0">
        <w:rPr>
          <w:sz w:val="24"/>
          <w:szCs w:val="28"/>
        </w:rPr>
        <w:t xml:space="preserve">. To evaluate applications, the </w:t>
      </w:r>
      <w:r w:rsidR="008F4A0E" w:rsidRPr="002C03D0">
        <w:rPr>
          <w:sz w:val="24"/>
          <w:szCs w:val="28"/>
        </w:rPr>
        <w:t>CEC</w:t>
      </w:r>
      <w:r w:rsidRPr="002C03D0">
        <w:rPr>
          <w:sz w:val="24"/>
          <w:szCs w:val="28"/>
        </w:rPr>
        <w:t xml:space="preserve"> will organize an Evaluation Committee that consist</w:t>
      </w:r>
      <w:r w:rsidR="00BD0615" w:rsidRPr="002C03D0">
        <w:rPr>
          <w:sz w:val="24"/>
          <w:szCs w:val="28"/>
        </w:rPr>
        <w:t>s primarily</w:t>
      </w:r>
      <w:r w:rsidRPr="002C03D0">
        <w:rPr>
          <w:sz w:val="24"/>
          <w:szCs w:val="28"/>
        </w:rPr>
        <w:t xml:space="preserve"> of </w:t>
      </w:r>
      <w:r w:rsidR="008F4A0E" w:rsidRPr="002C03D0">
        <w:rPr>
          <w:sz w:val="24"/>
          <w:szCs w:val="28"/>
        </w:rPr>
        <w:t>CEC</w:t>
      </w:r>
      <w:r w:rsidRPr="002C03D0">
        <w:rPr>
          <w:sz w:val="24"/>
          <w:szCs w:val="28"/>
        </w:rPr>
        <w:t xml:space="preserve"> staff.  The Evaluation Committee may use technical expert reviewers to provide an analysis of applications.  </w:t>
      </w:r>
      <w:r w:rsidRPr="002C03D0">
        <w:rPr>
          <w:sz w:val="24"/>
          <w:szCs w:val="22"/>
        </w:rPr>
        <w:t>Applications will be evaluated in two stages:</w:t>
      </w:r>
    </w:p>
    <w:p w14:paraId="36C5AA69" w14:textId="77777777" w:rsidR="0061342D" w:rsidRPr="002C03D0" w:rsidRDefault="001C2D56" w:rsidP="002C03D0">
      <w:pPr>
        <w:pStyle w:val="ListParagraph"/>
        <w:numPr>
          <w:ilvl w:val="0"/>
          <w:numId w:val="31"/>
        </w:numPr>
        <w:tabs>
          <w:tab w:val="num" w:pos="360"/>
        </w:tabs>
        <w:rPr>
          <w:b/>
          <w:sz w:val="24"/>
          <w:szCs w:val="22"/>
        </w:rPr>
      </w:pPr>
      <w:bookmarkStart w:id="157" w:name="_Toc381079932"/>
      <w:bookmarkStart w:id="158" w:name="_Toc382571195"/>
      <w:bookmarkStart w:id="159" w:name="_Toc395180705"/>
      <w:bookmarkStart w:id="160" w:name="_Toc433981334"/>
      <w:bookmarkStart w:id="161" w:name="_Toc360545784"/>
      <w:bookmarkStart w:id="162" w:name="_Toc366671195"/>
      <w:bookmarkStart w:id="163" w:name="_Toc339284339"/>
      <w:r w:rsidRPr="002C03D0">
        <w:rPr>
          <w:b/>
          <w:sz w:val="24"/>
          <w:szCs w:val="22"/>
        </w:rPr>
        <w:t>Stage One:  Application Screening</w:t>
      </w:r>
      <w:bookmarkEnd w:id="157"/>
      <w:bookmarkEnd w:id="158"/>
      <w:bookmarkEnd w:id="159"/>
      <w:bookmarkEnd w:id="160"/>
      <w:r w:rsidRPr="002C03D0">
        <w:rPr>
          <w:b/>
          <w:sz w:val="24"/>
          <w:szCs w:val="22"/>
        </w:rPr>
        <w:t xml:space="preserve"> </w:t>
      </w:r>
      <w:bookmarkEnd w:id="161"/>
      <w:bookmarkEnd w:id="162"/>
    </w:p>
    <w:p w14:paraId="58275728" w14:textId="158A4396" w:rsidR="00125E7A" w:rsidRPr="002C03D0" w:rsidRDefault="001C2D56" w:rsidP="002C03D0">
      <w:pPr>
        <w:spacing w:after="0"/>
        <w:ind w:left="360"/>
        <w:rPr>
          <w:sz w:val="24"/>
          <w:szCs w:val="22"/>
          <w:u w:val="single"/>
        </w:rPr>
      </w:pPr>
      <w:r w:rsidRPr="002C03D0">
        <w:rPr>
          <w:sz w:val="24"/>
          <w:szCs w:val="22"/>
        </w:rPr>
        <w:t xml:space="preserve">The Contracts, Grants, and Loans Office and/or the Evaluation Committee will screen applications for compliance with the Screening Criteria in </w:t>
      </w:r>
      <w:r w:rsidRPr="002C03D0">
        <w:rPr>
          <w:b/>
          <w:sz w:val="24"/>
          <w:szCs w:val="22"/>
        </w:rPr>
        <w:t>Section E</w:t>
      </w:r>
      <w:r w:rsidRPr="002C03D0">
        <w:rPr>
          <w:sz w:val="24"/>
          <w:szCs w:val="22"/>
        </w:rPr>
        <w:t xml:space="preserve"> of this Part. </w:t>
      </w:r>
      <w:r w:rsidRPr="002C03D0">
        <w:rPr>
          <w:b/>
          <w:sz w:val="24"/>
          <w:szCs w:val="22"/>
        </w:rPr>
        <w:t xml:space="preserve">Applications that fail any of the screening criteria will be </w:t>
      </w:r>
      <w:r w:rsidR="00796471" w:rsidRPr="002C03D0">
        <w:rPr>
          <w:b/>
          <w:sz w:val="24"/>
          <w:szCs w:val="22"/>
        </w:rPr>
        <w:t>rejected</w:t>
      </w:r>
      <w:r w:rsidRPr="002C03D0">
        <w:rPr>
          <w:b/>
          <w:sz w:val="24"/>
          <w:szCs w:val="22"/>
        </w:rPr>
        <w:t>.</w:t>
      </w:r>
      <w:bookmarkStart w:id="164" w:name="_Toc339284340"/>
      <w:bookmarkEnd w:id="163"/>
      <w:r w:rsidR="00125E7A" w:rsidRPr="002C03D0">
        <w:rPr>
          <w:b/>
          <w:sz w:val="24"/>
          <w:szCs w:val="22"/>
        </w:rPr>
        <w:t xml:space="preserve"> </w:t>
      </w:r>
      <w:r w:rsidR="00125E7A" w:rsidRPr="002C03D0">
        <w:rPr>
          <w:sz w:val="24"/>
          <w:szCs w:val="22"/>
        </w:rPr>
        <w:t xml:space="preserve">The Evaluation Committee may conduct optional telephone </w:t>
      </w:r>
      <w:r w:rsidR="00032904" w:rsidRPr="002C03D0">
        <w:rPr>
          <w:b/>
          <w:sz w:val="24"/>
          <w:szCs w:val="22"/>
        </w:rPr>
        <w:t>Clarification Interviews</w:t>
      </w:r>
      <w:r w:rsidR="00125E7A" w:rsidRPr="002C03D0">
        <w:rPr>
          <w:sz w:val="24"/>
          <w:szCs w:val="22"/>
        </w:rPr>
        <w:t xml:space="preserve"> with applicants during the </w:t>
      </w:r>
      <w:r w:rsidR="00032904" w:rsidRPr="002C03D0">
        <w:rPr>
          <w:sz w:val="24"/>
          <w:szCs w:val="22"/>
        </w:rPr>
        <w:t>screening</w:t>
      </w:r>
      <w:r w:rsidR="00125E7A" w:rsidRPr="002C03D0">
        <w:rPr>
          <w:sz w:val="24"/>
          <w:szCs w:val="22"/>
        </w:rPr>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Pr="002C03D0" w:rsidRDefault="001C2D56" w:rsidP="002C03D0">
      <w:pPr>
        <w:spacing w:after="240"/>
        <w:rPr>
          <w:sz w:val="24"/>
          <w:szCs w:val="22"/>
        </w:rPr>
      </w:pPr>
    </w:p>
    <w:p w14:paraId="6CAB20EF" w14:textId="77777777" w:rsidR="0061342D" w:rsidRPr="002C03D0" w:rsidRDefault="001C2D56" w:rsidP="002C03D0">
      <w:pPr>
        <w:pStyle w:val="ListParagraph"/>
        <w:numPr>
          <w:ilvl w:val="0"/>
          <w:numId w:val="31"/>
        </w:numPr>
        <w:tabs>
          <w:tab w:val="num" w:pos="360"/>
        </w:tabs>
        <w:rPr>
          <w:b/>
          <w:sz w:val="24"/>
          <w:szCs w:val="22"/>
        </w:rPr>
      </w:pPr>
      <w:bookmarkStart w:id="165" w:name="_Toc381079933"/>
      <w:bookmarkStart w:id="166" w:name="_Toc382571196"/>
      <w:bookmarkStart w:id="167" w:name="_Toc395180706"/>
      <w:bookmarkStart w:id="168" w:name="_Toc433981335"/>
      <w:bookmarkStart w:id="169" w:name="_Toc360545785"/>
      <w:bookmarkStart w:id="170" w:name="_Toc366671198"/>
      <w:bookmarkStart w:id="171" w:name="Stg2AppScr"/>
      <w:r w:rsidRPr="002C03D0">
        <w:rPr>
          <w:b/>
          <w:sz w:val="24"/>
          <w:szCs w:val="22"/>
        </w:rPr>
        <w:t>Stage Two:  Application Scoring</w:t>
      </w:r>
      <w:bookmarkEnd w:id="165"/>
      <w:bookmarkEnd w:id="166"/>
      <w:bookmarkEnd w:id="167"/>
      <w:bookmarkEnd w:id="168"/>
      <w:r w:rsidRPr="002C03D0">
        <w:rPr>
          <w:b/>
          <w:sz w:val="24"/>
          <w:szCs w:val="22"/>
        </w:rPr>
        <w:t xml:space="preserve"> </w:t>
      </w:r>
      <w:bookmarkEnd w:id="169"/>
      <w:bookmarkEnd w:id="170"/>
    </w:p>
    <w:bookmarkEnd w:id="171"/>
    <w:p w14:paraId="7C1B6170" w14:textId="77777777" w:rsidR="001C2D56" w:rsidRPr="002C03D0" w:rsidRDefault="001C2D56" w:rsidP="002C03D0">
      <w:pPr>
        <w:ind w:left="360"/>
        <w:rPr>
          <w:sz w:val="24"/>
          <w:szCs w:val="22"/>
        </w:rPr>
      </w:pPr>
      <w:r w:rsidRPr="002C03D0">
        <w:rPr>
          <w:sz w:val="24"/>
          <w:szCs w:val="22"/>
        </w:rPr>
        <w:t xml:space="preserve">Applications that pass Stage One will be submitted to the Evaluation Committee for review and scoring based on the Scoring Criteria in </w:t>
      </w:r>
      <w:r w:rsidRPr="002C03D0">
        <w:rPr>
          <w:b/>
          <w:sz w:val="24"/>
          <w:szCs w:val="22"/>
        </w:rPr>
        <w:t>Section F</w:t>
      </w:r>
      <w:r w:rsidRPr="002C03D0">
        <w:rPr>
          <w:sz w:val="24"/>
          <w:szCs w:val="22"/>
        </w:rPr>
        <w:t xml:space="preserve"> of this Part.  </w:t>
      </w:r>
    </w:p>
    <w:p w14:paraId="41760631" w14:textId="77777777" w:rsidR="000E5180" w:rsidRPr="002C03D0" w:rsidRDefault="001C2D56" w:rsidP="002C03D0">
      <w:pPr>
        <w:numPr>
          <w:ilvl w:val="0"/>
          <w:numId w:val="28"/>
        </w:numPr>
        <w:spacing w:after="0"/>
        <w:ind w:left="720"/>
        <w:rPr>
          <w:sz w:val="24"/>
          <w:szCs w:val="22"/>
        </w:rPr>
      </w:pPr>
      <w:r w:rsidRPr="002C03D0">
        <w:rPr>
          <w:sz w:val="24"/>
          <w:szCs w:val="22"/>
        </w:rPr>
        <w:t xml:space="preserve">The scores for each application will be the average of the combined scores of all Evaluation Committee members. </w:t>
      </w:r>
    </w:p>
    <w:p w14:paraId="70110852" w14:textId="0E10B70E" w:rsidR="008C0A71" w:rsidRPr="002C03D0" w:rsidRDefault="008C0A71" w:rsidP="002C03D0">
      <w:pPr>
        <w:numPr>
          <w:ilvl w:val="0"/>
          <w:numId w:val="28"/>
        </w:numPr>
        <w:spacing w:after="0"/>
        <w:ind w:left="720"/>
        <w:rPr>
          <w:sz w:val="24"/>
          <w:szCs w:val="22"/>
          <w:u w:val="single"/>
        </w:rPr>
      </w:pPr>
      <w:r w:rsidRPr="002C03D0">
        <w:rPr>
          <w:sz w:val="24"/>
          <w:szCs w:val="22"/>
        </w:rPr>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579688ED" w14:textId="277E8EEC" w:rsidR="000E5180" w:rsidRPr="002C03D0" w:rsidRDefault="000E5180" w:rsidP="002C03D0">
      <w:pPr>
        <w:numPr>
          <w:ilvl w:val="0"/>
          <w:numId w:val="28"/>
        </w:numPr>
        <w:spacing w:after="0"/>
        <w:ind w:left="720"/>
        <w:rPr>
          <w:sz w:val="24"/>
          <w:szCs w:val="22"/>
        </w:rPr>
      </w:pPr>
      <w:r w:rsidRPr="002C03D0">
        <w:rPr>
          <w:b/>
          <w:sz w:val="24"/>
          <w:szCs w:val="22"/>
        </w:rPr>
        <w:t xml:space="preserve">A minimum score of </w:t>
      </w:r>
      <w:r w:rsidR="00B9661B" w:rsidRPr="002C03D0">
        <w:rPr>
          <w:b/>
          <w:sz w:val="24"/>
          <w:szCs w:val="22"/>
        </w:rPr>
        <w:t>105</w:t>
      </w:r>
      <w:r w:rsidRPr="002C03D0">
        <w:rPr>
          <w:b/>
          <w:sz w:val="24"/>
          <w:szCs w:val="22"/>
        </w:rPr>
        <w:t xml:space="preserve">.0 points </w:t>
      </w:r>
      <w:r w:rsidRPr="002C03D0">
        <w:rPr>
          <w:sz w:val="24"/>
          <w:szCs w:val="22"/>
        </w:rPr>
        <w:t>is required for</w:t>
      </w:r>
      <w:r w:rsidR="00B9661B" w:rsidRPr="002C03D0">
        <w:rPr>
          <w:sz w:val="24"/>
          <w:szCs w:val="22"/>
        </w:rPr>
        <w:t xml:space="preserve"> criteria </w:t>
      </w:r>
      <w:r w:rsidR="008B5B91" w:rsidRPr="002C03D0">
        <w:rPr>
          <w:sz w:val="24"/>
          <w:szCs w:val="22"/>
        </w:rPr>
        <w:t>1</w:t>
      </w:r>
      <w:r w:rsidR="0077205A" w:rsidRPr="002C03D0">
        <w:rPr>
          <w:sz w:val="24"/>
          <w:szCs w:val="22"/>
        </w:rPr>
        <w:t>-</w:t>
      </w:r>
      <w:r w:rsidR="008B5B91" w:rsidRPr="002C03D0">
        <w:rPr>
          <w:sz w:val="24"/>
          <w:szCs w:val="22"/>
        </w:rPr>
        <w:t>8</w:t>
      </w:r>
      <w:r w:rsidR="004B1445" w:rsidRPr="002C03D0">
        <w:rPr>
          <w:sz w:val="24"/>
          <w:szCs w:val="22"/>
        </w:rPr>
        <w:t xml:space="preserve"> </w:t>
      </w:r>
      <w:r w:rsidRPr="002C03D0">
        <w:rPr>
          <w:sz w:val="24"/>
          <w:szCs w:val="22"/>
        </w:rPr>
        <w:t xml:space="preserve">to be eligible for funding.  In addition, the application must receive a minimum score of </w:t>
      </w:r>
      <w:r w:rsidR="00B9661B" w:rsidRPr="002C03D0">
        <w:rPr>
          <w:b/>
          <w:sz w:val="24"/>
          <w:szCs w:val="22"/>
        </w:rPr>
        <w:t>52</w:t>
      </w:r>
      <w:r w:rsidRPr="002C03D0">
        <w:rPr>
          <w:b/>
          <w:sz w:val="24"/>
          <w:szCs w:val="22"/>
        </w:rPr>
        <w:t>.</w:t>
      </w:r>
      <w:r w:rsidR="00B9661B" w:rsidRPr="002C03D0">
        <w:rPr>
          <w:b/>
          <w:sz w:val="24"/>
          <w:szCs w:val="22"/>
        </w:rPr>
        <w:t>5</w:t>
      </w:r>
      <w:r w:rsidRPr="002C03D0">
        <w:rPr>
          <w:b/>
          <w:sz w:val="24"/>
          <w:szCs w:val="22"/>
        </w:rPr>
        <w:t xml:space="preserve">0 points for criteria </w:t>
      </w:r>
      <w:r w:rsidR="00D72DF9" w:rsidRPr="002C03D0">
        <w:rPr>
          <w:b/>
          <w:sz w:val="24"/>
          <w:szCs w:val="22"/>
        </w:rPr>
        <w:t>1</w:t>
      </w:r>
      <w:r w:rsidRPr="002C03D0">
        <w:rPr>
          <w:b/>
          <w:sz w:val="24"/>
          <w:szCs w:val="22"/>
        </w:rPr>
        <w:t>−</w:t>
      </w:r>
      <w:r w:rsidR="00D72DF9" w:rsidRPr="002C03D0">
        <w:rPr>
          <w:b/>
          <w:sz w:val="24"/>
          <w:szCs w:val="22"/>
        </w:rPr>
        <w:t>4</w:t>
      </w:r>
      <w:r w:rsidR="000C0CF1" w:rsidRPr="002C03D0">
        <w:rPr>
          <w:b/>
          <w:sz w:val="24"/>
          <w:szCs w:val="22"/>
        </w:rPr>
        <w:t>,</w:t>
      </w:r>
      <w:r w:rsidR="00B9661B" w:rsidRPr="002C03D0">
        <w:rPr>
          <w:b/>
          <w:sz w:val="24"/>
          <w:szCs w:val="22"/>
        </w:rPr>
        <w:t xml:space="preserve"> and 70</w:t>
      </w:r>
      <w:r w:rsidR="000C0CF1" w:rsidRPr="002C03D0">
        <w:rPr>
          <w:b/>
          <w:sz w:val="24"/>
          <w:szCs w:val="22"/>
        </w:rPr>
        <w:t>.00 points for criteria 1-</w:t>
      </w:r>
      <w:r w:rsidR="00AE13A8" w:rsidRPr="002C03D0">
        <w:rPr>
          <w:b/>
          <w:sz w:val="24"/>
          <w:szCs w:val="22"/>
        </w:rPr>
        <w:t>7</w:t>
      </w:r>
      <w:r w:rsidRPr="002C03D0">
        <w:rPr>
          <w:b/>
          <w:sz w:val="24"/>
          <w:szCs w:val="22"/>
        </w:rPr>
        <w:t xml:space="preserve"> </w:t>
      </w:r>
      <w:r w:rsidRPr="002C03D0">
        <w:rPr>
          <w:sz w:val="24"/>
          <w:szCs w:val="22"/>
        </w:rPr>
        <w:t>to be eligible for funding.</w:t>
      </w:r>
    </w:p>
    <w:p w14:paraId="450FC929" w14:textId="77777777" w:rsidR="00122853" w:rsidRPr="004B1445" w:rsidRDefault="00122853" w:rsidP="00122853">
      <w:pPr>
        <w:spacing w:after="0"/>
        <w:ind w:left="720"/>
        <w:jc w:val="both"/>
      </w:pPr>
    </w:p>
    <w:p w14:paraId="09A4F44D" w14:textId="77777777" w:rsidR="001C2D56" w:rsidRPr="00CF6DED" w:rsidRDefault="001C2D56" w:rsidP="002F32D3">
      <w:pPr>
        <w:pStyle w:val="Heading2"/>
        <w:numPr>
          <w:ilvl w:val="0"/>
          <w:numId w:val="57"/>
        </w:numPr>
      </w:pPr>
      <w:bookmarkStart w:id="172" w:name="_Toc121421350"/>
      <w:r w:rsidRPr="00CF6DED">
        <w:t>Ranking, Notice of Proposed Award, and Agreement Development</w:t>
      </w:r>
      <w:bookmarkEnd w:id="172"/>
    </w:p>
    <w:p w14:paraId="183CEF9D" w14:textId="77777777" w:rsidR="003417AD" w:rsidRPr="002C03D0" w:rsidRDefault="003417AD" w:rsidP="002F32D3">
      <w:pPr>
        <w:numPr>
          <w:ilvl w:val="0"/>
          <w:numId w:val="24"/>
        </w:numPr>
        <w:tabs>
          <w:tab w:val="left" w:pos="720"/>
        </w:tabs>
        <w:ind w:left="360" w:firstLine="0"/>
        <w:jc w:val="both"/>
        <w:rPr>
          <w:b/>
          <w:sz w:val="24"/>
          <w:szCs w:val="22"/>
        </w:rPr>
      </w:pPr>
      <w:r w:rsidRPr="002C03D0">
        <w:rPr>
          <w:b/>
          <w:sz w:val="24"/>
          <w:szCs w:val="22"/>
        </w:rPr>
        <w:t>Ranking and Notice of Proposed Award</w:t>
      </w:r>
    </w:p>
    <w:p w14:paraId="74C11201" w14:textId="77777777" w:rsidR="001C2D56" w:rsidRPr="002C03D0" w:rsidRDefault="001C2D56" w:rsidP="002C03D0">
      <w:pPr>
        <w:ind w:left="360"/>
        <w:jc w:val="both"/>
        <w:rPr>
          <w:sz w:val="24"/>
          <w:szCs w:val="22"/>
        </w:rPr>
      </w:pPr>
      <w:r w:rsidRPr="002C03D0">
        <w:rPr>
          <w:sz w:val="24"/>
          <w:szCs w:val="22"/>
        </w:rPr>
        <w:t xml:space="preserve">Applications that receive </w:t>
      </w:r>
      <w:r w:rsidR="00DB723D" w:rsidRPr="002C03D0">
        <w:rPr>
          <w:sz w:val="24"/>
          <w:szCs w:val="22"/>
        </w:rPr>
        <w:t xml:space="preserve">at least the </w:t>
      </w:r>
      <w:r w:rsidR="00E8065B" w:rsidRPr="002C03D0">
        <w:rPr>
          <w:sz w:val="24"/>
          <w:szCs w:val="22"/>
        </w:rPr>
        <w:t>minimum</w:t>
      </w:r>
      <w:r w:rsidRPr="002C03D0">
        <w:rPr>
          <w:sz w:val="24"/>
          <w:szCs w:val="22"/>
        </w:rPr>
        <w:t xml:space="preserve"> </w:t>
      </w:r>
      <w:r w:rsidR="00DB723D" w:rsidRPr="002C03D0">
        <w:rPr>
          <w:sz w:val="24"/>
          <w:szCs w:val="22"/>
        </w:rPr>
        <w:t xml:space="preserve">required </w:t>
      </w:r>
      <w:r w:rsidRPr="002C03D0">
        <w:rPr>
          <w:sz w:val="24"/>
          <w:szCs w:val="22"/>
        </w:rPr>
        <w:t xml:space="preserve">score for all criteria will be ranked according to their score. </w:t>
      </w:r>
    </w:p>
    <w:p w14:paraId="2DDCA481" w14:textId="77777777" w:rsidR="003417AD" w:rsidRPr="002C03D0" w:rsidRDefault="008F4A0E" w:rsidP="002F32D3">
      <w:pPr>
        <w:numPr>
          <w:ilvl w:val="0"/>
          <w:numId w:val="22"/>
        </w:numPr>
        <w:spacing w:after="0"/>
        <w:jc w:val="both"/>
        <w:rPr>
          <w:sz w:val="24"/>
          <w:szCs w:val="22"/>
        </w:rPr>
      </w:pPr>
      <w:r w:rsidRPr="002C03D0">
        <w:rPr>
          <w:sz w:val="24"/>
          <w:szCs w:val="22"/>
        </w:rPr>
        <w:t>CEC</w:t>
      </w:r>
      <w:r w:rsidR="003417AD" w:rsidRPr="002C03D0">
        <w:rPr>
          <w:sz w:val="24"/>
          <w:szCs w:val="22"/>
        </w:rPr>
        <w:t xml:space="preserve"> </w:t>
      </w:r>
      <w:r w:rsidR="00DB723D" w:rsidRPr="002C03D0">
        <w:rPr>
          <w:sz w:val="24"/>
          <w:szCs w:val="22"/>
        </w:rPr>
        <w:t xml:space="preserve">staff </w:t>
      </w:r>
      <w:r w:rsidR="003417AD" w:rsidRPr="002C03D0">
        <w:rPr>
          <w:sz w:val="24"/>
          <w:szCs w:val="22"/>
        </w:rPr>
        <w:t xml:space="preserve">will post a </w:t>
      </w:r>
      <w:r w:rsidR="003417AD" w:rsidRPr="002C03D0">
        <w:rPr>
          <w:b/>
          <w:sz w:val="24"/>
          <w:szCs w:val="22"/>
        </w:rPr>
        <w:t>Notice of Proposed Award (NOPA)</w:t>
      </w:r>
      <w:r w:rsidR="003417AD" w:rsidRPr="002C03D0">
        <w:rPr>
          <w:sz w:val="24"/>
          <w:szCs w:val="22"/>
        </w:rPr>
        <w:t xml:space="preserve"> that includes: (1) </w:t>
      </w:r>
      <w:r w:rsidR="003417AD" w:rsidRPr="002C03D0">
        <w:rPr>
          <w:sz w:val="24"/>
          <w:szCs w:val="24"/>
        </w:rPr>
        <w:t>the total proposed funding amount; (2) the rank order of applicants; and (3) the amount of each proposed award. The C</w:t>
      </w:r>
      <w:r w:rsidR="008C0A71" w:rsidRPr="002C03D0">
        <w:rPr>
          <w:sz w:val="24"/>
          <w:szCs w:val="24"/>
        </w:rPr>
        <w:t>EC</w:t>
      </w:r>
      <w:r w:rsidR="003417AD" w:rsidRPr="002C03D0">
        <w:rPr>
          <w:sz w:val="24"/>
          <w:szCs w:val="24"/>
        </w:rPr>
        <w:t xml:space="preserve"> will post the NOPA at its headquarters in Sacramento and on its </w:t>
      </w:r>
      <w:proofErr w:type="gramStart"/>
      <w:r w:rsidR="003417AD" w:rsidRPr="002C03D0">
        <w:rPr>
          <w:sz w:val="24"/>
          <w:szCs w:val="24"/>
        </w:rPr>
        <w:t>website, and</w:t>
      </w:r>
      <w:proofErr w:type="gramEnd"/>
      <w:r w:rsidR="003417AD" w:rsidRPr="002C03D0">
        <w:rPr>
          <w:sz w:val="24"/>
          <w:szCs w:val="24"/>
        </w:rPr>
        <w:t xml:space="preserve"> will mail it to all entities that submitted an application</w:t>
      </w:r>
      <w:r w:rsidR="003417AD" w:rsidRPr="002C03D0">
        <w:rPr>
          <w:sz w:val="24"/>
          <w:szCs w:val="28"/>
        </w:rPr>
        <w:t>.  Proposed awards must be approved by the C</w:t>
      </w:r>
      <w:r w:rsidR="008C0A71" w:rsidRPr="002C03D0">
        <w:rPr>
          <w:sz w:val="24"/>
          <w:szCs w:val="28"/>
        </w:rPr>
        <w:t>EC</w:t>
      </w:r>
      <w:r w:rsidR="003417AD" w:rsidRPr="002C03D0">
        <w:rPr>
          <w:sz w:val="24"/>
          <w:szCs w:val="28"/>
        </w:rPr>
        <w:t xml:space="preserve"> at a business meeting.</w:t>
      </w:r>
    </w:p>
    <w:p w14:paraId="7D626310" w14:textId="555E569D" w:rsidR="003417AD" w:rsidRPr="002C03D0" w:rsidRDefault="003417AD">
      <w:pPr>
        <w:numPr>
          <w:ilvl w:val="0"/>
          <w:numId w:val="23"/>
        </w:numPr>
        <w:spacing w:after="0"/>
        <w:ind w:left="720"/>
        <w:jc w:val="both"/>
        <w:rPr>
          <w:sz w:val="24"/>
          <w:szCs w:val="22"/>
        </w:rPr>
      </w:pPr>
      <w:r w:rsidRPr="002C03D0">
        <w:rPr>
          <w:b/>
          <w:sz w:val="24"/>
          <w:szCs w:val="22"/>
        </w:rPr>
        <w:t>Debriefings:</w:t>
      </w:r>
      <w:r w:rsidRPr="002C03D0">
        <w:rPr>
          <w:sz w:val="24"/>
          <w:szCs w:val="22"/>
        </w:rPr>
        <w:t xml:space="preserve">  </w:t>
      </w:r>
      <w:r w:rsidRPr="002C03D0">
        <w:rPr>
          <w:sz w:val="24"/>
          <w:szCs w:val="24"/>
        </w:rPr>
        <w:t>Unsuccessful applicants may request a debriefing after the release of the</w:t>
      </w:r>
      <w:r w:rsidR="002C03D0" w:rsidRPr="002C03D0">
        <w:rPr>
          <w:sz w:val="24"/>
          <w:szCs w:val="24"/>
        </w:rPr>
        <w:t xml:space="preserve"> </w:t>
      </w:r>
      <w:r w:rsidRPr="002C03D0">
        <w:rPr>
          <w:sz w:val="24"/>
          <w:szCs w:val="24"/>
        </w:rPr>
        <w:t xml:space="preserve">NOPA by contacting the Commission Agreement Officer listed in Part I.  A request for debriefing must be received </w:t>
      </w:r>
      <w:r w:rsidRPr="002C03D0">
        <w:rPr>
          <w:b/>
          <w:sz w:val="24"/>
          <w:szCs w:val="24"/>
        </w:rPr>
        <w:t>no later than 30 calendar days</w:t>
      </w:r>
      <w:r w:rsidRPr="002C03D0">
        <w:rPr>
          <w:sz w:val="24"/>
          <w:szCs w:val="24"/>
        </w:rPr>
        <w:t xml:space="preserve"> after the NOPA is released.</w:t>
      </w:r>
    </w:p>
    <w:p w14:paraId="427F5991" w14:textId="77777777" w:rsidR="003417AD" w:rsidRPr="002C03D0" w:rsidRDefault="003417AD" w:rsidP="002F32D3">
      <w:pPr>
        <w:numPr>
          <w:ilvl w:val="0"/>
          <w:numId w:val="23"/>
        </w:numPr>
        <w:spacing w:after="0"/>
        <w:ind w:left="360" w:firstLine="0"/>
        <w:jc w:val="both"/>
        <w:rPr>
          <w:sz w:val="24"/>
          <w:szCs w:val="22"/>
        </w:rPr>
      </w:pPr>
      <w:r w:rsidRPr="002C03D0">
        <w:rPr>
          <w:sz w:val="24"/>
          <w:szCs w:val="22"/>
        </w:rPr>
        <w:t xml:space="preserve">In addition to any of its other rights, the </w:t>
      </w:r>
      <w:r w:rsidR="008F4A0E" w:rsidRPr="002C03D0">
        <w:rPr>
          <w:sz w:val="24"/>
          <w:szCs w:val="22"/>
        </w:rPr>
        <w:t>CEC</w:t>
      </w:r>
      <w:r w:rsidRPr="002C03D0">
        <w:rPr>
          <w:sz w:val="24"/>
          <w:szCs w:val="22"/>
        </w:rPr>
        <w:t xml:space="preserve"> reserves the right to:</w:t>
      </w:r>
    </w:p>
    <w:p w14:paraId="2A9BFA27" w14:textId="77777777" w:rsidR="003417AD" w:rsidRPr="002C03D0" w:rsidRDefault="003417AD" w:rsidP="002C03D0">
      <w:pPr>
        <w:numPr>
          <w:ilvl w:val="1"/>
          <w:numId w:val="23"/>
        </w:numPr>
        <w:tabs>
          <w:tab w:val="left" w:pos="1080"/>
        </w:tabs>
        <w:spacing w:after="0"/>
        <w:ind w:left="1080"/>
        <w:jc w:val="both"/>
        <w:rPr>
          <w:sz w:val="24"/>
          <w:szCs w:val="22"/>
        </w:rPr>
      </w:pPr>
      <w:r w:rsidRPr="002C03D0">
        <w:rPr>
          <w:sz w:val="24"/>
          <w:szCs w:val="22"/>
        </w:rPr>
        <w:t>Allocate any additional funds to passing applications, in rank order; and</w:t>
      </w:r>
    </w:p>
    <w:p w14:paraId="3CD861EA" w14:textId="77777777" w:rsidR="00DB723D" w:rsidRPr="002C03D0" w:rsidRDefault="003417AD" w:rsidP="002C03D0">
      <w:pPr>
        <w:numPr>
          <w:ilvl w:val="1"/>
          <w:numId w:val="23"/>
        </w:numPr>
        <w:tabs>
          <w:tab w:val="left" w:pos="1080"/>
        </w:tabs>
        <w:spacing w:after="0"/>
        <w:ind w:left="1080"/>
        <w:jc w:val="both"/>
        <w:rPr>
          <w:sz w:val="24"/>
          <w:szCs w:val="22"/>
        </w:rPr>
      </w:pPr>
      <w:r w:rsidRPr="002C03D0">
        <w:rPr>
          <w:sz w:val="24"/>
          <w:szCs w:val="22"/>
        </w:rPr>
        <w:t>Negotiate with successful applicants</w:t>
      </w:r>
      <w:r w:rsidRPr="002C03D0">
        <w:rPr>
          <w:b/>
          <w:sz w:val="24"/>
          <w:szCs w:val="22"/>
        </w:rPr>
        <w:t xml:space="preserve"> </w:t>
      </w:r>
      <w:r w:rsidRPr="002C03D0">
        <w:rPr>
          <w:sz w:val="24"/>
          <w:szCs w:val="22"/>
        </w:rPr>
        <w:t>to</w:t>
      </w:r>
      <w:r w:rsidRPr="002C03D0">
        <w:rPr>
          <w:b/>
          <w:sz w:val="24"/>
          <w:szCs w:val="22"/>
        </w:rPr>
        <w:t xml:space="preserve"> </w:t>
      </w:r>
      <w:r w:rsidRPr="002C03D0">
        <w:rPr>
          <w:sz w:val="24"/>
          <w:szCs w:val="22"/>
        </w:rPr>
        <w:t xml:space="preserve">modify the project scope, schedule, </w:t>
      </w:r>
      <w:r w:rsidR="00DB723D" w:rsidRPr="002C03D0">
        <w:rPr>
          <w:sz w:val="24"/>
          <w:szCs w:val="22"/>
        </w:rPr>
        <w:t xml:space="preserve">project team entity that will receive the award, </w:t>
      </w:r>
      <w:r w:rsidR="00953CA0" w:rsidRPr="002C03D0">
        <w:rPr>
          <w:sz w:val="24"/>
          <w:szCs w:val="22"/>
        </w:rPr>
        <w:t xml:space="preserve">location </w:t>
      </w:r>
      <w:r w:rsidRPr="002C03D0">
        <w:rPr>
          <w:sz w:val="24"/>
          <w:szCs w:val="22"/>
        </w:rPr>
        <w:t>and/or level of funding.</w:t>
      </w:r>
    </w:p>
    <w:p w14:paraId="54312D3E" w14:textId="77777777" w:rsidR="00050BFA" w:rsidRPr="002C03D0" w:rsidRDefault="00050BFA" w:rsidP="00CE0646">
      <w:pPr>
        <w:spacing w:after="0"/>
        <w:ind w:left="1800"/>
        <w:jc w:val="both"/>
        <w:rPr>
          <w:sz w:val="24"/>
          <w:szCs w:val="22"/>
        </w:rPr>
      </w:pPr>
    </w:p>
    <w:p w14:paraId="7DA17830" w14:textId="77777777" w:rsidR="0040653E" w:rsidRPr="002C03D0" w:rsidRDefault="001C2D56" w:rsidP="002F32D3">
      <w:pPr>
        <w:numPr>
          <w:ilvl w:val="0"/>
          <w:numId w:val="24"/>
        </w:numPr>
        <w:tabs>
          <w:tab w:val="left" w:pos="720"/>
        </w:tabs>
        <w:ind w:left="360" w:firstLine="0"/>
        <w:jc w:val="both"/>
        <w:rPr>
          <w:sz w:val="24"/>
          <w:szCs w:val="22"/>
        </w:rPr>
      </w:pPr>
      <w:r w:rsidRPr="002C03D0">
        <w:rPr>
          <w:b/>
          <w:sz w:val="24"/>
          <w:szCs w:val="22"/>
        </w:rPr>
        <w:t xml:space="preserve"> Agreements</w:t>
      </w:r>
    </w:p>
    <w:p w14:paraId="368CD362" w14:textId="77777777" w:rsidR="001C2D56" w:rsidRPr="002C03D0" w:rsidRDefault="001C2D56" w:rsidP="002C03D0">
      <w:pPr>
        <w:ind w:left="810"/>
        <w:rPr>
          <w:sz w:val="24"/>
          <w:szCs w:val="22"/>
        </w:rPr>
      </w:pPr>
      <w:r w:rsidRPr="002C03D0">
        <w:rPr>
          <w:sz w:val="24"/>
          <w:szCs w:val="22"/>
        </w:rPr>
        <w:t xml:space="preserve">Applications recommended for funding will be developed into a </w:t>
      </w:r>
      <w:r w:rsidR="00B31916" w:rsidRPr="002C03D0">
        <w:rPr>
          <w:sz w:val="24"/>
          <w:szCs w:val="22"/>
        </w:rPr>
        <w:t xml:space="preserve">proposed </w:t>
      </w:r>
      <w:r w:rsidRPr="002C03D0">
        <w:rPr>
          <w:sz w:val="24"/>
          <w:szCs w:val="22"/>
        </w:rPr>
        <w:t xml:space="preserve">grant agreement to be considered at a </w:t>
      </w:r>
      <w:r w:rsidR="008F4A0E" w:rsidRPr="002C03D0">
        <w:rPr>
          <w:sz w:val="24"/>
          <w:szCs w:val="22"/>
        </w:rPr>
        <w:t>CEC</w:t>
      </w:r>
      <w:r w:rsidRPr="002C03D0">
        <w:rPr>
          <w:sz w:val="24"/>
          <w:szCs w:val="22"/>
        </w:rPr>
        <w:t xml:space="preserve"> Business Meeting.  Recipients may begin the project only after full execution of the grant agreement (i.e., approval at a</w:t>
      </w:r>
      <w:r w:rsidR="0084366A" w:rsidRPr="002C03D0">
        <w:rPr>
          <w:sz w:val="24"/>
          <w:szCs w:val="22"/>
        </w:rPr>
        <w:t xml:space="preserve"> </w:t>
      </w:r>
      <w:r w:rsidR="008F4A0E" w:rsidRPr="002C03D0">
        <w:rPr>
          <w:sz w:val="24"/>
          <w:szCs w:val="22"/>
        </w:rPr>
        <w:t>CEC</w:t>
      </w:r>
      <w:r w:rsidRPr="002C03D0">
        <w:rPr>
          <w:sz w:val="24"/>
          <w:szCs w:val="22"/>
        </w:rPr>
        <w:t xml:space="preserve"> business meeting and signature by the Recipient and the </w:t>
      </w:r>
      <w:r w:rsidR="008F4A0E" w:rsidRPr="002C03D0">
        <w:rPr>
          <w:sz w:val="24"/>
          <w:szCs w:val="22"/>
        </w:rPr>
        <w:t>CEC</w:t>
      </w:r>
      <w:r w:rsidRPr="002C03D0">
        <w:rPr>
          <w:sz w:val="24"/>
          <w:szCs w:val="22"/>
        </w:rPr>
        <w:t>).</w:t>
      </w:r>
    </w:p>
    <w:p w14:paraId="53961983" w14:textId="77777777" w:rsidR="001C2D56" w:rsidRPr="002C03D0" w:rsidRDefault="00E4013B" w:rsidP="002C03D0">
      <w:pPr>
        <w:numPr>
          <w:ilvl w:val="0"/>
          <w:numId w:val="21"/>
        </w:numPr>
        <w:spacing w:after="0"/>
        <w:rPr>
          <w:sz w:val="24"/>
          <w:szCs w:val="22"/>
        </w:rPr>
      </w:pPr>
      <w:r w:rsidRPr="002C03D0">
        <w:rPr>
          <w:b/>
          <w:sz w:val="24"/>
          <w:szCs w:val="22"/>
        </w:rPr>
        <w:t>Agreement Development:</w:t>
      </w:r>
      <w:r w:rsidRPr="002C03D0">
        <w:rPr>
          <w:sz w:val="24"/>
          <w:szCs w:val="22"/>
        </w:rPr>
        <w:t xml:space="preserve"> </w:t>
      </w:r>
      <w:r w:rsidR="001D57CC" w:rsidRPr="002C03D0">
        <w:rPr>
          <w:sz w:val="24"/>
          <w:szCs w:val="22"/>
        </w:rPr>
        <w:t>T</w:t>
      </w:r>
      <w:r w:rsidR="001C2D56" w:rsidRPr="002C03D0">
        <w:rPr>
          <w:sz w:val="24"/>
          <w:szCs w:val="22"/>
        </w:rPr>
        <w:t xml:space="preserve">he Contracts, Grants, and Loans Office will send the Recipient a grant agreement for approval and signature.  The agreement will include the applicable terms and conditions and will incorporate this solicitation </w:t>
      </w:r>
      <w:r w:rsidR="00B31916" w:rsidRPr="002C03D0">
        <w:rPr>
          <w:sz w:val="24"/>
          <w:szCs w:val="22"/>
        </w:rPr>
        <w:t xml:space="preserve">and the application </w:t>
      </w:r>
      <w:r w:rsidR="001C2D56" w:rsidRPr="002C03D0">
        <w:rPr>
          <w:sz w:val="24"/>
          <w:szCs w:val="22"/>
        </w:rPr>
        <w:t xml:space="preserve">by reference.  The </w:t>
      </w:r>
      <w:r w:rsidR="008F4A0E" w:rsidRPr="002C03D0">
        <w:rPr>
          <w:sz w:val="24"/>
          <w:szCs w:val="22"/>
        </w:rPr>
        <w:t>CEC</w:t>
      </w:r>
      <w:r w:rsidR="001C2D56" w:rsidRPr="002C03D0">
        <w:rPr>
          <w:sz w:val="24"/>
          <w:szCs w:val="22"/>
        </w:rPr>
        <w:t xml:space="preserve"> reserves the right to modify the award documents (including the terms and conditions) prior to executing any agreement.</w:t>
      </w:r>
    </w:p>
    <w:p w14:paraId="405D984C" w14:textId="77777777" w:rsidR="001C2D56" w:rsidRPr="002C03D0" w:rsidRDefault="00E4013B" w:rsidP="002C03D0">
      <w:pPr>
        <w:numPr>
          <w:ilvl w:val="0"/>
          <w:numId w:val="21"/>
        </w:numPr>
        <w:spacing w:after="0"/>
        <w:rPr>
          <w:sz w:val="24"/>
          <w:szCs w:val="22"/>
        </w:rPr>
      </w:pPr>
      <w:r w:rsidRPr="002C03D0">
        <w:rPr>
          <w:b/>
          <w:sz w:val="24"/>
          <w:szCs w:val="22"/>
        </w:rPr>
        <w:t>Failure to Execute an Agreement:</w:t>
      </w:r>
      <w:r w:rsidRPr="002C03D0">
        <w:rPr>
          <w:sz w:val="24"/>
          <w:szCs w:val="22"/>
        </w:rPr>
        <w:t xml:space="preserve"> </w:t>
      </w:r>
      <w:r w:rsidR="001C2D56" w:rsidRPr="002C03D0">
        <w:rPr>
          <w:sz w:val="24"/>
          <w:szCs w:val="22"/>
        </w:rPr>
        <w:t xml:space="preserve">If the </w:t>
      </w:r>
      <w:r w:rsidR="008F4A0E" w:rsidRPr="002C03D0">
        <w:rPr>
          <w:sz w:val="24"/>
          <w:szCs w:val="22"/>
        </w:rPr>
        <w:t>CEC</w:t>
      </w:r>
      <w:r w:rsidR="001C2D56" w:rsidRPr="002C03D0">
        <w:rPr>
          <w:sz w:val="24"/>
          <w:szCs w:val="22"/>
        </w:rPr>
        <w:t xml:space="preserve"> is unable to successfully execute an agreement with an applicant</w:t>
      </w:r>
      <w:r w:rsidR="00B31916" w:rsidRPr="002C03D0">
        <w:rPr>
          <w:sz w:val="24"/>
          <w:szCs w:val="22"/>
        </w:rPr>
        <w:t xml:space="preserve"> in a timely manner</w:t>
      </w:r>
      <w:r w:rsidR="001C2D56" w:rsidRPr="002C03D0">
        <w:rPr>
          <w:sz w:val="24"/>
          <w:szCs w:val="22"/>
        </w:rPr>
        <w:t xml:space="preserve">, it reserves the right to cancel the pending award and </w:t>
      </w:r>
      <w:r w:rsidR="00B31916" w:rsidRPr="002C03D0">
        <w:rPr>
          <w:sz w:val="24"/>
          <w:szCs w:val="22"/>
        </w:rPr>
        <w:t xml:space="preserve">use the funds elsewhere, such as </w:t>
      </w:r>
      <w:r w:rsidR="001C2D56" w:rsidRPr="002C03D0">
        <w:rPr>
          <w:sz w:val="24"/>
          <w:szCs w:val="22"/>
        </w:rPr>
        <w:t>to fund the next highest-ranked, eligible application.</w:t>
      </w:r>
    </w:p>
    <w:p w14:paraId="61A8700D" w14:textId="77777777" w:rsidR="001C2D56" w:rsidRPr="00CF6DED" w:rsidRDefault="001C2D56" w:rsidP="002F32D3">
      <w:pPr>
        <w:pStyle w:val="Heading2"/>
        <w:numPr>
          <w:ilvl w:val="0"/>
          <w:numId w:val="57"/>
        </w:numPr>
      </w:pPr>
      <w:bookmarkStart w:id="173" w:name="_Toc121421351"/>
      <w:bookmarkStart w:id="174" w:name="_Toc366671196"/>
      <w:r w:rsidRPr="00CF6DED">
        <w:t>Grounds to Reject an Application or Cancel an Award</w:t>
      </w:r>
      <w:bookmarkEnd w:id="173"/>
    </w:p>
    <w:bookmarkEnd w:id="174"/>
    <w:p w14:paraId="15DF97C3" w14:textId="77777777" w:rsidR="001C2D56" w:rsidRPr="002C03D0" w:rsidRDefault="001C2D56" w:rsidP="002C03D0">
      <w:pPr>
        <w:rPr>
          <w:sz w:val="24"/>
          <w:szCs w:val="22"/>
        </w:rPr>
      </w:pPr>
      <w:r w:rsidRPr="002C03D0">
        <w:rPr>
          <w:sz w:val="24"/>
          <w:szCs w:val="22"/>
        </w:rPr>
        <w:t xml:space="preserve">Applications that do not pass the screening stage will be rejected.  In addition, the </w:t>
      </w:r>
      <w:r w:rsidR="008F4A0E" w:rsidRPr="002C03D0">
        <w:rPr>
          <w:sz w:val="24"/>
          <w:szCs w:val="22"/>
        </w:rPr>
        <w:t>CEC</w:t>
      </w:r>
      <w:r w:rsidRPr="002C03D0">
        <w:rPr>
          <w:sz w:val="24"/>
          <w:szCs w:val="22"/>
        </w:rPr>
        <w:t xml:space="preserve"> reserves the right to reject an application and/or to cancel an award </w:t>
      </w:r>
      <w:r w:rsidR="00437564" w:rsidRPr="002C03D0">
        <w:rPr>
          <w:sz w:val="24"/>
          <w:szCs w:val="22"/>
        </w:rPr>
        <w:t xml:space="preserve">for any reason, including </w:t>
      </w:r>
      <w:r w:rsidR="009B6FB6" w:rsidRPr="002C03D0">
        <w:rPr>
          <w:sz w:val="24"/>
          <w:szCs w:val="22"/>
        </w:rPr>
        <w:t>any of</w:t>
      </w:r>
      <w:r w:rsidRPr="002C03D0">
        <w:rPr>
          <w:sz w:val="24"/>
          <w:szCs w:val="22"/>
        </w:rPr>
        <w:t xml:space="preserve"> the following</w:t>
      </w:r>
      <w:r w:rsidR="00E67E91" w:rsidRPr="002C03D0">
        <w:rPr>
          <w:sz w:val="24"/>
          <w:szCs w:val="22"/>
        </w:rPr>
        <w:t>:</w:t>
      </w:r>
      <w:r w:rsidRPr="002C03D0">
        <w:rPr>
          <w:sz w:val="24"/>
          <w:szCs w:val="22"/>
        </w:rPr>
        <w:t xml:space="preserve"> </w:t>
      </w:r>
    </w:p>
    <w:p w14:paraId="3DCDE30A" w14:textId="77777777" w:rsidR="001C2D56" w:rsidRPr="002C03D0" w:rsidRDefault="001C2D56" w:rsidP="002C03D0">
      <w:pPr>
        <w:numPr>
          <w:ilvl w:val="0"/>
          <w:numId w:val="9"/>
        </w:numPr>
        <w:spacing w:after="0"/>
        <w:ind w:left="360"/>
        <w:rPr>
          <w:sz w:val="24"/>
          <w:szCs w:val="22"/>
        </w:rPr>
      </w:pPr>
      <w:r w:rsidRPr="002C03D0">
        <w:rPr>
          <w:sz w:val="24"/>
          <w:szCs w:val="22"/>
        </w:rPr>
        <w:t>The application contains false or intentionally misleading statements or references that do not support an attribute or condition contended by the applicant.</w:t>
      </w:r>
    </w:p>
    <w:p w14:paraId="1E8BD040" w14:textId="77777777" w:rsidR="001C2D56" w:rsidRPr="002C03D0" w:rsidRDefault="001C2D56" w:rsidP="002C03D0">
      <w:pPr>
        <w:numPr>
          <w:ilvl w:val="0"/>
          <w:numId w:val="9"/>
        </w:numPr>
        <w:spacing w:after="0"/>
        <w:ind w:left="360"/>
        <w:rPr>
          <w:sz w:val="24"/>
          <w:szCs w:val="22"/>
        </w:rPr>
      </w:pPr>
      <w:r w:rsidRPr="002C03D0">
        <w:rPr>
          <w:sz w:val="24"/>
          <w:szCs w:val="22"/>
        </w:rPr>
        <w:t xml:space="preserve">The application is intended to </w:t>
      </w:r>
      <w:proofErr w:type="gramStart"/>
      <w:r w:rsidRPr="002C03D0">
        <w:rPr>
          <w:sz w:val="24"/>
          <w:szCs w:val="22"/>
        </w:rPr>
        <w:t>erroneously and fallaciously mislead the State</w:t>
      </w:r>
      <w:proofErr w:type="gramEnd"/>
      <w:r w:rsidRPr="002C03D0">
        <w:rPr>
          <w:sz w:val="24"/>
          <w:szCs w:val="22"/>
        </w:rPr>
        <w:t xml:space="preserve"> in </w:t>
      </w:r>
      <w:r w:rsidR="00A80987" w:rsidRPr="002C03D0">
        <w:rPr>
          <w:sz w:val="24"/>
          <w:szCs w:val="22"/>
        </w:rPr>
        <w:t xml:space="preserve">any way.  </w:t>
      </w:r>
    </w:p>
    <w:p w14:paraId="74C0E404" w14:textId="77777777" w:rsidR="001C2D56" w:rsidRPr="002C03D0" w:rsidRDefault="001C2D56" w:rsidP="002C03D0">
      <w:pPr>
        <w:numPr>
          <w:ilvl w:val="0"/>
          <w:numId w:val="9"/>
        </w:numPr>
        <w:spacing w:after="0"/>
        <w:ind w:left="360"/>
        <w:rPr>
          <w:sz w:val="24"/>
          <w:szCs w:val="22"/>
        </w:rPr>
      </w:pPr>
      <w:r w:rsidRPr="002C03D0">
        <w:rPr>
          <w:sz w:val="24"/>
          <w:szCs w:val="22"/>
        </w:rPr>
        <w:t>The application does not comply or contains caveats that conflict with the solicitation, and the variation or deviation is material.</w:t>
      </w:r>
    </w:p>
    <w:p w14:paraId="26F85335" w14:textId="77777777" w:rsidR="001C2D56" w:rsidRPr="002C03D0" w:rsidRDefault="001C2D56" w:rsidP="002C03D0">
      <w:pPr>
        <w:numPr>
          <w:ilvl w:val="0"/>
          <w:numId w:val="10"/>
        </w:numPr>
        <w:spacing w:after="0"/>
        <w:ind w:left="360"/>
        <w:rPr>
          <w:sz w:val="24"/>
          <w:szCs w:val="22"/>
        </w:rPr>
      </w:pPr>
      <w:r w:rsidRPr="002C03D0">
        <w:rPr>
          <w:sz w:val="24"/>
          <w:szCs w:val="24"/>
        </w:rPr>
        <w:t>The applicant has previously received funding through a</w:t>
      </w:r>
      <w:r w:rsidR="00A80987" w:rsidRPr="002C03D0">
        <w:rPr>
          <w:sz w:val="24"/>
          <w:szCs w:val="24"/>
        </w:rPr>
        <w:t xml:space="preserve">n EPIC or </w:t>
      </w:r>
      <w:r w:rsidRPr="002C03D0">
        <w:rPr>
          <w:sz w:val="24"/>
          <w:szCs w:val="24"/>
        </w:rPr>
        <w:t xml:space="preserve">Public Interest Energy Research (PIER) agreement, has received the royalty review letter (which the </w:t>
      </w:r>
      <w:r w:rsidR="008F4A0E" w:rsidRPr="002C03D0">
        <w:rPr>
          <w:sz w:val="24"/>
          <w:szCs w:val="24"/>
        </w:rPr>
        <w:t>CEC</w:t>
      </w:r>
      <w:r w:rsidRPr="002C03D0">
        <w:rPr>
          <w:sz w:val="24"/>
          <w:szCs w:val="24"/>
        </w:rPr>
        <w:t xml:space="preserve"> annually sends out to remind past recipients of their obligations to pay royalties), and has not responded to the letter or is otherwise not in compliance with repaying royalties.</w:t>
      </w:r>
    </w:p>
    <w:p w14:paraId="1F9CE582" w14:textId="77777777" w:rsidR="001C2D56" w:rsidRPr="002C03D0" w:rsidRDefault="001C2D56" w:rsidP="002C03D0">
      <w:pPr>
        <w:numPr>
          <w:ilvl w:val="0"/>
          <w:numId w:val="10"/>
        </w:numPr>
        <w:spacing w:after="0"/>
        <w:ind w:left="360"/>
        <w:rPr>
          <w:sz w:val="24"/>
          <w:szCs w:val="22"/>
        </w:rPr>
      </w:pPr>
      <w:r w:rsidRPr="002C03D0">
        <w:rPr>
          <w:sz w:val="24"/>
          <w:szCs w:val="22"/>
        </w:rPr>
        <w:t xml:space="preserve">The applicant has received unsatisfactory </w:t>
      </w:r>
      <w:r w:rsidR="002209B3" w:rsidRPr="002C03D0">
        <w:rPr>
          <w:sz w:val="24"/>
          <w:szCs w:val="22"/>
        </w:rPr>
        <w:t xml:space="preserve">agreement </w:t>
      </w:r>
      <w:r w:rsidRPr="002C03D0">
        <w:rPr>
          <w:sz w:val="24"/>
          <w:szCs w:val="22"/>
        </w:rPr>
        <w:t xml:space="preserve">evaluations from the </w:t>
      </w:r>
      <w:r w:rsidR="008F4A0E" w:rsidRPr="002C03D0">
        <w:rPr>
          <w:sz w:val="24"/>
          <w:szCs w:val="22"/>
        </w:rPr>
        <w:t>CEC</w:t>
      </w:r>
      <w:r w:rsidRPr="002C03D0">
        <w:rPr>
          <w:sz w:val="24"/>
          <w:szCs w:val="22"/>
        </w:rPr>
        <w:t xml:space="preserve"> or another California state agency.</w:t>
      </w:r>
    </w:p>
    <w:p w14:paraId="611D6A1E" w14:textId="77777777" w:rsidR="009F1017" w:rsidRPr="002C03D0" w:rsidRDefault="009F1017" w:rsidP="002C03D0">
      <w:pPr>
        <w:numPr>
          <w:ilvl w:val="0"/>
          <w:numId w:val="10"/>
        </w:numPr>
        <w:spacing w:after="0"/>
        <w:ind w:left="360"/>
        <w:rPr>
          <w:sz w:val="24"/>
          <w:szCs w:val="24"/>
        </w:rPr>
      </w:pPr>
      <w:r w:rsidRPr="002C03D0">
        <w:rPr>
          <w:sz w:val="24"/>
          <w:szCs w:val="24"/>
        </w:rPr>
        <w:t xml:space="preserve">The applicant is a business entity </w:t>
      </w:r>
      <w:r w:rsidR="00A80987" w:rsidRPr="002C03D0">
        <w:rPr>
          <w:sz w:val="24"/>
          <w:szCs w:val="24"/>
        </w:rPr>
        <w:t xml:space="preserve">required to be registered with the </w:t>
      </w:r>
      <w:r w:rsidRPr="002C03D0">
        <w:rPr>
          <w:sz w:val="24"/>
          <w:szCs w:val="24"/>
        </w:rPr>
        <w:t>California Secretary of State</w:t>
      </w:r>
      <w:r w:rsidR="00A80987" w:rsidRPr="002C03D0">
        <w:rPr>
          <w:sz w:val="24"/>
          <w:szCs w:val="24"/>
        </w:rPr>
        <w:t xml:space="preserve"> and is not in good standing</w:t>
      </w:r>
      <w:r w:rsidRPr="002C03D0">
        <w:rPr>
          <w:sz w:val="24"/>
          <w:szCs w:val="24"/>
        </w:rPr>
        <w:t>.</w:t>
      </w:r>
    </w:p>
    <w:p w14:paraId="407CDC16" w14:textId="77777777" w:rsidR="001C2D56" w:rsidRPr="002C03D0" w:rsidRDefault="001C2D56" w:rsidP="002C03D0">
      <w:pPr>
        <w:numPr>
          <w:ilvl w:val="0"/>
          <w:numId w:val="10"/>
        </w:numPr>
        <w:spacing w:after="0"/>
        <w:ind w:left="360"/>
        <w:rPr>
          <w:sz w:val="24"/>
          <w:szCs w:val="24"/>
        </w:rPr>
      </w:pPr>
      <w:r w:rsidRPr="002C03D0">
        <w:rPr>
          <w:sz w:val="24"/>
          <w:szCs w:val="24"/>
        </w:rPr>
        <w:t>The applicant has not demonstrated that it has the financial capability to complete the project.</w:t>
      </w:r>
    </w:p>
    <w:p w14:paraId="11141402" w14:textId="77777777" w:rsidR="00C47F3C" w:rsidRPr="002C03D0" w:rsidRDefault="00C47F3C" w:rsidP="002C03D0">
      <w:pPr>
        <w:numPr>
          <w:ilvl w:val="0"/>
          <w:numId w:val="10"/>
        </w:numPr>
        <w:spacing w:after="0"/>
        <w:ind w:left="360"/>
        <w:rPr>
          <w:sz w:val="24"/>
          <w:szCs w:val="24"/>
        </w:rPr>
      </w:pPr>
      <w:r w:rsidRPr="002C03D0">
        <w:rPr>
          <w:sz w:val="24"/>
          <w:szCs w:val="24"/>
        </w:rPr>
        <w:t xml:space="preserve">The applicant fails to meet CEQA compliance within </w:t>
      </w:r>
      <w:r w:rsidR="00BA62D7" w:rsidRPr="002C03D0">
        <w:rPr>
          <w:sz w:val="24"/>
          <w:szCs w:val="24"/>
        </w:rPr>
        <w:t xml:space="preserve">sufficient time for the </w:t>
      </w:r>
      <w:r w:rsidR="008F4A0E" w:rsidRPr="002C03D0">
        <w:rPr>
          <w:sz w:val="24"/>
          <w:szCs w:val="24"/>
        </w:rPr>
        <w:t>CEC</w:t>
      </w:r>
      <w:r w:rsidR="00BA62D7" w:rsidRPr="002C03D0">
        <w:rPr>
          <w:sz w:val="24"/>
          <w:szCs w:val="24"/>
        </w:rPr>
        <w:t xml:space="preserve"> to meet its encumbrance deadline</w:t>
      </w:r>
      <w:r w:rsidR="00050EB6" w:rsidRPr="002C03D0">
        <w:rPr>
          <w:sz w:val="24"/>
          <w:szCs w:val="24"/>
        </w:rPr>
        <w:t xml:space="preserve"> or </w:t>
      </w:r>
      <w:r w:rsidR="00C408FB" w:rsidRPr="002C03D0">
        <w:rPr>
          <w:sz w:val="24"/>
          <w:szCs w:val="24"/>
        </w:rPr>
        <w:t xml:space="preserve">any </w:t>
      </w:r>
      <w:r w:rsidR="00050EB6" w:rsidRPr="002C03D0">
        <w:rPr>
          <w:sz w:val="24"/>
          <w:szCs w:val="24"/>
        </w:rPr>
        <w:t>other deadlines</w:t>
      </w:r>
      <w:r w:rsidR="00BA62D7" w:rsidRPr="002C03D0">
        <w:rPr>
          <w:sz w:val="24"/>
          <w:szCs w:val="24"/>
        </w:rPr>
        <w:t xml:space="preserve">, as the </w:t>
      </w:r>
      <w:r w:rsidR="008F4A0E" w:rsidRPr="002C03D0">
        <w:rPr>
          <w:sz w:val="24"/>
          <w:szCs w:val="24"/>
        </w:rPr>
        <w:t>CEC</w:t>
      </w:r>
      <w:r w:rsidR="00BA62D7" w:rsidRPr="002C03D0">
        <w:rPr>
          <w:sz w:val="24"/>
          <w:szCs w:val="24"/>
        </w:rPr>
        <w:t xml:space="preserve"> in its sole and absolute discretion may determine</w:t>
      </w:r>
      <w:r w:rsidRPr="002C03D0">
        <w:rPr>
          <w:sz w:val="24"/>
          <w:szCs w:val="24"/>
        </w:rPr>
        <w:t>.</w:t>
      </w:r>
    </w:p>
    <w:p w14:paraId="4A50464D" w14:textId="77777777" w:rsidR="007B3F78" w:rsidRPr="002C03D0" w:rsidRDefault="007B3F78" w:rsidP="002C03D0">
      <w:pPr>
        <w:numPr>
          <w:ilvl w:val="0"/>
          <w:numId w:val="10"/>
        </w:numPr>
        <w:spacing w:after="0"/>
        <w:ind w:left="360"/>
        <w:rPr>
          <w:sz w:val="24"/>
          <w:szCs w:val="24"/>
        </w:rPr>
      </w:pPr>
      <w:r w:rsidRPr="002C03D0">
        <w:rPr>
          <w:sz w:val="24"/>
          <w:szCs w:val="24"/>
        </w:rPr>
        <w:t>The applicant has included a statement or otherwise indicated that it will not accept the terms and conditions, or that acceptance is based on modifications to the terms and conditions.</w:t>
      </w:r>
    </w:p>
    <w:p w14:paraId="04A5CCF2" w14:textId="77777777" w:rsidR="005A6240" w:rsidRPr="002C03D0" w:rsidRDefault="005A6240" w:rsidP="002C03D0">
      <w:pPr>
        <w:numPr>
          <w:ilvl w:val="0"/>
          <w:numId w:val="10"/>
        </w:numPr>
        <w:spacing w:after="0"/>
        <w:ind w:left="360"/>
        <w:rPr>
          <w:sz w:val="24"/>
          <w:szCs w:val="24"/>
        </w:rPr>
      </w:pPr>
      <w:r w:rsidRPr="002C03D0">
        <w:rPr>
          <w:sz w:val="24"/>
          <w:szCs w:val="24"/>
        </w:rPr>
        <w:t>The application contain</w:t>
      </w:r>
      <w:r w:rsidR="003A78C1" w:rsidRPr="002C03D0">
        <w:rPr>
          <w:sz w:val="24"/>
          <w:szCs w:val="24"/>
        </w:rPr>
        <w:t>s</w:t>
      </w:r>
      <w:r w:rsidRPr="002C03D0">
        <w:rPr>
          <w:sz w:val="24"/>
          <w:szCs w:val="24"/>
        </w:rPr>
        <w:t xml:space="preserve"> confidential information or identif</w:t>
      </w:r>
      <w:r w:rsidR="00050EB6" w:rsidRPr="002C03D0">
        <w:rPr>
          <w:sz w:val="24"/>
          <w:szCs w:val="24"/>
        </w:rPr>
        <w:t>ies</w:t>
      </w:r>
      <w:r w:rsidRPr="002C03D0">
        <w:rPr>
          <w:sz w:val="24"/>
          <w:szCs w:val="24"/>
        </w:rPr>
        <w:t xml:space="preserve"> any portion of the application as confidential.</w:t>
      </w:r>
    </w:p>
    <w:p w14:paraId="67B412A3" w14:textId="77777777" w:rsidR="001D57CC" w:rsidRPr="002C03D0" w:rsidRDefault="001D57CC" w:rsidP="002C03D0">
      <w:pPr>
        <w:spacing w:after="0"/>
        <w:ind w:left="360"/>
        <w:rPr>
          <w:sz w:val="24"/>
          <w:szCs w:val="24"/>
        </w:rPr>
      </w:pPr>
    </w:p>
    <w:p w14:paraId="023BF64C" w14:textId="77777777" w:rsidR="001C2D56" w:rsidRPr="00CF6DED" w:rsidRDefault="001C2D56" w:rsidP="002F32D3">
      <w:pPr>
        <w:pStyle w:val="Heading2"/>
        <w:numPr>
          <w:ilvl w:val="0"/>
          <w:numId w:val="57"/>
        </w:numPr>
      </w:pPr>
      <w:bookmarkStart w:id="175" w:name="_Toc121421352"/>
      <w:r w:rsidRPr="00CF6DED">
        <w:t>Miscellaneous</w:t>
      </w:r>
      <w:bookmarkEnd w:id="175"/>
    </w:p>
    <w:p w14:paraId="5164777B" w14:textId="77777777" w:rsidR="000E331F" w:rsidRPr="002C03D0" w:rsidRDefault="001C2D56" w:rsidP="002C03D0">
      <w:pPr>
        <w:pStyle w:val="ListParagraph"/>
        <w:numPr>
          <w:ilvl w:val="0"/>
          <w:numId w:val="32"/>
        </w:numPr>
        <w:tabs>
          <w:tab w:val="num" w:pos="360"/>
        </w:tabs>
        <w:rPr>
          <w:b/>
          <w:sz w:val="24"/>
          <w:szCs w:val="22"/>
        </w:rPr>
      </w:pPr>
      <w:bookmarkStart w:id="176" w:name="_Toc381079937"/>
      <w:bookmarkStart w:id="177" w:name="_Toc382571200"/>
      <w:bookmarkStart w:id="178" w:name="_Toc395180710"/>
      <w:bookmarkStart w:id="179" w:name="_Toc433981339"/>
      <w:r w:rsidRPr="002C03D0">
        <w:rPr>
          <w:b/>
          <w:sz w:val="24"/>
          <w:szCs w:val="22"/>
        </w:rPr>
        <w:t>Solicitation Cancellation and Amendment</w:t>
      </w:r>
      <w:bookmarkEnd w:id="176"/>
      <w:bookmarkEnd w:id="177"/>
      <w:bookmarkEnd w:id="178"/>
      <w:bookmarkEnd w:id="179"/>
    </w:p>
    <w:p w14:paraId="16489A88" w14:textId="77777777" w:rsidR="00344986" w:rsidRPr="002C03D0" w:rsidRDefault="001C2D56" w:rsidP="002C03D0">
      <w:pPr>
        <w:ind w:left="360"/>
        <w:rPr>
          <w:sz w:val="24"/>
          <w:szCs w:val="22"/>
        </w:rPr>
      </w:pPr>
      <w:bookmarkStart w:id="180" w:name="_Toc381079938"/>
      <w:bookmarkStart w:id="181" w:name="_Toc382571201"/>
      <w:bookmarkStart w:id="182" w:name="_Toc395180711"/>
      <w:r w:rsidRPr="002C03D0">
        <w:rPr>
          <w:sz w:val="24"/>
          <w:szCs w:val="22"/>
        </w:rPr>
        <w:t xml:space="preserve">It is the policy of the </w:t>
      </w:r>
      <w:r w:rsidR="008F4A0E" w:rsidRPr="002C03D0">
        <w:rPr>
          <w:sz w:val="24"/>
          <w:szCs w:val="22"/>
        </w:rPr>
        <w:t>CEC</w:t>
      </w:r>
      <w:r w:rsidRPr="002C03D0">
        <w:rPr>
          <w:sz w:val="24"/>
          <w:szCs w:val="22"/>
        </w:rPr>
        <w:t xml:space="preserve"> not to solicit applications unless there is a bona fide intention to award an a</w:t>
      </w:r>
      <w:r w:rsidR="00600DCF" w:rsidRPr="002C03D0">
        <w:rPr>
          <w:sz w:val="24"/>
          <w:szCs w:val="22"/>
        </w:rPr>
        <w:t xml:space="preserve">greement. </w:t>
      </w:r>
      <w:r w:rsidRPr="002C03D0">
        <w:rPr>
          <w:sz w:val="24"/>
          <w:szCs w:val="22"/>
        </w:rPr>
        <w:t xml:space="preserve">However, if it is in the State’s best interest, the </w:t>
      </w:r>
      <w:r w:rsidR="008F4A0E" w:rsidRPr="002C03D0">
        <w:rPr>
          <w:sz w:val="24"/>
          <w:szCs w:val="22"/>
        </w:rPr>
        <w:t>CEC</w:t>
      </w:r>
      <w:r w:rsidRPr="002C03D0">
        <w:rPr>
          <w:sz w:val="24"/>
          <w:szCs w:val="22"/>
        </w:rPr>
        <w:t xml:space="preserve"> reserves the right</w:t>
      </w:r>
      <w:r w:rsidR="00C264F4" w:rsidRPr="002C03D0">
        <w:rPr>
          <w:sz w:val="24"/>
          <w:szCs w:val="22"/>
        </w:rPr>
        <w:t>, in addition to any other rights it has,</w:t>
      </w:r>
      <w:r w:rsidRPr="002C03D0">
        <w:rPr>
          <w:sz w:val="24"/>
          <w:szCs w:val="22"/>
        </w:rPr>
        <w:t xml:space="preserve"> to do any of the following:</w:t>
      </w:r>
      <w:bookmarkEnd w:id="180"/>
      <w:bookmarkEnd w:id="181"/>
      <w:bookmarkEnd w:id="182"/>
    </w:p>
    <w:p w14:paraId="7A5D0CA6" w14:textId="77777777" w:rsidR="005E52CD" w:rsidRPr="002C03D0" w:rsidRDefault="001C2D56" w:rsidP="002C03D0">
      <w:pPr>
        <w:numPr>
          <w:ilvl w:val="0"/>
          <w:numId w:val="11"/>
        </w:numPr>
        <w:spacing w:after="0"/>
        <w:ind w:left="810" w:hanging="450"/>
        <w:rPr>
          <w:sz w:val="24"/>
          <w:szCs w:val="24"/>
        </w:rPr>
      </w:pPr>
      <w:r w:rsidRPr="002C03D0">
        <w:rPr>
          <w:sz w:val="24"/>
          <w:szCs w:val="24"/>
        </w:rPr>
        <w:t xml:space="preserve">Cancel this </w:t>
      </w:r>
      <w:proofErr w:type="gramStart"/>
      <w:r w:rsidRPr="002C03D0">
        <w:rPr>
          <w:sz w:val="24"/>
          <w:szCs w:val="24"/>
        </w:rPr>
        <w:t>solicitation;</w:t>
      </w:r>
      <w:proofErr w:type="gramEnd"/>
    </w:p>
    <w:p w14:paraId="5EBB33D0" w14:textId="77777777" w:rsidR="005E52CD" w:rsidRPr="002C03D0" w:rsidRDefault="001C2D56" w:rsidP="002C03D0">
      <w:pPr>
        <w:numPr>
          <w:ilvl w:val="0"/>
          <w:numId w:val="11"/>
        </w:numPr>
        <w:spacing w:after="0"/>
        <w:ind w:left="810" w:hanging="450"/>
        <w:rPr>
          <w:sz w:val="24"/>
          <w:szCs w:val="24"/>
        </w:rPr>
      </w:pPr>
      <w:r w:rsidRPr="002C03D0">
        <w:rPr>
          <w:sz w:val="24"/>
          <w:szCs w:val="24"/>
        </w:rPr>
        <w:t xml:space="preserve">Revise the amount of funds available under this </w:t>
      </w:r>
      <w:proofErr w:type="gramStart"/>
      <w:r w:rsidRPr="002C03D0">
        <w:rPr>
          <w:sz w:val="24"/>
          <w:szCs w:val="24"/>
        </w:rPr>
        <w:t>solicitation;</w:t>
      </w:r>
      <w:proofErr w:type="gramEnd"/>
    </w:p>
    <w:p w14:paraId="4EBFA7F9" w14:textId="77777777" w:rsidR="005E52CD" w:rsidRPr="002C03D0" w:rsidRDefault="001C2D56" w:rsidP="002C03D0">
      <w:pPr>
        <w:numPr>
          <w:ilvl w:val="0"/>
          <w:numId w:val="11"/>
        </w:numPr>
        <w:spacing w:after="0"/>
        <w:ind w:left="810" w:hanging="450"/>
        <w:rPr>
          <w:sz w:val="24"/>
          <w:szCs w:val="24"/>
        </w:rPr>
      </w:pPr>
      <w:r w:rsidRPr="002C03D0">
        <w:rPr>
          <w:sz w:val="24"/>
          <w:szCs w:val="24"/>
        </w:rPr>
        <w:t>Amend this solicitation as needed; and/or</w:t>
      </w:r>
    </w:p>
    <w:p w14:paraId="299BED80" w14:textId="77777777" w:rsidR="005E52CD" w:rsidRPr="002C03D0" w:rsidRDefault="001C2D56" w:rsidP="002C03D0">
      <w:pPr>
        <w:numPr>
          <w:ilvl w:val="0"/>
          <w:numId w:val="11"/>
        </w:numPr>
        <w:ind w:left="810" w:hanging="450"/>
        <w:rPr>
          <w:sz w:val="24"/>
          <w:szCs w:val="24"/>
        </w:rPr>
      </w:pPr>
      <w:r w:rsidRPr="002C03D0">
        <w:rPr>
          <w:sz w:val="24"/>
          <w:szCs w:val="24"/>
        </w:rPr>
        <w:t>Reject any or all applications received in response to this solicitation.</w:t>
      </w:r>
    </w:p>
    <w:p w14:paraId="5DF30C82" w14:textId="77777777" w:rsidR="001C2D56" w:rsidRPr="002C03D0" w:rsidRDefault="001C2D56" w:rsidP="002C03D0">
      <w:pPr>
        <w:ind w:left="360"/>
        <w:rPr>
          <w:sz w:val="24"/>
          <w:szCs w:val="24"/>
        </w:rPr>
      </w:pPr>
      <w:r w:rsidRPr="002C03D0">
        <w:rPr>
          <w:sz w:val="24"/>
          <w:szCs w:val="24"/>
        </w:rPr>
        <w:t xml:space="preserve">If the solicitation is amended, the </w:t>
      </w:r>
      <w:r w:rsidR="008F4A0E" w:rsidRPr="002C03D0">
        <w:rPr>
          <w:sz w:val="24"/>
          <w:szCs w:val="24"/>
        </w:rPr>
        <w:t>CEC</w:t>
      </w:r>
      <w:r w:rsidRPr="002C03D0">
        <w:rPr>
          <w:sz w:val="24"/>
          <w:szCs w:val="24"/>
        </w:rPr>
        <w:t xml:space="preserve"> will send an addendum to all </w:t>
      </w:r>
      <w:r w:rsidR="00250EED" w:rsidRPr="002C03D0">
        <w:rPr>
          <w:sz w:val="24"/>
          <w:szCs w:val="24"/>
        </w:rPr>
        <w:t xml:space="preserve">entities that </w:t>
      </w:r>
      <w:r w:rsidRPr="002C03D0">
        <w:rPr>
          <w:sz w:val="24"/>
          <w:szCs w:val="24"/>
        </w:rPr>
        <w:t xml:space="preserve">requested the </w:t>
      </w:r>
      <w:proofErr w:type="gramStart"/>
      <w:r w:rsidRPr="002C03D0">
        <w:rPr>
          <w:sz w:val="24"/>
          <w:szCs w:val="24"/>
        </w:rPr>
        <w:t>solicitation, and</w:t>
      </w:r>
      <w:proofErr w:type="gramEnd"/>
      <w:r w:rsidRPr="002C03D0">
        <w:rPr>
          <w:sz w:val="24"/>
          <w:szCs w:val="24"/>
        </w:rPr>
        <w:t xml:space="preserve"> will also post it on the </w:t>
      </w:r>
      <w:r w:rsidR="008F4A0E" w:rsidRPr="002C03D0">
        <w:rPr>
          <w:sz w:val="24"/>
          <w:szCs w:val="24"/>
        </w:rPr>
        <w:t>CEC</w:t>
      </w:r>
      <w:r w:rsidRPr="002C03D0">
        <w:rPr>
          <w:sz w:val="24"/>
          <w:szCs w:val="24"/>
        </w:rPr>
        <w:t xml:space="preserve">’s website at: www.energy.ca.gov/contracts. The </w:t>
      </w:r>
      <w:r w:rsidR="008F4A0E" w:rsidRPr="002C03D0">
        <w:rPr>
          <w:sz w:val="24"/>
          <w:szCs w:val="24"/>
        </w:rPr>
        <w:t>CEC</w:t>
      </w:r>
      <w:r w:rsidRPr="002C03D0">
        <w:rPr>
          <w:sz w:val="24"/>
          <w:szCs w:val="24"/>
        </w:rPr>
        <w:t xml:space="preserve"> will not reimburse applicants for application development expenses under any circumstances, including cancellation of the solicitation.</w:t>
      </w:r>
    </w:p>
    <w:p w14:paraId="5033BC3B" w14:textId="77777777" w:rsidR="000E331F" w:rsidRPr="002C03D0" w:rsidRDefault="001C2D56" w:rsidP="002C03D0">
      <w:pPr>
        <w:pStyle w:val="ListParagraph"/>
        <w:numPr>
          <w:ilvl w:val="0"/>
          <w:numId w:val="32"/>
        </w:numPr>
        <w:tabs>
          <w:tab w:val="num" w:pos="360"/>
        </w:tabs>
        <w:rPr>
          <w:b/>
          <w:sz w:val="24"/>
          <w:szCs w:val="22"/>
        </w:rPr>
      </w:pPr>
      <w:bookmarkStart w:id="183" w:name="_Toc381079939"/>
      <w:bookmarkStart w:id="184" w:name="_Toc382571202"/>
      <w:bookmarkStart w:id="185" w:name="_Toc395180712"/>
      <w:bookmarkStart w:id="186" w:name="_Toc433981340"/>
      <w:r w:rsidRPr="002C03D0">
        <w:rPr>
          <w:b/>
          <w:sz w:val="24"/>
          <w:szCs w:val="22"/>
        </w:rPr>
        <w:t>Modification or Withdrawal of Application</w:t>
      </w:r>
      <w:bookmarkEnd w:id="183"/>
      <w:bookmarkEnd w:id="184"/>
      <w:bookmarkEnd w:id="185"/>
      <w:bookmarkEnd w:id="186"/>
    </w:p>
    <w:p w14:paraId="6BC8F793" w14:textId="77777777" w:rsidR="001C2D56" w:rsidRPr="002C03D0" w:rsidRDefault="001C2D56" w:rsidP="002C03D0">
      <w:pPr>
        <w:ind w:left="360"/>
        <w:rPr>
          <w:sz w:val="24"/>
          <w:szCs w:val="24"/>
        </w:rPr>
      </w:pPr>
      <w:r w:rsidRPr="002C03D0">
        <w:rPr>
          <w:sz w:val="24"/>
          <w:szCs w:val="24"/>
        </w:rPr>
        <w:t xml:space="preserve">Applicants may withdraw or modify a submitted application before the deadline to submit applications by sending a letter to the </w:t>
      </w:r>
      <w:r w:rsidR="0084366A" w:rsidRPr="002C03D0">
        <w:rPr>
          <w:sz w:val="24"/>
          <w:szCs w:val="24"/>
        </w:rPr>
        <w:t xml:space="preserve">Commission </w:t>
      </w:r>
      <w:r w:rsidRPr="002C03D0">
        <w:rPr>
          <w:sz w:val="24"/>
          <w:szCs w:val="24"/>
        </w:rPr>
        <w:t xml:space="preserve">Agreement Officer listed in Part I. Applications cannot be changed after that date and time.  An </w:t>
      </w:r>
      <w:proofErr w:type="gramStart"/>
      <w:r w:rsidRPr="002C03D0">
        <w:rPr>
          <w:sz w:val="24"/>
          <w:szCs w:val="24"/>
        </w:rPr>
        <w:t>Application</w:t>
      </w:r>
      <w:proofErr w:type="gramEnd"/>
      <w:r w:rsidRPr="002C03D0">
        <w:rPr>
          <w:sz w:val="24"/>
          <w:szCs w:val="24"/>
        </w:rPr>
        <w:t xml:space="preserve"> cannot be “timed” to expire on a specific date.  For example, a statement such as the following is non-responsive to the solicitation: “This application and the cost estimate are valid for 60 days.”</w:t>
      </w:r>
    </w:p>
    <w:p w14:paraId="17CEC1EF" w14:textId="77777777" w:rsidR="000E331F" w:rsidRPr="002C03D0" w:rsidRDefault="00F615BA" w:rsidP="002C03D0">
      <w:pPr>
        <w:pStyle w:val="ListParagraph"/>
        <w:numPr>
          <w:ilvl w:val="0"/>
          <w:numId w:val="32"/>
        </w:numPr>
        <w:tabs>
          <w:tab w:val="num" w:pos="360"/>
        </w:tabs>
        <w:rPr>
          <w:b/>
          <w:sz w:val="24"/>
          <w:szCs w:val="22"/>
        </w:rPr>
      </w:pPr>
      <w:bookmarkStart w:id="187" w:name="_Toc381079940"/>
      <w:bookmarkStart w:id="188" w:name="_Toc382571203"/>
      <w:bookmarkStart w:id="189" w:name="_Toc395180713"/>
      <w:bookmarkStart w:id="190" w:name="_Toc433981341"/>
      <w:bookmarkStart w:id="191" w:name="_Toc381079941"/>
      <w:r w:rsidRPr="002C03D0">
        <w:rPr>
          <w:b/>
          <w:sz w:val="24"/>
          <w:szCs w:val="22"/>
        </w:rPr>
        <w:t>Confidentiality</w:t>
      </w:r>
      <w:bookmarkEnd w:id="187"/>
      <w:bookmarkEnd w:id="188"/>
      <w:bookmarkEnd w:id="189"/>
      <w:bookmarkEnd w:id="190"/>
    </w:p>
    <w:p w14:paraId="71F2A74B" w14:textId="77777777" w:rsidR="001D740D" w:rsidRPr="002C03D0" w:rsidRDefault="00F615BA" w:rsidP="002C03D0">
      <w:pPr>
        <w:spacing w:after="160"/>
        <w:ind w:left="360"/>
        <w:rPr>
          <w:i/>
          <w:color w:val="00B0F0"/>
          <w:sz w:val="24"/>
          <w:szCs w:val="22"/>
        </w:rPr>
      </w:pPr>
      <w:r w:rsidRPr="002C03D0">
        <w:rPr>
          <w:sz w:val="24"/>
          <w:szCs w:val="22"/>
        </w:rPr>
        <w:t xml:space="preserve">Though the entire evaluation process from receipt of applications up to the posting of the NOPA is confidential, </w:t>
      </w:r>
      <w:r w:rsidRPr="002C03D0">
        <w:rPr>
          <w:b/>
          <w:sz w:val="24"/>
          <w:szCs w:val="22"/>
        </w:rPr>
        <w:t>all submitted documents will become public</w:t>
      </w:r>
      <w:r w:rsidR="00275477" w:rsidRPr="002C03D0">
        <w:rPr>
          <w:b/>
          <w:sz w:val="24"/>
          <w:szCs w:val="22"/>
        </w:rPr>
        <w:t>ly</w:t>
      </w:r>
      <w:r w:rsidRPr="002C03D0">
        <w:rPr>
          <w:b/>
          <w:sz w:val="24"/>
          <w:szCs w:val="22"/>
        </w:rPr>
        <w:t xml:space="preserve"> </w:t>
      </w:r>
      <w:r w:rsidR="00275477" w:rsidRPr="002C03D0">
        <w:rPr>
          <w:b/>
          <w:sz w:val="24"/>
          <w:szCs w:val="22"/>
        </w:rPr>
        <w:t xml:space="preserve">available </w:t>
      </w:r>
      <w:r w:rsidRPr="002C03D0">
        <w:rPr>
          <w:b/>
          <w:sz w:val="24"/>
          <w:szCs w:val="22"/>
        </w:rPr>
        <w:t>records</w:t>
      </w:r>
      <w:r w:rsidRPr="002C03D0">
        <w:rPr>
          <w:sz w:val="24"/>
          <w:szCs w:val="22"/>
        </w:rPr>
        <w:t xml:space="preserve"> after the </w:t>
      </w:r>
      <w:r w:rsidR="008F4A0E" w:rsidRPr="002C03D0">
        <w:rPr>
          <w:sz w:val="24"/>
          <w:szCs w:val="22"/>
        </w:rPr>
        <w:t>CEC</w:t>
      </w:r>
      <w:r w:rsidRPr="002C03D0">
        <w:rPr>
          <w:sz w:val="24"/>
          <w:szCs w:val="22"/>
        </w:rPr>
        <w:t xml:space="preserve"> posts the NOPA or the solicitation is cancelled.  </w:t>
      </w:r>
      <w:r w:rsidRPr="002C03D0">
        <w:rPr>
          <w:b/>
          <w:sz w:val="24"/>
          <w:szCs w:val="22"/>
        </w:rPr>
        <w:t xml:space="preserve">The </w:t>
      </w:r>
      <w:r w:rsidR="008F4A0E" w:rsidRPr="002C03D0">
        <w:rPr>
          <w:b/>
          <w:sz w:val="24"/>
          <w:szCs w:val="22"/>
        </w:rPr>
        <w:t>CEC</w:t>
      </w:r>
      <w:r w:rsidRPr="002C03D0">
        <w:rPr>
          <w:b/>
          <w:sz w:val="24"/>
          <w:szCs w:val="22"/>
        </w:rPr>
        <w:t xml:space="preserve"> will not accept or retain applications that identify any </w:t>
      </w:r>
      <w:r w:rsidR="006E3A05" w:rsidRPr="002C03D0">
        <w:rPr>
          <w:b/>
          <w:sz w:val="24"/>
          <w:szCs w:val="22"/>
        </w:rPr>
        <w:t xml:space="preserve">portion </w:t>
      </w:r>
      <w:r w:rsidRPr="002C03D0">
        <w:rPr>
          <w:b/>
          <w:sz w:val="24"/>
          <w:szCs w:val="22"/>
        </w:rPr>
        <w:t>as confidential.</w:t>
      </w:r>
      <w:r w:rsidR="005028D9" w:rsidRPr="002C03D0" w:rsidDel="005028D9">
        <w:rPr>
          <w:sz w:val="24"/>
          <w:szCs w:val="22"/>
        </w:rPr>
        <w:t xml:space="preserve"> </w:t>
      </w:r>
    </w:p>
    <w:p w14:paraId="0508CE4D" w14:textId="77777777" w:rsidR="000E331F" w:rsidRPr="002C03D0" w:rsidRDefault="001C2D56" w:rsidP="002C03D0">
      <w:pPr>
        <w:pStyle w:val="ListParagraph"/>
        <w:numPr>
          <w:ilvl w:val="0"/>
          <w:numId w:val="32"/>
        </w:numPr>
        <w:tabs>
          <w:tab w:val="num" w:pos="360"/>
        </w:tabs>
        <w:spacing w:after="160"/>
        <w:rPr>
          <w:b/>
          <w:sz w:val="24"/>
          <w:szCs w:val="22"/>
        </w:rPr>
      </w:pPr>
      <w:bookmarkStart w:id="192" w:name="_Toc382571204"/>
      <w:bookmarkStart w:id="193" w:name="_Toc395180714"/>
      <w:bookmarkStart w:id="194" w:name="_Toc433981342"/>
      <w:r w:rsidRPr="002C03D0">
        <w:rPr>
          <w:b/>
          <w:sz w:val="24"/>
          <w:szCs w:val="22"/>
        </w:rPr>
        <w:t>Solicitation Errors</w:t>
      </w:r>
      <w:bookmarkEnd w:id="191"/>
      <w:bookmarkEnd w:id="192"/>
      <w:bookmarkEnd w:id="193"/>
      <w:bookmarkEnd w:id="194"/>
    </w:p>
    <w:p w14:paraId="3DDF22BC" w14:textId="77777777" w:rsidR="001C2D56" w:rsidRPr="002C03D0" w:rsidRDefault="001C2D56" w:rsidP="002C03D0">
      <w:pPr>
        <w:ind w:left="360"/>
        <w:rPr>
          <w:sz w:val="24"/>
          <w:szCs w:val="24"/>
        </w:rPr>
      </w:pPr>
      <w:r w:rsidRPr="002C03D0">
        <w:rPr>
          <w:sz w:val="24"/>
          <w:szCs w:val="24"/>
        </w:rPr>
        <w:t xml:space="preserve">If an applicant discovers any ambiguity, conflict, discrepancy, omission, or other error in the solicitation, the applicant should immediately notify the </w:t>
      </w:r>
      <w:r w:rsidR="008F4A0E" w:rsidRPr="002C03D0">
        <w:rPr>
          <w:sz w:val="24"/>
          <w:szCs w:val="24"/>
        </w:rPr>
        <w:t>CEC</w:t>
      </w:r>
      <w:r w:rsidRPr="002C03D0">
        <w:rPr>
          <w:sz w:val="24"/>
          <w:szCs w:val="24"/>
        </w:rPr>
        <w:t xml:space="preserve"> of the error in writing and request modification or clarification of the solicitation.  The </w:t>
      </w:r>
      <w:r w:rsidR="008F4A0E" w:rsidRPr="002C03D0">
        <w:rPr>
          <w:sz w:val="24"/>
          <w:szCs w:val="24"/>
        </w:rPr>
        <w:t>CEC</w:t>
      </w:r>
      <w:r w:rsidRPr="002C03D0">
        <w:rPr>
          <w:sz w:val="24"/>
          <w:szCs w:val="24"/>
        </w:rPr>
        <w:t xml:space="preserve"> will provide modifications or clarifications by written notice to all </w:t>
      </w:r>
      <w:r w:rsidR="00275477" w:rsidRPr="002C03D0">
        <w:rPr>
          <w:sz w:val="24"/>
          <w:szCs w:val="24"/>
        </w:rPr>
        <w:t>entities that</w:t>
      </w:r>
      <w:r w:rsidRPr="002C03D0">
        <w:rPr>
          <w:sz w:val="24"/>
          <w:szCs w:val="24"/>
        </w:rPr>
        <w:t xml:space="preserve"> requested the solicitation.  The </w:t>
      </w:r>
      <w:r w:rsidR="008F4A0E" w:rsidRPr="002C03D0">
        <w:rPr>
          <w:sz w:val="24"/>
          <w:szCs w:val="24"/>
        </w:rPr>
        <w:t>CEC</w:t>
      </w:r>
      <w:r w:rsidRPr="002C03D0">
        <w:rPr>
          <w:sz w:val="24"/>
          <w:szCs w:val="24"/>
        </w:rPr>
        <w:t xml:space="preserve"> will not be responsible for failure to correct errors.</w:t>
      </w:r>
    </w:p>
    <w:p w14:paraId="34445A11" w14:textId="77777777" w:rsidR="000E331F" w:rsidRPr="002C03D0" w:rsidRDefault="001C2D56" w:rsidP="002C03D0">
      <w:pPr>
        <w:pStyle w:val="ListParagraph"/>
        <w:numPr>
          <w:ilvl w:val="0"/>
          <w:numId w:val="32"/>
        </w:numPr>
        <w:tabs>
          <w:tab w:val="num" w:pos="360"/>
        </w:tabs>
        <w:rPr>
          <w:b/>
          <w:sz w:val="24"/>
          <w:szCs w:val="22"/>
        </w:rPr>
      </w:pPr>
      <w:bookmarkStart w:id="195" w:name="_Toc381079942"/>
      <w:bookmarkStart w:id="196" w:name="_Toc382571205"/>
      <w:bookmarkStart w:id="197" w:name="_Toc395180715"/>
      <w:bookmarkStart w:id="198" w:name="_Toc433981343"/>
      <w:r w:rsidRPr="002C03D0">
        <w:rPr>
          <w:b/>
          <w:sz w:val="24"/>
          <w:szCs w:val="22"/>
        </w:rPr>
        <w:t>Immaterial Defect</w:t>
      </w:r>
      <w:bookmarkEnd w:id="195"/>
      <w:bookmarkEnd w:id="196"/>
      <w:bookmarkEnd w:id="197"/>
      <w:bookmarkEnd w:id="198"/>
    </w:p>
    <w:p w14:paraId="3D401ADD" w14:textId="77777777" w:rsidR="001C2D56" w:rsidRPr="002C03D0" w:rsidRDefault="001C2D56" w:rsidP="002C03D0">
      <w:pPr>
        <w:ind w:left="360"/>
        <w:rPr>
          <w:sz w:val="24"/>
          <w:szCs w:val="24"/>
        </w:rPr>
      </w:pPr>
      <w:r w:rsidRPr="002C03D0">
        <w:rPr>
          <w:sz w:val="24"/>
          <w:szCs w:val="24"/>
        </w:rPr>
        <w:t xml:space="preserve">The </w:t>
      </w:r>
      <w:r w:rsidR="008F4A0E" w:rsidRPr="002C03D0">
        <w:rPr>
          <w:sz w:val="24"/>
          <w:szCs w:val="24"/>
        </w:rPr>
        <w:t>CEC</w:t>
      </w:r>
      <w:r w:rsidRPr="002C03D0">
        <w:rPr>
          <w:sz w:val="24"/>
          <w:szCs w:val="24"/>
        </w:rPr>
        <w:t xml:space="preserve"> may waive any immaterial defect or deviation contained in an application.  The </w:t>
      </w:r>
      <w:r w:rsidR="008F4A0E" w:rsidRPr="002C03D0">
        <w:rPr>
          <w:sz w:val="24"/>
          <w:szCs w:val="24"/>
        </w:rPr>
        <w:t>CEC</w:t>
      </w:r>
      <w:r w:rsidRPr="002C03D0">
        <w:rPr>
          <w:sz w:val="24"/>
          <w:szCs w:val="24"/>
        </w:rPr>
        <w:t>’s waiver will not modify the application or excuse the successful applicant from full compliance with solicitation requirements.</w:t>
      </w:r>
    </w:p>
    <w:p w14:paraId="5F535E36" w14:textId="77777777" w:rsidR="000E331F" w:rsidRPr="002C03D0" w:rsidRDefault="001C2D56" w:rsidP="002C03D0">
      <w:pPr>
        <w:pStyle w:val="ListParagraph"/>
        <w:numPr>
          <w:ilvl w:val="0"/>
          <w:numId w:val="32"/>
        </w:numPr>
        <w:tabs>
          <w:tab w:val="num" w:pos="360"/>
        </w:tabs>
        <w:rPr>
          <w:b/>
          <w:sz w:val="24"/>
          <w:szCs w:val="22"/>
        </w:rPr>
      </w:pPr>
      <w:bookmarkStart w:id="199" w:name="_Toc381079943"/>
      <w:bookmarkStart w:id="200" w:name="_Toc382571206"/>
      <w:bookmarkStart w:id="201" w:name="_Toc395180716"/>
      <w:bookmarkStart w:id="202" w:name="_Toc433981344"/>
      <w:r w:rsidRPr="002C03D0">
        <w:rPr>
          <w:b/>
          <w:sz w:val="24"/>
          <w:szCs w:val="22"/>
        </w:rPr>
        <w:t>Disposition of Applicant’s Documents</w:t>
      </w:r>
      <w:bookmarkEnd w:id="199"/>
      <w:bookmarkEnd w:id="200"/>
      <w:bookmarkEnd w:id="201"/>
      <w:bookmarkEnd w:id="202"/>
    </w:p>
    <w:p w14:paraId="1C5213DD" w14:textId="77777777" w:rsidR="001C2D56" w:rsidRPr="002C03D0" w:rsidRDefault="001C2D56" w:rsidP="002C03D0">
      <w:pPr>
        <w:ind w:left="360"/>
        <w:rPr>
          <w:sz w:val="24"/>
          <w:szCs w:val="24"/>
        </w:rPr>
      </w:pPr>
      <w:r w:rsidRPr="002C03D0">
        <w:rPr>
          <w:sz w:val="24"/>
          <w:szCs w:val="24"/>
        </w:rPr>
        <w:t>Upon the posting of the NOPA, all applications and related materials submitted in response to this solicitation will become property of the State and public</w:t>
      </w:r>
      <w:r w:rsidR="00275477" w:rsidRPr="002C03D0">
        <w:rPr>
          <w:sz w:val="24"/>
          <w:szCs w:val="24"/>
        </w:rPr>
        <w:t>ly</w:t>
      </w:r>
      <w:r w:rsidRPr="002C03D0">
        <w:rPr>
          <w:sz w:val="24"/>
          <w:szCs w:val="24"/>
        </w:rPr>
        <w:t xml:space="preserve"> </w:t>
      </w:r>
      <w:r w:rsidR="00275477" w:rsidRPr="002C03D0">
        <w:rPr>
          <w:sz w:val="24"/>
          <w:szCs w:val="24"/>
        </w:rPr>
        <w:t xml:space="preserve">available </w:t>
      </w:r>
      <w:r w:rsidRPr="002C03D0">
        <w:rPr>
          <w:sz w:val="24"/>
          <w:szCs w:val="24"/>
        </w:rPr>
        <w:t xml:space="preserve">records.  </w:t>
      </w:r>
      <w:r w:rsidR="00DA111A" w:rsidRPr="002C03D0">
        <w:rPr>
          <w:sz w:val="24"/>
          <w:szCs w:val="24"/>
        </w:rPr>
        <w:t>Unsuccessful a</w:t>
      </w:r>
      <w:r w:rsidRPr="002C03D0">
        <w:rPr>
          <w:sz w:val="24"/>
          <w:szCs w:val="24"/>
        </w:rPr>
        <w:t xml:space="preserve">pplicants who seek the return of any materials must make this request to the Agreement Officer listed in Part </w:t>
      </w:r>
      <w:proofErr w:type="gramStart"/>
      <w:r w:rsidRPr="002C03D0">
        <w:rPr>
          <w:sz w:val="24"/>
          <w:szCs w:val="24"/>
        </w:rPr>
        <w:t>I, and</w:t>
      </w:r>
      <w:proofErr w:type="gramEnd"/>
      <w:r w:rsidRPr="002C03D0">
        <w:rPr>
          <w:sz w:val="24"/>
          <w:szCs w:val="24"/>
        </w:rPr>
        <w:t xml:space="preserve">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2F32D3">
      <w:pPr>
        <w:pStyle w:val="Heading2"/>
        <w:numPr>
          <w:ilvl w:val="0"/>
          <w:numId w:val="57"/>
        </w:numPr>
      </w:pPr>
      <w:bookmarkStart w:id="203" w:name="_Toc433981345"/>
      <w:bookmarkStart w:id="204" w:name="_Toc121421353"/>
      <w:r w:rsidRPr="00CF6DED">
        <w:t>Stage One:  Application Screening</w:t>
      </w:r>
      <w:bookmarkEnd w:id="203"/>
      <w:bookmarkEnd w:id="2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2C03D0"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2C03D0" w:rsidRDefault="003B7447" w:rsidP="002C03D0">
            <w:pPr>
              <w:rPr>
                <w:b/>
                <w:caps/>
                <w:sz w:val="24"/>
                <w:szCs w:val="24"/>
              </w:rPr>
            </w:pPr>
            <w:r w:rsidRPr="002C03D0">
              <w:rPr>
                <w:b/>
                <w:caps/>
                <w:sz w:val="24"/>
                <w:szCs w:val="24"/>
              </w:rPr>
              <w:t xml:space="preserve">Screening Criteria </w:t>
            </w:r>
          </w:p>
          <w:p w14:paraId="29C12682" w14:textId="77777777" w:rsidR="003B7447" w:rsidRPr="002C03D0" w:rsidRDefault="003B7447" w:rsidP="002C03D0">
            <w:pPr>
              <w:rPr>
                <w:i/>
                <w:sz w:val="24"/>
                <w:szCs w:val="24"/>
              </w:rPr>
            </w:pPr>
            <w:r w:rsidRPr="002C03D0">
              <w:rPr>
                <w:i/>
                <w:sz w:val="24"/>
                <w:szCs w:val="24"/>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2C03D0" w:rsidRDefault="003B7447" w:rsidP="002C03D0">
            <w:pPr>
              <w:rPr>
                <w:b/>
                <w:sz w:val="24"/>
                <w:szCs w:val="24"/>
              </w:rPr>
            </w:pPr>
            <w:r w:rsidRPr="002C03D0">
              <w:rPr>
                <w:b/>
                <w:noProof/>
                <w:sz w:val="24"/>
                <w:szCs w:val="24"/>
              </w:rPr>
              <w:t>Pass/Fail</w:t>
            </w:r>
          </w:p>
        </w:tc>
      </w:tr>
      <w:tr w:rsidR="003B7447" w:rsidRPr="002C03D0" w14:paraId="0EFD02A0" w14:textId="77777777" w:rsidTr="007E41D6">
        <w:tc>
          <w:tcPr>
            <w:tcW w:w="7231" w:type="dxa"/>
          </w:tcPr>
          <w:p w14:paraId="6678C8C4" w14:textId="77777777" w:rsidR="003B7447" w:rsidRPr="002C03D0" w:rsidRDefault="003B7447" w:rsidP="002C03D0">
            <w:pPr>
              <w:numPr>
                <w:ilvl w:val="0"/>
                <w:numId w:val="8"/>
              </w:numPr>
              <w:rPr>
                <w:sz w:val="24"/>
                <w:szCs w:val="24"/>
              </w:rPr>
            </w:pPr>
            <w:r w:rsidRPr="002C03D0">
              <w:rPr>
                <w:sz w:val="24"/>
                <w:szCs w:val="24"/>
              </w:rPr>
              <w:t xml:space="preserve">The application is received by the </w:t>
            </w:r>
            <w:r w:rsidR="008F4A0E" w:rsidRPr="002C03D0">
              <w:rPr>
                <w:sz w:val="24"/>
                <w:szCs w:val="24"/>
              </w:rPr>
              <w:t>CEC</w:t>
            </w:r>
            <w:r w:rsidRPr="002C03D0">
              <w:rPr>
                <w:sz w:val="24"/>
                <w:szCs w:val="24"/>
              </w:rPr>
              <w:t xml:space="preserve">’s Contracts, Grants, and Loans Office by the due date and time specified in the “Key Activities Schedule” in Part I of this solicitation and is received in the required manner (e.g., no emails or faxes). </w:t>
            </w:r>
          </w:p>
        </w:tc>
        <w:tc>
          <w:tcPr>
            <w:tcW w:w="2119" w:type="dxa"/>
          </w:tcPr>
          <w:p w14:paraId="1BFB33C0" w14:textId="103962B8" w:rsidR="003B7447" w:rsidRPr="002C03D0" w:rsidRDefault="003B7447" w:rsidP="002C03D0">
            <w:pPr>
              <w:keepLines/>
              <w:spacing w:after="0"/>
              <w:rPr>
                <w:noProof/>
                <w:sz w:val="24"/>
                <w:szCs w:val="24"/>
              </w:rPr>
            </w:pP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 xml:space="preserve">Pass   </w:t>
            </w: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Fail</w:t>
            </w:r>
          </w:p>
        </w:tc>
      </w:tr>
      <w:tr w:rsidR="003B7447" w:rsidRPr="002C03D0" w14:paraId="1053BFDC" w14:textId="77777777" w:rsidTr="007E41D6">
        <w:tc>
          <w:tcPr>
            <w:tcW w:w="7231" w:type="dxa"/>
            <w:tcBorders>
              <w:bottom w:val="single" w:sz="4" w:space="0" w:color="000000"/>
            </w:tcBorders>
          </w:tcPr>
          <w:p w14:paraId="1B5A7E9B" w14:textId="77777777" w:rsidR="003B7447" w:rsidRPr="002C03D0" w:rsidRDefault="003B7447" w:rsidP="002C03D0">
            <w:pPr>
              <w:numPr>
                <w:ilvl w:val="0"/>
                <w:numId w:val="8"/>
              </w:numPr>
              <w:rPr>
                <w:sz w:val="24"/>
                <w:szCs w:val="24"/>
              </w:rPr>
            </w:pPr>
            <w:r w:rsidRPr="002C03D0">
              <w:rPr>
                <w:sz w:val="24"/>
                <w:szCs w:val="24"/>
              </w:rPr>
              <w:t>The application Form (Attachment 1) is signed where indicated.</w:t>
            </w:r>
          </w:p>
        </w:tc>
        <w:tc>
          <w:tcPr>
            <w:tcW w:w="2119" w:type="dxa"/>
            <w:tcBorders>
              <w:bottom w:val="single" w:sz="4" w:space="0" w:color="000000"/>
            </w:tcBorders>
          </w:tcPr>
          <w:p w14:paraId="1AA39339" w14:textId="60FCFD0B" w:rsidR="003B7447" w:rsidRPr="002C03D0" w:rsidRDefault="003B7447" w:rsidP="002C03D0">
            <w:pPr>
              <w:keepLines/>
              <w:spacing w:after="0"/>
              <w:rPr>
                <w:sz w:val="24"/>
                <w:szCs w:val="24"/>
              </w:rPr>
            </w:pP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 xml:space="preserve">Pass   </w:t>
            </w: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Fai</w:t>
            </w:r>
            <w:r w:rsidR="002C03D0">
              <w:rPr>
                <w:noProof/>
                <w:sz w:val="24"/>
                <w:szCs w:val="24"/>
              </w:rPr>
              <w:t>l</w:t>
            </w:r>
          </w:p>
        </w:tc>
      </w:tr>
      <w:tr w:rsidR="00C94DB7" w:rsidRPr="002C03D0" w14:paraId="79227260" w14:textId="77777777" w:rsidTr="006758FA">
        <w:tc>
          <w:tcPr>
            <w:tcW w:w="7231" w:type="dxa"/>
            <w:tcBorders>
              <w:top w:val="single" w:sz="8" w:space="0" w:color="000000"/>
              <w:bottom w:val="single" w:sz="24" w:space="0" w:color="000000"/>
            </w:tcBorders>
          </w:tcPr>
          <w:p w14:paraId="77F41FB4" w14:textId="77777777" w:rsidR="00C94DB7" w:rsidRPr="002C03D0" w:rsidRDefault="00C94DB7" w:rsidP="002C03D0">
            <w:pPr>
              <w:numPr>
                <w:ilvl w:val="0"/>
                <w:numId w:val="8"/>
              </w:numPr>
              <w:rPr>
                <w:sz w:val="24"/>
                <w:szCs w:val="24"/>
              </w:rPr>
            </w:pPr>
            <w:r w:rsidRPr="002C03D0">
              <w:rPr>
                <w:sz w:val="24"/>
                <w:szCs w:val="24"/>
              </w:rPr>
              <w:t xml:space="preserve">The Applicant Declaration Form (Attachment 12) is signed where indicated. </w:t>
            </w:r>
          </w:p>
        </w:tc>
        <w:tc>
          <w:tcPr>
            <w:tcW w:w="2119" w:type="dxa"/>
            <w:tcBorders>
              <w:top w:val="single" w:sz="8" w:space="0" w:color="000000"/>
              <w:bottom w:val="single" w:sz="24" w:space="0" w:color="000000"/>
            </w:tcBorders>
          </w:tcPr>
          <w:p w14:paraId="70B8B5C6" w14:textId="6484678F" w:rsidR="00C94DB7" w:rsidRPr="002C03D0" w:rsidRDefault="00C94DB7" w:rsidP="002C03D0">
            <w:pPr>
              <w:keepLines/>
              <w:spacing w:after="0"/>
              <w:rPr>
                <w:sz w:val="24"/>
                <w:szCs w:val="24"/>
              </w:rPr>
            </w:pP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 xml:space="preserve">Pass   </w:t>
            </w: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Fail</w:t>
            </w:r>
          </w:p>
        </w:tc>
      </w:tr>
      <w:tr w:rsidR="00176ACE" w:rsidRPr="002C03D0" w14:paraId="0625B362" w14:textId="77777777" w:rsidTr="003A0A6F">
        <w:tc>
          <w:tcPr>
            <w:tcW w:w="7231" w:type="dxa"/>
            <w:tcBorders>
              <w:top w:val="single" w:sz="8" w:space="0" w:color="000000"/>
              <w:left w:val="single" w:sz="4" w:space="0" w:color="000000"/>
              <w:bottom w:val="single" w:sz="4" w:space="0" w:color="auto"/>
              <w:right w:val="single" w:sz="4" w:space="0" w:color="000000"/>
            </w:tcBorders>
          </w:tcPr>
          <w:p w14:paraId="398ABA0C" w14:textId="77777777" w:rsidR="00176ACE" w:rsidRPr="002C03D0" w:rsidRDefault="00176ACE" w:rsidP="002C03D0">
            <w:pPr>
              <w:pStyle w:val="ListParagraph"/>
              <w:numPr>
                <w:ilvl w:val="0"/>
                <w:numId w:val="8"/>
              </w:numPr>
              <w:rPr>
                <w:sz w:val="24"/>
                <w:szCs w:val="24"/>
              </w:rPr>
            </w:pPr>
            <w:r w:rsidRPr="002C03D0">
              <w:rPr>
                <w:sz w:val="24"/>
                <w:szCs w:val="24"/>
              </w:rPr>
              <w:t xml:space="preserve">(Delete this screening criterion if using only one Group) The application addresses only one of the eligible project groups, as indicated on the Application Form. </w:t>
            </w:r>
          </w:p>
        </w:tc>
        <w:tc>
          <w:tcPr>
            <w:tcW w:w="2119" w:type="dxa"/>
            <w:tcBorders>
              <w:top w:val="single" w:sz="8" w:space="0" w:color="000000"/>
              <w:left w:val="single" w:sz="4" w:space="0" w:color="000000"/>
              <w:bottom w:val="single" w:sz="4" w:space="0" w:color="auto"/>
              <w:right w:val="single" w:sz="4" w:space="0" w:color="000000"/>
            </w:tcBorders>
          </w:tcPr>
          <w:p w14:paraId="79492537" w14:textId="4685CD9D" w:rsidR="00176ACE" w:rsidRPr="002C03D0" w:rsidRDefault="00176ACE" w:rsidP="002C03D0">
            <w:pPr>
              <w:keepLines/>
              <w:spacing w:after="0"/>
              <w:rPr>
                <w:sz w:val="24"/>
                <w:szCs w:val="24"/>
              </w:rPr>
            </w:pP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Pass   </w:t>
            </w: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Fail</w:t>
            </w:r>
          </w:p>
        </w:tc>
      </w:tr>
      <w:tr w:rsidR="003B7447" w:rsidRPr="002C03D0" w14:paraId="7563F56D" w14:textId="77777777" w:rsidTr="003A0A6F">
        <w:tc>
          <w:tcPr>
            <w:tcW w:w="7231" w:type="dxa"/>
            <w:tcBorders>
              <w:top w:val="single" w:sz="4" w:space="0" w:color="auto"/>
            </w:tcBorders>
          </w:tcPr>
          <w:p w14:paraId="6F5F6894" w14:textId="77777777" w:rsidR="003B7447" w:rsidRPr="002C03D0" w:rsidRDefault="000D4096" w:rsidP="002C03D0">
            <w:pPr>
              <w:pStyle w:val="ListParagraph"/>
              <w:numPr>
                <w:ilvl w:val="0"/>
                <w:numId w:val="8"/>
              </w:numPr>
              <w:rPr>
                <w:sz w:val="24"/>
                <w:szCs w:val="24"/>
              </w:rPr>
            </w:pPr>
            <w:r w:rsidRPr="002C03D0">
              <w:rPr>
                <w:sz w:val="24"/>
                <w:szCs w:val="24"/>
              </w:rPr>
              <w:t xml:space="preserve">(Delete this screening criterion if using only one Group) </w:t>
            </w:r>
            <w:r w:rsidR="003B7447" w:rsidRPr="002C03D0">
              <w:rPr>
                <w:sz w:val="24"/>
                <w:szCs w:val="24"/>
              </w:rP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Pr="002C03D0" w:rsidRDefault="003B7447" w:rsidP="002C03D0">
            <w:pPr>
              <w:ind w:left="720"/>
              <w:rPr>
                <w:sz w:val="24"/>
                <w:szCs w:val="24"/>
              </w:rPr>
            </w:pPr>
            <w:r w:rsidRPr="002C03D0">
              <w:rPr>
                <w:i/>
                <w:sz w:val="24"/>
                <w:szCs w:val="24"/>
              </w:rPr>
              <w:t xml:space="preserve">If the projects are not distinct and the applications were submitted at the same time, only the first application screened by the </w:t>
            </w:r>
            <w:r w:rsidR="008F4A0E" w:rsidRPr="002C03D0">
              <w:rPr>
                <w:i/>
                <w:sz w:val="24"/>
                <w:szCs w:val="24"/>
              </w:rPr>
              <w:t>CEC</w:t>
            </w:r>
            <w:r w:rsidRPr="002C03D0">
              <w:rPr>
                <w:i/>
                <w:sz w:val="24"/>
                <w:szCs w:val="24"/>
              </w:rPr>
              <w:t xml:space="preserve"> will be eligible for funding. If the applications were submitted separately, only the first application received by the </w:t>
            </w:r>
            <w:r w:rsidR="008F4A0E" w:rsidRPr="002C03D0">
              <w:rPr>
                <w:i/>
                <w:sz w:val="24"/>
                <w:szCs w:val="24"/>
              </w:rPr>
              <w:t>CEC</w:t>
            </w:r>
            <w:r w:rsidRPr="002C03D0">
              <w:rPr>
                <w:i/>
                <w:sz w:val="24"/>
                <w:szCs w:val="24"/>
              </w:rPr>
              <w:t xml:space="preserve"> will be eligible for funding.</w:t>
            </w:r>
          </w:p>
        </w:tc>
        <w:tc>
          <w:tcPr>
            <w:tcW w:w="2119" w:type="dxa"/>
            <w:tcBorders>
              <w:top w:val="single" w:sz="4" w:space="0" w:color="auto"/>
            </w:tcBorders>
          </w:tcPr>
          <w:p w14:paraId="2A7569AE" w14:textId="162DD2C2" w:rsidR="003B7447" w:rsidRPr="002C03D0" w:rsidRDefault="003B7447" w:rsidP="002C03D0">
            <w:pPr>
              <w:keepLines/>
              <w:spacing w:after="0"/>
              <w:rPr>
                <w:sz w:val="24"/>
                <w:szCs w:val="24"/>
              </w:rPr>
            </w:pP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 xml:space="preserve">Pass   </w:t>
            </w: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Fail</w:t>
            </w:r>
          </w:p>
        </w:tc>
      </w:tr>
      <w:tr w:rsidR="003B7447" w:rsidRPr="002C03D0" w14:paraId="5668E75B" w14:textId="77777777" w:rsidTr="007E41D6">
        <w:tc>
          <w:tcPr>
            <w:tcW w:w="7231" w:type="dxa"/>
          </w:tcPr>
          <w:p w14:paraId="16CB3FCD" w14:textId="3FA28799" w:rsidR="003B7447" w:rsidRPr="002C03D0" w:rsidRDefault="003B7447" w:rsidP="002C03D0">
            <w:pPr>
              <w:numPr>
                <w:ilvl w:val="0"/>
                <w:numId w:val="8"/>
              </w:numPr>
              <w:rPr>
                <w:noProof/>
                <w:sz w:val="24"/>
                <w:szCs w:val="24"/>
              </w:rPr>
            </w:pPr>
            <w:bookmarkStart w:id="205" w:name="Screen5"/>
            <w:bookmarkEnd w:id="205"/>
            <w:r w:rsidRPr="002C03D0">
              <w:rPr>
                <w:sz w:val="24"/>
                <w:szCs w:val="24"/>
              </w:rPr>
              <w:t xml:space="preserve">The Application includes Commitment Letters that total the minimum </w:t>
            </w:r>
            <w:r w:rsidRPr="002C03D0">
              <w:rPr>
                <w:color w:val="000000" w:themeColor="text1"/>
                <w:sz w:val="24"/>
                <w:szCs w:val="24"/>
              </w:rPr>
              <w:t>of 20</w:t>
            </w:r>
            <w:r w:rsidRPr="002C03D0">
              <w:rPr>
                <w:i/>
                <w:color w:val="000000" w:themeColor="text1"/>
                <w:sz w:val="24"/>
                <w:szCs w:val="24"/>
              </w:rPr>
              <w:t>%</w:t>
            </w:r>
            <w:r w:rsidRPr="002C03D0">
              <w:rPr>
                <w:color w:val="000000" w:themeColor="text1"/>
                <w:sz w:val="24"/>
                <w:szCs w:val="24"/>
              </w:rPr>
              <w:t xml:space="preserve"> </w:t>
            </w:r>
            <w:r w:rsidRPr="002C03D0">
              <w:rPr>
                <w:sz w:val="24"/>
                <w:szCs w:val="24"/>
              </w:rPr>
              <w:t xml:space="preserve">in match share of the total requested </w:t>
            </w:r>
            <w:r w:rsidR="008F4A0E" w:rsidRPr="002C03D0">
              <w:rPr>
                <w:sz w:val="24"/>
                <w:szCs w:val="24"/>
              </w:rPr>
              <w:t>CEC</w:t>
            </w:r>
            <w:r w:rsidRPr="002C03D0">
              <w:rPr>
                <w:sz w:val="24"/>
                <w:szCs w:val="24"/>
              </w:rPr>
              <w:t xml:space="preserve"> funds.  </w:t>
            </w:r>
          </w:p>
        </w:tc>
        <w:tc>
          <w:tcPr>
            <w:tcW w:w="2119" w:type="dxa"/>
          </w:tcPr>
          <w:p w14:paraId="60131065" w14:textId="76FB2454" w:rsidR="003B7447" w:rsidRPr="002C03D0" w:rsidRDefault="003B7447" w:rsidP="002C03D0">
            <w:pPr>
              <w:keepLines/>
              <w:spacing w:after="0"/>
              <w:rPr>
                <w:noProof/>
                <w:sz w:val="24"/>
                <w:szCs w:val="24"/>
              </w:rPr>
            </w:pP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 xml:space="preserve">Pass   </w:t>
            </w: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Fail</w:t>
            </w:r>
          </w:p>
        </w:tc>
      </w:tr>
      <w:tr w:rsidR="003B7447" w:rsidRPr="002C03D0" w14:paraId="39D928ED" w14:textId="77777777" w:rsidTr="007E41D6">
        <w:trPr>
          <w:trHeight w:val="640"/>
        </w:trPr>
        <w:tc>
          <w:tcPr>
            <w:tcW w:w="7231" w:type="dxa"/>
          </w:tcPr>
          <w:p w14:paraId="118060C8" w14:textId="37E9E3C8" w:rsidR="003B7447" w:rsidRPr="002C03D0" w:rsidRDefault="003B7447" w:rsidP="002C03D0">
            <w:pPr>
              <w:numPr>
                <w:ilvl w:val="0"/>
                <w:numId w:val="8"/>
              </w:numPr>
              <w:spacing w:after="40"/>
              <w:rPr>
                <w:i/>
                <w:noProof/>
                <w:sz w:val="24"/>
                <w:szCs w:val="24"/>
              </w:rPr>
            </w:pPr>
            <w:bookmarkStart w:id="206" w:name="Screen6"/>
            <w:bookmarkEnd w:id="206"/>
            <w:r w:rsidRPr="002C03D0">
              <w:rPr>
                <w:i/>
                <w:snapToGrid w:val="0"/>
                <w:sz w:val="24"/>
                <w:szCs w:val="24"/>
              </w:rPr>
              <w:t>If the project involves technology demonstration/ deployment activities</w:t>
            </w:r>
          </w:p>
          <w:p w14:paraId="050DA084" w14:textId="77777777" w:rsidR="003B7447" w:rsidRPr="002C03D0" w:rsidRDefault="003B7447" w:rsidP="002C03D0">
            <w:pPr>
              <w:numPr>
                <w:ilvl w:val="0"/>
                <w:numId w:val="33"/>
              </w:numPr>
              <w:spacing w:after="0"/>
              <w:ind w:left="1080"/>
              <w:rPr>
                <w:noProof/>
                <w:sz w:val="24"/>
                <w:szCs w:val="24"/>
              </w:rPr>
            </w:pPr>
            <w:r w:rsidRPr="002C03D0">
              <w:rPr>
                <w:snapToGrid w:val="0"/>
                <w:sz w:val="24"/>
                <w:szCs w:val="24"/>
              </w:rPr>
              <w:t>The Application identifies one or more demonstration/ deployment site locations.</w:t>
            </w:r>
          </w:p>
          <w:p w14:paraId="76D3A2D8" w14:textId="77777777" w:rsidR="003B7447" w:rsidRPr="002C03D0" w:rsidRDefault="003B7447" w:rsidP="002C03D0">
            <w:pPr>
              <w:numPr>
                <w:ilvl w:val="0"/>
                <w:numId w:val="33"/>
              </w:numPr>
              <w:spacing w:after="0"/>
              <w:ind w:left="1080"/>
              <w:rPr>
                <w:noProof/>
                <w:sz w:val="24"/>
                <w:szCs w:val="24"/>
              </w:rPr>
            </w:pPr>
            <w:r w:rsidRPr="002C03D0">
              <w:rPr>
                <w:snapToGrid w:val="0"/>
                <w:sz w:val="24"/>
                <w:szCs w:val="24"/>
              </w:rPr>
              <w:t xml:space="preserve">All demonstration/ deployment sites </w:t>
            </w:r>
            <w:proofErr w:type="gramStart"/>
            <w:r w:rsidRPr="002C03D0">
              <w:rPr>
                <w:snapToGrid w:val="0"/>
                <w:sz w:val="24"/>
                <w:szCs w:val="24"/>
              </w:rPr>
              <w:t>are located in</w:t>
            </w:r>
            <w:proofErr w:type="gramEnd"/>
            <w:r w:rsidRPr="002C03D0">
              <w:rPr>
                <w:snapToGrid w:val="0"/>
                <w:sz w:val="24"/>
                <w:szCs w:val="24"/>
              </w:rPr>
              <w:t xml:space="preserve"> a California electric IOU service territory (PG&amp;E, SDG&amp;E, or SCE).</w:t>
            </w:r>
          </w:p>
          <w:p w14:paraId="301B2FD5" w14:textId="77777777" w:rsidR="003B7447" w:rsidRPr="002C03D0" w:rsidRDefault="003B7447" w:rsidP="002C03D0">
            <w:pPr>
              <w:numPr>
                <w:ilvl w:val="0"/>
                <w:numId w:val="33"/>
              </w:numPr>
              <w:spacing w:after="0"/>
              <w:ind w:left="1080"/>
              <w:rPr>
                <w:noProof/>
                <w:sz w:val="24"/>
                <w:szCs w:val="24"/>
              </w:rPr>
            </w:pPr>
            <w:r w:rsidRPr="002C03D0">
              <w:rPr>
                <w:sz w:val="24"/>
                <w:szCs w:val="24"/>
              </w:rPr>
              <w:t>The proposal includes a site commitment letter (Section III.D.11) for each demonstration/ deployment site.</w:t>
            </w:r>
          </w:p>
        </w:tc>
        <w:tc>
          <w:tcPr>
            <w:tcW w:w="2119" w:type="dxa"/>
          </w:tcPr>
          <w:p w14:paraId="03ED18B2" w14:textId="64C22242" w:rsidR="003B7447" w:rsidRPr="002C03D0" w:rsidRDefault="003B7447" w:rsidP="002C03D0">
            <w:pPr>
              <w:keepLines/>
              <w:spacing w:after="0"/>
              <w:rPr>
                <w:noProof/>
                <w:sz w:val="24"/>
                <w:szCs w:val="24"/>
              </w:rPr>
            </w:pP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 xml:space="preserve">Pass   </w:t>
            </w:r>
            <w:r w:rsidRPr="002C03D0">
              <w:rPr>
                <w:color w:val="2B579A"/>
                <w:sz w:val="24"/>
                <w:szCs w:val="24"/>
                <w:shd w:val="clear" w:color="auto" w:fill="E6E6E6"/>
              </w:rPr>
              <w:fldChar w:fldCharType="begin">
                <w:ffData>
                  <w:name w:val="Check30"/>
                  <w:enabled/>
                  <w:calcOnExit w:val="0"/>
                  <w:checkBox>
                    <w:sizeAuto/>
                    <w:default w:val="0"/>
                  </w:checkBox>
                </w:ffData>
              </w:fldChar>
            </w:r>
            <w:r w:rsidRPr="002C03D0">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2C03D0">
              <w:rPr>
                <w:color w:val="2B579A"/>
                <w:sz w:val="24"/>
                <w:szCs w:val="24"/>
                <w:shd w:val="clear" w:color="auto" w:fill="E6E6E6"/>
              </w:rPr>
              <w:fldChar w:fldCharType="end"/>
            </w:r>
            <w:r w:rsidRPr="002C03D0">
              <w:rPr>
                <w:sz w:val="24"/>
                <w:szCs w:val="24"/>
              </w:rPr>
              <w:t xml:space="preserve"> </w:t>
            </w:r>
            <w:r w:rsidRPr="002C03D0">
              <w:rPr>
                <w:noProof/>
                <w:sz w:val="24"/>
                <w:szCs w:val="24"/>
              </w:rPr>
              <w:t>Fai</w:t>
            </w:r>
            <w:r w:rsidR="002C03D0">
              <w:rPr>
                <w:noProof/>
                <w:sz w:val="24"/>
                <w:szCs w:val="24"/>
              </w:rPr>
              <w:t>l</w:t>
            </w:r>
          </w:p>
        </w:tc>
      </w:tr>
    </w:tbl>
    <w:p w14:paraId="5B03D1C8" w14:textId="77777777" w:rsidR="00DB3B66" w:rsidRPr="002C03D0" w:rsidRDefault="00DB3B66" w:rsidP="002C03D0">
      <w:pPr>
        <w:spacing w:after="0"/>
        <w:rPr>
          <w:b/>
          <w:caps/>
          <w:sz w:val="24"/>
          <w:szCs w:val="24"/>
        </w:rPr>
      </w:pPr>
    </w:p>
    <w:p w14:paraId="31FC5D75" w14:textId="3C177533" w:rsidR="00624855" w:rsidRPr="002C03D0" w:rsidRDefault="00624855" w:rsidP="002C03D0">
      <w:pPr>
        <w:spacing w:after="0"/>
        <w:ind w:left="-90"/>
        <w:rPr>
          <w:sz w:val="24"/>
          <w:szCs w:val="24"/>
        </w:rPr>
      </w:pPr>
      <w:r w:rsidRPr="002C03D0">
        <w:rPr>
          <w:sz w:val="24"/>
          <w:szCs w:val="24"/>
        </w:rPr>
        <w:t xml:space="preserve">The CEC may have waived the requirement for a signature on application materials for this solicitation. If a notice regarding CEC’s waiver of the signature requirement appears here: </w:t>
      </w:r>
      <w:hyperlink r:id="rId53" w:history="1">
        <w:r w:rsidRPr="002C03D0">
          <w:rPr>
            <w:rStyle w:val="Hyperlink"/>
            <w:rFonts w:cs="Arial"/>
            <w:sz w:val="24"/>
            <w:szCs w:val="24"/>
          </w:rPr>
          <w:t>https://www.energy.ca.gov/funding-opportunities/solicitations</w:t>
        </w:r>
      </w:hyperlink>
      <w:r w:rsidRPr="002C03D0">
        <w:rPr>
          <w:sz w:val="24"/>
          <w:szCs w:val="24"/>
        </w:rPr>
        <w:t>,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7683F2BE" w14:textId="77777777" w:rsidR="006F048A" w:rsidRPr="00CF6DED" w:rsidRDefault="006F048A" w:rsidP="002F32D3">
      <w:pPr>
        <w:pStyle w:val="Heading2"/>
        <w:numPr>
          <w:ilvl w:val="0"/>
          <w:numId w:val="57"/>
        </w:numPr>
      </w:pPr>
      <w:bookmarkStart w:id="207" w:name="_Toc433981346"/>
      <w:bookmarkStart w:id="208" w:name="_Toc121421354"/>
      <w:r w:rsidRPr="00CF6DED">
        <w:t xml:space="preserve">Stage </w:t>
      </w:r>
      <w:r w:rsidR="00DB3B66" w:rsidRPr="00CF6DED">
        <w:t>Two</w:t>
      </w:r>
      <w:r w:rsidRPr="00CF6DED">
        <w:t>:  Application Sc</w:t>
      </w:r>
      <w:r w:rsidR="00DB3B66" w:rsidRPr="00CF6DED">
        <w:t>oring</w:t>
      </w:r>
      <w:bookmarkEnd w:id="207"/>
      <w:bookmarkEnd w:id="208"/>
    </w:p>
    <w:bookmarkEnd w:id="164"/>
    <w:p w14:paraId="3F044960" w14:textId="3D3DC389" w:rsidR="001C2D56" w:rsidRPr="002C03D0" w:rsidRDefault="001C2D56" w:rsidP="002C03D0">
      <w:pPr>
        <w:rPr>
          <w:sz w:val="24"/>
          <w:szCs w:val="24"/>
        </w:rPr>
      </w:pPr>
      <w:r w:rsidRPr="002C03D0">
        <w:rPr>
          <w:sz w:val="24"/>
          <w:szCs w:val="24"/>
        </w:rPr>
        <w:t xml:space="preserve">Proposals that pass ALL Stage One Screening Criteria </w:t>
      </w:r>
      <w:r w:rsidR="0014502C" w:rsidRPr="002C03D0">
        <w:rPr>
          <w:sz w:val="24"/>
          <w:szCs w:val="24"/>
        </w:rPr>
        <w:t xml:space="preserve">and are not rejected as described in Section IV.C. </w:t>
      </w:r>
      <w:r w:rsidRPr="002C03D0">
        <w:rPr>
          <w:sz w:val="24"/>
          <w:szCs w:val="24"/>
        </w:rPr>
        <w:t>will be evaluated based on the Scoring Criteria on the next page</w:t>
      </w:r>
      <w:r w:rsidR="007C14A3" w:rsidRPr="002C03D0">
        <w:rPr>
          <w:sz w:val="24"/>
          <w:szCs w:val="24"/>
        </w:rPr>
        <w:t xml:space="preserve"> and the Scoring Scale below (</w:t>
      </w:r>
      <w:proofErr w:type="gramStart"/>
      <w:r w:rsidR="007C14A3" w:rsidRPr="002C03D0">
        <w:rPr>
          <w:sz w:val="24"/>
          <w:szCs w:val="24"/>
        </w:rPr>
        <w:t>with the exception of</w:t>
      </w:r>
      <w:proofErr w:type="gramEnd"/>
      <w:r w:rsidR="007C14A3" w:rsidRPr="002C03D0">
        <w:rPr>
          <w:sz w:val="24"/>
          <w:szCs w:val="24"/>
        </w:rPr>
        <w:t xml:space="preserve"> criteria </w:t>
      </w:r>
      <w:r w:rsidR="00E53C9C" w:rsidRPr="002C03D0">
        <w:rPr>
          <w:sz w:val="24"/>
          <w:szCs w:val="24"/>
        </w:rPr>
        <w:t>6−</w:t>
      </w:r>
      <w:r w:rsidR="00A04040" w:rsidRPr="002C03D0">
        <w:rPr>
          <w:sz w:val="24"/>
          <w:szCs w:val="24"/>
        </w:rPr>
        <w:t>7</w:t>
      </w:r>
      <w:r w:rsidR="007C14A3" w:rsidRPr="002C03D0">
        <w:rPr>
          <w:sz w:val="24"/>
          <w:szCs w:val="24"/>
        </w:rPr>
        <w:t xml:space="preserve">, which will </w:t>
      </w:r>
      <w:r w:rsidR="00E53C9C" w:rsidRPr="002C03D0">
        <w:rPr>
          <w:sz w:val="24"/>
          <w:szCs w:val="24"/>
        </w:rPr>
        <w:t>be evaluated as described in each criterion</w:t>
      </w:r>
      <w:r w:rsidR="007C14A3" w:rsidRPr="002C03D0">
        <w:rPr>
          <w:sz w:val="24"/>
          <w:szCs w:val="24"/>
        </w:rPr>
        <w:t>)</w:t>
      </w:r>
      <w:r w:rsidRPr="002C03D0">
        <w:rPr>
          <w:sz w:val="24"/>
          <w:szCs w:val="24"/>
        </w:rPr>
        <w:t xml:space="preserve">.  Each criterion has an assigned number of possible </w:t>
      </w:r>
      <w:proofErr w:type="gramStart"/>
      <w:r w:rsidRPr="002C03D0">
        <w:rPr>
          <w:sz w:val="24"/>
          <w:szCs w:val="24"/>
        </w:rPr>
        <w:t>points, and</w:t>
      </w:r>
      <w:proofErr w:type="gramEnd"/>
      <w:r w:rsidRPr="002C03D0">
        <w:rPr>
          <w:sz w:val="24"/>
          <w:szCs w:val="24"/>
        </w:rPr>
        <w:t xml:space="preserve"> is divided into multiple sub-criteria. The sub-criteria are not equally weighted. Th</w:t>
      </w:r>
      <w:r w:rsidR="00616F23" w:rsidRPr="002C03D0">
        <w:rPr>
          <w:sz w:val="24"/>
          <w:szCs w:val="24"/>
        </w:rPr>
        <w:t>e Project Narrative (Attachment</w:t>
      </w:r>
      <w:r w:rsidRPr="002C03D0">
        <w:rPr>
          <w:sz w:val="24"/>
          <w:szCs w:val="24"/>
        </w:rPr>
        <w:t>) must respond to each sub-criterion</w:t>
      </w:r>
      <w:r w:rsidR="00BB2154" w:rsidRPr="002C03D0">
        <w:rPr>
          <w:sz w:val="24"/>
          <w:szCs w:val="24"/>
        </w:rPr>
        <w:t>, unless otherwise indicated</w:t>
      </w:r>
      <w:r w:rsidRPr="002C03D0">
        <w:rPr>
          <w:sz w:val="24"/>
          <w:szCs w:val="24"/>
        </w:rPr>
        <w:t xml:space="preserve">. </w:t>
      </w:r>
    </w:p>
    <w:p w14:paraId="227FC683" w14:textId="77777777" w:rsidR="00933C13" w:rsidRPr="00933C13" w:rsidRDefault="00933C13" w:rsidP="00933C13">
      <w:pPr>
        <w:spacing w:after="0"/>
        <w:ind w:left="360"/>
        <w:jc w:val="both"/>
        <w:rPr>
          <w:b/>
        </w:rPr>
      </w:pPr>
    </w:p>
    <w:p w14:paraId="1AEF52E1" w14:textId="77777777" w:rsidR="001C2D56" w:rsidRPr="002C03D0" w:rsidRDefault="001C2D56" w:rsidP="002F106F">
      <w:pPr>
        <w:jc w:val="center"/>
        <w:rPr>
          <w:b/>
          <w:caps/>
          <w:sz w:val="24"/>
          <w:szCs w:val="22"/>
          <w:u w:val="single"/>
        </w:rPr>
      </w:pPr>
      <w:r w:rsidRPr="002C03D0">
        <w:rPr>
          <w:b/>
          <w:caps/>
          <w:sz w:val="24"/>
          <w:szCs w:val="22"/>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1763"/>
        <w:gridCol w:w="6069"/>
      </w:tblGrid>
      <w:tr w:rsidR="00FA352A" w:rsidRPr="002C03D0" w14:paraId="5AD7696F" w14:textId="77777777" w:rsidTr="00777347">
        <w:trPr>
          <w:trHeight w:val="800"/>
        </w:trPr>
        <w:tc>
          <w:tcPr>
            <w:tcW w:w="1417" w:type="dxa"/>
            <w:shd w:val="clear" w:color="auto" w:fill="D9D9D9"/>
            <w:vAlign w:val="center"/>
          </w:tcPr>
          <w:p w14:paraId="6A4B398F" w14:textId="77777777" w:rsidR="00FA352A" w:rsidRPr="002C03D0" w:rsidRDefault="00FA352A" w:rsidP="000D707E">
            <w:pPr>
              <w:spacing w:after="0"/>
              <w:jc w:val="center"/>
              <w:rPr>
                <w:b/>
                <w:sz w:val="24"/>
                <w:szCs w:val="24"/>
              </w:rPr>
            </w:pPr>
            <w:r w:rsidRPr="002C03D0">
              <w:rPr>
                <w:b/>
                <w:sz w:val="24"/>
                <w:szCs w:val="24"/>
              </w:rPr>
              <w:t>% of Possible Points</w:t>
            </w:r>
          </w:p>
        </w:tc>
        <w:tc>
          <w:tcPr>
            <w:tcW w:w="1620" w:type="dxa"/>
            <w:shd w:val="clear" w:color="auto" w:fill="D9D9D9"/>
            <w:vAlign w:val="center"/>
          </w:tcPr>
          <w:p w14:paraId="62EC0926" w14:textId="77777777" w:rsidR="00FA352A" w:rsidRPr="002C03D0" w:rsidRDefault="00FA352A" w:rsidP="000D707E">
            <w:pPr>
              <w:spacing w:after="0"/>
              <w:jc w:val="center"/>
              <w:rPr>
                <w:b/>
                <w:sz w:val="24"/>
                <w:szCs w:val="24"/>
              </w:rPr>
            </w:pPr>
            <w:r w:rsidRPr="002C03D0">
              <w:rPr>
                <w:b/>
                <w:sz w:val="24"/>
                <w:szCs w:val="24"/>
              </w:rPr>
              <w:t>Interpretation</w:t>
            </w:r>
          </w:p>
        </w:tc>
        <w:tc>
          <w:tcPr>
            <w:tcW w:w="6205" w:type="dxa"/>
            <w:shd w:val="clear" w:color="auto" w:fill="D9D9D9"/>
            <w:vAlign w:val="center"/>
          </w:tcPr>
          <w:p w14:paraId="1427EDB8" w14:textId="77777777" w:rsidR="00FA352A" w:rsidRPr="002C03D0" w:rsidRDefault="00FA352A" w:rsidP="000D707E">
            <w:pPr>
              <w:spacing w:after="0"/>
              <w:jc w:val="center"/>
              <w:rPr>
                <w:b/>
                <w:sz w:val="24"/>
                <w:szCs w:val="24"/>
              </w:rPr>
            </w:pPr>
            <w:r w:rsidRPr="002C03D0">
              <w:rPr>
                <w:b/>
                <w:sz w:val="24"/>
                <w:szCs w:val="24"/>
              </w:rPr>
              <w:t xml:space="preserve">Explanation for Percentage Points </w:t>
            </w:r>
          </w:p>
        </w:tc>
      </w:tr>
      <w:tr w:rsidR="00FA352A" w:rsidRPr="002C03D0" w14:paraId="3394B175" w14:textId="77777777" w:rsidTr="00777347">
        <w:trPr>
          <w:trHeight w:val="253"/>
        </w:trPr>
        <w:tc>
          <w:tcPr>
            <w:tcW w:w="1417" w:type="dxa"/>
            <w:vAlign w:val="center"/>
          </w:tcPr>
          <w:p w14:paraId="14F4AD01" w14:textId="77777777" w:rsidR="00FA352A" w:rsidRPr="002C03D0" w:rsidRDefault="00FA352A" w:rsidP="000D707E">
            <w:pPr>
              <w:spacing w:after="0"/>
              <w:jc w:val="center"/>
              <w:rPr>
                <w:sz w:val="24"/>
                <w:szCs w:val="24"/>
              </w:rPr>
            </w:pPr>
            <w:r w:rsidRPr="002C03D0">
              <w:rPr>
                <w:sz w:val="24"/>
                <w:szCs w:val="24"/>
              </w:rPr>
              <w:t>0%</w:t>
            </w:r>
          </w:p>
        </w:tc>
        <w:tc>
          <w:tcPr>
            <w:tcW w:w="1620" w:type="dxa"/>
            <w:vAlign w:val="center"/>
          </w:tcPr>
          <w:p w14:paraId="099DC580" w14:textId="77777777" w:rsidR="00FA352A" w:rsidRPr="002C03D0" w:rsidRDefault="00FA352A" w:rsidP="000D707E">
            <w:pPr>
              <w:spacing w:after="0"/>
              <w:jc w:val="center"/>
              <w:rPr>
                <w:sz w:val="24"/>
                <w:szCs w:val="24"/>
              </w:rPr>
            </w:pPr>
            <w:r w:rsidRPr="002C03D0">
              <w:rPr>
                <w:sz w:val="24"/>
                <w:szCs w:val="24"/>
              </w:rPr>
              <w:t>Not Responsive</w:t>
            </w:r>
          </w:p>
        </w:tc>
        <w:tc>
          <w:tcPr>
            <w:tcW w:w="6205" w:type="dxa"/>
          </w:tcPr>
          <w:p w14:paraId="04AE7394" w14:textId="77777777" w:rsidR="00FA352A" w:rsidRPr="002C03D0" w:rsidRDefault="00FA352A" w:rsidP="000D707E">
            <w:pPr>
              <w:spacing w:after="0"/>
              <w:rPr>
                <w:sz w:val="24"/>
                <w:szCs w:val="24"/>
              </w:rPr>
            </w:pPr>
            <w:r w:rsidRPr="002C03D0">
              <w:rPr>
                <w:sz w:val="24"/>
                <w:szCs w:val="24"/>
              </w:rPr>
              <w:t>Response does not include or fails to address the requirements being scored.  The omission(s), flaw(s), or defect(s) are significant and unacceptable.</w:t>
            </w:r>
          </w:p>
        </w:tc>
      </w:tr>
      <w:tr w:rsidR="00FA352A" w:rsidRPr="002C03D0" w14:paraId="326A15B4" w14:textId="77777777" w:rsidTr="00777347">
        <w:trPr>
          <w:trHeight w:val="253"/>
        </w:trPr>
        <w:tc>
          <w:tcPr>
            <w:tcW w:w="1417" w:type="dxa"/>
            <w:vAlign w:val="center"/>
          </w:tcPr>
          <w:p w14:paraId="6A68B449" w14:textId="77777777" w:rsidR="00FA352A" w:rsidRPr="002C03D0" w:rsidRDefault="00FA352A" w:rsidP="000D707E">
            <w:pPr>
              <w:spacing w:after="0"/>
              <w:jc w:val="center"/>
              <w:rPr>
                <w:sz w:val="24"/>
                <w:szCs w:val="24"/>
              </w:rPr>
            </w:pPr>
            <w:r w:rsidRPr="002C03D0">
              <w:rPr>
                <w:sz w:val="24"/>
                <w:szCs w:val="24"/>
              </w:rPr>
              <w:t>10-30%</w:t>
            </w:r>
          </w:p>
        </w:tc>
        <w:tc>
          <w:tcPr>
            <w:tcW w:w="1620" w:type="dxa"/>
            <w:vAlign w:val="center"/>
          </w:tcPr>
          <w:p w14:paraId="4DD94C1B" w14:textId="77777777" w:rsidR="00FA352A" w:rsidRPr="002C03D0" w:rsidRDefault="00FA352A" w:rsidP="000D707E">
            <w:pPr>
              <w:spacing w:after="0"/>
              <w:jc w:val="center"/>
              <w:rPr>
                <w:sz w:val="24"/>
                <w:szCs w:val="24"/>
              </w:rPr>
            </w:pPr>
            <w:r w:rsidRPr="002C03D0">
              <w:rPr>
                <w:sz w:val="24"/>
                <w:szCs w:val="24"/>
              </w:rPr>
              <w:t>Minimally Responsive</w:t>
            </w:r>
          </w:p>
        </w:tc>
        <w:tc>
          <w:tcPr>
            <w:tcW w:w="6205" w:type="dxa"/>
          </w:tcPr>
          <w:p w14:paraId="24497DC1" w14:textId="77777777" w:rsidR="00FA352A" w:rsidRPr="002C03D0" w:rsidRDefault="00FA352A" w:rsidP="000D707E">
            <w:pPr>
              <w:spacing w:after="0"/>
              <w:rPr>
                <w:sz w:val="24"/>
                <w:szCs w:val="24"/>
              </w:rPr>
            </w:pPr>
            <w:r w:rsidRPr="002C03D0">
              <w:rPr>
                <w:sz w:val="24"/>
                <w:szCs w:val="24"/>
              </w:rPr>
              <w:t>Response minimally addresses the requirements being scored.  The omission(s), flaw(s), or defect(s) are significant and unacceptable.</w:t>
            </w:r>
          </w:p>
        </w:tc>
      </w:tr>
      <w:tr w:rsidR="00FA352A" w:rsidRPr="002C03D0" w14:paraId="00AD4CA1" w14:textId="77777777" w:rsidTr="00777347">
        <w:trPr>
          <w:trHeight w:val="253"/>
        </w:trPr>
        <w:tc>
          <w:tcPr>
            <w:tcW w:w="1417" w:type="dxa"/>
            <w:vAlign w:val="center"/>
          </w:tcPr>
          <w:p w14:paraId="2ACF63E6" w14:textId="77777777" w:rsidR="00FA352A" w:rsidRPr="002C03D0" w:rsidRDefault="00FA352A" w:rsidP="000D707E">
            <w:pPr>
              <w:spacing w:after="0"/>
              <w:jc w:val="center"/>
              <w:rPr>
                <w:sz w:val="24"/>
                <w:szCs w:val="24"/>
              </w:rPr>
            </w:pPr>
            <w:r w:rsidRPr="002C03D0">
              <w:rPr>
                <w:sz w:val="24"/>
                <w:szCs w:val="24"/>
              </w:rPr>
              <w:t>40-60%</w:t>
            </w:r>
          </w:p>
        </w:tc>
        <w:tc>
          <w:tcPr>
            <w:tcW w:w="1620" w:type="dxa"/>
            <w:vAlign w:val="center"/>
          </w:tcPr>
          <w:p w14:paraId="7138294C" w14:textId="77777777" w:rsidR="00FA352A" w:rsidRPr="002C03D0" w:rsidRDefault="00FA352A" w:rsidP="000D707E">
            <w:pPr>
              <w:spacing w:after="0"/>
              <w:jc w:val="center"/>
              <w:rPr>
                <w:sz w:val="24"/>
                <w:szCs w:val="24"/>
              </w:rPr>
            </w:pPr>
            <w:r w:rsidRPr="002C03D0">
              <w:rPr>
                <w:sz w:val="24"/>
                <w:szCs w:val="24"/>
              </w:rPr>
              <w:t>Inadequate</w:t>
            </w:r>
          </w:p>
        </w:tc>
        <w:tc>
          <w:tcPr>
            <w:tcW w:w="6205" w:type="dxa"/>
          </w:tcPr>
          <w:p w14:paraId="12953209" w14:textId="77777777" w:rsidR="00FA352A" w:rsidRPr="002C03D0" w:rsidRDefault="00FA352A" w:rsidP="000D707E">
            <w:pPr>
              <w:spacing w:after="0"/>
              <w:rPr>
                <w:sz w:val="24"/>
                <w:szCs w:val="24"/>
              </w:rPr>
            </w:pPr>
            <w:r w:rsidRPr="002C03D0">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2C03D0" w14:paraId="0F53BD88" w14:textId="77777777" w:rsidTr="00777347">
        <w:trPr>
          <w:trHeight w:val="253"/>
        </w:trPr>
        <w:tc>
          <w:tcPr>
            <w:tcW w:w="1417" w:type="dxa"/>
            <w:vAlign w:val="center"/>
          </w:tcPr>
          <w:p w14:paraId="1361694C" w14:textId="77777777" w:rsidR="00FA352A" w:rsidRPr="002C03D0" w:rsidRDefault="00FA352A" w:rsidP="000D707E">
            <w:pPr>
              <w:spacing w:after="0"/>
              <w:jc w:val="center"/>
              <w:rPr>
                <w:sz w:val="24"/>
                <w:szCs w:val="24"/>
              </w:rPr>
            </w:pPr>
            <w:r w:rsidRPr="002C03D0">
              <w:rPr>
                <w:sz w:val="24"/>
                <w:szCs w:val="24"/>
              </w:rPr>
              <w:t>70%</w:t>
            </w:r>
          </w:p>
        </w:tc>
        <w:tc>
          <w:tcPr>
            <w:tcW w:w="1620" w:type="dxa"/>
            <w:vAlign w:val="center"/>
          </w:tcPr>
          <w:p w14:paraId="1B1153EB" w14:textId="77777777" w:rsidR="00FA352A" w:rsidRPr="002C03D0" w:rsidRDefault="00FA352A" w:rsidP="000D707E">
            <w:pPr>
              <w:spacing w:after="0"/>
              <w:jc w:val="center"/>
              <w:rPr>
                <w:sz w:val="24"/>
                <w:szCs w:val="24"/>
              </w:rPr>
            </w:pPr>
            <w:r w:rsidRPr="002C03D0">
              <w:rPr>
                <w:sz w:val="24"/>
                <w:szCs w:val="24"/>
              </w:rPr>
              <w:t>Adequate</w:t>
            </w:r>
          </w:p>
        </w:tc>
        <w:tc>
          <w:tcPr>
            <w:tcW w:w="6205" w:type="dxa"/>
          </w:tcPr>
          <w:p w14:paraId="02CD0C0B" w14:textId="77777777" w:rsidR="00FA352A" w:rsidRPr="002C03D0" w:rsidRDefault="00FA352A" w:rsidP="000D707E">
            <w:pPr>
              <w:spacing w:after="0"/>
              <w:rPr>
                <w:sz w:val="24"/>
                <w:szCs w:val="24"/>
              </w:rPr>
            </w:pPr>
            <w:r w:rsidRPr="002C03D0">
              <w:rPr>
                <w:sz w:val="24"/>
                <w:szCs w:val="24"/>
              </w:rPr>
              <w:t>Response adequately addresses the requirements being scored.  Any omission(s), flaw(s), or defect(s) are inconsequential and acceptable.</w:t>
            </w:r>
          </w:p>
        </w:tc>
      </w:tr>
      <w:tr w:rsidR="00FA352A" w:rsidRPr="002C03D0" w14:paraId="1C4A9220" w14:textId="77777777" w:rsidTr="00777347">
        <w:trPr>
          <w:trHeight w:val="253"/>
        </w:trPr>
        <w:tc>
          <w:tcPr>
            <w:tcW w:w="1417" w:type="dxa"/>
            <w:vAlign w:val="center"/>
          </w:tcPr>
          <w:p w14:paraId="1A9AB6BB" w14:textId="77777777" w:rsidR="00FA352A" w:rsidRPr="002C03D0" w:rsidRDefault="00FA352A" w:rsidP="000D707E">
            <w:pPr>
              <w:spacing w:after="0"/>
              <w:jc w:val="center"/>
              <w:rPr>
                <w:sz w:val="24"/>
                <w:szCs w:val="24"/>
              </w:rPr>
            </w:pPr>
            <w:r w:rsidRPr="002C03D0">
              <w:rPr>
                <w:sz w:val="24"/>
                <w:szCs w:val="24"/>
              </w:rPr>
              <w:t>75%</w:t>
            </w:r>
          </w:p>
        </w:tc>
        <w:tc>
          <w:tcPr>
            <w:tcW w:w="1620" w:type="dxa"/>
            <w:vAlign w:val="center"/>
          </w:tcPr>
          <w:p w14:paraId="3C60EC21" w14:textId="77777777" w:rsidR="00FA352A" w:rsidRPr="002C03D0" w:rsidRDefault="00FA352A" w:rsidP="000D707E">
            <w:pPr>
              <w:spacing w:after="0"/>
              <w:jc w:val="center"/>
              <w:rPr>
                <w:sz w:val="24"/>
                <w:szCs w:val="24"/>
              </w:rPr>
            </w:pPr>
            <w:r w:rsidRPr="002C03D0">
              <w:rPr>
                <w:sz w:val="24"/>
                <w:szCs w:val="24"/>
              </w:rPr>
              <w:t>Between Adequate and Good</w:t>
            </w:r>
          </w:p>
        </w:tc>
        <w:tc>
          <w:tcPr>
            <w:tcW w:w="6205" w:type="dxa"/>
          </w:tcPr>
          <w:p w14:paraId="6D4F750E" w14:textId="77777777" w:rsidR="00FA352A" w:rsidRPr="002C03D0" w:rsidRDefault="00FA352A" w:rsidP="000D707E">
            <w:pPr>
              <w:spacing w:after="0"/>
              <w:rPr>
                <w:sz w:val="24"/>
                <w:szCs w:val="24"/>
              </w:rPr>
            </w:pPr>
            <w:r w:rsidRPr="002C03D0">
              <w:rPr>
                <w:sz w:val="24"/>
                <w:szCs w:val="24"/>
              </w:rPr>
              <w:t>Response better than adequately addresses the requirements being scored. Any omission(s), flaw(s), or defect(s) are inconsequential and acceptable.</w:t>
            </w:r>
          </w:p>
        </w:tc>
      </w:tr>
      <w:tr w:rsidR="00FA352A" w:rsidRPr="002C03D0" w14:paraId="4FB2B80A" w14:textId="77777777" w:rsidTr="00777347">
        <w:trPr>
          <w:trHeight w:val="253"/>
        </w:trPr>
        <w:tc>
          <w:tcPr>
            <w:tcW w:w="1417" w:type="dxa"/>
            <w:vAlign w:val="center"/>
          </w:tcPr>
          <w:p w14:paraId="73D488CC" w14:textId="77777777" w:rsidR="00FA352A" w:rsidRPr="002C03D0" w:rsidRDefault="00FA352A" w:rsidP="000D707E">
            <w:pPr>
              <w:spacing w:after="0"/>
              <w:jc w:val="center"/>
              <w:rPr>
                <w:sz w:val="24"/>
                <w:szCs w:val="24"/>
              </w:rPr>
            </w:pPr>
            <w:r w:rsidRPr="002C03D0">
              <w:rPr>
                <w:sz w:val="24"/>
                <w:szCs w:val="24"/>
              </w:rPr>
              <w:t>80%</w:t>
            </w:r>
          </w:p>
        </w:tc>
        <w:tc>
          <w:tcPr>
            <w:tcW w:w="1620" w:type="dxa"/>
            <w:vAlign w:val="center"/>
          </w:tcPr>
          <w:p w14:paraId="3B90FCA3" w14:textId="77777777" w:rsidR="00FA352A" w:rsidRPr="002C03D0" w:rsidRDefault="00FA352A" w:rsidP="000D707E">
            <w:pPr>
              <w:spacing w:after="0"/>
              <w:jc w:val="center"/>
              <w:rPr>
                <w:sz w:val="24"/>
                <w:szCs w:val="24"/>
              </w:rPr>
            </w:pPr>
            <w:r w:rsidRPr="002C03D0">
              <w:rPr>
                <w:sz w:val="24"/>
                <w:szCs w:val="24"/>
              </w:rPr>
              <w:t>Good</w:t>
            </w:r>
          </w:p>
        </w:tc>
        <w:tc>
          <w:tcPr>
            <w:tcW w:w="6205" w:type="dxa"/>
          </w:tcPr>
          <w:p w14:paraId="4438BCE0" w14:textId="77777777" w:rsidR="00FA352A" w:rsidRPr="002C03D0" w:rsidRDefault="00FA352A" w:rsidP="000D707E">
            <w:pPr>
              <w:spacing w:after="0"/>
              <w:rPr>
                <w:sz w:val="24"/>
                <w:szCs w:val="24"/>
              </w:rPr>
            </w:pPr>
            <w:r w:rsidRPr="002C03D0">
              <w:rPr>
                <w:sz w:val="24"/>
                <w:szCs w:val="24"/>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2C03D0" w14:paraId="0C3C44AA" w14:textId="77777777" w:rsidTr="00777347">
        <w:trPr>
          <w:trHeight w:val="253"/>
        </w:trPr>
        <w:tc>
          <w:tcPr>
            <w:tcW w:w="1417" w:type="dxa"/>
            <w:vAlign w:val="center"/>
          </w:tcPr>
          <w:p w14:paraId="164B293C" w14:textId="77777777" w:rsidR="00FA352A" w:rsidRPr="002C03D0" w:rsidRDefault="00FA352A" w:rsidP="002C03D0">
            <w:pPr>
              <w:keepLines/>
              <w:spacing w:after="0"/>
              <w:jc w:val="center"/>
              <w:rPr>
                <w:sz w:val="24"/>
                <w:szCs w:val="24"/>
              </w:rPr>
            </w:pPr>
            <w:r w:rsidRPr="002C03D0">
              <w:rPr>
                <w:sz w:val="24"/>
                <w:szCs w:val="24"/>
              </w:rPr>
              <w:t>85%</w:t>
            </w:r>
          </w:p>
        </w:tc>
        <w:tc>
          <w:tcPr>
            <w:tcW w:w="1620" w:type="dxa"/>
            <w:vAlign w:val="center"/>
          </w:tcPr>
          <w:p w14:paraId="5C798EDA" w14:textId="77777777" w:rsidR="00FA352A" w:rsidRPr="002C03D0" w:rsidRDefault="00FA352A" w:rsidP="002C03D0">
            <w:pPr>
              <w:keepLines/>
              <w:spacing w:after="0"/>
              <w:jc w:val="center"/>
              <w:rPr>
                <w:sz w:val="24"/>
                <w:szCs w:val="24"/>
              </w:rPr>
            </w:pPr>
            <w:r w:rsidRPr="002C03D0">
              <w:rPr>
                <w:sz w:val="24"/>
                <w:szCs w:val="24"/>
              </w:rPr>
              <w:t>Between Good and Excellent</w:t>
            </w:r>
          </w:p>
        </w:tc>
        <w:tc>
          <w:tcPr>
            <w:tcW w:w="6205" w:type="dxa"/>
          </w:tcPr>
          <w:p w14:paraId="3E6A39E8" w14:textId="77777777" w:rsidR="00FA352A" w:rsidRPr="002C03D0" w:rsidRDefault="00FA352A" w:rsidP="002C03D0">
            <w:pPr>
              <w:keepLines/>
              <w:spacing w:after="0"/>
              <w:rPr>
                <w:sz w:val="24"/>
                <w:szCs w:val="24"/>
              </w:rPr>
            </w:pPr>
            <w:r w:rsidRPr="002C03D0">
              <w:rPr>
                <w:sz w:val="24"/>
                <w:szCs w:val="24"/>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2C03D0" w14:paraId="3F2345DE" w14:textId="77777777" w:rsidTr="00777347">
        <w:trPr>
          <w:trHeight w:val="253"/>
        </w:trPr>
        <w:tc>
          <w:tcPr>
            <w:tcW w:w="1417" w:type="dxa"/>
            <w:vAlign w:val="center"/>
          </w:tcPr>
          <w:p w14:paraId="7F22D6E4" w14:textId="77777777" w:rsidR="00FA352A" w:rsidRPr="002C03D0" w:rsidRDefault="00FA352A" w:rsidP="000D707E">
            <w:pPr>
              <w:spacing w:after="0"/>
              <w:jc w:val="center"/>
              <w:rPr>
                <w:sz w:val="24"/>
                <w:szCs w:val="24"/>
              </w:rPr>
            </w:pPr>
            <w:r w:rsidRPr="002C03D0">
              <w:rPr>
                <w:sz w:val="24"/>
                <w:szCs w:val="24"/>
              </w:rPr>
              <w:t>90%</w:t>
            </w:r>
          </w:p>
        </w:tc>
        <w:tc>
          <w:tcPr>
            <w:tcW w:w="1620" w:type="dxa"/>
            <w:vAlign w:val="center"/>
          </w:tcPr>
          <w:p w14:paraId="769ADE50" w14:textId="77777777" w:rsidR="00FA352A" w:rsidRPr="002C03D0" w:rsidRDefault="00FA352A" w:rsidP="000D707E">
            <w:pPr>
              <w:spacing w:after="0"/>
              <w:jc w:val="center"/>
              <w:rPr>
                <w:sz w:val="24"/>
                <w:szCs w:val="24"/>
              </w:rPr>
            </w:pPr>
            <w:r w:rsidRPr="002C03D0">
              <w:rPr>
                <w:sz w:val="24"/>
                <w:szCs w:val="24"/>
              </w:rPr>
              <w:t>Excellent</w:t>
            </w:r>
          </w:p>
        </w:tc>
        <w:tc>
          <w:tcPr>
            <w:tcW w:w="6205" w:type="dxa"/>
          </w:tcPr>
          <w:p w14:paraId="2E4F9C13" w14:textId="77777777" w:rsidR="00FA352A" w:rsidRPr="002C03D0" w:rsidRDefault="00FA352A" w:rsidP="000D707E">
            <w:pPr>
              <w:spacing w:after="0"/>
              <w:rPr>
                <w:sz w:val="24"/>
                <w:szCs w:val="24"/>
              </w:rPr>
            </w:pPr>
            <w:r w:rsidRPr="002C03D0">
              <w:rPr>
                <w:sz w:val="24"/>
                <w:szCs w:val="24"/>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2C03D0" w14:paraId="557BCB4F" w14:textId="77777777" w:rsidTr="00777347">
        <w:trPr>
          <w:trHeight w:val="253"/>
        </w:trPr>
        <w:tc>
          <w:tcPr>
            <w:tcW w:w="1417" w:type="dxa"/>
            <w:vAlign w:val="center"/>
          </w:tcPr>
          <w:p w14:paraId="473C1BA2" w14:textId="77777777" w:rsidR="00FA352A" w:rsidRPr="002C03D0" w:rsidRDefault="00FA352A" w:rsidP="000D707E">
            <w:pPr>
              <w:spacing w:after="0"/>
              <w:jc w:val="center"/>
              <w:rPr>
                <w:sz w:val="24"/>
                <w:szCs w:val="24"/>
              </w:rPr>
            </w:pPr>
            <w:r w:rsidRPr="002C03D0">
              <w:rPr>
                <w:sz w:val="24"/>
                <w:szCs w:val="24"/>
              </w:rPr>
              <w:t>95%</w:t>
            </w:r>
          </w:p>
        </w:tc>
        <w:tc>
          <w:tcPr>
            <w:tcW w:w="1620" w:type="dxa"/>
            <w:vAlign w:val="center"/>
          </w:tcPr>
          <w:p w14:paraId="67FCE25A" w14:textId="77777777" w:rsidR="00FA352A" w:rsidRPr="002C03D0" w:rsidRDefault="00FA352A" w:rsidP="000D707E">
            <w:pPr>
              <w:spacing w:after="0"/>
              <w:jc w:val="center"/>
              <w:rPr>
                <w:sz w:val="24"/>
                <w:szCs w:val="24"/>
              </w:rPr>
            </w:pPr>
            <w:r w:rsidRPr="002C03D0">
              <w:rPr>
                <w:sz w:val="24"/>
                <w:szCs w:val="24"/>
              </w:rPr>
              <w:t>Between Excellent and Exceptional</w:t>
            </w:r>
          </w:p>
        </w:tc>
        <w:tc>
          <w:tcPr>
            <w:tcW w:w="6205" w:type="dxa"/>
          </w:tcPr>
          <w:p w14:paraId="6B8481FE" w14:textId="77777777" w:rsidR="00FA352A" w:rsidRPr="002C03D0" w:rsidRDefault="00FA352A" w:rsidP="000D707E">
            <w:pPr>
              <w:spacing w:after="0"/>
              <w:rPr>
                <w:sz w:val="24"/>
                <w:szCs w:val="24"/>
              </w:rPr>
            </w:pPr>
            <w:r w:rsidRPr="002C03D0">
              <w:rPr>
                <w:sz w:val="24"/>
                <w:szCs w:val="24"/>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2C03D0" w14:paraId="5819F53D" w14:textId="77777777" w:rsidTr="00777347">
        <w:trPr>
          <w:trHeight w:val="253"/>
        </w:trPr>
        <w:tc>
          <w:tcPr>
            <w:tcW w:w="1417" w:type="dxa"/>
            <w:vAlign w:val="center"/>
          </w:tcPr>
          <w:p w14:paraId="09336E0B" w14:textId="77777777" w:rsidR="00FA352A" w:rsidRPr="002C03D0" w:rsidRDefault="00FA352A" w:rsidP="000D707E">
            <w:pPr>
              <w:spacing w:after="0"/>
              <w:jc w:val="center"/>
              <w:rPr>
                <w:sz w:val="24"/>
                <w:szCs w:val="24"/>
              </w:rPr>
            </w:pPr>
            <w:r w:rsidRPr="002C03D0">
              <w:rPr>
                <w:sz w:val="24"/>
                <w:szCs w:val="24"/>
              </w:rPr>
              <w:t>100%</w:t>
            </w:r>
          </w:p>
        </w:tc>
        <w:tc>
          <w:tcPr>
            <w:tcW w:w="1620" w:type="dxa"/>
            <w:vAlign w:val="center"/>
          </w:tcPr>
          <w:p w14:paraId="15115565" w14:textId="77777777" w:rsidR="00FA352A" w:rsidRPr="002C03D0" w:rsidRDefault="00FA352A" w:rsidP="000D707E">
            <w:pPr>
              <w:spacing w:after="0"/>
              <w:jc w:val="center"/>
              <w:rPr>
                <w:sz w:val="24"/>
                <w:szCs w:val="24"/>
              </w:rPr>
            </w:pPr>
            <w:r w:rsidRPr="002C03D0">
              <w:rPr>
                <w:sz w:val="24"/>
                <w:szCs w:val="24"/>
              </w:rPr>
              <w:t>Exceptional</w:t>
            </w:r>
          </w:p>
        </w:tc>
        <w:tc>
          <w:tcPr>
            <w:tcW w:w="6205" w:type="dxa"/>
          </w:tcPr>
          <w:p w14:paraId="5505BC69" w14:textId="77777777" w:rsidR="00FA352A" w:rsidRPr="002C03D0" w:rsidRDefault="00FA352A" w:rsidP="000D707E">
            <w:pPr>
              <w:spacing w:after="0"/>
              <w:rPr>
                <w:sz w:val="24"/>
                <w:szCs w:val="24"/>
              </w:rPr>
            </w:pPr>
            <w:r w:rsidRPr="002C03D0">
              <w:rPr>
                <w:sz w:val="24"/>
                <w:szCs w:val="24"/>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154"/>
      <w:bookmarkEnd w:id="155"/>
      <w:bookmarkEnd w:id="156"/>
      <w:r w:rsidR="003A2FCD" w:rsidRPr="003A2FCD">
        <w:rPr>
          <w:b/>
          <w:caps/>
          <w:sz w:val="28"/>
          <w:u w:val="single"/>
        </w:rPr>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2C03D0" w14:paraId="59AFBAFD" w14:textId="77777777" w:rsidTr="00291F8E">
        <w:trPr>
          <w:cantSplit/>
          <w:tblHeader/>
        </w:trPr>
        <w:tc>
          <w:tcPr>
            <w:tcW w:w="8365" w:type="dxa"/>
            <w:shd w:val="clear" w:color="auto" w:fill="D9D9D9" w:themeFill="background1" w:themeFillShade="D9"/>
            <w:vAlign w:val="center"/>
          </w:tcPr>
          <w:p w14:paraId="35F025A8" w14:textId="205DB9E6" w:rsidR="00EF3B73" w:rsidRPr="002C03D0" w:rsidRDefault="003A2FCD" w:rsidP="002C03D0">
            <w:pPr>
              <w:spacing w:before="60" w:after="60" w:line="360" w:lineRule="auto"/>
              <w:rPr>
                <w:b/>
                <w:sz w:val="24"/>
                <w:szCs w:val="24"/>
              </w:rPr>
            </w:pPr>
            <w:r w:rsidRPr="002C03D0">
              <w:rPr>
                <w:b/>
                <w:sz w:val="24"/>
                <w:szCs w:val="24"/>
              </w:rPr>
              <w:t xml:space="preserve">Screening </w:t>
            </w:r>
            <w:r w:rsidR="00EF3B73" w:rsidRPr="002C03D0">
              <w:rPr>
                <w:b/>
                <w:sz w:val="24"/>
                <w:szCs w:val="24"/>
              </w:rPr>
              <w:t>Criteria</w:t>
            </w:r>
          </w:p>
        </w:tc>
        <w:tc>
          <w:tcPr>
            <w:tcW w:w="1350" w:type="dxa"/>
            <w:shd w:val="clear" w:color="auto" w:fill="D9D9D9" w:themeFill="background1" w:themeFillShade="D9"/>
            <w:vAlign w:val="center"/>
          </w:tcPr>
          <w:p w14:paraId="58E1636A" w14:textId="1DBDE495" w:rsidR="00EF3B73" w:rsidRPr="002C03D0" w:rsidRDefault="00EF3B73" w:rsidP="002C03D0">
            <w:pPr>
              <w:spacing w:before="60" w:after="60"/>
              <w:rPr>
                <w:b/>
                <w:sz w:val="24"/>
                <w:szCs w:val="24"/>
              </w:rPr>
            </w:pPr>
          </w:p>
        </w:tc>
      </w:tr>
      <w:tr w:rsidR="00402E98" w:rsidRPr="002C03D0" w14:paraId="2010EFAC" w14:textId="77777777" w:rsidTr="00402E98">
        <w:tc>
          <w:tcPr>
            <w:tcW w:w="8365" w:type="dxa"/>
          </w:tcPr>
          <w:p w14:paraId="1DA45926" w14:textId="77777777" w:rsidR="00402E98" w:rsidRPr="002C03D0" w:rsidRDefault="00402E98" w:rsidP="002C03D0">
            <w:pPr>
              <w:spacing w:before="120"/>
              <w:ind w:left="360"/>
              <w:rPr>
                <w:b/>
                <w:sz w:val="24"/>
                <w:szCs w:val="24"/>
              </w:rPr>
            </w:pPr>
            <w:r w:rsidRPr="002C03D0">
              <w:rPr>
                <w:b/>
                <w:sz w:val="24"/>
                <w:szCs w:val="24"/>
              </w:rPr>
              <w:t>Applicant Past Performance with Energy Commission</w:t>
            </w:r>
          </w:p>
          <w:p w14:paraId="44FCC299" w14:textId="77777777" w:rsidR="00402E98" w:rsidRPr="002C03D0" w:rsidRDefault="00402E98" w:rsidP="002C03D0">
            <w:pPr>
              <w:spacing w:before="120"/>
              <w:ind w:left="360"/>
              <w:rPr>
                <w:sz w:val="24"/>
                <w:szCs w:val="24"/>
              </w:rPr>
            </w:pPr>
            <w:r w:rsidRPr="002C03D0">
              <w:rPr>
                <w:sz w:val="24"/>
                <w:szCs w:val="24"/>
              </w:rPr>
              <w:t xml:space="preserve">The applicant—defined as at least one of the following: the business, principal investigator, or lead individual acting on behalf of themselves—received funds from the Energy Commission (e.g., contract, grant, or loan) and entered into an agreement(s) with the Commission and demonstrated </w:t>
            </w:r>
            <w:r w:rsidRPr="002C03D0">
              <w:rPr>
                <w:b/>
                <w:sz w:val="24"/>
                <w:szCs w:val="24"/>
              </w:rPr>
              <w:t xml:space="preserve">severe performance issues </w:t>
            </w:r>
            <w:r w:rsidRPr="002C03D0">
              <w:rPr>
                <w:sz w:val="24"/>
                <w:szCs w:val="24"/>
              </w:rPr>
              <w:t>characterized by significant negative outcomes including:</w:t>
            </w:r>
          </w:p>
          <w:p w14:paraId="2FC23F79" w14:textId="77777777" w:rsidR="00402E98" w:rsidRPr="002C03D0" w:rsidRDefault="00402E98" w:rsidP="002C03D0">
            <w:pPr>
              <w:pStyle w:val="ListParagraph"/>
              <w:numPr>
                <w:ilvl w:val="0"/>
                <w:numId w:val="64"/>
              </w:numPr>
              <w:spacing w:after="0"/>
              <w:rPr>
                <w:sz w:val="24"/>
                <w:szCs w:val="24"/>
              </w:rPr>
            </w:pPr>
            <w:r w:rsidRPr="002C03D0">
              <w:rPr>
                <w:sz w:val="24"/>
                <w:szCs w:val="24"/>
              </w:rPr>
              <w:t xml:space="preserve">Significant deviation from agreement </w:t>
            </w:r>
            <w:proofErr w:type="gramStart"/>
            <w:r w:rsidRPr="002C03D0">
              <w:rPr>
                <w:sz w:val="24"/>
                <w:szCs w:val="24"/>
              </w:rPr>
              <w:t>requirements</w:t>
            </w:r>
            <w:r w:rsidR="003A2FCD" w:rsidRPr="002C03D0">
              <w:rPr>
                <w:sz w:val="24"/>
                <w:szCs w:val="24"/>
              </w:rPr>
              <w:t>;</w:t>
            </w:r>
            <w:proofErr w:type="gramEnd"/>
          </w:p>
          <w:p w14:paraId="4A09E145" w14:textId="77777777" w:rsidR="00402E98" w:rsidRPr="002C03D0" w:rsidRDefault="00402E98" w:rsidP="002C03D0">
            <w:pPr>
              <w:pStyle w:val="ListParagraph"/>
              <w:numPr>
                <w:ilvl w:val="0"/>
                <w:numId w:val="64"/>
              </w:numPr>
              <w:spacing w:after="0"/>
              <w:rPr>
                <w:sz w:val="24"/>
                <w:szCs w:val="24"/>
              </w:rPr>
            </w:pPr>
            <w:r w:rsidRPr="002C03D0">
              <w:rPr>
                <w:sz w:val="24"/>
                <w:szCs w:val="24"/>
              </w:rPr>
              <w:t xml:space="preserve">Termination with </w:t>
            </w:r>
            <w:proofErr w:type="gramStart"/>
            <w:r w:rsidRPr="002C03D0">
              <w:rPr>
                <w:sz w:val="24"/>
                <w:szCs w:val="24"/>
              </w:rPr>
              <w:t>cause</w:t>
            </w:r>
            <w:r w:rsidR="003A2FCD" w:rsidRPr="002C03D0">
              <w:rPr>
                <w:sz w:val="24"/>
                <w:szCs w:val="24"/>
              </w:rPr>
              <w:t>;</w:t>
            </w:r>
            <w:proofErr w:type="gramEnd"/>
          </w:p>
          <w:p w14:paraId="7813E583" w14:textId="24422B94" w:rsidR="00402E98" w:rsidRPr="002C03D0" w:rsidRDefault="004849ED" w:rsidP="002C03D0">
            <w:pPr>
              <w:pStyle w:val="ListParagraph"/>
              <w:numPr>
                <w:ilvl w:val="0"/>
                <w:numId w:val="64"/>
              </w:numPr>
              <w:spacing w:after="0"/>
              <w:rPr>
                <w:sz w:val="24"/>
                <w:szCs w:val="24"/>
              </w:rPr>
            </w:pPr>
            <w:r w:rsidRPr="002C03D0">
              <w:rPr>
                <w:sz w:val="24"/>
                <w:szCs w:val="24"/>
              </w:rPr>
              <w:t xml:space="preserve">Demonstrated poor </w:t>
            </w:r>
            <w:r w:rsidR="003A2FCD" w:rsidRPr="002C03D0">
              <w:rPr>
                <w:sz w:val="24"/>
                <w:szCs w:val="24"/>
              </w:rPr>
              <w:t>c</w:t>
            </w:r>
            <w:r w:rsidR="00402E98" w:rsidRPr="002C03D0">
              <w:rPr>
                <w:sz w:val="24"/>
                <w:szCs w:val="24"/>
              </w:rPr>
              <w:t>ommunication</w:t>
            </w:r>
            <w:r w:rsidR="003A2FCD" w:rsidRPr="002C03D0">
              <w:rPr>
                <w:sz w:val="24"/>
                <w:szCs w:val="24"/>
              </w:rPr>
              <w:t xml:space="preserve">, project management, </w:t>
            </w:r>
            <w:r w:rsidR="00402E98" w:rsidRPr="002C03D0">
              <w:rPr>
                <w:sz w:val="24"/>
                <w:szCs w:val="24"/>
              </w:rPr>
              <w:t xml:space="preserve">and/or </w:t>
            </w:r>
            <w:r w:rsidRPr="00CD59C4">
              <w:rPr>
                <w:color w:val="000000"/>
                <w:sz w:val="24"/>
                <w:szCs w:val="24"/>
                <w:shd w:val="clear" w:color="auto" w:fill="FFFFFF"/>
              </w:rPr>
              <w:t xml:space="preserve">inability, due to circumstances within its control, from materially completing the </w:t>
            </w:r>
            <w:proofErr w:type="gramStart"/>
            <w:r w:rsidRPr="00CD59C4">
              <w:rPr>
                <w:color w:val="000000"/>
                <w:sz w:val="24"/>
                <w:szCs w:val="24"/>
                <w:shd w:val="clear" w:color="auto" w:fill="FFFFFF"/>
              </w:rPr>
              <w:t>project</w:t>
            </w:r>
            <w:r w:rsidR="003A2FCD" w:rsidRPr="00CD59C4">
              <w:rPr>
                <w:sz w:val="24"/>
                <w:szCs w:val="24"/>
              </w:rPr>
              <w:t>;</w:t>
            </w:r>
            <w:proofErr w:type="gramEnd"/>
          </w:p>
          <w:p w14:paraId="2E58BD70" w14:textId="7A0ACE29" w:rsidR="00402E98" w:rsidRPr="002C03D0" w:rsidRDefault="00402E98" w:rsidP="002C03D0">
            <w:pPr>
              <w:pStyle w:val="ListParagraph"/>
              <w:numPr>
                <w:ilvl w:val="0"/>
                <w:numId w:val="64"/>
              </w:numPr>
              <w:spacing w:after="0"/>
              <w:rPr>
                <w:sz w:val="24"/>
                <w:szCs w:val="24"/>
              </w:rPr>
            </w:pPr>
            <w:r w:rsidRPr="002C03D0">
              <w:rPr>
                <w:sz w:val="24"/>
                <w:szCs w:val="24"/>
              </w:rPr>
              <w:t>Quality issues with deliverables including poorly written final report that prevents publishing</w:t>
            </w:r>
            <w:r w:rsidR="005E70DB" w:rsidRPr="002C03D0">
              <w:rPr>
                <w:sz w:val="24"/>
                <w:szCs w:val="24"/>
              </w:rPr>
              <w:t>; and</w:t>
            </w:r>
          </w:p>
          <w:p w14:paraId="1D684C6E" w14:textId="77777777" w:rsidR="00402E98" w:rsidRPr="002C03D0" w:rsidRDefault="00402E98" w:rsidP="002C03D0">
            <w:pPr>
              <w:pStyle w:val="ListParagraph"/>
              <w:numPr>
                <w:ilvl w:val="0"/>
                <w:numId w:val="64"/>
              </w:numPr>
              <w:spacing w:after="0"/>
              <w:rPr>
                <w:sz w:val="24"/>
                <w:szCs w:val="24"/>
              </w:rPr>
            </w:pPr>
            <w:r w:rsidRPr="002C03D0">
              <w:rPr>
                <w:sz w:val="24"/>
                <w:szCs w:val="24"/>
              </w:rPr>
              <w:t>Severe unresolved negative audit findings.</w:t>
            </w:r>
          </w:p>
          <w:p w14:paraId="4548CA2A" w14:textId="77777777" w:rsidR="00931522" w:rsidRPr="002C03D0" w:rsidRDefault="00931522" w:rsidP="002C03D0">
            <w:pPr>
              <w:pStyle w:val="ListParagraph"/>
              <w:spacing w:after="0"/>
              <w:ind w:left="1080"/>
              <w:rPr>
                <w:sz w:val="24"/>
                <w:szCs w:val="24"/>
              </w:rPr>
            </w:pPr>
          </w:p>
        </w:tc>
        <w:tc>
          <w:tcPr>
            <w:tcW w:w="1350" w:type="dxa"/>
          </w:tcPr>
          <w:p w14:paraId="14807B90" w14:textId="77777777" w:rsidR="00402E98" w:rsidRPr="002C03D0" w:rsidRDefault="00402E98" w:rsidP="002C03D0">
            <w:pPr>
              <w:spacing w:before="120"/>
              <w:rPr>
                <w:b/>
                <w:sz w:val="24"/>
                <w:szCs w:val="24"/>
              </w:rPr>
            </w:pPr>
          </w:p>
        </w:tc>
      </w:tr>
      <w:tr w:rsidR="00402E98" w:rsidRPr="002C03D0" w14:paraId="5E7C1A48" w14:textId="77777777" w:rsidTr="00291F8E">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C03D0" w:rsidRDefault="003A2FCD" w:rsidP="002C03D0">
            <w:pPr>
              <w:spacing w:before="60" w:after="0"/>
              <w:rPr>
                <w:b/>
                <w:sz w:val="24"/>
                <w:szCs w:val="24"/>
              </w:rPr>
            </w:pPr>
            <w:r w:rsidRPr="002C03D0">
              <w:rPr>
                <w:b/>
                <w:sz w:val="24"/>
                <w:szCs w:val="24"/>
              </w:rPr>
              <w:t>M</w:t>
            </w:r>
            <w:r w:rsidR="00402E98" w:rsidRPr="002C03D0">
              <w:rPr>
                <w:b/>
                <w:sz w:val="24"/>
                <w:szCs w:val="24"/>
              </w:rPr>
              <w:t xml:space="preserve">ust pass to continue </w:t>
            </w:r>
            <w:r w:rsidRPr="002C03D0">
              <w:rPr>
                <w:b/>
                <w:sz w:val="24"/>
                <w:szCs w:val="24"/>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C03D0" w:rsidRDefault="003A2FCD" w:rsidP="002C03D0">
            <w:pPr>
              <w:spacing w:after="0"/>
              <w:rPr>
                <w:b/>
                <w:sz w:val="24"/>
                <w:szCs w:val="24"/>
              </w:rPr>
            </w:pPr>
            <w:r w:rsidRPr="002C03D0">
              <w:rPr>
                <w:b/>
                <w:sz w:val="24"/>
                <w:szCs w:val="24"/>
              </w:rPr>
              <w:t>Pass/Fail</w:t>
            </w:r>
          </w:p>
        </w:tc>
      </w:tr>
    </w:tbl>
    <w:p w14:paraId="42FF1647" w14:textId="77777777" w:rsidR="002C03D0" w:rsidRDefault="002C03D0">
      <w:r>
        <w:br w:type="page"/>
      </w:r>
    </w:p>
    <w:tbl>
      <w:tblPr>
        <w:tblStyle w:val="TableGrid"/>
        <w:tblW w:w="9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citation Application Scoring Criteria "/>
        <w:tblDescription w:val="This table details how applicants will be scored."/>
      </w:tblPr>
      <w:tblGrid>
        <w:gridCol w:w="9715"/>
      </w:tblGrid>
      <w:tr w:rsidR="003A2FCD" w:rsidRPr="002C03D0" w14:paraId="20B122AC" w14:textId="77777777" w:rsidTr="002C03D0">
        <w:trPr>
          <w:cantSplit/>
          <w:trHeight w:val="683"/>
        </w:trPr>
        <w:tc>
          <w:tcPr>
            <w:tcW w:w="9715" w:type="dxa"/>
            <w:shd w:val="clear" w:color="auto" w:fill="auto"/>
          </w:tcPr>
          <w:p w14:paraId="5A09238E" w14:textId="5857FFD9" w:rsidR="003A2FCD" w:rsidRPr="002C03D0" w:rsidRDefault="003A2FCD" w:rsidP="00616F23">
            <w:pPr>
              <w:tabs>
                <w:tab w:val="left" w:pos="1530"/>
              </w:tabs>
              <w:jc w:val="both"/>
              <w:rPr>
                <w:b/>
                <w:sz w:val="28"/>
              </w:rPr>
            </w:pPr>
          </w:p>
          <w:p w14:paraId="183DF34D" w14:textId="77777777" w:rsidR="003A2FCD" w:rsidRPr="002C03D0" w:rsidRDefault="003A2FCD" w:rsidP="00291F8E">
            <w:pPr>
              <w:tabs>
                <w:tab w:val="left" w:pos="1530"/>
              </w:tabs>
              <w:jc w:val="center"/>
              <w:rPr>
                <w:b/>
                <w:sz w:val="28"/>
              </w:rPr>
            </w:pPr>
            <w:r w:rsidRPr="002C03D0">
              <w:rPr>
                <w:b/>
                <w:caps/>
                <w:sz w:val="28"/>
                <w:u w:val="single"/>
              </w:rPr>
              <w:t>Scoring CRITERIA</w:t>
            </w:r>
          </w:p>
          <w:p w14:paraId="1BAB9649" w14:textId="77777777" w:rsidR="003A2FCD" w:rsidRPr="002C03D0" w:rsidRDefault="003A2FCD" w:rsidP="002C03D0">
            <w:pPr>
              <w:spacing w:before="180" w:after="0"/>
              <w:rPr>
                <w:b/>
                <w:sz w:val="18"/>
                <w:szCs w:val="12"/>
              </w:rPr>
            </w:pPr>
            <w:r w:rsidRPr="002C03D0">
              <w:rPr>
                <w:b/>
                <w:sz w:val="24"/>
                <w:szCs w:val="18"/>
              </w:rPr>
              <w:t xml:space="preserve">The Project Narrative (Attachment) </w:t>
            </w:r>
            <w:r w:rsidRPr="002C03D0">
              <w:rPr>
                <w:sz w:val="24"/>
                <w:szCs w:val="18"/>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Pr="002C03D0">
              <w:rPr>
                <w:sz w:val="18"/>
                <w:szCs w:val="12"/>
              </w:rPr>
              <w:t>.</w:t>
            </w:r>
          </w:p>
        </w:tc>
      </w:tr>
    </w:tbl>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2C03D0" w14:paraId="78A63B46" w14:textId="77777777" w:rsidTr="735CB6C3">
        <w:trPr>
          <w:trHeight w:val="550"/>
          <w:tblHeader/>
        </w:trPr>
        <w:tc>
          <w:tcPr>
            <w:tcW w:w="8362" w:type="dxa"/>
            <w:shd w:val="clear" w:color="auto" w:fill="D9D9D9" w:themeFill="background1" w:themeFillShade="D9"/>
            <w:vAlign w:val="bottom"/>
          </w:tcPr>
          <w:p w14:paraId="7FBC3A1A" w14:textId="77777777" w:rsidR="00616F23" w:rsidRPr="002C03D0" w:rsidRDefault="00616F23" w:rsidP="002C03D0">
            <w:pPr>
              <w:rPr>
                <w:b/>
                <w:i/>
                <w:sz w:val="24"/>
                <w:szCs w:val="24"/>
              </w:rPr>
            </w:pPr>
            <w:r w:rsidRPr="002C03D0">
              <w:rPr>
                <w:b/>
                <w:sz w:val="24"/>
                <w:szCs w:val="24"/>
              </w:rPr>
              <w:t>Scoring Criteria</w:t>
            </w:r>
          </w:p>
        </w:tc>
        <w:tc>
          <w:tcPr>
            <w:tcW w:w="1342" w:type="dxa"/>
            <w:shd w:val="clear" w:color="auto" w:fill="D9D9D9" w:themeFill="background1" w:themeFillShade="D9"/>
            <w:vAlign w:val="center"/>
          </w:tcPr>
          <w:p w14:paraId="730DEF67" w14:textId="77777777" w:rsidR="00616F23" w:rsidRPr="002C03D0" w:rsidRDefault="00616F23" w:rsidP="002C03D0">
            <w:pPr>
              <w:spacing w:after="0"/>
              <w:rPr>
                <w:b/>
                <w:sz w:val="24"/>
                <w:szCs w:val="24"/>
              </w:rPr>
            </w:pPr>
            <w:r w:rsidRPr="002C03D0">
              <w:rPr>
                <w:b/>
                <w:sz w:val="24"/>
                <w:szCs w:val="24"/>
              </w:rPr>
              <w:t>Maximum Points</w:t>
            </w:r>
          </w:p>
        </w:tc>
      </w:tr>
      <w:tr w:rsidR="00616F23" w:rsidRPr="002C03D0" w14:paraId="3CC07A71" w14:textId="77777777" w:rsidTr="003F6147">
        <w:tc>
          <w:tcPr>
            <w:tcW w:w="8362" w:type="dxa"/>
          </w:tcPr>
          <w:p w14:paraId="1C3CEC2F" w14:textId="77777777" w:rsidR="00616F23" w:rsidRPr="002C03D0" w:rsidRDefault="00616F23" w:rsidP="002C03D0">
            <w:pPr>
              <w:numPr>
                <w:ilvl w:val="0"/>
                <w:numId w:val="42"/>
              </w:numPr>
              <w:spacing w:before="120"/>
              <w:rPr>
                <w:rFonts w:cs="Times New Roman"/>
                <w:b/>
                <w:bCs/>
                <w:smallCaps/>
                <w:sz w:val="24"/>
                <w:szCs w:val="24"/>
              </w:rPr>
            </w:pPr>
            <w:bookmarkStart w:id="209" w:name="_Toc366671201"/>
            <w:r w:rsidRPr="002C03D0">
              <w:rPr>
                <w:b/>
                <w:sz w:val="24"/>
                <w:szCs w:val="24"/>
              </w:rPr>
              <w:t>Technical Merit</w:t>
            </w:r>
            <w:bookmarkEnd w:id="209"/>
            <w:r w:rsidRPr="002C03D0">
              <w:rPr>
                <w:b/>
                <w:sz w:val="24"/>
                <w:szCs w:val="24"/>
              </w:rPr>
              <w:t xml:space="preserve"> </w:t>
            </w:r>
          </w:p>
          <w:p w14:paraId="683D955F" w14:textId="77777777" w:rsidR="00616F23" w:rsidRPr="002C03D0" w:rsidRDefault="00616F23" w:rsidP="002C03D0">
            <w:pPr>
              <w:numPr>
                <w:ilvl w:val="0"/>
                <w:numId w:val="15"/>
              </w:numPr>
              <w:ind w:left="1140"/>
              <w:rPr>
                <w:sz w:val="24"/>
                <w:szCs w:val="24"/>
              </w:rPr>
            </w:pPr>
            <w:r w:rsidRPr="002C03D0">
              <w:rPr>
                <w:sz w:val="24"/>
                <w:szCs w:val="24"/>
              </w:rPr>
              <w:t>The proposed project provides a clear and concise description of the technological, scientific knowledge advancement, and/or innovation that will overcome barriers to achieving the State’s statutory energy goals.</w:t>
            </w:r>
          </w:p>
          <w:p w14:paraId="220DF0F2" w14:textId="77777777" w:rsidR="00616F23" w:rsidRPr="002C03D0" w:rsidRDefault="00616F23" w:rsidP="002C03D0">
            <w:pPr>
              <w:numPr>
                <w:ilvl w:val="0"/>
                <w:numId w:val="15"/>
              </w:numPr>
              <w:ind w:left="1140"/>
              <w:rPr>
                <w:sz w:val="24"/>
                <w:szCs w:val="24"/>
              </w:rPr>
            </w:pPr>
            <w:r w:rsidRPr="002C03D0">
              <w:rPr>
                <w:sz w:val="24"/>
                <w:szCs w:val="24"/>
              </w:rPr>
              <w:t>Describes the competitive advantages of the proposed technology over state-of-the-art (e.g., efficiency, emissions, durability, cost).</w:t>
            </w:r>
          </w:p>
          <w:p w14:paraId="0BE14511" w14:textId="77777777" w:rsidR="00616F23" w:rsidRPr="002C03D0" w:rsidRDefault="00616F23" w:rsidP="002C03D0">
            <w:pPr>
              <w:numPr>
                <w:ilvl w:val="0"/>
                <w:numId w:val="15"/>
              </w:numPr>
              <w:spacing w:before="240"/>
              <w:ind w:left="1140"/>
              <w:rPr>
                <w:sz w:val="24"/>
                <w:szCs w:val="24"/>
              </w:rPr>
            </w:pPr>
            <w:r w:rsidRPr="002C03D0">
              <w:rPr>
                <w:sz w:val="24"/>
                <w:szCs w:val="24"/>
              </w:rPr>
              <w:t>Provides the proposed technical specifications and describe how the project will meet or exceed the technical specifications by the end of the project.</w:t>
            </w:r>
          </w:p>
          <w:p w14:paraId="5C2345C9" w14:textId="77777777" w:rsidR="00616F23" w:rsidRPr="002C03D0" w:rsidRDefault="00616F23" w:rsidP="002C03D0">
            <w:pPr>
              <w:numPr>
                <w:ilvl w:val="0"/>
                <w:numId w:val="15"/>
              </w:numPr>
              <w:ind w:left="1140"/>
              <w:rPr>
                <w:sz w:val="24"/>
                <w:szCs w:val="24"/>
              </w:rPr>
            </w:pPr>
            <w:r w:rsidRPr="002C03D0">
              <w:rPr>
                <w:sz w:val="24"/>
                <w:szCs w:val="24"/>
              </w:rPr>
              <w:t>Describes the technology readiness level (TRL) the proposed technology has achieved and the expected TRL by the end of the project.</w:t>
            </w:r>
          </w:p>
          <w:p w14:paraId="39D130D9" w14:textId="77777777" w:rsidR="00616F23" w:rsidRPr="002C03D0" w:rsidRDefault="00616F23" w:rsidP="002C03D0">
            <w:pPr>
              <w:numPr>
                <w:ilvl w:val="0"/>
                <w:numId w:val="15"/>
              </w:numPr>
              <w:ind w:left="1140"/>
              <w:rPr>
                <w:sz w:val="24"/>
                <w:szCs w:val="24"/>
              </w:rPr>
            </w:pPr>
            <w:r w:rsidRPr="002C03D0">
              <w:rPr>
                <w:sz w:val="24"/>
                <w:szCs w:val="24"/>
              </w:rPr>
              <w:t>Describes at what scale the technology has been successfully demonstrated, including size or capacity, number of previous installations, location and duration, results, etc.</w:t>
            </w:r>
          </w:p>
          <w:p w14:paraId="5D586241" w14:textId="4F4D200F" w:rsidR="00616F23" w:rsidRPr="002C03D0" w:rsidRDefault="00616F23" w:rsidP="002C03D0">
            <w:pPr>
              <w:numPr>
                <w:ilvl w:val="0"/>
                <w:numId w:val="15"/>
              </w:numPr>
              <w:ind w:left="1140"/>
              <w:rPr>
                <w:sz w:val="24"/>
                <w:szCs w:val="24"/>
              </w:rPr>
            </w:pPr>
            <w:r w:rsidRPr="002C03D0">
              <w:rPr>
                <w:sz w:val="24"/>
                <w:szCs w:val="24"/>
              </w:rPr>
              <w:t xml:space="preserve">Describes how the proposed demonstration will lead to increased adoption of the technology in </w:t>
            </w:r>
            <w:proofErr w:type="gramStart"/>
            <w:r w:rsidRPr="002C03D0">
              <w:rPr>
                <w:sz w:val="24"/>
                <w:szCs w:val="24"/>
              </w:rPr>
              <w:t>California.</w:t>
            </w:r>
            <w:r w:rsidRPr="002C03D0">
              <w:rPr>
                <w:i/>
                <w:color w:val="0070C0"/>
                <w:sz w:val="24"/>
                <w:szCs w:val="24"/>
              </w:rPr>
              <w:t>.</w:t>
            </w:r>
            <w:proofErr w:type="gramEnd"/>
          </w:p>
          <w:p w14:paraId="22BE3CC5" w14:textId="41DF98E6" w:rsidR="00616F23" w:rsidRPr="002C03D0" w:rsidRDefault="00616F23" w:rsidP="002C03D0">
            <w:pPr>
              <w:numPr>
                <w:ilvl w:val="0"/>
                <w:numId w:val="15"/>
              </w:numPr>
              <w:ind w:left="1140"/>
              <w:rPr>
                <w:sz w:val="24"/>
                <w:szCs w:val="24"/>
              </w:rPr>
            </w:pPr>
            <w:r w:rsidRPr="002C03D0">
              <w:rPr>
                <w:sz w:val="24"/>
                <w:szCs w:val="24"/>
              </w:rPr>
              <w:t>Provides information described in Section I.</w:t>
            </w:r>
            <w:r w:rsidR="00434E3E" w:rsidRPr="002C03D0">
              <w:rPr>
                <w:sz w:val="24"/>
                <w:szCs w:val="24"/>
              </w:rPr>
              <w:t>C</w:t>
            </w:r>
            <w:r w:rsidRPr="002C03D0">
              <w:rPr>
                <w:sz w:val="24"/>
                <w:szCs w:val="24"/>
              </w:rPr>
              <w:t>.</w:t>
            </w:r>
          </w:p>
        </w:tc>
        <w:tc>
          <w:tcPr>
            <w:tcW w:w="1342" w:type="dxa"/>
          </w:tcPr>
          <w:p w14:paraId="772E0D48" w14:textId="77777777" w:rsidR="00616F23" w:rsidRPr="002C03D0" w:rsidRDefault="00616F23" w:rsidP="002C03D0">
            <w:pPr>
              <w:spacing w:before="120"/>
              <w:jc w:val="center"/>
              <w:rPr>
                <w:b/>
                <w:sz w:val="24"/>
                <w:szCs w:val="24"/>
              </w:rPr>
            </w:pPr>
            <w:r w:rsidRPr="002C03D0">
              <w:rPr>
                <w:b/>
                <w:sz w:val="24"/>
                <w:szCs w:val="24"/>
              </w:rPr>
              <w:t>15</w:t>
            </w:r>
          </w:p>
        </w:tc>
      </w:tr>
      <w:tr w:rsidR="00616F23" w:rsidRPr="002C03D0" w14:paraId="008809DB" w14:textId="77777777" w:rsidTr="003F6147">
        <w:tc>
          <w:tcPr>
            <w:tcW w:w="8362" w:type="dxa"/>
          </w:tcPr>
          <w:p w14:paraId="3F26217C" w14:textId="77777777" w:rsidR="00616F23" w:rsidRPr="002C03D0" w:rsidRDefault="00616F23" w:rsidP="002C03D0">
            <w:pPr>
              <w:numPr>
                <w:ilvl w:val="0"/>
                <w:numId w:val="42"/>
              </w:numPr>
              <w:spacing w:before="120"/>
              <w:rPr>
                <w:rFonts w:cs="Times New Roman"/>
                <w:b/>
                <w:bCs/>
                <w:smallCaps/>
                <w:sz w:val="24"/>
                <w:szCs w:val="24"/>
              </w:rPr>
            </w:pPr>
            <w:bookmarkStart w:id="210" w:name="_Toc366671202"/>
            <w:r w:rsidRPr="002C03D0">
              <w:rPr>
                <w:b/>
                <w:sz w:val="24"/>
                <w:szCs w:val="24"/>
              </w:rPr>
              <w:t>Technical Approach</w:t>
            </w:r>
            <w:bookmarkEnd w:id="210"/>
            <w:r w:rsidRPr="002C03D0">
              <w:rPr>
                <w:b/>
                <w:sz w:val="24"/>
                <w:szCs w:val="24"/>
              </w:rPr>
              <w:t xml:space="preserve"> </w:t>
            </w:r>
          </w:p>
          <w:p w14:paraId="34DF631F" w14:textId="77777777" w:rsidR="00616F23" w:rsidRPr="002C03D0" w:rsidRDefault="00616F23" w:rsidP="002C03D0">
            <w:pPr>
              <w:numPr>
                <w:ilvl w:val="0"/>
                <w:numId w:val="65"/>
              </w:numPr>
              <w:ind w:left="1140"/>
              <w:rPr>
                <w:sz w:val="24"/>
                <w:szCs w:val="24"/>
              </w:rPr>
            </w:pPr>
            <w:r w:rsidRPr="002C03D0">
              <w:rPr>
                <w:sz w:val="24"/>
                <w:szCs w:val="24"/>
              </w:rPr>
              <w:t xml:space="preserve">Proposal describes the technique, approach, and methods to be used in performing the work described in the Scope of Work. </w:t>
            </w:r>
          </w:p>
          <w:p w14:paraId="78EA6444" w14:textId="77777777" w:rsidR="00616F23" w:rsidRPr="002C03D0" w:rsidRDefault="00616F23" w:rsidP="002C03D0">
            <w:pPr>
              <w:numPr>
                <w:ilvl w:val="0"/>
                <w:numId w:val="65"/>
              </w:numPr>
              <w:ind w:left="1140"/>
              <w:rPr>
                <w:sz w:val="24"/>
                <w:szCs w:val="24"/>
              </w:rPr>
            </w:pPr>
            <w:r w:rsidRPr="002C03D0">
              <w:rPr>
                <w:sz w:val="24"/>
                <w:szCs w:val="24"/>
              </w:rPr>
              <w:t>The Scope of Work identifies goals, objectives, and deliverables, details the work to be performed, and aligns with the information presented in Project Narrative.</w:t>
            </w:r>
          </w:p>
          <w:p w14:paraId="531573E5" w14:textId="77777777" w:rsidR="00616F23" w:rsidRPr="002C03D0" w:rsidRDefault="00616F23" w:rsidP="002C03D0">
            <w:pPr>
              <w:numPr>
                <w:ilvl w:val="0"/>
                <w:numId w:val="65"/>
              </w:numPr>
              <w:ind w:left="1140"/>
              <w:rPr>
                <w:sz w:val="24"/>
                <w:szCs w:val="24"/>
              </w:rPr>
            </w:pPr>
            <w:r w:rsidRPr="002C03D0">
              <w:rPr>
                <w:sz w:val="24"/>
                <w:szCs w:val="24"/>
              </w:rPr>
              <w:t>Proposal identifies the reliability that the project and site recommendations as described will be carried out if funds are awarded.</w:t>
            </w:r>
          </w:p>
          <w:p w14:paraId="790C074F" w14:textId="77777777" w:rsidR="00616F23" w:rsidRPr="002C03D0" w:rsidRDefault="00616F23" w:rsidP="002C03D0">
            <w:pPr>
              <w:numPr>
                <w:ilvl w:val="0"/>
                <w:numId w:val="65"/>
              </w:numPr>
              <w:ind w:left="1140"/>
              <w:rPr>
                <w:sz w:val="24"/>
                <w:szCs w:val="24"/>
              </w:rPr>
            </w:pPr>
            <w:r w:rsidRPr="002C03D0">
              <w:rPr>
                <w:sz w:val="24"/>
                <w:szCs w:val="24"/>
              </w:rPr>
              <w:t>Identifies and discusses factors critical for success, in addition to risks, barriers, and limitations (</w:t>
            </w:r>
            <w:proofErr w:type="gramStart"/>
            <w:r w:rsidRPr="002C03D0">
              <w:rPr>
                <w:sz w:val="24"/>
                <w:szCs w:val="24"/>
              </w:rPr>
              <w:t>e.g.</w:t>
            </w:r>
            <w:proofErr w:type="gramEnd"/>
            <w:r w:rsidRPr="002C03D0">
              <w:rPr>
                <w:sz w:val="24"/>
                <w:szCs w:val="24"/>
              </w:rPr>
              <w:t xml:space="preserve"> loss of demonstration site, key subcontractor).  Provides a plan to address them. </w:t>
            </w:r>
          </w:p>
          <w:p w14:paraId="5D8149D9" w14:textId="77777777" w:rsidR="00616F23" w:rsidRPr="002C03D0" w:rsidRDefault="00616F23" w:rsidP="002C03D0">
            <w:pPr>
              <w:numPr>
                <w:ilvl w:val="0"/>
                <w:numId w:val="65"/>
              </w:numPr>
              <w:ind w:left="1140"/>
              <w:rPr>
                <w:sz w:val="24"/>
                <w:szCs w:val="24"/>
              </w:rPr>
            </w:pPr>
            <w:r w:rsidRPr="002C03D0">
              <w:rPr>
                <w:sz w:val="24"/>
                <w:szCs w:val="24"/>
              </w:rPr>
              <w:t>Discusses the degree to which the proposed work is technically feasible and achievable within the proposed Project Schedule and the key activities schedule in Section I.</w:t>
            </w:r>
            <w:r w:rsidR="002A50FB" w:rsidRPr="002C03D0">
              <w:rPr>
                <w:sz w:val="24"/>
                <w:szCs w:val="24"/>
              </w:rPr>
              <w:t>E</w:t>
            </w:r>
            <w:r w:rsidRPr="002C03D0">
              <w:rPr>
                <w:sz w:val="24"/>
                <w:szCs w:val="24"/>
              </w:rPr>
              <w:t>.</w:t>
            </w:r>
          </w:p>
          <w:p w14:paraId="7D71DFCD" w14:textId="750B3712" w:rsidR="00616F23" w:rsidRPr="002C03D0" w:rsidRDefault="00616F23" w:rsidP="002C03D0">
            <w:pPr>
              <w:numPr>
                <w:ilvl w:val="0"/>
                <w:numId w:val="65"/>
              </w:numPr>
              <w:ind w:left="1140"/>
              <w:rPr>
                <w:sz w:val="24"/>
                <w:szCs w:val="24"/>
              </w:rPr>
            </w:pPr>
            <w:r w:rsidRPr="002C03D0">
              <w:rPr>
                <w:sz w:val="24"/>
                <w:szCs w:val="24"/>
              </w:rPr>
              <w:t>Describes the technology transfer plan to assess and advance the commercial viability of the technology.</w:t>
            </w:r>
          </w:p>
          <w:p w14:paraId="691305A1" w14:textId="77777777" w:rsidR="00616F23" w:rsidRPr="002C03D0" w:rsidRDefault="00616F23" w:rsidP="002C03D0">
            <w:pPr>
              <w:numPr>
                <w:ilvl w:val="0"/>
                <w:numId w:val="65"/>
              </w:numPr>
              <w:ind w:left="1140"/>
              <w:rPr>
                <w:sz w:val="24"/>
                <w:szCs w:val="24"/>
              </w:rPr>
            </w:pPr>
            <w:r w:rsidRPr="002C03D0">
              <w:rPr>
                <w:sz w:val="24"/>
                <w:szCs w:val="24"/>
              </w:rPr>
              <w:t>Provides a clear and plausible measurement and verification plan that describes how energy savings and other benefits specified in the application will be determined and measured.</w:t>
            </w:r>
          </w:p>
          <w:p w14:paraId="19CBDC0A" w14:textId="27462CD8" w:rsidR="00616F23" w:rsidRPr="002C03D0" w:rsidRDefault="00616F23" w:rsidP="002C03D0">
            <w:pPr>
              <w:numPr>
                <w:ilvl w:val="0"/>
                <w:numId w:val="65"/>
              </w:numPr>
              <w:ind w:left="1140"/>
              <w:rPr>
                <w:rFonts w:cs="Times New Roman"/>
                <w:b/>
                <w:smallCaps/>
                <w:color w:val="FF0000"/>
                <w:sz w:val="24"/>
                <w:szCs w:val="24"/>
              </w:rPr>
            </w:pPr>
            <w:r w:rsidRPr="002C03D0">
              <w:rPr>
                <w:sz w:val="24"/>
                <w:szCs w:val="24"/>
              </w:rPr>
              <w:t>Provides information documenting progress towards achieving compliance with the California Environmental Quality Act (CEQA) by addressing the areas in Section I.</w:t>
            </w:r>
            <w:r w:rsidR="00D74232" w:rsidRPr="002C03D0">
              <w:rPr>
                <w:sz w:val="24"/>
                <w:szCs w:val="24"/>
              </w:rPr>
              <w:t>I</w:t>
            </w:r>
            <w:r w:rsidRPr="002C03D0">
              <w:rPr>
                <w:sz w:val="24"/>
                <w:szCs w:val="24"/>
              </w:rPr>
              <w:t xml:space="preserve"> and Section III.D.</w:t>
            </w:r>
            <w:r w:rsidR="002B14DD" w:rsidRPr="002C03D0">
              <w:rPr>
                <w:sz w:val="24"/>
                <w:szCs w:val="24"/>
              </w:rPr>
              <w:t>3.</w:t>
            </w:r>
            <w:r w:rsidRPr="002C03D0">
              <w:rPr>
                <w:sz w:val="24"/>
                <w:szCs w:val="24"/>
              </w:rPr>
              <w:t>, and Section III.D.8</w:t>
            </w:r>
            <w:r w:rsidR="34F42FFD" w:rsidRPr="002C03D0">
              <w:rPr>
                <w:sz w:val="24"/>
                <w:szCs w:val="24"/>
              </w:rPr>
              <w:t>.</w:t>
            </w:r>
          </w:p>
          <w:p w14:paraId="72F67371" w14:textId="7B9AF937" w:rsidR="00616F23" w:rsidRPr="002C03D0" w:rsidRDefault="00616F23" w:rsidP="002C03D0">
            <w:pPr>
              <w:numPr>
                <w:ilvl w:val="0"/>
                <w:numId w:val="65"/>
              </w:numPr>
              <w:ind w:left="1140"/>
              <w:rPr>
                <w:rFonts w:cs="Times New Roman"/>
                <w:b/>
                <w:smallCaps/>
                <w:color w:val="FF0000"/>
                <w:sz w:val="24"/>
                <w:szCs w:val="24"/>
              </w:rPr>
            </w:pPr>
            <w:r w:rsidRPr="002C03D0">
              <w:rPr>
                <w:sz w:val="24"/>
                <w:szCs w:val="24"/>
              </w:rPr>
              <w:t>Provides information described in Section I.</w:t>
            </w:r>
            <w:r w:rsidR="00434E3E" w:rsidRPr="002C03D0">
              <w:rPr>
                <w:sz w:val="24"/>
                <w:szCs w:val="24"/>
              </w:rPr>
              <w:t>C</w:t>
            </w:r>
            <w:r w:rsidRPr="002C03D0">
              <w:rPr>
                <w:sz w:val="24"/>
                <w:szCs w:val="24"/>
              </w:rPr>
              <w:t>.</w:t>
            </w:r>
            <w:r w:rsidRPr="002C03D0" w:rsidDel="00520068">
              <w:rPr>
                <w:color w:val="0070C0"/>
                <w:sz w:val="24"/>
                <w:szCs w:val="24"/>
              </w:rPr>
              <w:t xml:space="preserve"> </w:t>
            </w:r>
          </w:p>
        </w:tc>
        <w:tc>
          <w:tcPr>
            <w:tcW w:w="1342" w:type="dxa"/>
          </w:tcPr>
          <w:p w14:paraId="73B7B174" w14:textId="77777777" w:rsidR="00616F23" w:rsidRPr="002C03D0" w:rsidRDefault="00616F23" w:rsidP="002C03D0">
            <w:pPr>
              <w:spacing w:before="120"/>
              <w:jc w:val="center"/>
              <w:rPr>
                <w:b/>
                <w:sz w:val="24"/>
                <w:szCs w:val="24"/>
              </w:rPr>
            </w:pPr>
            <w:r w:rsidRPr="002C03D0">
              <w:rPr>
                <w:b/>
                <w:sz w:val="24"/>
                <w:szCs w:val="24"/>
              </w:rPr>
              <w:t>25</w:t>
            </w:r>
          </w:p>
          <w:p w14:paraId="691FB5A2" w14:textId="77777777" w:rsidR="00616F23" w:rsidRPr="002C03D0" w:rsidRDefault="00616F23" w:rsidP="002C03D0">
            <w:pPr>
              <w:keepNext/>
              <w:keepLines/>
              <w:spacing w:before="60" w:after="60"/>
              <w:jc w:val="center"/>
              <w:outlineLvl w:val="2"/>
              <w:rPr>
                <w:b/>
                <w:sz w:val="24"/>
                <w:szCs w:val="24"/>
              </w:rPr>
            </w:pPr>
          </w:p>
        </w:tc>
      </w:tr>
      <w:tr w:rsidR="00616F23" w:rsidRPr="002C03D0" w14:paraId="5BFD93C5" w14:textId="77777777" w:rsidTr="003F6147">
        <w:trPr>
          <w:trHeight w:val="422"/>
        </w:trPr>
        <w:tc>
          <w:tcPr>
            <w:tcW w:w="8362" w:type="dxa"/>
          </w:tcPr>
          <w:p w14:paraId="7DEECFA7" w14:textId="77777777" w:rsidR="00616F23" w:rsidRPr="002C03D0" w:rsidRDefault="00616F23" w:rsidP="002C03D0">
            <w:pPr>
              <w:numPr>
                <w:ilvl w:val="0"/>
                <w:numId w:val="42"/>
              </w:numPr>
              <w:spacing w:before="120"/>
              <w:rPr>
                <w:rFonts w:cs="Times New Roman"/>
                <w:b/>
                <w:bCs/>
                <w:smallCaps/>
                <w:sz w:val="24"/>
                <w:szCs w:val="24"/>
              </w:rPr>
            </w:pPr>
            <w:bookmarkStart w:id="211" w:name="_Toc366671203"/>
            <w:r w:rsidRPr="002C03D0">
              <w:rPr>
                <w:b/>
                <w:sz w:val="24"/>
                <w:szCs w:val="24"/>
              </w:rPr>
              <w:t>Impacts and Benefits for California</w:t>
            </w:r>
            <w:bookmarkEnd w:id="211"/>
            <w:r w:rsidRPr="002C03D0">
              <w:rPr>
                <w:b/>
                <w:sz w:val="24"/>
                <w:szCs w:val="24"/>
              </w:rPr>
              <w:t xml:space="preserve"> IOU Ratepayers </w:t>
            </w:r>
          </w:p>
          <w:p w14:paraId="39D1E45B" w14:textId="77777777" w:rsidR="00616F23" w:rsidRPr="002C03D0" w:rsidRDefault="00616F23" w:rsidP="002C03D0">
            <w:pPr>
              <w:numPr>
                <w:ilvl w:val="0"/>
                <w:numId w:val="16"/>
              </w:numPr>
              <w:spacing w:after="60"/>
              <w:ind w:left="1140"/>
              <w:rPr>
                <w:sz w:val="24"/>
                <w:szCs w:val="24"/>
              </w:rPr>
            </w:pPr>
            <w:r w:rsidRPr="002C03D0">
              <w:rPr>
                <w:sz w:val="24"/>
                <w:szCs w:val="24"/>
              </w:rPr>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584B65C3" w:rsidR="00616F23" w:rsidRPr="002C03D0" w:rsidRDefault="00616F23" w:rsidP="002C03D0">
            <w:pPr>
              <w:numPr>
                <w:ilvl w:val="1"/>
                <w:numId w:val="35"/>
              </w:numPr>
              <w:spacing w:after="60"/>
              <w:rPr>
                <w:color w:val="000000" w:themeColor="text1"/>
                <w:sz w:val="24"/>
                <w:szCs w:val="24"/>
              </w:rPr>
            </w:pPr>
            <w:r w:rsidRPr="002C03D0">
              <w:rPr>
                <w:color w:val="000000" w:themeColor="text1"/>
                <w:sz w:val="24"/>
                <w:szCs w:val="24"/>
              </w:rPr>
              <w:t>annual electricity savings (kilowatt-hour), energy cost reductions, peak load reduction and/or shifting, infrastructure resiliency, infrastructure reliability.</w:t>
            </w:r>
          </w:p>
          <w:p w14:paraId="56F214C6" w14:textId="77777777" w:rsidR="00616F23" w:rsidRPr="002C03D0" w:rsidRDefault="00616F23" w:rsidP="002C03D0">
            <w:pPr>
              <w:spacing w:after="60"/>
              <w:ind w:left="720"/>
              <w:rPr>
                <w:b/>
                <w:color w:val="000000" w:themeColor="text1"/>
                <w:sz w:val="24"/>
                <w:szCs w:val="24"/>
              </w:rPr>
            </w:pPr>
            <w:r w:rsidRPr="002C03D0">
              <w:rPr>
                <w:b/>
                <w:color w:val="000000" w:themeColor="text1"/>
                <w:sz w:val="24"/>
                <w:szCs w:val="24"/>
              </w:rPr>
              <w:t xml:space="preserve">In addition, estimates the non-energy benefits including: </w:t>
            </w:r>
          </w:p>
          <w:p w14:paraId="2013C4C0" w14:textId="77777777" w:rsidR="00616F23" w:rsidRPr="002C03D0" w:rsidRDefault="00616F23" w:rsidP="002C03D0">
            <w:pPr>
              <w:numPr>
                <w:ilvl w:val="0"/>
                <w:numId w:val="34"/>
              </w:numPr>
              <w:spacing w:after="60"/>
              <w:rPr>
                <w:color w:val="000000" w:themeColor="text1"/>
                <w:sz w:val="24"/>
                <w:szCs w:val="24"/>
              </w:rPr>
            </w:pPr>
            <w:r w:rsidRPr="002C03D0">
              <w:rPr>
                <w:color w:val="000000" w:themeColor="text1"/>
                <w:sz w:val="24"/>
                <w:szCs w:val="24"/>
              </w:rPr>
              <w:t>greenhouse gas emission reductions, air emission reductions (</w:t>
            </w:r>
            <w:proofErr w:type="gramStart"/>
            <w:r w:rsidRPr="002C03D0">
              <w:rPr>
                <w:color w:val="000000" w:themeColor="text1"/>
                <w:sz w:val="24"/>
                <w:szCs w:val="24"/>
              </w:rPr>
              <w:t>e.g.</w:t>
            </w:r>
            <w:proofErr w:type="gramEnd"/>
            <w:r w:rsidRPr="002C03D0">
              <w:rPr>
                <w:color w:val="000000" w:themeColor="text1"/>
                <w:sz w:val="24"/>
                <w:szCs w:val="24"/>
              </w:rPr>
              <w:t xml:space="preserve"> NOx), water savings and cost reduction, and/or increased safety.</w:t>
            </w:r>
          </w:p>
          <w:p w14:paraId="316FC4E7" w14:textId="77777777" w:rsidR="00616F23" w:rsidRPr="002C03D0" w:rsidRDefault="00616F23" w:rsidP="002C03D0">
            <w:pPr>
              <w:numPr>
                <w:ilvl w:val="0"/>
                <w:numId w:val="16"/>
              </w:numPr>
              <w:spacing w:after="60"/>
              <w:ind w:left="1140"/>
              <w:rPr>
                <w:sz w:val="24"/>
                <w:szCs w:val="24"/>
              </w:rPr>
            </w:pPr>
            <w:r w:rsidRPr="002C03D0">
              <w:rPr>
                <w:sz w:val="24"/>
                <w:szCs w:val="24"/>
              </w:rPr>
              <w:t xml:space="preserve">States the timeframe, assumptions with sources, and calculations for the estimated benefits, and explains their reasonableness. Include baseline or “business as usual” over timeframe. </w:t>
            </w:r>
          </w:p>
          <w:p w14:paraId="1DB1EDCF" w14:textId="77777777" w:rsidR="00616F23" w:rsidRPr="002C03D0" w:rsidRDefault="00616F23" w:rsidP="002C03D0">
            <w:pPr>
              <w:numPr>
                <w:ilvl w:val="0"/>
                <w:numId w:val="16"/>
              </w:numPr>
              <w:spacing w:after="60"/>
              <w:ind w:left="1140"/>
              <w:rPr>
                <w:sz w:val="24"/>
                <w:szCs w:val="24"/>
              </w:rPr>
            </w:pPr>
            <w:r w:rsidRPr="002C03D0">
              <w:rPr>
                <w:sz w:val="24"/>
                <w:szCs w:val="24"/>
              </w:rPr>
              <w:t>Explains the path-to-market strategy including near-term (</w:t>
            </w:r>
            <w:proofErr w:type="gramStart"/>
            <w:r w:rsidRPr="002C03D0">
              <w:rPr>
                <w:sz w:val="24"/>
                <w:szCs w:val="24"/>
              </w:rPr>
              <w:t>i.e.</w:t>
            </w:r>
            <w:proofErr w:type="gramEnd"/>
            <w:r w:rsidRPr="002C03D0">
              <w:rPr>
                <w:sz w:val="24"/>
                <w:szCs w:val="24"/>
              </w:rPr>
              <w:t xml:space="preserve"> initial target markets), mid-term, and long-term markets for the technology, size and penetration or deployment rates, and underlying assumptions.</w:t>
            </w:r>
          </w:p>
          <w:p w14:paraId="7A9C8222" w14:textId="77777777" w:rsidR="00616F23" w:rsidRPr="002C03D0" w:rsidRDefault="00616F23" w:rsidP="002C03D0">
            <w:pPr>
              <w:numPr>
                <w:ilvl w:val="0"/>
                <w:numId w:val="16"/>
              </w:numPr>
              <w:spacing w:after="60"/>
              <w:ind w:left="1140"/>
              <w:rPr>
                <w:sz w:val="24"/>
                <w:szCs w:val="24"/>
              </w:rPr>
            </w:pPr>
            <w:r w:rsidRPr="002C03D0">
              <w:rPr>
                <w:sz w:val="24"/>
                <w:szCs w:val="24"/>
              </w:rPr>
              <w:t>Identifies the expected financial performance (</w:t>
            </w:r>
            <w:proofErr w:type="gramStart"/>
            <w:r w:rsidRPr="002C03D0">
              <w:rPr>
                <w:sz w:val="24"/>
                <w:szCs w:val="24"/>
              </w:rPr>
              <w:t>e.g.</w:t>
            </w:r>
            <w:proofErr w:type="gramEnd"/>
            <w:r w:rsidRPr="002C03D0">
              <w:rPr>
                <w:sz w:val="24"/>
                <w:szCs w:val="24"/>
              </w:rPr>
              <w:t xml:space="preserve"> payback period, ROI) of the demonstration at scale. </w:t>
            </w:r>
          </w:p>
          <w:p w14:paraId="11482DE3" w14:textId="6528D8C8" w:rsidR="00616F23" w:rsidRPr="002C03D0" w:rsidRDefault="00616F23" w:rsidP="002C03D0">
            <w:pPr>
              <w:numPr>
                <w:ilvl w:val="0"/>
                <w:numId w:val="16"/>
              </w:numPr>
              <w:spacing w:after="60"/>
              <w:ind w:left="1140"/>
              <w:rPr>
                <w:sz w:val="24"/>
                <w:szCs w:val="24"/>
              </w:rPr>
            </w:pPr>
            <w:r w:rsidRPr="002C03D0">
              <w:rPr>
                <w:sz w:val="24"/>
                <w:szCs w:val="24"/>
              </w:rPr>
              <w:t xml:space="preserve">Identifies the specific programs which the technology intends to leverage. </w:t>
            </w:r>
            <w:r w:rsidRPr="002C03D0">
              <w:rPr>
                <w:i/>
                <w:color w:val="000000" w:themeColor="text1"/>
                <w:sz w:val="24"/>
                <w:szCs w:val="24"/>
              </w:rPr>
              <w:t>(</w:t>
            </w:r>
            <w:proofErr w:type="gramStart"/>
            <w:r w:rsidRPr="002C03D0">
              <w:rPr>
                <w:i/>
                <w:color w:val="000000" w:themeColor="text1"/>
                <w:sz w:val="24"/>
                <w:szCs w:val="24"/>
              </w:rPr>
              <w:t>e.g.</w:t>
            </w:r>
            <w:proofErr w:type="gramEnd"/>
            <w:r w:rsidRPr="002C03D0">
              <w:rPr>
                <w:i/>
                <w:color w:val="000000" w:themeColor="text1"/>
                <w:sz w:val="24"/>
                <w:szCs w:val="24"/>
              </w:rPr>
              <w:t xml:space="preserve"> feed-in tariffs, IOU rebates, demand response, storage procurement) and extent to which technology meets program requirements.</w:t>
            </w:r>
          </w:p>
        </w:tc>
        <w:tc>
          <w:tcPr>
            <w:tcW w:w="1342" w:type="dxa"/>
          </w:tcPr>
          <w:p w14:paraId="19152A1F" w14:textId="77777777" w:rsidR="00616F23" w:rsidRPr="002C03D0" w:rsidRDefault="00616F23" w:rsidP="002C03D0">
            <w:pPr>
              <w:spacing w:before="120"/>
              <w:jc w:val="center"/>
              <w:rPr>
                <w:sz w:val="24"/>
                <w:szCs w:val="24"/>
              </w:rPr>
            </w:pPr>
            <w:r w:rsidRPr="002C03D0">
              <w:rPr>
                <w:b/>
                <w:sz w:val="24"/>
                <w:szCs w:val="24"/>
              </w:rPr>
              <w:t>20</w:t>
            </w:r>
          </w:p>
        </w:tc>
      </w:tr>
      <w:tr w:rsidR="00616F23" w:rsidRPr="002C03D0" w14:paraId="7C1D615A" w14:textId="77777777" w:rsidTr="003F6147">
        <w:trPr>
          <w:trHeight w:val="3248"/>
        </w:trPr>
        <w:tc>
          <w:tcPr>
            <w:tcW w:w="8362" w:type="dxa"/>
          </w:tcPr>
          <w:p w14:paraId="2A1AC25C" w14:textId="77777777" w:rsidR="00616F23" w:rsidRPr="002C03D0" w:rsidRDefault="00616F23" w:rsidP="002C03D0">
            <w:pPr>
              <w:numPr>
                <w:ilvl w:val="0"/>
                <w:numId w:val="42"/>
              </w:numPr>
              <w:spacing w:before="120"/>
              <w:rPr>
                <w:rFonts w:cs="Times New Roman"/>
                <w:b/>
                <w:bCs/>
                <w:smallCaps/>
                <w:sz w:val="24"/>
                <w:szCs w:val="24"/>
              </w:rPr>
            </w:pPr>
            <w:bookmarkStart w:id="212" w:name="_Toc366671205"/>
            <w:r w:rsidRPr="002C03D0">
              <w:rPr>
                <w:b/>
                <w:sz w:val="24"/>
                <w:szCs w:val="24"/>
              </w:rPr>
              <w:t>Team Qualifications, Capabilities, and Resources</w:t>
            </w:r>
            <w:bookmarkEnd w:id="212"/>
          </w:p>
          <w:p w14:paraId="5F9F1C6F" w14:textId="60613646" w:rsidR="00616F23" w:rsidRPr="002C03D0" w:rsidRDefault="00616F23" w:rsidP="002C03D0">
            <w:pPr>
              <w:ind w:left="720"/>
              <w:rPr>
                <w:sz w:val="24"/>
                <w:szCs w:val="24"/>
              </w:rPr>
            </w:pPr>
            <w:r w:rsidRPr="002C03D0">
              <w:rPr>
                <w:sz w:val="24"/>
                <w:szCs w:val="24"/>
              </w:rPr>
              <w:t xml:space="preserve">Evaluations of ongoing or previous projects </w:t>
            </w:r>
            <w:r w:rsidR="00467B48" w:rsidRPr="002C03D0">
              <w:rPr>
                <w:sz w:val="24"/>
                <w:szCs w:val="24"/>
              </w:rPr>
              <w:t xml:space="preserve">including project performance </w:t>
            </w:r>
            <w:r w:rsidR="00F600DC" w:rsidRPr="002C03D0">
              <w:rPr>
                <w:sz w:val="24"/>
                <w:szCs w:val="24"/>
              </w:rPr>
              <w:t xml:space="preserve">by applicant and team members </w:t>
            </w:r>
            <w:r w:rsidRPr="002C03D0">
              <w:rPr>
                <w:sz w:val="24"/>
                <w:szCs w:val="24"/>
              </w:rPr>
              <w:t>will be used in scoring for this criterion.</w:t>
            </w:r>
            <w:r w:rsidR="004849ED" w:rsidRPr="002C03D0">
              <w:rPr>
                <w:sz w:val="24"/>
                <w:szCs w:val="24"/>
              </w:rPr>
              <w:t xml:space="preserve"> This can include contacting references.</w:t>
            </w:r>
          </w:p>
          <w:p w14:paraId="7612C66E" w14:textId="77777777" w:rsidR="00616F23" w:rsidRPr="002C03D0" w:rsidRDefault="00616F23" w:rsidP="002C03D0">
            <w:pPr>
              <w:numPr>
                <w:ilvl w:val="0"/>
                <w:numId w:val="17"/>
              </w:numPr>
              <w:ind w:left="1140"/>
              <w:rPr>
                <w:sz w:val="24"/>
                <w:szCs w:val="24"/>
              </w:rPr>
            </w:pPr>
            <w:r w:rsidRPr="002C03D0">
              <w:rPr>
                <w:sz w:val="24"/>
                <w:szCs w:val="24"/>
              </w:rPr>
              <w:t xml:space="preserve">Identifies credentials of prime and any subcontractor key personnel, including the project manager, principal investigator and technology and knowledge transfer lead </w:t>
            </w:r>
            <w:r w:rsidRPr="002C03D0">
              <w:rPr>
                <w:i/>
                <w:sz w:val="24"/>
                <w:szCs w:val="24"/>
              </w:rPr>
              <w:t>(include this information in the Project Team Form).</w:t>
            </w:r>
          </w:p>
          <w:p w14:paraId="495370AF" w14:textId="16BBFE41" w:rsidR="00616F23" w:rsidRPr="002C03D0" w:rsidRDefault="00616F23" w:rsidP="002C03D0">
            <w:pPr>
              <w:numPr>
                <w:ilvl w:val="0"/>
                <w:numId w:val="17"/>
              </w:numPr>
              <w:ind w:left="1140"/>
              <w:rPr>
                <w:sz w:val="24"/>
                <w:szCs w:val="24"/>
              </w:rPr>
            </w:pPr>
            <w:r w:rsidRPr="002C03D0">
              <w:rPr>
                <w:sz w:val="24"/>
                <w:szCs w:val="24"/>
              </w:rPr>
              <w:t xml:space="preserve">Demonstrates that the project </w:t>
            </w:r>
            <w:r w:rsidRPr="002C03D0">
              <w:rPr>
                <w:color w:val="000000" w:themeColor="text1"/>
                <w:sz w:val="24"/>
                <w:szCs w:val="24"/>
              </w:rPr>
              <w:t xml:space="preserve">team </w:t>
            </w:r>
            <w:r w:rsidRPr="002C03D0">
              <w:rPr>
                <w:i/>
                <w:color w:val="000000" w:themeColor="text1"/>
                <w:sz w:val="24"/>
                <w:szCs w:val="24"/>
              </w:rPr>
              <w:t>including Community Based Organization</w:t>
            </w:r>
            <w:r w:rsidRPr="002C03D0">
              <w:rPr>
                <w:color w:val="000000" w:themeColor="text1"/>
                <w:sz w:val="24"/>
                <w:szCs w:val="24"/>
              </w:rPr>
              <w:t xml:space="preserve"> has appropriate qualifications, experience, financial </w:t>
            </w:r>
            <w:proofErr w:type="gramStart"/>
            <w:r w:rsidRPr="002C03D0">
              <w:rPr>
                <w:color w:val="000000" w:themeColor="text1"/>
                <w:sz w:val="24"/>
                <w:szCs w:val="24"/>
              </w:rPr>
              <w:t>stability</w:t>
            </w:r>
            <w:proofErr w:type="gramEnd"/>
            <w:r w:rsidRPr="002C03D0">
              <w:rPr>
                <w:color w:val="000000" w:themeColor="text1"/>
                <w:sz w:val="24"/>
                <w:szCs w:val="24"/>
              </w:rPr>
              <w:t xml:space="preserve"> and capability to complete the project.</w:t>
            </w:r>
          </w:p>
          <w:p w14:paraId="2116B3D5" w14:textId="77777777" w:rsidR="00616F23" w:rsidRPr="002C03D0" w:rsidRDefault="00616F23" w:rsidP="002C03D0">
            <w:pPr>
              <w:numPr>
                <w:ilvl w:val="0"/>
                <w:numId w:val="17"/>
              </w:numPr>
              <w:ind w:left="1140"/>
              <w:rPr>
                <w:sz w:val="24"/>
                <w:szCs w:val="24"/>
              </w:rPr>
            </w:pPr>
            <w:r w:rsidRPr="002C03D0">
              <w:rPr>
                <w:sz w:val="24"/>
                <w:szCs w:val="24"/>
              </w:rPr>
              <w:t>Explains the team structure and how various tasks will be managed and coordinated.</w:t>
            </w:r>
          </w:p>
          <w:p w14:paraId="7EFDA613" w14:textId="77777777" w:rsidR="00616F23" w:rsidRPr="002C03D0" w:rsidRDefault="00616F23" w:rsidP="002C03D0">
            <w:pPr>
              <w:numPr>
                <w:ilvl w:val="0"/>
                <w:numId w:val="17"/>
              </w:numPr>
              <w:ind w:left="1140"/>
              <w:rPr>
                <w:sz w:val="24"/>
                <w:szCs w:val="24"/>
              </w:rPr>
            </w:pPr>
            <w:r w:rsidRPr="002C03D0">
              <w:rPr>
                <w:sz w:val="24"/>
                <w:szCs w:val="24"/>
              </w:rPr>
              <w:t>Describes the facilities, infrastructure, and resources available that directly support the project.</w:t>
            </w:r>
          </w:p>
          <w:p w14:paraId="63D933D7" w14:textId="77777777" w:rsidR="00616F23" w:rsidRPr="002C03D0" w:rsidRDefault="00616F23" w:rsidP="002C03D0">
            <w:pPr>
              <w:numPr>
                <w:ilvl w:val="0"/>
                <w:numId w:val="17"/>
              </w:numPr>
              <w:ind w:left="1140"/>
              <w:rPr>
                <w:sz w:val="24"/>
                <w:szCs w:val="24"/>
              </w:rPr>
            </w:pPr>
            <w:r w:rsidRPr="002C03D0">
              <w:rPr>
                <w:sz w:val="24"/>
                <w:szCs w:val="24"/>
              </w:rPr>
              <w:t>Describes the team’s history of successfully completing projects in the past 10 years including subsequent deployments and commercialization.</w:t>
            </w:r>
          </w:p>
        </w:tc>
        <w:tc>
          <w:tcPr>
            <w:tcW w:w="1342" w:type="dxa"/>
          </w:tcPr>
          <w:p w14:paraId="1EA6B293" w14:textId="77777777" w:rsidR="00616F23" w:rsidRPr="002C03D0" w:rsidRDefault="00616F23" w:rsidP="002C03D0">
            <w:pPr>
              <w:spacing w:before="120"/>
              <w:jc w:val="center"/>
              <w:rPr>
                <w:b/>
                <w:sz w:val="24"/>
                <w:szCs w:val="24"/>
              </w:rPr>
            </w:pPr>
            <w:r w:rsidRPr="002C03D0">
              <w:rPr>
                <w:b/>
                <w:sz w:val="24"/>
                <w:szCs w:val="24"/>
              </w:rPr>
              <w:t>15</w:t>
            </w:r>
          </w:p>
        </w:tc>
      </w:tr>
      <w:tr w:rsidR="00616F23" w:rsidRPr="002C03D0" w14:paraId="451B9CE8" w14:textId="77777777" w:rsidTr="735CB6C3">
        <w:trPr>
          <w:cantSplit/>
          <w:trHeight w:val="485"/>
        </w:trPr>
        <w:tc>
          <w:tcPr>
            <w:tcW w:w="8362" w:type="dxa"/>
            <w:shd w:val="clear" w:color="auto" w:fill="D9D9D9" w:themeFill="background1" w:themeFillShade="D9"/>
          </w:tcPr>
          <w:p w14:paraId="0E2CC37E" w14:textId="05832368" w:rsidR="00616F23" w:rsidRPr="002C03D0" w:rsidRDefault="00616F23" w:rsidP="002C03D0">
            <w:pPr>
              <w:spacing w:before="60" w:after="0"/>
              <w:ind w:left="360"/>
              <w:rPr>
                <w:b/>
                <w:sz w:val="24"/>
                <w:szCs w:val="24"/>
              </w:rPr>
            </w:pPr>
            <w:r w:rsidRPr="002C03D0">
              <w:rPr>
                <w:b/>
                <w:sz w:val="24"/>
                <w:szCs w:val="24"/>
              </w:rPr>
              <w:t xml:space="preserve">Total Possible Points for criteria 1− </w:t>
            </w:r>
            <w:r w:rsidR="00B70183" w:rsidRPr="002C03D0">
              <w:rPr>
                <w:b/>
                <w:sz w:val="24"/>
                <w:szCs w:val="24"/>
              </w:rPr>
              <w:t>4</w:t>
            </w:r>
          </w:p>
          <w:p w14:paraId="66546DBF" w14:textId="492E8D44" w:rsidR="00616F23" w:rsidRPr="002C03D0" w:rsidRDefault="00616F23" w:rsidP="002C03D0">
            <w:pPr>
              <w:spacing w:after="0"/>
              <w:ind w:left="360"/>
              <w:rPr>
                <w:b/>
                <w:sz w:val="24"/>
                <w:szCs w:val="24"/>
              </w:rPr>
            </w:pPr>
            <w:r w:rsidRPr="002C03D0">
              <w:rPr>
                <w:b/>
                <w:sz w:val="24"/>
                <w:szCs w:val="24"/>
              </w:rPr>
              <w:t xml:space="preserve">(Minimum Passing Score for criteria 1− </w:t>
            </w:r>
            <w:r w:rsidR="00B70183" w:rsidRPr="002C03D0">
              <w:rPr>
                <w:b/>
                <w:sz w:val="24"/>
                <w:szCs w:val="24"/>
              </w:rPr>
              <w:t>4</w:t>
            </w:r>
            <w:r w:rsidRPr="002C03D0">
              <w:rPr>
                <w:b/>
                <w:sz w:val="24"/>
                <w:szCs w:val="24"/>
              </w:rPr>
              <w:t xml:space="preserve"> is 70% or </w:t>
            </w:r>
            <w:r w:rsidR="00B70183" w:rsidRPr="002C03D0">
              <w:rPr>
                <w:b/>
                <w:sz w:val="24"/>
                <w:szCs w:val="24"/>
                <w:u w:val="single"/>
              </w:rPr>
              <w:t>52</w:t>
            </w:r>
            <w:r w:rsidRPr="002C03D0">
              <w:rPr>
                <w:b/>
                <w:sz w:val="24"/>
                <w:szCs w:val="24"/>
                <w:u w:val="single"/>
              </w:rPr>
              <w:t>.</w:t>
            </w:r>
            <w:r w:rsidR="00B70183" w:rsidRPr="002C03D0">
              <w:rPr>
                <w:b/>
                <w:sz w:val="24"/>
                <w:szCs w:val="24"/>
                <w:u w:val="single"/>
              </w:rPr>
              <w:t>5</w:t>
            </w:r>
            <w:r w:rsidRPr="002C03D0">
              <w:rPr>
                <w:b/>
                <w:sz w:val="24"/>
                <w:szCs w:val="24"/>
                <w:u w:val="single"/>
              </w:rPr>
              <w:t>0</w:t>
            </w:r>
            <w:r w:rsidRPr="002C03D0">
              <w:rPr>
                <w:b/>
                <w:sz w:val="24"/>
                <w:szCs w:val="24"/>
              </w:rPr>
              <w:t>)</w:t>
            </w:r>
          </w:p>
        </w:tc>
        <w:tc>
          <w:tcPr>
            <w:tcW w:w="1342" w:type="dxa"/>
            <w:shd w:val="clear" w:color="auto" w:fill="D9D9D9" w:themeFill="background1" w:themeFillShade="D9"/>
          </w:tcPr>
          <w:p w14:paraId="50032256" w14:textId="77777777" w:rsidR="00616F23" w:rsidRPr="002C03D0" w:rsidRDefault="00616F23" w:rsidP="002C03D0">
            <w:pPr>
              <w:spacing w:after="0"/>
              <w:jc w:val="center"/>
              <w:rPr>
                <w:b/>
                <w:sz w:val="24"/>
                <w:szCs w:val="24"/>
              </w:rPr>
            </w:pPr>
          </w:p>
          <w:p w14:paraId="234910F0" w14:textId="19EE34B6" w:rsidR="00616F23" w:rsidRPr="002C03D0" w:rsidRDefault="00B70183" w:rsidP="002C03D0">
            <w:pPr>
              <w:jc w:val="center"/>
              <w:rPr>
                <w:b/>
                <w:sz w:val="24"/>
                <w:szCs w:val="24"/>
              </w:rPr>
            </w:pPr>
            <w:r w:rsidRPr="002C03D0">
              <w:rPr>
                <w:b/>
                <w:sz w:val="24"/>
                <w:szCs w:val="24"/>
              </w:rPr>
              <w:t>75</w:t>
            </w:r>
          </w:p>
        </w:tc>
      </w:tr>
      <w:tr w:rsidR="00616F23" w:rsidRPr="002C03D0" w14:paraId="0E076536" w14:textId="77777777" w:rsidTr="003F6147">
        <w:tc>
          <w:tcPr>
            <w:tcW w:w="8362" w:type="dxa"/>
            <w:tcBorders>
              <w:bottom w:val="single" w:sz="4" w:space="0" w:color="auto"/>
            </w:tcBorders>
          </w:tcPr>
          <w:p w14:paraId="4F5F4254" w14:textId="77777777" w:rsidR="00616F23" w:rsidRPr="002C03D0" w:rsidRDefault="00616F23" w:rsidP="002C03D0">
            <w:pPr>
              <w:numPr>
                <w:ilvl w:val="0"/>
                <w:numId w:val="42"/>
              </w:numPr>
              <w:spacing w:before="120"/>
              <w:rPr>
                <w:rFonts w:cs="Times New Roman"/>
                <w:b/>
                <w:bCs/>
                <w:smallCaps/>
                <w:sz w:val="24"/>
                <w:szCs w:val="24"/>
              </w:rPr>
            </w:pPr>
            <w:r w:rsidRPr="002C03D0">
              <w:rPr>
                <w:b/>
                <w:sz w:val="24"/>
                <w:szCs w:val="24"/>
              </w:rPr>
              <w:t>Budget and Cost-Effectiveness</w:t>
            </w:r>
          </w:p>
          <w:p w14:paraId="14806663" w14:textId="77777777" w:rsidR="00616F23" w:rsidRPr="002C03D0" w:rsidRDefault="00616F23" w:rsidP="002C03D0">
            <w:pPr>
              <w:numPr>
                <w:ilvl w:val="0"/>
                <w:numId w:val="18"/>
              </w:numPr>
              <w:spacing w:before="120" w:after="0"/>
              <w:ind w:left="1140"/>
              <w:rPr>
                <w:sz w:val="24"/>
                <w:szCs w:val="24"/>
              </w:rPr>
            </w:pPr>
            <w:r w:rsidRPr="002C03D0">
              <w:rPr>
                <w:sz w:val="24"/>
                <w:szCs w:val="24"/>
              </w:rPr>
              <w:t>Budget forms are complete for the applicant and all subcontractors, as described in the Budget instructions.</w:t>
            </w:r>
          </w:p>
          <w:p w14:paraId="1CE49D96" w14:textId="77777777" w:rsidR="00616F23" w:rsidRPr="002C03D0" w:rsidRDefault="00616F23" w:rsidP="002C03D0">
            <w:pPr>
              <w:numPr>
                <w:ilvl w:val="0"/>
                <w:numId w:val="18"/>
              </w:numPr>
              <w:spacing w:before="120" w:after="0"/>
              <w:ind w:left="1140"/>
              <w:rPr>
                <w:sz w:val="24"/>
                <w:szCs w:val="24"/>
              </w:rPr>
            </w:pPr>
            <w:r w:rsidRPr="002C03D0">
              <w:rPr>
                <w:sz w:val="24"/>
                <w:szCs w:val="24"/>
              </w:rPr>
              <w:t>Justifies the reasonableness of the requested funds relative to the project goals, objectives, and tasks.</w:t>
            </w:r>
          </w:p>
          <w:p w14:paraId="097E511F" w14:textId="77777777" w:rsidR="00616F23" w:rsidRPr="002C03D0" w:rsidRDefault="00616F23" w:rsidP="002C03D0">
            <w:pPr>
              <w:numPr>
                <w:ilvl w:val="0"/>
                <w:numId w:val="18"/>
              </w:numPr>
              <w:spacing w:before="120" w:after="0"/>
              <w:ind w:left="1140"/>
              <w:rPr>
                <w:sz w:val="24"/>
                <w:szCs w:val="24"/>
              </w:rPr>
            </w:pPr>
            <w:r w:rsidRPr="002C03D0">
              <w:rPr>
                <w:sz w:val="24"/>
                <w:szCs w:val="24"/>
              </w:rPr>
              <w:t>Justifies the reasonableness of direct costs (e.g., labor, fringe benefits, equipment, materials &amp; misc. travel, and subcontractors).</w:t>
            </w:r>
          </w:p>
          <w:p w14:paraId="4DFACCA1" w14:textId="77777777" w:rsidR="00616F23" w:rsidRPr="002C03D0" w:rsidRDefault="00616F23" w:rsidP="002C03D0">
            <w:pPr>
              <w:numPr>
                <w:ilvl w:val="0"/>
                <w:numId w:val="18"/>
              </w:numPr>
              <w:spacing w:before="120"/>
              <w:ind w:left="1138"/>
              <w:rPr>
                <w:sz w:val="24"/>
                <w:szCs w:val="24"/>
              </w:rPr>
            </w:pPr>
            <w:r w:rsidRPr="002C03D0">
              <w:rPr>
                <w:sz w:val="24"/>
                <w:szCs w:val="24"/>
              </w:rPr>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2C03D0" w:rsidRDefault="00616F23" w:rsidP="002C03D0">
            <w:pPr>
              <w:spacing w:before="120"/>
              <w:jc w:val="center"/>
              <w:rPr>
                <w:b/>
                <w:sz w:val="24"/>
                <w:szCs w:val="24"/>
              </w:rPr>
            </w:pPr>
            <w:r w:rsidRPr="002C03D0">
              <w:rPr>
                <w:b/>
                <w:sz w:val="24"/>
                <w:szCs w:val="24"/>
              </w:rPr>
              <w:t>10</w:t>
            </w:r>
          </w:p>
        </w:tc>
      </w:tr>
      <w:tr w:rsidR="00616F23" w:rsidRPr="002C03D0" w14:paraId="2634BEF4" w14:textId="77777777" w:rsidTr="003F6147">
        <w:tc>
          <w:tcPr>
            <w:tcW w:w="8362" w:type="dxa"/>
            <w:tcBorders>
              <w:top w:val="single" w:sz="4" w:space="0" w:color="auto"/>
              <w:bottom w:val="single" w:sz="4" w:space="0" w:color="auto"/>
            </w:tcBorders>
          </w:tcPr>
          <w:p w14:paraId="4CC292F2" w14:textId="77777777" w:rsidR="00616F23" w:rsidRPr="002C03D0" w:rsidRDefault="00616F23" w:rsidP="002C03D0">
            <w:pPr>
              <w:numPr>
                <w:ilvl w:val="0"/>
                <w:numId w:val="42"/>
              </w:numPr>
              <w:spacing w:before="120"/>
              <w:rPr>
                <w:rFonts w:cs="Times New Roman"/>
                <w:b/>
                <w:bCs/>
                <w:smallCaps/>
                <w:sz w:val="24"/>
                <w:szCs w:val="24"/>
              </w:rPr>
            </w:pPr>
            <w:r w:rsidRPr="002C03D0">
              <w:rPr>
                <w:b/>
                <w:sz w:val="24"/>
                <w:szCs w:val="24"/>
              </w:rPr>
              <w:t>CEC Funds Spent in California</w:t>
            </w:r>
          </w:p>
          <w:p w14:paraId="5F8C2EF2" w14:textId="77777777" w:rsidR="00616F23" w:rsidRPr="002C03D0" w:rsidRDefault="00616F23" w:rsidP="002C03D0">
            <w:pPr>
              <w:tabs>
                <w:tab w:val="left" w:pos="1170"/>
              </w:tabs>
              <w:autoSpaceDE w:val="0"/>
              <w:autoSpaceDN w:val="0"/>
              <w:adjustRightInd w:val="0"/>
              <w:spacing w:after="0"/>
              <w:ind w:left="360"/>
              <w:rPr>
                <w:sz w:val="24"/>
                <w:szCs w:val="24"/>
              </w:rPr>
            </w:pPr>
            <w:r w:rsidRPr="002C03D0">
              <w:rPr>
                <w:sz w:val="24"/>
                <w:szCs w:val="24"/>
              </w:rPr>
              <w:t>Projects that maximize the spending of CEC funds in California will receive points as indicated in the table below (see CEC Funds Spent in California section for more details).</w:t>
            </w:r>
          </w:p>
          <w:p w14:paraId="1FF1DC5F" w14:textId="77777777" w:rsidR="00616F23" w:rsidRPr="002C03D0" w:rsidRDefault="00616F23" w:rsidP="002C03D0">
            <w:pPr>
              <w:tabs>
                <w:tab w:val="left" w:pos="1170"/>
              </w:tabs>
              <w:autoSpaceDE w:val="0"/>
              <w:autoSpaceDN w:val="0"/>
              <w:adjustRightInd w:val="0"/>
              <w:spacing w:after="0"/>
              <w:rPr>
                <w:color w:val="0070C0"/>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2C03D0"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2C03D0" w:rsidRDefault="00616F23" w:rsidP="002C03D0">
                  <w:pPr>
                    <w:widowControl w:val="0"/>
                    <w:spacing w:after="0"/>
                    <w:rPr>
                      <w:b/>
                      <w:sz w:val="24"/>
                      <w:szCs w:val="24"/>
                    </w:rPr>
                  </w:pPr>
                  <w:r w:rsidRPr="002C03D0">
                    <w:rPr>
                      <w:b/>
                      <w:sz w:val="24"/>
                      <w:szCs w:val="24"/>
                    </w:rPr>
                    <w:t>Percentage of CEC funds spent in CA</w:t>
                  </w:r>
                  <w:r w:rsidR="00F600DC" w:rsidRPr="002C03D0">
                    <w:rPr>
                      <w:b/>
                      <w:sz w:val="24"/>
                      <w:szCs w:val="24"/>
                    </w:rPr>
                    <w:t xml:space="preserve"> vs Total CEC funds </w:t>
                  </w:r>
                  <w:proofErr w:type="gramStart"/>
                  <w:r w:rsidR="00F600DC" w:rsidRPr="002C03D0">
                    <w:rPr>
                      <w:b/>
                      <w:sz w:val="24"/>
                      <w:szCs w:val="24"/>
                    </w:rPr>
                    <w:t>requested</w:t>
                  </w:r>
                  <w:proofErr w:type="gramEnd"/>
                </w:p>
                <w:p w14:paraId="3FA9DDD6"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 xml:space="preserve">(derived from budget </w:t>
                  </w:r>
                  <w:proofErr w:type="gramStart"/>
                  <w:r w:rsidRPr="002C03D0">
                    <w:rPr>
                      <w:sz w:val="24"/>
                      <w:szCs w:val="24"/>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b/>
                      <w:sz w:val="24"/>
                      <w:szCs w:val="24"/>
                    </w:rPr>
                    <w:t>Percentage of Possible Points</w:t>
                  </w:r>
                </w:p>
              </w:tc>
            </w:tr>
            <w:tr w:rsidR="00616F23" w:rsidRPr="002C03D0"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20%</w:t>
                  </w:r>
                </w:p>
              </w:tc>
            </w:tr>
            <w:tr w:rsidR="00616F23" w:rsidRPr="002C03D0"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30%</w:t>
                  </w:r>
                </w:p>
              </w:tc>
            </w:tr>
            <w:tr w:rsidR="00616F23" w:rsidRPr="002C03D0"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40%</w:t>
                  </w:r>
                </w:p>
              </w:tc>
            </w:tr>
            <w:tr w:rsidR="00616F23" w:rsidRPr="002C03D0"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50%</w:t>
                  </w:r>
                </w:p>
              </w:tc>
            </w:tr>
            <w:tr w:rsidR="00616F23" w:rsidRPr="002C03D0"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60%</w:t>
                  </w:r>
                </w:p>
              </w:tc>
            </w:tr>
            <w:tr w:rsidR="00616F23" w:rsidRPr="002C03D0"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70%</w:t>
                  </w:r>
                </w:p>
              </w:tc>
            </w:tr>
            <w:tr w:rsidR="00616F23" w:rsidRPr="002C03D0"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80%</w:t>
                  </w:r>
                </w:p>
              </w:tc>
            </w:tr>
            <w:tr w:rsidR="00616F23" w:rsidRPr="002C03D0"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90%</w:t>
                  </w:r>
                </w:p>
              </w:tc>
            </w:tr>
            <w:tr w:rsidR="00616F23" w:rsidRPr="002C03D0"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2C03D0" w:rsidRDefault="00616F23" w:rsidP="002C03D0">
                  <w:pPr>
                    <w:widowControl w:val="0"/>
                    <w:tabs>
                      <w:tab w:val="left" w:pos="1170"/>
                    </w:tabs>
                    <w:autoSpaceDE w:val="0"/>
                    <w:autoSpaceDN w:val="0"/>
                    <w:adjustRightInd w:val="0"/>
                    <w:spacing w:after="0"/>
                    <w:rPr>
                      <w:sz w:val="24"/>
                      <w:szCs w:val="24"/>
                    </w:rPr>
                  </w:pPr>
                  <w:r w:rsidRPr="002C03D0">
                    <w:rPr>
                      <w:sz w:val="24"/>
                      <w:szCs w:val="24"/>
                    </w:rPr>
                    <w:t>100%</w:t>
                  </w:r>
                </w:p>
              </w:tc>
            </w:tr>
          </w:tbl>
          <w:p w14:paraId="20C76222" w14:textId="77777777" w:rsidR="00616F23" w:rsidRPr="002C03D0" w:rsidRDefault="00616F23" w:rsidP="002C03D0">
            <w:pPr>
              <w:spacing w:after="0"/>
              <w:ind w:left="360"/>
              <w:rPr>
                <w:b/>
                <w:sz w:val="24"/>
                <w:szCs w:val="24"/>
              </w:rPr>
            </w:pPr>
            <w:r w:rsidRPr="002C03D0">
              <w:rPr>
                <w:b/>
                <w:sz w:val="24"/>
                <w:szCs w:val="24"/>
              </w:rPr>
              <w:t xml:space="preserve"> </w:t>
            </w:r>
          </w:p>
        </w:tc>
        <w:tc>
          <w:tcPr>
            <w:tcW w:w="1342" w:type="dxa"/>
            <w:tcBorders>
              <w:top w:val="single" w:sz="4" w:space="0" w:color="auto"/>
              <w:bottom w:val="single" w:sz="4" w:space="0" w:color="auto"/>
            </w:tcBorders>
          </w:tcPr>
          <w:p w14:paraId="1C0C7D6F" w14:textId="77777777" w:rsidR="00616F23" w:rsidRPr="002C03D0" w:rsidRDefault="00616F23" w:rsidP="002C03D0">
            <w:pPr>
              <w:spacing w:before="120"/>
              <w:rPr>
                <w:b/>
                <w:sz w:val="24"/>
                <w:szCs w:val="24"/>
              </w:rPr>
            </w:pPr>
            <w:r w:rsidRPr="002C03D0">
              <w:rPr>
                <w:b/>
                <w:sz w:val="24"/>
                <w:szCs w:val="24"/>
              </w:rPr>
              <w:t>10</w:t>
            </w:r>
          </w:p>
        </w:tc>
      </w:tr>
      <w:tr w:rsidR="00616F23" w:rsidRPr="00616F23" w14:paraId="5C7435AF" w14:textId="77777777" w:rsidTr="003F6147">
        <w:tc>
          <w:tcPr>
            <w:tcW w:w="8362" w:type="dxa"/>
            <w:tcBorders>
              <w:top w:val="single" w:sz="4" w:space="0" w:color="auto"/>
              <w:bottom w:val="nil"/>
            </w:tcBorders>
          </w:tcPr>
          <w:p w14:paraId="508E4FE3" w14:textId="77777777" w:rsidR="00616F23" w:rsidRPr="002C03D0" w:rsidRDefault="00616F23" w:rsidP="002F32D3">
            <w:pPr>
              <w:numPr>
                <w:ilvl w:val="0"/>
                <w:numId w:val="42"/>
              </w:numPr>
              <w:spacing w:before="120"/>
              <w:jc w:val="both"/>
              <w:rPr>
                <w:rFonts w:cs="Times New Roman"/>
                <w:b/>
                <w:bCs/>
                <w:smallCaps/>
                <w:sz w:val="24"/>
                <w:szCs w:val="22"/>
              </w:rPr>
            </w:pPr>
            <w:r w:rsidRPr="002C03D0">
              <w:rPr>
                <w:b/>
                <w:sz w:val="24"/>
                <w:szCs w:val="22"/>
              </w:rPr>
              <w:t>Ratio of Direct Labor to Indirect Costs</w:t>
            </w:r>
          </w:p>
          <w:p w14:paraId="7E9B889C" w14:textId="77777777" w:rsidR="00616F23" w:rsidRPr="002C03D0" w:rsidRDefault="00616F23" w:rsidP="002C03D0">
            <w:pPr>
              <w:spacing w:before="120"/>
              <w:ind w:left="330"/>
              <w:rPr>
                <w:sz w:val="24"/>
                <w:szCs w:val="22"/>
              </w:rPr>
            </w:pPr>
            <w:r w:rsidRPr="002C03D0">
              <w:rPr>
                <w:sz w:val="24"/>
                <w:szCs w:val="22"/>
              </w:rPr>
              <w:t>The score for this criterion will be calculated by the following formula:</w:t>
            </w:r>
          </w:p>
          <w:p w14:paraId="2FD4BE03" w14:textId="77777777" w:rsidR="00616F23" w:rsidRPr="002C03D0" w:rsidRDefault="00616F23" w:rsidP="00616F23">
            <w:pPr>
              <w:spacing w:before="120"/>
              <w:ind w:left="330"/>
              <w:jc w:val="center"/>
              <w:rPr>
                <w:sz w:val="24"/>
                <w:szCs w:val="22"/>
              </w:rPr>
            </w:pPr>
          </w:p>
          <w:p w14:paraId="0F8A3DF4" w14:textId="77777777" w:rsidR="00616F23" w:rsidRPr="002C03D0" w:rsidRDefault="00000000" w:rsidP="00616F23">
            <w:pPr>
              <w:spacing w:before="120"/>
              <w:ind w:left="330"/>
              <w:jc w:val="center"/>
              <w:rPr>
                <w:sz w:val="24"/>
                <w:szCs w:val="22"/>
              </w:rPr>
            </w:pPr>
            <m:oMathPara>
              <m:oMath>
                <m:f>
                  <m:fPr>
                    <m:ctrlPr>
                      <w:rPr>
                        <w:rFonts w:ascii="Cambria Math" w:hAnsi="Cambria Math"/>
                        <w:i/>
                        <w:sz w:val="24"/>
                        <w:szCs w:val="22"/>
                      </w:rPr>
                    </m:ctrlPr>
                  </m:fPr>
                  <m:num>
                    <m:r>
                      <w:rPr>
                        <w:rFonts w:ascii="Cambria Math" w:hAnsi="Cambria Math"/>
                        <w:sz w:val="24"/>
                        <w:szCs w:val="22"/>
                      </w:rPr>
                      <m:t>Total Direct Labor</m:t>
                    </m:r>
                  </m:num>
                  <m:den>
                    <m:r>
                      <w:rPr>
                        <w:rFonts w:ascii="Cambria Math" w:hAnsi="Cambria Math"/>
                        <w:sz w:val="24"/>
                        <w:szCs w:val="22"/>
                      </w:rPr>
                      <m:t>Total Direct Labor + Total Fringe + Total Indirect + Total Profit</m:t>
                    </m:r>
                  </m:den>
                </m:f>
              </m:oMath>
            </m:oMathPara>
          </w:p>
          <w:p w14:paraId="45776A58" w14:textId="77777777" w:rsidR="00616F23" w:rsidRPr="002C03D0" w:rsidRDefault="00616F23" w:rsidP="002C03D0">
            <w:pPr>
              <w:spacing w:before="120"/>
              <w:ind w:left="330"/>
              <w:rPr>
                <w:sz w:val="24"/>
                <w:szCs w:val="22"/>
              </w:rPr>
            </w:pPr>
            <w:r w:rsidRPr="002C03D0">
              <w:rPr>
                <w:sz w:val="24"/>
                <w:szCs w:val="22"/>
              </w:rPr>
              <w:br/>
              <w:t>This ratio will then be multiplied by the maximum possible points for this criterion and rounded to two decimal places.</w:t>
            </w:r>
          </w:p>
          <w:p w14:paraId="11378E5C" w14:textId="77777777" w:rsidR="00616F23" w:rsidRPr="002C03D0" w:rsidRDefault="00616F23" w:rsidP="002C03D0">
            <w:pPr>
              <w:spacing w:before="120"/>
              <w:ind w:left="330"/>
              <w:rPr>
                <w:sz w:val="24"/>
                <w:szCs w:val="22"/>
              </w:rPr>
            </w:pPr>
            <w:r w:rsidRPr="002C03D0">
              <w:rPr>
                <w:sz w:val="24"/>
                <w:szCs w:val="22"/>
              </w:rPr>
              <w:t xml:space="preserve">NOTE: For the purposes of this </w:t>
            </w:r>
            <w:r w:rsidR="009412B8" w:rsidRPr="002C03D0">
              <w:rPr>
                <w:sz w:val="24"/>
                <w:szCs w:val="22"/>
              </w:rPr>
              <w:t>criterion</w:t>
            </w:r>
            <w:r w:rsidRPr="002C03D0">
              <w:rPr>
                <w:sz w:val="24"/>
                <w:szCs w:val="22"/>
              </w:rPr>
              <w:t xml:space="preserve">, the </w:t>
            </w:r>
            <w:r w:rsidR="00F600DC" w:rsidRPr="002C03D0">
              <w:rPr>
                <w:sz w:val="24"/>
                <w:szCs w:val="22"/>
              </w:rPr>
              <w:t>CEC</w:t>
            </w:r>
            <w:r w:rsidRPr="002C03D0">
              <w:rPr>
                <w:sz w:val="24"/>
                <w:szCs w:val="22"/>
              </w:rPr>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2C03D0" w:rsidRDefault="00616F23" w:rsidP="00616F23">
            <w:pPr>
              <w:spacing w:before="120"/>
              <w:jc w:val="center"/>
              <w:rPr>
                <w:b/>
                <w:sz w:val="24"/>
                <w:szCs w:val="22"/>
              </w:rPr>
            </w:pPr>
            <w:r w:rsidRPr="002C03D0">
              <w:rPr>
                <w:b/>
                <w:sz w:val="24"/>
                <w:szCs w:val="22"/>
              </w:rPr>
              <w:t>5</w:t>
            </w:r>
          </w:p>
        </w:tc>
      </w:tr>
      <w:tr w:rsidR="00616F23" w:rsidRPr="00616F23" w14:paraId="5C7EE7A9" w14:textId="77777777" w:rsidTr="735CB6C3">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2C03D0" w:rsidRDefault="00616F23" w:rsidP="00616F23">
            <w:pPr>
              <w:spacing w:before="120" w:after="0"/>
              <w:jc w:val="both"/>
              <w:rPr>
                <w:b/>
                <w:sz w:val="24"/>
                <w:szCs w:val="22"/>
              </w:rPr>
            </w:pPr>
            <w:r w:rsidRPr="002C03D0">
              <w:rPr>
                <w:b/>
                <w:sz w:val="24"/>
                <w:szCs w:val="22"/>
              </w:rPr>
              <w:t>Total Possible Points</w:t>
            </w:r>
          </w:p>
          <w:p w14:paraId="32AA563E" w14:textId="1F241D2B" w:rsidR="00616F23" w:rsidRPr="002C03D0" w:rsidRDefault="00616F23" w:rsidP="00616F23">
            <w:pPr>
              <w:jc w:val="both"/>
              <w:rPr>
                <w:b/>
                <w:sz w:val="24"/>
                <w:szCs w:val="22"/>
              </w:rPr>
            </w:pPr>
            <w:r w:rsidRPr="002C03D0">
              <w:rPr>
                <w:b/>
                <w:sz w:val="24"/>
                <w:szCs w:val="22"/>
              </w:rPr>
              <w:t xml:space="preserve">(Minimum Passing Score for Criteria 1 – </w:t>
            </w:r>
            <w:r w:rsidR="00783A4E" w:rsidRPr="002C03D0">
              <w:rPr>
                <w:b/>
                <w:sz w:val="24"/>
                <w:szCs w:val="22"/>
              </w:rPr>
              <w:t>7</w:t>
            </w:r>
            <w:r w:rsidRPr="002C03D0">
              <w:rPr>
                <w:b/>
                <w:sz w:val="24"/>
                <w:szCs w:val="22"/>
              </w:rPr>
              <w:t xml:space="preserve"> is 70% or </w:t>
            </w:r>
            <w:r w:rsidR="00783A4E" w:rsidRPr="002C03D0">
              <w:rPr>
                <w:b/>
                <w:sz w:val="24"/>
                <w:szCs w:val="22"/>
                <w:u w:val="single"/>
              </w:rPr>
              <w:t>7</w:t>
            </w:r>
            <w:r w:rsidRPr="002C03D0">
              <w:rPr>
                <w:b/>
                <w:sz w:val="24"/>
                <w:szCs w:val="22"/>
                <w:u w:val="single"/>
              </w:rPr>
              <w:t>0.</w:t>
            </w:r>
            <w:r w:rsidR="00783A4E" w:rsidRPr="002C03D0">
              <w:rPr>
                <w:b/>
                <w:sz w:val="24"/>
                <w:szCs w:val="22"/>
                <w:u w:val="single"/>
              </w:rPr>
              <w:t>00</w:t>
            </w:r>
            <w:r w:rsidRPr="002C03D0">
              <w:rPr>
                <w:b/>
                <w:sz w:val="24"/>
                <w:szCs w:val="22"/>
              </w:rPr>
              <w:t>)</w:t>
            </w:r>
          </w:p>
        </w:tc>
        <w:tc>
          <w:tcPr>
            <w:tcW w:w="1342" w:type="dxa"/>
            <w:tcBorders>
              <w:top w:val="nil"/>
              <w:bottom w:val="single" w:sz="4" w:space="0" w:color="auto"/>
            </w:tcBorders>
            <w:shd w:val="clear" w:color="auto" w:fill="D9D9D9" w:themeFill="background1" w:themeFillShade="D9"/>
          </w:tcPr>
          <w:p w14:paraId="4BBB4A89" w14:textId="77777777" w:rsidR="00616F23" w:rsidRPr="002C03D0" w:rsidRDefault="00616F23" w:rsidP="00616F23">
            <w:pPr>
              <w:spacing w:after="0"/>
              <w:jc w:val="both"/>
              <w:rPr>
                <w:b/>
                <w:sz w:val="24"/>
                <w:szCs w:val="22"/>
              </w:rPr>
            </w:pPr>
          </w:p>
          <w:p w14:paraId="6B274495" w14:textId="477FCD44" w:rsidR="00616F23" w:rsidRPr="002C03D0" w:rsidRDefault="00616F23" w:rsidP="00616F23">
            <w:pPr>
              <w:jc w:val="center"/>
              <w:rPr>
                <w:b/>
                <w:sz w:val="24"/>
                <w:szCs w:val="22"/>
              </w:rPr>
            </w:pPr>
            <w:r w:rsidRPr="002C03D0">
              <w:rPr>
                <w:b/>
                <w:sz w:val="24"/>
                <w:szCs w:val="22"/>
              </w:rPr>
              <w:t>1</w:t>
            </w:r>
            <w:r w:rsidR="007079BC" w:rsidRPr="002C03D0">
              <w:rPr>
                <w:b/>
                <w:sz w:val="24"/>
                <w:szCs w:val="22"/>
              </w:rPr>
              <w:t>00</w:t>
            </w:r>
          </w:p>
        </w:tc>
      </w:tr>
      <w:tr w:rsidR="00616F23" w:rsidRPr="002C03D0" w14:paraId="2437E81D" w14:textId="77777777" w:rsidTr="003F6147">
        <w:trPr>
          <w:trHeight w:val="647"/>
        </w:trPr>
        <w:tc>
          <w:tcPr>
            <w:tcW w:w="8362" w:type="dxa"/>
            <w:shd w:val="clear" w:color="auto" w:fill="auto"/>
          </w:tcPr>
          <w:p w14:paraId="26E1D26A" w14:textId="77777777" w:rsidR="00616F23" w:rsidRPr="002C03D0" w:rsidRDefault="00616F23" w:rsidP="002C03D0">
            <w:pPr>
              <w:keepNext/>
              <w:numPr>
                <w:ilvl w:val="0"/>
                <w:numId w:val="42"/>
              </w:numPr>
              <w:spacing w:before="120"/>
              <w:rPr>
                <w:b/>
                <w:sz w:val="24"/>
                <w:szCs w:val="24"/>
              </w:rPr>
            </w:pPr>
            <w:r w:rsidRPr="002C03D0">
              <w:rPr>
                <w:b/>
                <w:sz w:val="24"/>
                <w:szCs w:val="24"/>
              </w:rPr>
              <w:t>Benefits to Disadvantaged/Low-Income Communities and Localized Health Impacts</w:t>
            </w:r>
          </w:p>
        </w:tc>
        <w:tc>
          <w:tcPr>
            <w:tcW w:w="1342" w:type="dxa"/>
            <w:shd w:val="clear" w:color="auto" w:fill="auto"/>
          </w:tcPr>
          <w:p w14:paraId="4051FBDB" w14:textId="77777777" w:rsidR="00616F23" w:rsidRPr="002C03D0" w:rsidRDefault="00616F23" w:rsidP="002C03D0">
            <w:pPr>
              <w:keepNext/>
              <w:spacing w:before="120" w:after="0"/>
              <w:jc w:val="center"/>
              <w:rPr>
                <w:b/>
                <w:sz w:val="24"/>
                <w:szCs w:val="24"/>
              </w:rPr>
            </w:pPr>
          </w:p>
        </w:tc>
      </w:tr>
      <w:tr w:rsidR="00616F23" w:rsidRPr="002C03D0" w14:paraId="40220E93" w14:textId="77777777" w:rsidTr="003F6147">
        <w:trPr>
          <w:trHeight w:val="4007"/>
        </w:trPr>
        <w:tc>
          <w:tcPr>
            <w:tcW w:w="8362" w:type="dxa"/>
            <w:shd w:val="clear" w:color="auto" w:fill="auto"/>
          </w:tcPr>
          <w:p w14:paraId="0FD05510" w14:textId="2BF54E49" w:rsidR="00616F23" w:rsidRPr="002C03D0" w:rsidRDefault="000138B2" w:rsidP="002C03D0">
            <w:pPr>
              <w:spacing w:before="60"/>
              <w:ind w:left="790" w:hanging="450"/>
              <w:rPr>
                <w:color w:val="000000"/>
                <w:sz w:val="24"/>
                <w:szCs w:val="24"/>
              </w:rPr>
            </w:pPr>
            <w:r w:rsidRPr="002C03D0">
              <w:rPr>
                <w:color w:val="000000"/>
                <w:sz w:val="24"/>
                <w:szCs w:val="24"/>
              </w:rPr>
              <w:t>8</w:t>
            </w:r>
            <w:r w:rsidR="00943E11" w:rsidRPr="002C03D0">
              <w:rPr>
                <w:color w:val="000000"/>
                <w:sz w:val="24"/>
                <w:szCs w:val="24"/>
              </w:rPr>
              <w:t xml:space="preserve">.1 </w:t>
            </w:r>
            <w:r w:rsidR="00616F23" w:rsidRPr="002C03D0">
              <w:rPr>
                <w:color w:val="000000"/>
                <w:sz w:val="24"/>
                <w:szCs w:val="24"/>
              </w:rPr>
              <w:t>Benefits to Disadvantaged/Low-Income Communities</w:t>
            </w:r>
          </w:p>
          <w:p w14:paraId="465C06F3" w14:textId="77777777" w:rsidR="00616F23" w:rsidRPr="002C03D0" w:rsidRDefault="00616F23" w:rsidP="002C03D0">
            <w:pPr>
              <w:numPr>
                <w:ilvl w:val="0"/>
                <w:numId w:val="43"/>
              </w:numPr>
              <w:spacing w:before="60"/>
              <w:rPr>
                <w:color w:val="000000"/>
                <w:sz w:val="24"/>
                <w:szCs w:val="24"/>
              </w:rPr>
            </w:pPr>
            <w:r w:rsidRPr="002C03D0">
              <w:rPr>
                <w:color w:val="000000"/>
                <w:sz w:val="24"/>
                <w:szCs w:val="24"/>
              </w:rPr>
              <w:t>Identifies and describes the energy and economic needs of the community based on project location, and what steps the applicant has taken to identify those needs.</w:t>
            </w:r>
          </w:p>
          <w:p w14:paraId="538384B3" w14:textId="77777777" w:rsidR="00616F23" w:rsidRPr="002C03D0" w:rsidRDefault="00616F23" w:rsidP="002C03D0">
            <w:pPr>
              <w:numPr>
                <w:ilvl w:val="0"/>
                <w:numId w:val="43"/>
              </w:numPr>
              <w:spacing w:before="60"/>
              <w:rPr>
                <w:color w:val="000000"/>
                <w:sz w:val="24"/>
                <w:szCs w:val="24"/>
              </w:rPr>
            </w:pPr>
            <w:r w:rsidRPr="002C03D0">
              <w:rPr>
                <w:color w:val="000000"/>
                <w:sz w:val="24"/>
                <w:szCs w:val="24"/>
              </w:rPr>
              <w:t>Identifies and describes how the project will increase access to clean energy or sustainability technologies for the local community.</w:t>
            </w:r>
            <w:r w:rsidRPr="002C03D0" w:rsidDel="00DF4610">
              <w:rPr>
                <w:color w:val="000000"/>
                <w:sz w:val="24"/>
                <w:szCs w:val="24"/>
              </w:rPr>
              <w:t xml:space="preserve"> </w:t>
            </w:r>
          </w:p>
          <w:p w14:paraId="77869A7F" w14:textId="77777777" w:rsidR="00616F23" w:rsidRPr="002C03D0" w:rsidRDefault="00616F23" w:rsidP="002C03D0">
            <w:pPr>
              <w:numPr>
                <w:ilvl w:val="0"/>
                <w:numId w:val="43"/>
              </w:numPr>
              <w:spacing w:before="60"/>
              <w:rPr>
                <w:color w:val="000000"/>
                <w:sz w:val="24"/>
                <w:szCs w:val="24"/>
              </w:rPr>
            </w:pPr>
            <w:r w:rsidRPr="002C03D0">
              <w:rPr>
                <w:color w:val="000000"/>
                <w:sz w:val="24"/>
                <w:szCs w:val="24"/>
              </w:rPr>
              <w:t>Identifies and describes how the proposed project will improve opportunities for economic impact including customer bill savings, job creation, collaborating and contracting with micro-, local, and small-businesses, economic development, and expanding community investment.</w:t>
            </w:r>
          </w:p>
          <w:p w14:paraId="01E1E151" w14:textId="77777777" w:rsidR="00616F23" w:rsidRPr="002C03D0" w:rsidRDefault="00616F23" w:rsidP="002C03D0">
            <w:pPr>
              <w:numPr>
                <w:ilvl w:val="0"/>
                <w:numId w:val="43"/>
              </w:numPr>
              <w:spacing w:before="60"/>
              <w:rPr>
                <w:color w:val="000000"/>
                <w:sz w:val="24"/>
                <w:szCs w:val="24"/>
              </w:rPr>
            </w:pPr>
            <w:r w:rsidRPr="002C03D0">
              <w:rPr>
                <w:color w:val="000000"/>
                <w:sz w:val="24"/>
                <w:szCs w:val="24"/>
              </w:rPr>
              <w:t>Identifies how the projects’ primary beneficiaries are residents of the identified disadvantaged/</w:t>
            </w:r>
            <w:proofErr w:type="gramStart"/>
            <w:r w:rsidRPr="002C03D0">
              <w:rPr>
                <w:color w:val="000000"/>
                <w:sz w:val="24"/>
                <w:szCs w:val="24"/>
              </w:rPr>
              <w:t>low income</w:t>
            </w:r>
            <w:proofErr w:type="gramEnd"/>
            <w:r w:rsidRPr="002C03D0">
              <w:rPr>
                <w:color w:val="000000"/>
                <w:sz w:val="24"/>
                <w:szCs w:val="24"/>
              </w:rPr>
              <w:t xml:space="preserve"> community(</w:t>
            </w:r>
            <w:proofErr w:type="spellStart"/>
            <w:r w:rsidRPr="002C03D0">
              <w:rPr>
                <w:color w:val="000000"/>
                <w:sz w:val="24"/>
                <w:szCs w:val="24"/>
              </w:rPr>
              <w:t>ies</w:t>
            </w:r>
            <w:proofErr w:type="spellEnd"/>
            <w:r w:rsidRPr="002C03D0">
              <w:rPr>
                <w:color w:val="000000"/>
                <w:sz w:val="24"/>
                <w:szCs w:val="24"/>
              </w:rPr>
              <w:t>) and describes how they will directly benefit from the project outcomes.</w:t>
            </w:r>
          </w:p>
        </w:tc>
        <w:tc>
          <w:tcPr>
            <w:tcW w:w="1342" w:type="dxa"/>
            <w:shd w:val="clear" w:color="auto" w:fill="auto"/>
          </w:tcPr>
          <w:p w14:paraId="518D988C" w14:textId="77777777" w:rsidR="00616F23" w:rsidRPr="002C03D0" w:rsidRDefault="00616F23" w:rsidP="002C03D0">
            <w:pPr>
              <w:spacing w:before="60" w:after="0"/>
              <w:jc w:val="center"/>
              <w:rPr>
                <w:color w:val="000000"/>
                <w:sz w:val="24"/>
                <w:szCs w:val="24"/>
              </w:rPr>
            </w:pPr>
            <w:r w:rsidRPr="002C03D0">
              <w:rPr>
                <w:color w:val="000000"/>
                <w:sz w:val="24"/>
                <w:szCs w:val="24"/>
              </w:rPr>
              <w:t>15</w:t>
            </w:r>
          </w:p>
        </w:tc>
      </w:tr>
      <w:tr w:rsidR="00616F23" w:rsidRPr="002C03D0" w14:paraId="1831AA6C" w14:textId="77777777" w:rsidTr="003F6147">
        <w:trPr>
          <w:trHeight w:val="2312"/>
        </w:trPr>
        <w:tc>
          <w:tcPr>
            <w:tcW w:w="8362" w:type="dxa"/>
            <w:shd w:val="clear" w:color="auto" w:fill="auto"/>
          </w:tcPr>
          <w:p w14:paraId="7595F477" w14:textId="77777777" w:rsidR="00616F23" w:rsidRPr="002C03D0" w:rsidRDefault="00616F23" w:rsidP="002C03D0">
            <w:pPr>
              <w:numPr>
                <w:ilvl w:val="1"/>
                <w:numId w:val="42"/>
              </w:numPr>
              <w:spacing w:before="60"/>
              <w:ind w:left="875" w:hanging="515"/>
              <w:rPr>
                <w:color w:val="000000"/>
                <w:sz w:val="24"/>
                <w:szCs w:val="24"/>
              </w:rPr>
            </w:pPr>
            <w:r w:rsidRPr="002C03D0">
              <w:rPr>
                <w:color w:val="000000"/>
                <w:sz w:val="24"/>
                <w:szCs w:val="24"/>
              </w:rPr>
              <w:t>Community Engagement Efforts</w:t>
            </w:r>
          </w:p>
          <w:p w14:paraId="14D07BFC" w14:textId="77777777" w:rsidR="00616F23" w:rsidRPr="002C03D0" w:rsidRDefault="00616F23" w:rsidP="002C03D0">
            <w:pPr>
              <w:numPr>
                <w:ilvl w:val="0"/>
                <w:numId w:val="47"/>
              </w:numPr>
              <w:spacing w:before="60"/>
              <w:rPr>
                <w:color w:val="000000"/>
                <w:sz w:val="24"/>
                <w:szCs w:val="24"/>
              </w:rPr>
            </w:pPr>
            <w:r w:rsidRPr="002C03D0">
              <w:rPr>
                <w:color w:val="000000"/>
                <w:sz w:val="24"/>
                <w:szCs w:val="24"/>
              </w:rPr>
              <w:t>Identifies how community input was solicited and considered in the design of the project.</w:t>
            </w:r>
          </w:p>
          <w:p w14:paraId="1D3124AD" w14:textId="77777777" w:rsidR="00616F23" w:rsidRPr="002C03D0" w:rsidRDefault="00616F23" w:rsidP="002C03D0">
            <w:pPr>
              <w:numPr>
                <w:ilvl w:val="0"/>
                <w:numId w:val="47"/>
              </w:numPr>
              <w:spacing w:before="60"/>
              <w:rPr>
                <w:color w:val="000000"/>
                <w:sz w:val="24"/>
                <w:szCs w:val="24"/>
              </w:rPr>
            </w:pPr>
            <w:r w:rsidRPr="002C03D0">
              <w:rPr>
                <w:color w:val="000000"/>
                <w:sz w:val="24"/>
                <w:szCs w:val="24"/>
              </w:rPr>
              <w:t>Identifies and describes how the impacted community will be engaged in project implementation.</w:t>
            </w:r>
          </w:p>
          <w:p w14:paraId="3A0481E4" w14:textId="77777777" w:rsidR="00407EB1" w:rsidRPr="002C03D0" w:rsidRDefault="00407EB1" w:rsidP="002C03D0">
            <w:pPr>
              <w:numPr>
                <w:ilvl w:val="0"/>
                <w:numId w:val="47"/>
              </w:numPr>
              <w:spacing w:before="60"/>
              <w:rPr>
                <w:color w:val="000000"/>
                <w:sz w:val="24"/>
                <w:szCs w:val="24"/>
              </w:rPr>
            </w:pPr>
            <w:r w:rsidRPr="002C03D0">
              <w:rPr>
                <w:color w:val="000000"/>
                <w:sz w:val="24"/>
                <w:szCs w:val="24"/>
              </w:rPr>
              <w:t>Identifies and describes how the applicant will disseminate educational materials and career information to best support community understanding and engagement as applicable (e.g., culturally appropriate and translated materials, translation services, and considerate scheduling of stakeholder events as needed).</w:t>
            </w:r>
          </w:p>
          <w:p w14:paraId="4604638E" w14:textId="77777777" w:rsidR="00616F23" w:rsidRPr="002C03D0" w:rsidRDefault="00616F23" w:rsidP="002C03D0">
            <w:pPr>
              <w:numPr>
                <w:ilvl w:val="0"/>
                <w:numId w:val="47"/>
              </w:numPr>
              <w:spacing w:before="60"/>
              <w:rPr>
                <w:color w:val="000000"/>
                <w:sz w:val="24"/>
                <w:szCs w:val="24"/>
              </w:rPr>
            </w:pPr>
            <w:r w:rsidRPr="002C03D0">
              <w:rPr>
                <w:color w:val="000000"/>
                <w:sz w:val="24"/>
                <w:szCs w:val="24"/>
              </w:rPr>
              <w:t>Identifies how the project, if successful, will build community capacity.</w:t>
            </w:r>
          </w:p>
        </w:tc>
        <w:tc>
          <w:tcPr>
            <w:tcW w:w="1342" w:type="dxa"/>
            <w:shd w:val="clear" w:color="auto" w:fill="auto"/>
          </w:tcPr>
          <w:p w14:paraId="316C0612" w14:textId="77777777" w:rsidR="00616F23" w:rsidRPr="002C03D0" w:rsidRDefault="00616F23" w:rsidP="002C03D0">
            <w:pPr>
              <w:spacing w:before="60" w:after="0"/>
              <w:jc w:val="center"/>
              <w:rPr>
                <w:color w:val="000000"/>
                <w:sz w:val="24"/>
                <w:szCs w:val="24"/>
              </w:rPr>
            </w:pPr>
            <w:r w:rsidRPr="002C03D0">
              <w:rPr>
                <w:color w:val="000000"/>
                <w:sz w:val="24"/>
                <w:szCs w:val="24"/>
              </w:rPr>
              <w:t>10</w:t>
            </w:r>
          </w:p>
        </w:tc>
      </w:tr>
      <w:tr w:rsidR="00616F23" w:rsidRPr="002C03D0" w14:paraId="283E2AE5" w14:textId="77777777" w:rsidTr="003F6147">
        <w:trPr>
          <w:trHeight w:val="647"/>
        </w:trPr>
        <w:tc>
          <w:tcPr>
            <w:tcW w:w="8362" w:type="dxa"/>
            <w:shd w:val="clear" w:color="auto" w:fill="auto"/>
          </w:tcPr>
          <w:p w14:paraId="4463A875" w14:textId="77777777" w:rsidR="00616F23" w:rsidRPr="002C03D0" w:rsidRDefault="00616F23" w:rsidP="002C03D0">
            <w:pPr>
              <w:numPr>
                <w:ilvl w:val="1"/>
                <w:numId w:val="42"/>
              </w:numPr>
              <w:spacing w:before="60"/>
              <w:ind w:left="875" w:hanging="515"/>
              <w:rPr>
                <w:color w:val="000000"/>
                <w:sz w:val="24"/>
                <w:szCs w:val="24"/>
              </w:rPr>
            </w:pPr>
            <w:r w:rsidRPr="002C03D0">
              <w:rPr>
                <w:color w:val="000000"/>
                <w:sz w:val="24"/>
                <w:szCs w:val="24"/>
              </w:rPr>
              <w:t>Localized Health Impacts</w:t>
            </w:r>
          </w:p>
          <w:p w14:paraId="3E426553" w14:textId="77777777" w:rsidR="00616F23" w:rsidRPr="002C03D0" w:rsidRDefault="00616F23" w:rsidP="002C03D0">
            <w:pPr>
              <w:numPr>
                <w:ilvl w:val="0"/>
                <w:numId w:val="44"/>
              </w:numPr>
              <w:spacing w:before="60"/>
              <w:rPr>
                <w:color w:val="000000"/>
                <w:sz w:val="24"/>
                <w:szCs w:val="24"/>
              </w:rPr>
            </w:pPr>
            <w:r w:rsidRPr="002C03D0">
              <w:rPr>
                <w:color w:val="000000"/>
                <w:sz w:val="24"/>
                <w:szCs w:val="24"/>
              </w:rPr>
              <w:t>Summarizes the potential localized health benefits and impacts of the proposed project and provides reasonable analysis and assumptions</w:t>
            </w:r>
            <w:r w:rsidR="00943E11" w:rsidRPr="002C03D0">
              <w:rPr>
                <w:color w:val="000000"/>
                <w:sz w:val="24"/>
                <w:szCs w:val="24"/>
              </w:rPr>
              <w:t xml:space="preserve"> </w:t>
            </w:r>
            <w:r w:rsidR="00943E11" w:rsidRPr="002C03D0">
              <w:rPr>
                <w:color w:val="000000" w:themeColor="text1"/>
                <w:sz w:val="24"/>
                <w:szCs w:val="24"/>
              </w:rPr>
              <w:t>to support the findings</w:t>
            </w:r>
            <w:r w:rsidRPr="002C03D0">
              <w:rPr>
                <w:color w:val="000000"/>
                <w:sz w:val="24"/>
                <w:szCs w:val="24"/>
              </w:rPr>
              <w:t>.</w:t>
            </w:r>
          </w:p>
          <w:p w14:paraId="1435EC4F" w14:textId="77777777" w:rsidR="00616F23" w:rsidRPr="002C03D0" w:rsidRDefault="00616F23" w:rsidP="002C03D0">
            <w:pPr>
              <w:numPr>
                <w:ilvl w:val="0"/>
                <w:numId w:val="44"/>
              </w:numPr>
              <w:spacing w:before="60"/>
              <w:rPr>
                <w:color w:val="000000"/>
                <w:sz w:val="24"/>
                <w:szCs w:val="24"/>
              </w:rPr>
            </w:pPr>
            <w:r w:rsidRPr="002C03D0">
              <w:rPr>
                <w:color w:val="000000"/>
                <w:sz w:val="24"/>
                <w:szCs w:val="24"/>
              </w:rPr>
              <w:t>Identifies how the proposed project will reduce or not otherwise impact the community’s exposure to pollutants and the adverse environmental conditions caused by pollution and/or climate change. If projects have no impacts in this criterion, provide justification for why impacts are neutral.</w:t>
            </w:r>
          </w:p>
          <w:p w14:paraId="73B74D4A" w14:textId="0209295D" w:rsidR="00616F23" w:rsidRPr="002C03D0" w:rsidRDefault="00616F23" w:rsidP="002C03D0">
            <w:pPr>
              <w:numPr>
                <w:ilvl w:val="0"/>
                <w:numId w:val="44"/>
              </w:numPr>
              <w:spacing w:before="60"/>
              <w:rPr>
                <w:color w:val="000000"/>
                <w:sz w:val="24"/>
                <w:szCs w:val="24"/>
              </w:rPr>
            </w:pPr>
            <w:r w:rsidRPr="002C03D0">
              <w:rPr>
                <w:color w:val="000000"/>
                <w:sz w:val="24"/>
                <w:szCs w:val="24"/>
              </w:rPr>
              <w:t xml:space="preserve">Identifies health-related Energy Equity indicators and/or health-related factors in </w:t>
            </w:r>
            <w:proofErr w:type="spellStart"/>
            <w:r w:rsidRPr="002C03D0">
              <w:rPr>
                <w:color w:val="000000"/>
                <w:sz w:val="24"/>
                <w:szCs w:val="24"/>
              </w:rPr>
              <w:t>CalEnviroscreen</w:t>
            </w:r>
            <w:proofErr w:type="spellEnd"/>
            <w:r w:rsidRPr="002C03D0">
              <w:rPr>
                <w:color w:val="000000"/>
                <w:sz w:val="24"/>
                <w:szCs w:val="24"/>
              </w:rPr>
              <w:t xml:space="preserve"> </w:t>
            </w:r>
            <w:r w:rsidR="00C43F0B" w:rsidRPr="002C03D0">
              <w:rPr>
                <w:color w:val="000000"/>
                <w:sz w:val="24"/>
                <w:szCs w:val="24"/>
              </w:rPr>
              <w:t>4</w:t>
            </w:r>
            <w:r w:rsidRPr="002C03D0">
              <w:rPr>
                <w:color w:val="000000"/>
                <w:sz w:val="24"/>
                <w:szCs w:val="24"/>
              </w:rPr>
              <w:t>.0</w:t>
            </w:r>
            <w:r w:rsidRPr="002C03D0">
              <w:rPr>
                <w:rFonts w:cs="Times New Roman"/>
                <w:color w:val="000000"/>
                <w:sz w:val="24"/>
                <w:szCs w:val="24"/>
                <w:vertAlign w:val="superscript"/>
              </w:rPr>
              <w:footnoteReference w:id="29"/>
            </w:r>
            <w:r w:rsidRPr="002C03D0">
              <w:rPr>
                <w:color w:val="000000"/>
                <w:sz w:val="24"/>
                <w:szCs w:val="24"/>
              </w:rPr>
              <w:t xml:space="preserve"> that most impact the community and describes how the project will reduce or not otherwise impact the indicators or factors.</w:t>
            </w:r>
          </w:p>
        </w:tc>
        <w:tc>
          <w:tcPr>
            <w:tcW w:w="1342" w:type="dxa"/>
            <w:shd w:val="clear" w:color="auto" w:fill="auto"/>
          </w:tcPr>
          <w:p w14:paraId="5A1D11BB" w14:textId="77777777" w:rsidR="00616F23" w:rsidRPr="002C03D0" w:rsidRDefault="00616F23" w:rsidP="002C03D0">
            <w:pPr>
              <w:spacing w:before="60" w:after="0"/>
              <w:jc w:val="center"/>
              <w:rPr>
                <w:color w:val="000000"/>
                <w:sz w:val="24"/>
                <w:szCs w:val="24"/>
              </w:rPr>
            </w:pPr>
            <w:r w:rsidRPr="002C03D0">
              <w:rPr>
                <w:color w:val="000000"/>
                <w:sz w:val="24"/>
                <w:szCs w:val="24"/>
              </w:rPr>
              <w:t>15</w:t>
            </w:r>
          </w:p>
        </w:tc>
      </w:tr>
      <w:tr w:rsidR="00616F23" w:rsidRPr="002C03D0" w14:paraId="6675788D" w14:textId="77777777" w:rsidTr="003F6147">
        <w:trPr>
          <w:trHeight w:val="647"/>
        </w:trPr>
        <w:tc>
          <w:tcPr>
            <w:tcW w:w="8362" w:type="dxa"/>
            <w:shd w:val="clear" w:color="auto" w:fill="auto"/>
          </w:tcPr>
          <w:p w14:paraId="7400659C" w14:textId="77777777" w:rsidR="00616F23" w:rsidRPr="002C03D0" w:rsidRDefault="00616F23" w:rsidP="002C03D0">
            <w:pPr>
              <w:numPr>
                <w:ilvl w:val="1"/>
                <w:numId w:val="42"/>
              </w:numPr>
              <w:spacing w:before="60"/>
              <w:ind w:left="971" w:hanging="611"/>
              <w:rPr>
                <w:color w:val="000000"/>
                <w:sz w:val="24"/>
                <w:szCs w:val="24"/>
              </w:rPr>
            </w:pPr>
            <w:r w:rsidRPr="002C03D0">
              <w:rPr>
                <w:color w:val="000000"/>
                <w:sz w:val="24"/>
                <w:szCs w:val="24"/>
              </w:rPr>
              <w:t>Technology Replicability</w:t>
            </w:r>
          </w:p>
          <w:p w14:paraId="4E470A61" w14:textId="77777777" w:rsidR="00616F23" w:rsidRPr="002C03D0" w:rsidRDefault="00616F23" w:rsidP="002C03D0">
            <w:pPr>
              <w:numPr>
                <w:ilvl w:val="0"/>
                <w:numId w:val="45"/>
              </w:numPr>
              <w:spacing w:before="60"/>
              <w:rPr>
                <w:color w:val="000000"/>
                <w:sz w:val="24"/>
                <w:szCs w:val="24"/>
              </w:rPr>
            </w:pPr>
            <w:r w:rsidRPr="002C03D0">
              <w:rPr>
                <w:color w:val="000000"/>
                <w:sz w:val="24"/>
                <w:szCs w:val="24"/>
              </w:rPr>
              <w:t>Identifies how the project, if successful, will lead to increased deployment of the technology or strategy in other disadvantaged or low-income communities.</w:t>
            </w:r>
          </w:p>
        </w:tc>
        <w:tc>
          <w:tcPr>
            <w:tcW w:w="1342" w:type="dxa"/>
            <w:shd w:val="clear" w:color="auto" w:fill="auto"/>
          </w:tcPr>
          <w:p w14:paraId="16661D0F" w14:textId="77777777" w:rsidR="00616F23" w:rsidRPr="002C03D0" w:rsidRDefault="00616F23" w:rsidP="002C03D0">
            <w:pPr>
              <w:spacing w:before="60" w:after="0"/>
              <w:jc w:val="center"/>
              <w:rPr>
                <w:color w:val="000000"/>
                <w:sz w:val="24"/>
                <w:szCs w:val="24"/>
              </w:rPr>
            </w:pPr>
            <w:r w:rsidRPr="002C03D0">
              <w:rPr>
                <w:color w:val="000000"/>
                <w:sz w:val="24"/>
                <w:szCs w:val="24"/>
              </w:rPr>
              <w:t>5</w:t>
            </w:r>
          </w:p>
        </w:tc>
      </w:tr>
      <w:tr w:rsidR="00616F23" w:rsidRPr="002C03D0" w14:paraId="0CF4FA96" w14:textId="77777777" w:rsidTr="003F6147">
        <w:trPr>
          <w:trHeight w:val="647"/>
        </w:trPr>
        <w:tc>
          <w:tcPr>
            <w:tcW w:w="8362" w:type="dxa"/>
            <w:shd w:val="clear" w:color="auto" w:fill="auto"/>
          </w:tcPr>
          <w:p w14:paraId="439EAA97" w14:textId="77777777" w:rsidR="00616F23" w:rsidRPr="002C03D0" w:rsidRDefault="00616F23" w:rsidP="002C03D0">
            <w:pPr>
              <w:numPr>
                <w:ilvl w:val="1"/>
                <w:numId w:val="42"/>
              </w:numPr>
              <w:spacing w:before="60"/>
              <w:ind w:left="971" w:hanging="611"/>
              <w:rPr>
                <w:color w:val="000000"/>
                <w:sz w:val="24"/>
                <w:szCs w:val="24"/>
              </w:rPr>
            </w:pPr>
            <w:r w:rsidRPr="002C03D0">
              <w:rPr>
                <w:color w:val="000000"/>
                <w:sz w:val="24"/>
                <w:szCs w:val="24"/>
              </w:rPr>
              <w:t>Project Support Letters</w:t>
            </w:r>
          </w:p>
          <w:p w14:paraId="390335E0" w14:textId="77777777" w:rsidR="00616F23" w:rsidRPr="002C03D0" w:rsidRDefault="00943E11" w:rsidP="002C03D0">
            <w:pPr>
              <w:numPr>
                <w:ilvl w:val="0"/>
                <w:numId w:val="46"/>
              </w:numPr>
              <w:spacing w:before="60"/>
              <w:rPr>
                <w:color w:val="000000"/>
                <w:sz w:val="24"/>
                <w:szCs w:val="24"/>
              </w:rPr>
            </w:pPr>
            <w:r w:rsidRPr="002C03D0">
              <w:rPr>
                <w:color w:val="000000"/>
                <w:sz w:val="24"/>
                <w:szCs w:val="24"/>
              </w:rPr>
              <w:t xml:space="preserve">Includes letters of support from technology partners, </w:t>
            </w:r>
            <w:proofErr w:type="gramStart"/>
            <w:r w:rsidRPr="002C03D0">
              <w:rPr>
                <w:color w:val="000000"/>
                <w:sz w:val="24"/>
                <w:szCs w:val="24"/>
              </w:rPr>
              <w:t>community based</w:t>
            </w:r>
            <w:proofErr w:type="gramEnd"/>
            <w:r w:rsidRPr="002C03D0">
              <w:rPr>
                <w:color w:val="000000"/>
                <w:sz w:val="24"/>
                <w:szCs w:val="24"/>
              </w:rPr>
              <w:t xml:space="preserve"> organizations, environmental justice organizations, or other partners that demonstrate their belief that the proposed project will lead to increased equity, and is both feasible, and commercially viable in the identified low-income and/or disadvantaged community</w:t>
            </w:r>
            <w:r w:rsidR="00616F23" w:rsidRPr="002C03D0">
              <w:rPr>
                <w:color w:val="000000"/>
                <w:sz w:val="24"/>
                <w:szCs w:val="24"/>
              </w:rPr>
              <w:t>.</w:t>
            </w:r>
          </w:p>
        </w:tc>
        <w:tc>
          <w:tcPr>
            <w:tcW w:w="1342" w:type="dxa"/>
            <w:shd w:val="clear" w:color="auto" w:fill="auto"/>
          </w:tcPr>
          <w:p w14:paraId="4B36B61B" w14:textId="77777777" w:rsidR="00616F23" w:rsidRPr="002C03D0" w:rsidRDefault="00616F23" w:rsidP="002C03D0">
            <w:pPr>
              <w:spacing w:before="60" w:after="0"/>
              <w:jc w:val="center"/>
              <w:rPr>
                <w:color w:val="000000"/>
                <w:sz w:val="24"/>
                <w:szCs w:val="24"/>
              </w:rPr>
            </w:pPr>
            <w:r w:rsidRPr="002C03D0">
              <w:rPr>
                <w:color w:val="000000"/>
                <w:sz w:val="24"/>
                <w:szCs w:val="24"/>
              </w:rPr>
              <w:t>5</w:t>
            </w:r>
          </w:p>
        </w:tc>
      </w:tr>
      <w:tr w:rsidR="00616F23" w:rsidRPr="002C03D0" w14:paraId="7E8E4792" w14:textId="77777777" w:rsidTr="735CB6C3">
        <w:trPr>
          <w:trHeight w:val="647"/>
        </w:trPr>
        <w:tc>
          <w:tcPr>
            <w:tcW w:w="8362" w:type="dxa"/>
            <w:tcBorders>
              <w:bottom w:val="single" w:sz="4" w:space="0" w:color="auto"/>
            </w:tcBorders>
            <w:shd w:val="clear" w:color="auto" w:fill="D9D9D9" w:themeFill="background1" w:themeFillShade="D9"/>
          </w:tcPr>
          <w:p w14:paraId="2D3DF8A0" w14:textId="4B9B799C" w:rsidR="00616F23" w:rsidRPr="002C03D0" w:rsidRDefault="00616F23" w:rsidP="002C03D0">
            <w:pPr>
              <w:spacing w:before="60" w:after="0"/>
              <w:rPr>
                <w:b/>
                <w:sz w:val="24"/>
                <w:szCs w:val="24"/>
              </w:rPr>
            </w:pPr>
            <w:r w:rsidRPr="002C03D0">
              <w:rPr>
                <w:b/>
                <w:sz w:val="24"/>
                <w:szCs w:val="24"/>
              </w:rPr>
              <w:t xml:space="preserve">Total Possible Points for criteria </w:t>
            </w:r>
            <w:r w:rsidR="001F750D" w:rsidRPr="002C03D0">
              <w:rPr>
                <w:b/>
                <w:sz w:val="24"/>
                <w:szCs w:val="24"/>
              </w:rPr>
              <w:t>8</w:t>
            </w:r>
          </w:p>
          <w:p w14:paraId="3D77EB71" w14:textId="2695373C" w:rsidR="00616F23" w:rsidRPr="002C03D0" w:rsidRDefault="00616F23" w:rsidP="002C03D0">
            <w:pPr>
              <w:spacing w:before="60" w:after="60"/>
              <w:rPr>
                <w:b/>
                <w:sz w:val="24"/>
                <w:szCs w:val="24"/>
                <w:highlight w:val="lightGray"/>
              </w:rPr>
            </w:pPr>
            <w:r w:rsidRPr="002C03D0">
              <w:rPr>
                <w:b/>
                <w:sz w:val="24"/>
                <w:szCs w:val="24"/>
              </w:rPr>
              <w:t xml:space="preserve">(Minimum Passing Score for Criteria </w:t>
            </w:r>
            <w:r w:rsidR="00C639F0" w:rsidRPr="002C03D0">
              <w:rPr>
                <w:b/>
                <w:sz w:val="24"/>
                <w:szCs w:val="24"/>
              </w:rPr>
              <w:t>8</w:t>
            </w:r>
            <w:r w:rsidRPr="002C03D0">
              <w:rPr>
                <w:b/>
                <w:sz w:val="24"/>
                <w:szCs w:val="24"/>
              </w:rPr>
              <w:t xml:space="preserve"> is 70% or 35.00 points)</w:t>
            </w:r>
          </w:p>
        </w:tc>
        <w:tc>
          <w:tcPr>
            <w:tcW w:w="1342" w:type="dxa"/>
            <w:tcBorders>
              <w:bottom w:val="single" w:sz="4" w:space="0" w:color="auto"/>
            </w:tcBorders>
            <w:shd w:val="clear" w:color="auto" w:fill="D9D9D9" w:themeFill="background1" w:themeFillShade="D9"/>
            <w:vAlign w:val="center"/>
          </w:tcPr>
          <w:p w14:paraId="3C90154F" w14:textId="77777777" w:rsidR="00616F23" w:rsidRPr="002C03D0" w:rsidRDefault="00616F23" w:rsidP="002C03D0">
            <w:pPr>
              <w:spacing w:after="0"/>
              <w:jc w:val="center"/>
              <w:rPr>
                <w:b/>
                <w:sz w:val="24"/>
                <w:szCs w:val="24"/>
                <w:highlight w:val="lightGray"/>
              </w:rPr>
            </w:pPr>
            <w:r w:rsidRPr="002C03D0">
              <w:rPr>
                <w:b/>
                <w:sz w:val="24"/>
                <w:szCs w:val="24"/>
                <w:highlight w:val="lightGray"/>
              </w:rPr>
              <w:t>50</w:t>
            </w:r>
          </w:p>
        </w:tc>
      </w:tr>
      <w:tr w:rsidR="00616F23" w:rsidRPr="002C03D0" w14:paraId="74C3D832" w14:textId="77777777" w:rsidTr="735CB6C3">
        <w:trPr>
          <w:trHeight w:val="503"/>
        </w:trPr>
        <w:tc>
          <w:tcPr>
            <w:tcW w:w="8362" w:type="dxa"/>
            <w:tcBorders>
              <w:bottom w:val="single" w:sz="4" w:space="0" w:color="auto"/>
            </w:tcBorders>
            <w:shd w:val="clear" w:color="auto" w:fill="BFBFBF" w:themeFill="background1" w:themeFillShade="BF"/>
            <w:vAlign w:val="center"/>
          </w:tcPr>
          <w:p w14:paraId="335C9E02" w14:textId="77777777" w:rsidR="00616F23" w:rsidRPr="002C03D0" w:rsidRDefault="00616F23" w:rsidP="002C03D0">
            <w:pPr>
              <w:spacing w:after="0"/>
              <w:rPr>
                <w:b/>
                <w:sz w:val="24"/>
                <w:szCs w:val="24"/>
                <w:u w:val="single"/>
              </w:rPr>
            </w:pPr>
            <w:r w:rsidRPr="002C03D0">
              <w:rPr>
                <w:b/>
                <w:sz w:val="24"/>
                <w:szCs w:val="24"/>
                <w:u w:val="single"/>
              </w:rPr>
              <w:t>Total Possible Points</w:t>
            </w:r>
          </w:p>
        </w:tc>
        <w:tc>
          <w:tcPr>
            <w:tcW w:w="1342" w:type="dxa"/>
            <w:tcBorders>
              <w:bottom w:val="single" w:sz="4" w:space="0" w:color="auto"/>
            </w:tcBorders>
            <w:shd w:val="clear" w:color="auto" w:fill="BFBFBF" w:themeFill="background1" w:themeFillShade="BF"/>
            <w:vAlign w:val="center"/>
          </w:tcPr>
          <w:p w14:paraId="032670D9" w14:textId="4574AFF2" w:rsidR="00616F23" w:rsidRPr="002C03D0" w:rsidRDefault="00616F23" w:rsidP="002C03D0">
            <w:pPr>
              <w:spacing w:after="0"/>
              <w:jc w:val="center"/>
              <w:rPr>
                <w:b/>
                <w:sz w:val="24"/>
                <w:szCs w:val="24"/>
                <w:u w:val="single"/>
              </w:rPr>
            </w:pPr>
            <w:r w:rsidRPr="002C03D0">
              <w:rPr>
                <w:b/>
                <w:sz w:val="24"/>
                <w:szCs w:val="24"/>
                <w:u w:val="single"/>
              </w:rPr>
              <w:t>15</w:t>
            </w:r>
            <w:r w:rsidR="00C639F0" w:rsidRPr="002C03D0">
              <w:rPr>
                <w:b/>
                <w:sz w:val="24"/>
                <w:szCs w:val="24"/>
                <w:u w:val="single"/>
              </w:rPr>
              <w:t>0</w:t>
            </w:r>
          </w:p>
        </w:tc>
      </w:tr>
      <w:tr w:rsidR="00616F23" w:rsidRPr="002C03D0" w14:paraId="66F66E69" w14:textId="77777777" w:rsidTr="735CB6C3">
        <w:trPr>
          <w:trHeight w:val="683"/>
        </w:trPr>
        <w:tc>
          <w:tcPr>
            <w:tcW w:w="9704" w:type="dxa"/>
            <w:gridSpan w:val="2"/>
            <w:tcBorders>
              <w:top w:val="single" w:sz="4" w:space="0" w:color="auto"/>
            </w:tcBorders>
            <w:shd w:val="clear" w:color="auto" w:fill="D9D9D9" w:themeFill="background1" w:themeFillShade="D9"/>
            <w:vAlign w:val="center"/>
          </w:tcPr>
          <w:p w14:paraId="1849EC2E" w14:textId="6C4EC856" w:rsidR="00616F23" w:rsidRPr="002C03D0" w:rsidRDefault="00616F23" w:rsidP="002C03D0">
            <w:pPr>
              <w:spacing w:after="0"/>
              <w:rPr>
                <w:b/>
                <w:sz w:val="24"/>
                <w:szCs w:val="24"/>
              </w:rPr>
            </w:pPr>
            <w:r w:rsidRPr="002C03D0">
              <w:rPr>
                <w:b/>
                <w:sz w:val="24"/>
                <w:szCs w:val="24"/>
              </w:rPr>
              <w:t xml:space="preserve">Preference Points </w:t>
            </w:r>
            <w:r w:rsidRPr="002C03D0">
              <w:rPr>
                <w:sz w:val="24"/>
                <w:szCs w:val="24"/>
              </w:rPr>
              <w:t>Applications must meet all minimum passing scores (Scoring Criteria 1-</w:t>
            </w:r>
            <w:r w:rsidR="00C639F0" w:rsidRPr="002C03D0">
              <w:rPr>
                <w:sz w:val="24"/>
                <w:szCs w:val="24"/>
              </w:rPr>
              <w:t>4</w:t>
            </w:r>
            <w:r w:rsidRPr="002C03D0">
              <w:rPr>
                <w:sz w:val="24"/>
                <w:szCs w:val="24"/>
              </w:rPr>
              <w:t>, 1-</w:t>
            </w:r>
            <w:r w:rsidR="007D44FE" w:rsidRPr="002C03D0">
              <w:rPr>
                <w:sz w:val="24"/>
                <w:szCs w:val="24"/>
              </w:rPr>
              <w:t>7</w:t>
            </w:r>
            <w:r w:rsidRPr="002C03D0">
              <w:rPr>
                <w:color w:val="000000" w:themeColor="text1"/>
                <w:sz w:val="24"/>
                <w:szCs w:val="24"/>
              </w:rPr>
              <w:t xml:space="preserve">, and </w:t>
            </w:r>
            <w:r w:rsidR="007D44FE" w:rsidRPr="002C03D0">
              <w:rPr>
                <w:color w:val="000000" w:themeColor="text1"/>
                <w:sz w:val="24"/>
                <w:szCs w:val="24"/>
              </w:rPr>
              <w:t>8</w:t>
            </w:r>
            <w:r w:rsidRPr="002C03D0">
              <w:rPr>
                <w:sz w:val="24"/>
                <w:szCs w:val="24"/>
              </w:rPr>
              <w:t>) to be eligible for the additional points.</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2C03D0" w:rsidRDefault="00CE5562" w:rsidP="002F32D3">
            <w:pPr>
              <w:keepNext/>
              <w:numPr>
                <w:ilvl w:val="0"/>
                <w:numId w:val="42"/>
              </w:numPr>
              <w:spacing w:before="120"/>
              <w:jc w:val="both"/>
              <w:rPr>
                <w:b/>
                <w:sz w:val="24"/>
                <w:szCs w:val="24"/>
              </w:rPr>
            </w:pPr>
            <w:r w:rsidRPr="002C03D0">
              <w:rPr>
                <w:b/>
                <w:sz w:val="24"/>
                <w:szCs w:val="24"/>
              </w:rPr>
              <w:t xml:space="preserve">Match Funds </w:t>
            </w:r>
          </w:p>
          <w:p w14:paraId="2199D6F1" w14:textId="77777777" w:rsidR="00CE5562" w:rsidRPr="002C03D0" w:rsidRDefault="00CE5562" w:rsidP="002F32D3">
            <w:pPr>
              <w:keepNext/>
              <w:numPr>
                <w:ilvl w:val="0"/>
                <w:numId w:val="61"/>
              </w:numPr>
              <w:spacing w:line="280" w:lineRule="atLeast"/>
              <w:ind w:left="1050"/>
              <w:rPr>
                <w:color w:val="000000"/>
                <w:sz w:val="24"/>
                <w:szCs w:val="24"/>
              </w:rPr>
            </w:pPr>
            <w:r w:rsidRPr="002C03D0">
              <w:rPr>
                <w:color w:val="000000"/>
                <w:sz w:val="24"/>
                <w:szCs w:val="24"/>
              </w:rPr>
              <w:t>Cash match share is preferred; however, in-kind cost share is permitted and will be considered</w:t>
            </w:r>
            <w:r w:rsidRPr="002C03D0">
              <w:rPr>
                <w:rFonts w:ascii="Palatino Linotype" w:hAnsi="Palatino Linotype" w:cs="Times New Roman"/>
                <w:color w:val="000000"/>
                <w:sz w:val="24"/>
                <w:szCs w:val="24"/>
              </w:rPr>
              <w:t xml:space="preserve"> </w:t>
            </w:r>
            <w:r w:rsidRPr="002C03D0">
              <w:rPr>
                <w:color w:val="000000"/>
                <w:sz w:val="24"/>
                <w:szCs w:val="24"/>
              </w:rPr>
              <w:t xml:space="preserve">for solicitation match requirements. Points for this criterion will be evaluated based on the proposed </w:t>
            </w:r>
            <w:r w:rsidR="007B3CCE" w:rsidRPr="002C03D0">
              <w:rPr>
                <w:color w:val="000000"/>
                <w:sz w:val="24"/>
                <w:szCs w:val="24"/>
              </w:rPr>
              <w:t xml:space="preserve">cash match relative to the total match (cash + in-kind) contributions using the </w:t>
            </w:r>
            <w:r w:rsidRPr="002C03D0">
              <w:rPr>
                <w:color w:val="000000"/>
                <w:sz w:val="24"/>
                <w:szCs w:val="24"/>
              </w:rPr>
              <w:t>Cash</w:t>
            </w:r>
            <w:r w:rsidR="007B3CCE" w:rsidRPr="002C03D0">
              <w:rPr>
                <w:color w:val="000000"/>
                <w:sz w:val="24"/>
                <w:szCs w:val="24"/>
              </w:rPr>
              <w:t xml:space="preserve"> </w:t>
            </w:r>
            <w:r w:rsidRPr="002C03D0">
              <w:rPr>
                <w:color w:val="000000"/>
                <w:sz w:val="24"/>
                <w:szCs w:val="24"/>
              </w:rPr>
              <w:t>Match Scoring Table:</w:t>
            </w:r>
          </w:p>
          <w:p w14:paraId="25D79A45" w14:textId="77777777" w:rsidR="00CE5562" w:rsidRPr="002C03D0" w:rsidRDefault="007B3CCE" w:rsidP="00CE5562">
            <w:pPr>
              <w:keepNext/>
              <w:spacing w:after="0" w:line="280" w:lineRule="atLeast"/>
              <w:jc w:val="center"/>
              <w:rPr>
                <w:color w:val="000000"/>
                <w:sz w:val="24"/>
                <w:szCs w:val="24"/>
              </w:rPr>
            </w:pPr>
            <w:r w:rsidRPr="002C03D0">
              <w:rPr>
                <w:b/>
                <w:sz w:val="24"/>
                <w:szCs w:val="24"/>
              </w:rPr>
              <w:t xml:space="preserve">Cash </w:t>
            </w:r>
            <w:r w:rsidR="00CE5562" w:rsidRPr="002C03D0">
              <w:rPr>
                <w:b/>
                <w:sz w:val="24"/>
                <w:szCs w:val="24"/>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2C03D0"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2C03D0" w:rsidRDefault="00CE5562" w:rsidP="00CE5562">
                  <w:pPr>
                    <w:keepNext/>
                    <w:spacing w:after="60" w:line="280" w:lineRule="atLeast"/>
                    <w:rPr>
                      <w:sz w:val="24"/>
                      <w:szCs w:val="24"/>
                    </w:rPr>
                  </w:pPr>
                  <w:r w:rsidRPr="002C03D0">
                    <w:rPr>
                      <w:sz w:val="24"/>
                      <w:szCs w:val="24"/>
                    </w:rPr>
                    <w:t>Percentage of Proposed Cash Match Funds</w:t>
                  </w:r>
                </w:p>
              </w:tc>
              <w:tc>
                <w:tcPr>
                  <w:tcW w:w="975" w:type="dxa"/>
                  <w:shd w:val="clear" w:color="auto" w:fill="BFBFBF"/>
                </w:tcPr>
                <w:p w14:paraId="27270FF9" w14:textId="77777777" w:rsidR="00CE5562" w:rsidRPr="002C03D0" w:rsidRDefault="00CE5562" w:rsidP="00CE5562">
                  <w:pPr>
                    <w:keepNext/>
                    <w:spacing w:after="0" w:line="280" w:lineRule="atLeast"/>
                    <w:rPr>
                      <w:sz w:val="24"/>
                      <w:szCs w:val="24"/>
                    </w:rPr>
                  </w:pPr>
                  <w:r w:rsidRPr="002C03D0">
                    <w:rPr>
                      <w:sz w:val="24"/>
                      <w:szCs w:val="24"/>
                    </w:rPr>
                    <w:t>Score</w:t>
                  </w:r>
                </w:p>
              </w:tc>
            </w:tr>
            <w:tr w:rsidR="00CE5562" w:rsidRPr="002C03D0" w14:paraId="02E1471A" w14:textId="77777777" w:rsidTr="00625DCD">
              <w:trPr>
                <w:trHeight w:val="344"/>
                <w:jc w:val="center"/>
              </w:trPr>
              <w:tc>
                <w:tcPr>
                  <w:tcW w:w="2500" w:type="dxa"/>
                  <w:vAlign w:val="bottom"/>
                </w:tcPr>
                <w:p w14:paraId="2E7A15C3" w14:textId="77777777" w:rsidR="00CE5562" w:rsidRPr="002C03D0" w:rsidRDefault="00CE5562" w:rsidP="00CE5562">
                  <w:pPr>
                    <w:keepNext/>
                    <w:spacing w:after="60"/>
                    <w:jc w:val="center"/>
                    <w:rPr>
                      <w:sz w:val="24"/>
                      <w:szCs w:val="24"/>
                    </w:rPr>
                  </w:pPr>
                  <w:r w:rsidRPr="002C03D0">
                    <w:rPr>
                      <w:sz w:val="24"/>
                      <w:szCs w:val="24"/>
                    </w:rPr>
                    <w:t>80</w:t>
                  </w:r>
                  <w:r w:rsidR="007B3CCE" w:rsidRPr="002C03D0">
                    <w:rPr>
                      <w:sz w:val="24"/>
                      <w:szCs w:val="24"/>
                    </w:rPr>
                    <w:t xml:space="preserve"> to 100</w:t>
                  </w:r>
                  <w:r w:rsidRPr="002C03D0">
                    <w:rPr>
                      <w:sz w:val="24"/>
                      <w:szCs w:val="24"/>
                    </w:rPr>
                    <w:t>%</w:t>
                  </w:r>
                </w:p>
              </w:tc>
              <w:tc>
                <w:tcPr>
                  <w:tcW w:w="975" w:type="dxa"/>
                  <w:vAlign w:val="bottom"/>
                </w:tcPr>
                <w:p w14:paraId="1CA1B674" w14:textId="77777777" w:rsidR="00CE5562" w:rsidRPr="002C03D0" w:rsidRDefault="00CE5562" w:rsidP="00CE5562">
                  <w:pPr>
                    <w:keepNext/>
                    <w:spacing w:after="60"/>
                    <w:ind w:left="58"/>
                    <w:jc w:val="center"/>
                    <w:rPr>
                      <w:sz w:val="24"/>
                      <w:szCs w:val="24"/>
                    </w:rPr>
                  </w:pPr>
                  <w:r w:rsidRPr="002C03D0">
                    <w:rPr>
                      <w:sz w:val="24"/>
                      <w:szCs w:val="24"/>
                    </w:rPr>
                    <w:t>5</w:t>
                  </w:r>
                </w:p>
              </w:tc>
            </w:tr>
            <w:tr w:rsidR="00CE5562" w:rsidRPr="002C03D0" w14:paraId="21A23969" w14:textId="77777777" w:rsidTr="00625DCD">
              <w:trPr>
                <w:trHeight w:val="372"/>
                <w:jc w:val="center"/>
              </w:trPr>
              <w:tc>
                <w:tcPr>
                  <w:tcW w:w="2500" w:type="dxa"/>
                  <w:vAlign w:val="bottom"/>
                </w:tcPr>
                <w:p w14:paraId="17716473" w14:textId="77777777" w:rsidR="00CE5562" w:rsidRPr="002C03D0" w:rsidRDefault="00CE5562" w:rsidP="00CE5562">
                  <w:pPr>
                    <w:keepNext/>
                    <w:spacing w:after="60"/>
                    <w:ind w:left="61"/>
                    <w:jc w:val="center"/>
                    <w:rPr>
                      <w:sz w:val="24"/>
                      <w:szCs w:val="24"/>
                    </w:rPr>
                  </w:pPr>
                  <w:r w:rsidRPr="002C03D0">
                    <w:rPr>
                      <w:sz w:val="24"/>
                      <w:szCs w:val="24"/>
                    </w:rPr>
                    <w:t>60 to &lt;80%</w:t>
                  </w:r>
                </w:p>
              </w:tc>
              <w:tc>
                <w:tcPr>
                  <w:tcW w:w="975" w:type="dxa"/>
                  <w:vAlign w:val="bottom"/>
                </w:tcPr>
                <w:p w14:paraId="74274580" w14:textId="77777777" w:rsidR="00CE5562" w:rsidRPr="002C03D0" w:rsidRDefault="00CE5562" w:rsidP="00CE5562">
                  <w:pPr>
                    <w:keepNext/>
                    <w:spacing w:after="60"/>
                    <w:ind w:left="61"/>
                    <w:jc w:val="center"/>
                    <w:rPr>
                      <w:sz w:val="24"/>
                      <w:szCs w:val="24"/>
                    </w:rPr>
                  </w:pPr>
                  <w:r w:rsidRPr="002C03D0">
                    <w:rPr>
                      <w:sz w:val="24"/>
                      <w:szCs w:val="24"/>
                    </w:rPr>
                    <w:t>4</w:t>
                  </w:r>
                </w:p>
              </w:tc>
            </w:tr>
            <w:tr w:rsidR="00CE5562" w:rsidRPr="002C03D0" w14:paraId="0AB532FA" w14:textId="77777777" w:rsidTr="00625DCD">
              <w:trPr>
                <w:trHeight w:val="363"/>
                <w:jc w:val="center"/>
              </w:trPr>
              <w:tc>
                <w:tcPr>
                  <w:tcW w:w="2500" w:type="dxa"/>
                  <w:vAlign w:val="bottom"/>
                </w:tcPr>
                <w:p w14:paraId="67813900" w14:textId="77777777" w:rsidR="00CE5562" w:rsidRPr="002C03D0" w:rsidRDefault="00CE5562" w:rsidP="00CE5562">
                  <w:pPr>
                    <w:keepNext/>
                    <w:spacing w:after="60"/>
                    <w:ind w:left="61"/>
                    <w:jc w:val="center"/>
                    <w:rPr>
                      <w:sz w:val="24"/>
                      <w:szCs w:val="24"/>
                    </w:rPr>
                  </w:pPr>
                  <w:r w:rsidRPr="002C03D0">
                    <w:rPr>
                      <w:sz w:val="24"/>
                      <w:szCs w:val="24"/>
                    </w:rPr>
                    <w:t>40 to &lt;60%</w:t>
                  </w:r>
                </w:p>
              </w:tc>
              <w:tc>
                <w:tcPr>
                  <w:tcW w:w="975" w:type="dxa"/>
                  <w:vAlign w:val="bottom"/>
                </w:tcPr>
                <w:p w14:paraId="63749641" w14:textId="77777777" w:rsidR="00CE5562" w:rsidRPr="002C03D0" w:rsidRDefault="00CE5562" w:rsidP="00CE5562">
                  <w:pPr>
                    <w:keepNext/>
                    <w:spacing w:after="60"/>
                    <w:ind w:left="61"/>
                    <w:jc w:val="center"/>
                    <w:rPr>
                      <w:sz w:val="24"/>
                      <w:szCs w:val="24"/>
                    </w:rPr>
                  </w:pPr>
                  <w:r w:rsidRPr="002C03D0">
                    <w:rPr>
                      <w:sz w:val="24"/>
                      <w:szCs w:val="24"/>
                    </w:rPr>
                    <w:t>3</w:t>
                  </w:r>
                </w:p>
              </w:tc>
            </w:tr>
            <w:tr w:rsidR="00CE5562" w:rsidRPr="002C03D0" w14:paraId="3688B6C2" w14:textId="77777777" w:rsidTr="00625DCD">
              <w:trPr>
                <w:trHeight w:val="363"/>
                <w:jc w:val="center"/>
              </w:trPr>
              <w:tc>
                <w:tcPr>
                  <w:tcW w:w="2500" w:type="dxa"/>
                  <w:vAlign w:val="bottom"/>
                </w:tcPr>
                <w:p w14:paraId="647161DB" w14:textId="77777777" w:rsidR="00CE5562" w:rsidRPr="002C03D0" w:rsidRDefault="00CE5562" w:rsidP="00CE5562">
                  <w:pPr>
                    <w:keepNext/>
                    <w:spacing w:after="60"/>
                    <w:ind w:left="58"/>
                    <w:jc w:val="center"/>
                    <w:rPr>
                      <w:sz w:val="24"/>
                      <w:szCs w:val="24"/>
                    </w:rPr>
                  </w:pPr>
                  <w:r w:rsidRPr="002C03D0">
                    <w:rPr>
                      <w:sz w:val="24"/>
                      <w:szCs w:val="24"/>
                    </w:rPr>
                    <w:t>20 to &lt;40%</w:t>
                  </w:r>
                </w:p>
              </w:tc>
              <w:tc>
                <w:tcPr>
                  <w:tcW w:w="975" w:type="dxa"/>
                  <w:vAlign w:val="bottom"/>
                </w:tcPr>
                <w:p w14:paraId="6CC401DF" w14:textId="77777777" w:rsidR="00CE5562" w:rsidRPr="002C03D0" w:rsidRDefault="00CE5562" w:rsidP="00CE5562">
                  <w:pPr>
                    <w:keepNext/>
                    <w:spacing w:after="60"/>
                    <w:ind w:left="58"/>
                    <w:jc w:val="center"/>
                    <w:rPr>
                      <w:sz w:val="24"/>
                      <w:szCs w:val="24"/>
                    </w:rPr>
                  </w:pPr>
                  <w:r w:rsidRPr="002C03D0">
                    <w:rPr>
                      <w:sz w:val="24"/>
                      <w:szCs w:val="24"/>
                    </w:rPr>
                    <w:t>2</w:t>
                  </w:r>
                </w:p>
              </w:tc>
            </w:tr>
            <w:tr w:rsidR="00CE5562" w:rsidRPr="002C03D0" w14:paraId="38B0F136" w14:textId="77777777" w:rsidTr="00625DCD">
              <w:trPr>
                <w:trHeight w:val="363"/>
                <w:jc w:val="center"/>
              </w:trPr>
              <w:tc>
                <w:tcPr>
                  <w:tcW w:w="2500" w:type="dxa"/>
                  <w:vAlign w:val="bottom"/>
                </w:tcPr>
                <w:p w14:paraId="35D7F5F0" w14:textId="77777777" w:rsidR="00CE5562" w:rsidRPr="002C03D0" w:rsidRDefault="00CE5562" w:rsidP="00CE5562">
                  <w:pPr>
                    <w:keepNext/>
                    <w:spacing w:after="60"/>
                    <w:ind w:left="58"/>
                    <w:jc w:val="center"/>
                    <w:rPr>
                      <w:sz w:val="24"/>
                      <w:szCs w:val="24"/>
                    </w:rPr>
                  </w:pPr>
                  <w:r w:rsidRPr="002C03D0">
                    <w:rPr>
                      <w:sz w:val="24"/>
                      <w:szCs w:val="24"/>
                    </w:rPr>
                    <w:t>10 to &lt;20%</w:t>
                  </w:r>
                </w:p>
              </w:tc>
              <w:tc>
                <w:tcPr>
                  <w:tcW w:w="975" w:type="dxa"/>
                  <w:vAlign w:val="bottom"/>
                </w:tcPr>
                <w:p w14:paraId="3902BA46" w14:textId="77777777" w:rsidR="00CE5562" w:rsidRPr="002C03D0" w:rsidRDefault="00CE5562" w:rsidP="00CE5562">
                  <w:pPr>
                    <w:keepNext/>
                    <w:spacing w:after="60"/>
                    <w:ind w:left="58"/>
                    <w:jc w:val="center"/>
                    <w:rPr>
                      <w:sz w:val="24"/>
                      <w:szCs w:val="24"/>
                    </w:rPr>
                  </w:pPr>
                  <w:r w:rsidRPr="002C03D0">
                    <w:rPr>
                      <w:sz w:val="24"/>
                      <w:szCs w:val="24"/>
                    </w:rPr>
                    <w:t>1</w:t>
                  </w:r>
                </w:p>
              </w:tc>
            </w:tr>
          </w:tbl>
          <w:p w14:paraId="77228007" w14:textId="77777777" w:rsidR="00CE5562" w:rsidRPr="002C03D0" w:rsidRDefault="00CE5562" w:rsidP="00CE5562">
            <w:pPr>
              <w:keepNext/>
              <w:spacing w:line="280" w:lineRule="atLeast"/>
              <w:jc w:val="both"/>
              <w:rPr>
                <w:i/>
                <w:color w:val="00B0F0"/>
                <w:sz w:val="24"/>
                <w:szCs w:val="24"/>
              </w:rPr>
            </w:pPr>
            <w:r w:rsidRPr="002C03D0">
              <w:rPr>
                <w:i/>
                <w:color w:val="00B0F0"/>
                <w:sz w:val="24"/>
                <w:szCs w:val="24"/>
              </w:rPr>
              <w:t xml:space="preserve"> </w:t>
            </w:r>
          </w:p>
        </w:tc>
        <w:tc>
          <w:tcPr>
            <w:tcW w:w="1342" w:type="dxa"/>
            <w:tcBorders>
              <w:bottom w:val="single" w:sz="4" w:space="0" w:color="auto"/>
            </w:tcBorders>
            <w:shd w:val="clear" w:color="auto" w:fill="auto"/>
          </w:tcPr>
          <w:p w14:paraId="01967D77" w14:textId="77777777" w:rsidR="00CE5562" w:rsidRPr="002C03D0" w:rsidRDefault="00CE5562" w:rsidP="00CE5562">
            <w:pPr>
              <w:keepNext/>
              <w:spacing w:before="120" w:after="0"/>
              <w:jc w:val="center"/>
              <w:rPr>
                <w:b/>
                <w:sz w:val="24"/>
                <w:szCs w:val="24"/>
              </w:rPr>
            </w:pPr>
            <w:r w:rsidRPr="002C03D0">
              <w:rPr>
                <w:b/>
                <w:sz w:val="24"/>
                <w:szCs w:val="24"/>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7777777" w:rsidR="00CE5562" w:rsidRPr="002C03D0" w:rsidRDefault="00CE5562" w:rsidP="002F32D3">
            <w:pPr>
              <w:keepNext/>
              <w:numPr>
                <w:ilvl w:val="0"/>
                <w:numId w:val="61"/>
              </w:numPr>
              <w:spacing w:line="280" w:lineRule="atLeast"/>
              <w:ind w:left="1050"/>
              <w:rPr>
                <w:sz w:val="24"/>
                <w:szCs w:val="24"/>
              </w:rPr>
            </w:pPr>
            <w:r w:rsidRPr="002C03D0">
              <w:rPr>
                <w:sz w:val="24"/>
                <w:szCs w:val="24"/>
              </w:rPr>
              <w:t xml:space="preserve">Additional points will be awarded to applications that exceed the minimum match requirements </w:t>
            </w:r>
            <w:r w:rsidR="007B3CCE" w:rsidRPr="002C03D0">
              <w:rPr>
                <w:sz w:val="24"/>
                <w:szCs w:val="24"/>
              </w:rPr>
              <w:t xml:space="preserve">based on the percentage amount above minimum </w:t>
            </w:r>
            <w:r w:rsidRPr="002C03D0">
              <w:rPr>
                <w:sz w:val="24"/>
                <w:szCs w:val="24"/>
              </w:rPr>
              <w:t>using the Exceeds Minimum Match Scoring table:</w:t>
            </w:r>
          </w:p>
          <w:p w14:paraId="3EF6BF5B" w14:textId="77777777" w:rsidR="00CE5562" w:rsidRPr="002C03D0" w:rsidRDefault="00CE5562" w:rsidP="00CE5562">
            <w:pPr>
              <w:keepLines/>
              <w:spacing w:before="120"/>
              <w:jc w:val="center"/>
              <w:rPr>
                <w:sz w:val="24"/>
                <w:szCs w:val="24"/>
              </w:rPr>
            </w:pPr>
            <w:r w:rsidRPr="002C03D0">
              <w:rPr>
                <w:b/>
                <w:sz w:val="24"/>
                <w:szCs w:val="24"/>
              </w:rPr>
              <w:t xml:space="preserve">Exceeds Minimum </w:t>
            </w:r>
            <w:r w:rsidRPr="002C03D0">
              <w:rPr>
                <w:b/>
                <w:sz w:val="24"/>
                <w:szCs w:val="24"/>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2C03D0"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2C03D0" w:rsidRDefault="00CE5562" w:rsidP="00CE5562">
                  <w:pPr>
                    <w:spacing w:after="60" w:line="280" w:lineRule="atLeast"/>
                    <w:rPr>
                      <w:sz w:val="24"/>
                      <w:szCs w:val="24"/>
                    </w:rPr>
                  </w:pPr>
                  <w:r w:rsidRPr="002C03D0">
                    <w:rPr>
                      <w:sz w:val="24"/>
                      <w:szCs w:val="24"/>
                    </w:rPr>
                    <w:t xml:space="preserve">Percentage above Minimum Match </w:t>
                  </w:r>
                  <w:r w:rsidRPr="002C03D0">
                    <w:rPr>
                      <w:rFonts w:ascii="Calibri" w:eastAsia="Calibri" w:hAnsi="Calibri" w:cs="Times New Roman"/>
                      <w:sz w:val="24"/>
                      <w:szCs w:val="24"/>
                    </w:rPr>
                    <w:t>(cash and in-kind)</w:t>
                  </w:r>
                </w:p>
              </w:tc>
              <w:tc>
                <w:tcPr>
                  <w:tcW w:w="990" w:type="dxa"/>
                  <w:shd w:val="clear" w:color="auto" w:fill="BFBFBF"/>
                </w:tcPr>
                <w:p w14:paraId="7B6251E4" w14:textId="77777777" w:rsidR="00CE5562" w:rsidRPr="002C03D0" w:rsidRDefault="00CE5562" w:rsidP="00CE5562">
                  <w:pPr>
                    <w:spacing w:after="0" w:line="280" w:lineRule="atLeast"/>
                    <w:rPr>
                      <w:sz w:val="24"/>
                      <w:szCs w:val="24"/>
                    </w:rPr>
                  </w:pPr>
                  <w:r w:rsidRPr="002C03D0">
                    <w:rPr>
                      <w:sz w:val="24"/>
                      <w:szCs w:val="24"/>
                    </w:rPr>
                    <w:t>Score</w:t>
                  </w:r>
                </w:p>
              </w:tc>
            </w:tr>
            <w:tr w:rsidR="00CE5562" w:rsidRPr="002C03D0" w14:paraId="29925A5E" w14:textId="77777777" w:rsidTr="00625DCD">
              <w:trPr>
                <w:trHeight w:val="344"/>
                <w:jc w:val="center"/>
              </w:trPr>
              <w:tc>
                <w:tcPr>
                  <w:tcW w:w="2590" w:type="dxa"/>
                  <w:vAlign w:val="bottom"/>
                </w:tcPr>
                <w:p w14:paraId="5E9D1327" w14:textId="77777777" w:rsidR="00CE5562" w:rsidRPr="002C03D0" w:rsidRDefault="007B3CCE" w:rsidP="007B3CCE">
                  <w:pPr>
                    <w:spacing w:after="60"/>
                    <w:jc w:val="center"/>
                    <w:rPr>
                      <w:sz w:val="24"/>
                      <w:szCs w:val="24"/>
                    </w:rPr>
                  </w:pPr>
                  <m:oMath>
                    <m:r>
                      <w:rPr>
                        <w:rFonts w:ascii="Cambria Math" w:hAnsi="Cambria Math"/>
                        <w:sz w:val="24"/>
                        <w:szCs w:val="24"/>
                      </w:rPr>
                      <m:t>≥</m:t>
                    </m:r>
                  </m:oMath>
                  <w:r w:rsidRPr="002C03D0">
                    <w:rPr>
                      <w:sz w:val="24"/>
                      <w:szCs w:val="24"/>
                    </w:rPr>
                    <w:t xml:space="preserve"> </w:t>
                  </w:r>
                  <w:r w:rsidR="00CE5562" w:rsidRPr="002C03D0">
                    <w:rPr>
                      <w:sz w:val="24"/>
                      <w:szCs w:val="24"/>
                    </w:rPr>
                    <w:t>80%</w:t>
                  </w:r>
                </w:p>
              </w:tc>
              <w:tc>
                <w:tcPr>
                  <w:tcW w:w="990" w:type="dxa"/>
                  <w:vAlign w:val="bottom"/>
                </w:tcPr>
                <w:p w14:paraId="4AF4BA0D" w14:textId="77777777" w:rsidR="00CE5562" w:rsidRPr="002C03D0" w:rsidRDefault="00CE5562" w:rsidP="00CE5562">
                  <w:pPr>
                    <w:spacing w:after="60"/>
                    <w:ind w:left="58"/>
                    <w:jc w:val="center"/>
                    <w:rPr>
                      <w:sz w:val="24"/>
                      <w:szCs w:val="24"/>
                    </w:rPr>
                  </w:pPr>
                  <w:r w:rsidRPr="002C03D0">
                    <w:rPr>
                      <w:sz w:val="24"/>
                      <w:szCs w:val="24"/>
                    </w:rPr>
                    <w:t>5</w:t>
                  </w:r>
                </w:p>
              </w:tc>
            </w:tr>
            <w:tr w:rsidR="00CE5562" w:rsidRPr="002C03D0" w14:paraId="77E80921" w14:textId="77777777" w:rsidTr="00625DCD">
              <w:trPr>
                <w:trHeight w:val="372"/>
                <w:jc w:val="center"/>
              </w:trPr>
              <w:tc>
                <w:tcPr>
                  <w:tcW w:w="2590" w:type="dxa"/>
                  <w:vAlign w:val="bottom"/>
                </w:tcPr>
                <w:p w14:paraId="6EA19339" w14:textId="77777777" w:rsidR="00CE5562" w:rsidRPr="002C03D0" w:rsidRDefault="00CE5562" w:rsidP="00CE5562">
                  <w:pPr>
                    <w:spacing w:after="60"/>
                    <w:ind w:left="61"/>
                    <w:jc w:val="center"/>
                    <w:rPr>
                      <w:sz w:val="24"/>
                      <w:szCs w:val="24"/>
                    </w:rPr>
                  </w:pPr>
                  <w:r w:rsidRPr="002C03D0">
                    <w:rPr>
                      <w:sz w:val="24"/>
                      <w:szCs w:val="24"/>
                    </w:rPr>
                    <w:t>60 to &lt;80%</w:t>
                  </w:r>
                </w:p>
              </w:tc>
              <w:tc>
                <w:tcPr>
                  <w:tcW w:w="990" w:type="dxa"/>
                  <w:vAlign w:val="bottom"/>
                </w:tcPr>
                <w:p w14:paraId="4799F20F" w14:textId="77777777" w:rsidR="00CE5562" w:rsidRPr="002C03D0" w:rsidRDefault="00CE5562" w:rsidP="00CE5562">
                  <w:pPr>
                    <w:spacing w:after="60"/>
                    <w:ind w:left="61"/>
                    <w:jc w:val="center"/>
                    <w:rPr>
                      <w:sz w:val="24"/>
                      <w:szCs w:val="24"/>
                    </w:rPr>
                  </w:pPr>
                  <w:r w:rsidRPr="002C03D0">
                    <w:rPr>
                      <w:sz w:val="24"/>
                      <w:szCs w:val="24"/>
                    </w:rPr>
                    <w:t>4</w:t>
                  </w:r>
                </w:p>
              </w:tc>
            </w:tr>
            <w:tr w:rsidR="00CE5562" w:rsidRPr="002C03D0" w14:paraId="1F858BDD" w14:textId="77777777" w:rsidTr="00625DCD">
              <w:trPr>
                <w:trHeight w:val="363"/>
                <w:jc w:val="center"/>
              </w:trPr>
              <w:tc>
                <w:tcPr>
                  <w:tcW w:w="2590" w:type="dxa"/>
                  <w:vAlign w:val="bottom"/>
                </w:tcPr>
                <w:p w14:paraId="1BB33578" w14:textId="77777777" w:rsidR="00CE5562" w:rsidRPr="002C03D0" w:rsidRDefault="00CE5562" w:rsidP="00CE5562">
                  <w:pPr>
                    <w:spacing w:after="60"/>
                    <w:ind w:left="61"/>
                    <w:jc w:val="center"/>
                    <w:rPr>
                      <w:sz w:val="24"/>
                      <w:szCs w:val="24"/>
                    </w:rPr>
                  </w:pPr>
                  <w:r w:rsidRPr="002C03D0">
                    <w:rPr>
                      <w:sz w:val="24"/>
                      <w:szCs w:val="24"/>
                    </w:rPr>
                    <w:t>40 to &lt;60%</w:t>
                  </w:r>
                </w:p>
              </w:tc>
              <w:tc>
                <w:tcPr>
                  <w:tcW w:w="990" w:type="dxa"/>
                  <w:vAlign w:val="bottom"/>
                </w:tcPr>
                <w:p w14:paraId="45170772" w14:textId="77777777" w:rsidR="00CE5562" w:rsidRPr="002C03D0" w:rsidRDefault="00CE5562" w:rsidP="00CE5562">
                  <w:pPr>
                    <w:spacing w:after="60"/>
                    <w:ind w:left="61"/>
                    <w:jc w:val="center"/>
                    <w:rPr>
                      <w:sz w:val="24"/>
                      <w:szCs w:val="24"/>
                    </w:rPr>
                  </w:pPr>
                  <w:r w:rsidRPr="002C03D0">
                    <w:rPr>
                      <w:sz w:val="24"/>
                      <w:szCs w:val="24"/>
                    </w:rPr>
                    <w:t>3</w:t>
                  </w:r>
                </w:p>
              </w:tc>
            </w:tr>
            <w:tr w:rsidR="00CE5562" w:rsidRPr="002C03D0" w14:paraId="11EC0686" w14:textId="77777777" w:rsidTr="00625DCD">
              <w:trPr>
                <w:trHeight w:val="363"/>
                <w:jc w:val="center"/>
              </w:trPr>
              <w:tc>
                <w:tcPr>
                  <w:tcW w:w="2590" w:type="dxa"/>
                  <w:vAlign w:val="bottom"/>
                </w:tcPr>
                <w:p w14:paraId="615362E4" w14:textId="77777777" w:rsidR="00CE5562" w:rsidRPr="002C03D0" w:rsidRDefault="00CE5562" w:rsidP="00CE5562">
                  <w:pPr>
                    <w:spacing w:after="60"/>
                    <w:ind w:left="58"/>
                    <w:jc w:val="center"/>
                    <w:rPr>
                      <w:sz w:val="24"/>
                      <w:szCs w:val="24"/>
                    </w:rPr>
                  </w:pPr>
                  <w:r w:rsidRPr="002C03D0">
                    <w:rPr>
                      <w:sz w:val="24"/>
                      <w:szCs w:val="24"/>
                    </w:rPr>
                    <w:t>20 to &lt;40%</w:t>
                  </w:r>
                </w:p>
              </w:tc>
              <w:tc>
                <w:tcPr>
                  <w:tcW w:w="990" w:type="dxa"/>
                  <w:vAlign w:val="bottom"/>
                </w:tcPr>
                <w:p w14:paraId="5705BB37" w14:textId="77777777" w:rsidR="00CE5562" w:rsidRPr="002C03D0" w:rsidRDefault="00CE5562" w:rsidP="00CE5562">
                  <w:pPr>
                    <w:spacing w:after="60"/>
                    <w:ind w:left="58"/>
                    <w:jc w:val="center"/>
                    <w:rPr>
                      <w:sz w:val="24"/>
                      <w:szCs w:val="24"/>
                    </w:rPr>
                  </w:pPr>
                  <w:r w:rsidRPr="002C03D0">
                    <w:rPr>
                      <w:sz w:val="24"/>
                      <w:szCs w:val="24"/>
                    </w:rPr>
                    <w:t>2</w:t>
                  </w:r>
                </w:p>
              </w:tc>
            </w:tr>
            <w:tr w:rsidR="00CE5562" w:rsidRPr="002C03D0"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2C03D0" w:rsidRDefault="00CE5562" w:rsidP="00CE5562">
                  <w:pPr>
                    <w:spacing w:after="60"/>
                    <w:ind w:left="58"/>
                    <w:jc w:val="center"/>
                    <w:rPr>
                      <w:sz w:val="24"/>
                      <w:szCs w:val="24"/>
                    </w:rPr>
                  </w:pPr>
                  <w:r w:rsidRPr="002C03D0">
                    <w:rPr>
                      <w:sz w:val="24"/>
                      <w:szCs w:val="24"/>
                    </w:rPr>
                    <w:t>10</w:t>
                  </w:r>
                  <w:r w:rsidR="007B3CCE" w:rsidRPr="002C03D0">
                    <w:rPr>
                      <w:sz w:val="24"/>
                      <w:szCs w:val="24"/>
                    </w:rPr>
                    <w:t xml:space="preserve"> to &lt;20 </w:t>
                  </w:r>
                  <w:r w:rsidRPr="002C03D0">
                    <w:rPr>
                      <w:sz w:val="24"/>
                      <w:szCs w:val="24"/>
                    </w:rPr>
                    <w:t>%</w:t>
                  </w:r>
                </w:p>
              </w:tc>
              <w:tc>
                <w:tcPr>
                  <w:tcW w:w="990" w:type="dxa"/>
                  <w:tcBorders>
                    <w:bottom w:val="single" w:sz="4" w:space="0" w:color="auto"/>
                  </w:tcBorders>
                  <w:vAlign w:val="bottom"/>
                </w:tcPr>
                <w:p w14:paraId="20C34A32" w14:textId="77777777" w:rsidR="00CE5562" w:rsidRPr="002C03D0" w:rsidRDefault="00CE5562" w:rsidP="00CE5562">
                  <w:pPr>
                    <w:spacing w:after="60"/>
                    <w:ind w:left="58"/>
                    <w:jc w:val="center"/>
                    <w:rPr>
                      <w:sz w:val="24"/>
                      <w:szCs w:val="24"/>
                    </w:rPr>
                  </w:pPr>
                  <w:r w:rsidRPr="002C03D0">
                    <w:rPr>
                      <w:sz w:val="24"/>
                      <w:szCs w:val="24"/>
                    </w:rPr>
                    <w:t>1</w:t>
                  </w:r>
                </w:p>
              </w:tc>
            </w:tr>
          </w:tbl>
          <w:p w14:paraId="118100AC" w14:textId="77777777" w:rsidR="00CE5562" w:rsidRPr="002C03D0" w:rsidRDefault="00CE5562" w:rsidP="00CE5562">
            <w:pPr>
              <w:keepLines/>
              <w:spacing w:before="120"/>
              <w:jc w:val="both"/>
              <w:rPr>
                <w:sz w:val="24"/>
                <w:szCs w:val="24"/>
              </w:rPr>
            </w:pPr>
            <w:r w:rsidRPr="002C03D0">
              <w:rPr>
                <w:sz w:val="24"/>
                <w:szCs w:val="24"/>
              </w:rPr>
              <w:t xml:space="preserve"> </w:t>
            </w:r>
          </w:p>
        </w:tc>
        <w:tc>
          <w:tcPr>
            <w:tcW w:w="1342" w:type="dxa"/>
            <w:tcBorders>
              <w:bottom w:val="single" w:sz="4" w:space="0" w:color="auto"/>
            </w:tcBorders>
            <w:shd w:val="clear" w:color="auto" w:fill="auto"/>
          </w:tcPr>
          <w:p w14:paraId="1D0371DF" w14:textId="77777777" w:rsidR="00CE5562" w:rsidRPr="002C03D0" w:rsidRDefault="00CE5562" w:rsidP="00CE5562">
            <w:pPr>
              <w:spacing w:before="120" w:after="0"/>
              <w:jc w:val="center"/>
              <w:rPr>
                <w:b/>
                <w:sz w:val="24"/>
                <w:szCs w:val="24"/>
              </w:rPr>
            </w:pPr>
            <w:r w:rsidRPr="002C03D0">
              <w:rPr>
                <w:b/>
                <w:sz w:val="24"/>
                <w:szCs w:val="24"/>
              </w:rPr>
              <w:t>5</w:t>
            </w:r>
          </w:p>
        </w:tc>
      </w:tr>
    </w:tbl>
    <w:p w14:paraId="6393F6AE" w14:textId="77777777" w:rsidR="00CE5562" w:rsidRPr="00CE5562" w:rsidRDefault="00CE5562" w:rsidP="00CE5562">
      <w:pPr>
        <w:tabs>
          <w:tab w:val="left" w:pos="1530"/>
        </w:tabs>
        <w:jc w:val="both"/>
        <w:rPr>
          <w:b/>
          <w:szCs w:val="22"/>
        </w:rPr>
      </w:pPr>
    </w:p>
    <w:sectPr w:rsidR="00CE5562" w:rsidRPr="00CE5562" w:rsidSect="008919BB">
      <w:footerReference w:type="default" r:id="rId54"/>
      <w:type w:val="continuous"/>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C588" w14:textId="77777777" w:rsidR="00F23040" w:rsidRDefault="00F23040">
      <w:r>
        <w:separator/>
      </w:r>
    </w:p>
  </w:endnote>
  <w:endnote w:type="continuationSeparator" w:id="0">
    <w:p w14:paraId="39239ABC" w14:textId="77777777" w:rsidR="00F23040" w:rsidRDefault="00F23040">
      <w:r>
        <w:continuationSeparator/>
      </w:r>
    </w:p>
  </w:endnote>
  <w:endnote w:type="continuationNotice" w:id="1">
    <w:p w14:paraId="1CD93900" w14:textId="77777777" w:rsidR="00F23040" w:rsidRDefault="00F230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A9EC" w14:textId="4D683921" w:rsidR="002A4866" w:rsidRPr="005B25A9" w:rsidRDefault="002A4866">
    <w:pPr>
      <w:pStyle w:val="Footer"/>
      <w:rPr>
        <w:b/>
        <w:bCs/>
        <w:sz w:val="20"/>
        <w:szCs w:val="18"/>
        <w:u w:val="single"/>
      </w:rPr>
    </w:pPr>
    <w:r>
      <w:rPr>
        <w:sz w:val="20"/>
        <w:szCs w:val="18"/>
      </w:rPr>
      <w:t>September 2023</w:t>
    </w:r>
    <w:r w:rsidRPr="002A4866">
      <w:rPr>
        <w:sz w:val="20"/>
        <w:szCs w:val="18"/>
      </w:rPr>
      <w:ptab w:relativeTo="margin" w:alignment="center" w:leader="none"/>
    </w:r>
    <w:r w:rsidR="005B25A9" w:rsidRPr="005B25A9">
      <w:rPr>
        <w:sz w:val="20"/>
        <w:szCs w:val="18"/>
      </w:rPr>
      <w:fldChar w:fldCharType="begin"/>
    </w:r>
    <w:r w:rsidR="005B25A9" w:rsidRPr="005B25A9">
      <w:rPr>
        <w:sz w:val="20"/>
        <w:szCs w:val="18"/>
      </w:rPr>
      <w:instrText xml:space="preserve"> PAGE   \* MERGEFORMAT </w:instrText>
    </w:r>
    <w:r w:rsidR="005B25A9" w:rsidRPr="005B25A9">
      <w:rPr>
        <w:sz w:val="20"/>
        <w:szCs w:val="18"/>
      </w:rPr>
      <w:fldChar w:fldCharType="separate"/>
    </w:r>
    <w:r w:rsidR="005B25A9" w:rsidRPr="005B25A9">
      <w:rPr>
        <w:noProof/>
        <w:sz w:val="20"/>
        <w:szCs w:val="18"/>
      </w:rPr>
      <w:t>1</w:t>
    </w:r>
    <w:r w:rsidR="005B25A9" w:rsidRPr="005B25A9">
      <w:rPr>
        <w:noProof/>
        <w:sz w:val="20"/>
        <w:szCs w:val="18"/>
      </w:rPr>
      <w:fldChar w:fldCharType="end"/>
    </w:r>
    <w:r w:rsidRPr="002A4866">
      <w:rPr>
        <w:sz w:val="20"/>
        <w:szCs w:val="18"/>
      </w:rPr>
      <w:ptab w:relativeTo="margin" w:alignment="right" w:leader="none"/>
    </w:r>
    <w:r>
      <w:rPr>
        <w:sz w:val="20"/>
        <w:szCs w:val="18"/>
      </w:rPr>
      <w:t>GFO-22-307</w:t>
    </w:r>
    <w:r w:rsidR="005B25A9">
      <w:rPr>
        <w:b/>
        <w:bCs/>
        <w:sz w:val="20"/>
        <w:szCs w:val="18"/>
        <w:u w:val="single"/>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5217" w14:textId="77777777" w:rsidR="008E1A80" w:rsidRPr="005B25A9" w:rsidRDefault="008E1A80">
    <w:pPr>
      <w:pStyle w:val="Footer"/>
      <w:rPr>
        <w:b/>
        <w:bCs/>
        <w:sz w:val="20"/>
        <w:szCs w:val="18"/>
        <w:u w:val="single"/>
      </w:rPr>
    </w:pPr>
    <w:r>
      <w:rPr>
        <w:sz w:val="20"/>
        <w:szCs w:val="18"/>
      </w:rPr>
      <w:t>September 2023</w:t>
    </w:r>
    <w:r w:rsidRPr="002A4866">
      <w:rPr>
        <w:sz w:val="20"/>
        <w:szCs w:val="18"/>
      </w:rPr>
      <w:ptab w:relativeTo="margin" w:alignment="center" w:leader="none"/>
    </w:r>
    <w:r w:rsidRPr="005B25A9">
      <w:rPr>
        <w:sz w:val="20"/>
        <w:szCs w:val="18"/>
      </w:rPr>
      <w:fldChar w:fldCharType="begin"/>
    </w:r>
    <w:r w:rsidRPr="005B25A9">
      <w:rPr>
        <w:sz w:val="20"/>
        <w:szCs w:val="18"/>
      </w:rPr>
      <w:instrText xml:space="preserve"> PAGE   \* MERGEFORMAT </w:instrText>
    </w:r>
    <w:r w:rsidRPr="005B25A9">
      <w:rPr>
        <w:sz w:val="20"/>
        <w:szCs w:val="18"/>
      </w:rPr>
      <w:fldChar w:fldCharType="separate"/>
    </w:r>
    <w:r w:rsidRPr="005B25A9">
      <w:rPr>
        <w:noProof/>
        <w:sz w:val="20"/>
        <w:szCs w:val="18"/>
      </w:rPr>
      <w:t>1</w:t>
    </w:r>
    <w:r w:rsidRPr="005B25A9">
      <w:rPr>
        <w:noProof/>
        <w:sz w:val="20"/>
        <w:szCs w:val="18"/>
      </w:rPr>
      <w:fldChar w:fldCharType="end"/>
    </w:r>
    <w:r w:rsidRPr="002A4866">
      <w:rPr>
        <w:sz w:val="20"/>
        <w:szCs w:val="18"/>
      </w:rPr>
      <w:ptab w:relativeTo="margin" w:alignment="right" w:leader="none"/>
    </w:r>
    <w:r>
      <w:rPr>
        <w:sz w:val="20"/>
        <w:szCs w:val="18"/>
      </w:rPr>
      <w:t>GFO-22-307</w:t>
    </w:r>
    <w:r>
      <w:rPr>
        <w:b/>
        <w:bCs/>
        <w:sz w:val="20"/>
        <w:szCs w:val="18"/>
        <w:u w:val="single"/>
      </w:rPr>
      <w:t>-03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BD2" w14:textId="7A58FAC3" w:rsidR="008E1A80" w:rsidRPr="00C32C68" w:rsidRDefault="008E1A80" w:rsidP="008E1A80">
    <w:pPr>
      <w:pStyle w:val="Footer"/>
      <w:rPr>
        <w:b/>
        <w:bCs/>
        <w:sz w:val="20"/>
        <w:szCs w:val="18"/>
        <w:u w:val="single"/>
      </w:rPr>
    </w:pPr>
    <w:r>
      <w:rPr>
        <w:sz w:val="20"/>
        <w:szCs w:val="18"/>
      </w:rPr>
      <w:t>September 2023</w:t>
    </w:r>
    <w:r w:rsidRPr="008E1A80">
      <w:rPr>
        <w:sz w:val="20"/>
        <w:szCs w:val="18"/>
      </w:rPr>
      <w:ptab w:relativeTo="margin" w:alignment="center" w:leader="none"/>
    </w:r>
    <w:r w:rsidR="008919BB" w:rsidRPr="008919BB">
      <w:rPr>
        <w:sz w:val="20"/>
        <w:szCs w:val="18"/>
      </w:rPr>
      <w:t xml:space="preserve">Page </w:t>
    </w:r>
    <w:r w:rsidR="008919BB" w:rsidRPr="008919BB">
      <w:rPr>
        <w:b/>
        <w:bCs/>
        <w:sz w:val="20"/>
        <w:szCs w:val="18"/>
      </w:rPr>
      <w:fldChar w:fldCharType="begin"/>
    </w:r>
    <w:r w:rsidR="008919BB" w:rsidRPr="008919BB">
      <w:rPr>
        <w:b/>
        <w:bCs/>
        <w:sz w:val="20"/>
        <w:szCs w:val="18"/>
      </w:rPr>
      <w:instrText xml:space="preserve"> PAGE  \* Arabic  \* MERGEFORMAT </w:instrText>
    </w:r>
    <w:r w:rsidR="008919BB" w:rsidRPr="008919BB">
      <w:rPr>
        <w:b/>
        <w:bCs/>
        <w:sz w:val="20"/>
        <w:szCs w:val="18"/>
      </w:rPr>
      <w:fldChar w:fldCharType="separate"/>
    </w:r>
    <w:r w:rsidR="008919BB" w:rsidRPr="008919BB">
      <w:rPr>
        <w:b/>
        <w:bCs/>
        <w:noProof/>
        <w:sz w:val="20"/>
        <w:szCs w:val="18"/>
      </w:rPr>
      <w:t>1</w:t>
    </w:r>
    <w:r w:rsidR="008919BB" w:rsidRPr="008919BB">
      <w:rPr>
        <w:b/>
        <w:bCs/>
        <w:sz w:val="20"/>
        <w:szCs w:val="18"/>
      </w:rPr>
      <w:fldChar w:fldCharType="end"/>
    </w:r>
    <w:r w:rsidR="008919BB" w:rsidRPr="008919BB">
      <w:rPr>
        <w:sz w:val="20"/>
        <w:szCs w:val="18"/>
      </w:rPr>
      <w:t xml:space="preserve"> of </w:t>
    </w:r>
    <w:r w:rsidR="008919BB">
      <w:rPr>
        <w:b/>
        <w:bCs/>
        <w:sz w:val="20"/>
        <w:szCs w:val="18"/>
      </w:rPr>
      <w:t>46</w:t>
    </w:r>
    <w:r w:rsidRPr="008E1A80">
      <w:rPr>
        <w:sz w:val="20"/>
        <w:szCs w:val="18"/>
      </w:rPr>
      <w:ptab w:relativeTo="margin" w:alignment="right" w:leader="none"/>
    </w:r>
    <w:r w:rsidR="008919BB">
      <w:rPr>
        <w:sz w:val="20"/>
        <w:szCs w:val="18"/>
      </w:rPr>
      <w:t>GFO-22-307</w:t>
    </w:r>
    <w:r w:rsidR="00C32C68">
      <w:rPr>
        <w:b/>
        <w:bCs/>
        <w:sz w:val="20"/>
        <w:szCs w:val="18"/>
        <w:u w:val="single"/>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6974" w14:textId="77777777" w:rsidR="00F23040" w:rsidRDefault="00F23040">
      <w:r>
        <w:separator/>
      </w:r>
    </w:p>
  </w:footnote>
  <w:footnote w:type="continuationSeparator" w:id="0">
    <w:p w14:paraId="1FD00126" w14:textId="77777777" w:rsidR="00F23040" w:rsidRDefault="00F23040">
      <w:r>
        <w:continuationSeparator/>
      </w:r>
    </w:p>
  </w:footnote>
  <w:footnote w:type="continuationNotice" w:id="1">
    <w:p w14:paraId="79476DFE" w14:textId="77777777" w:rsidR="00F23040" w:rsidRDefault="00F23040">
      <w:pPr>
        <w:spacing w:after="0"/>
      </w:pPr>
    </w:p>
  </w:footnote>
  <w:footnote w:id="2">
    <w:p w14:paraId="2483613C" w14:textId="77777777" w:rsidR="003D0AEA" w:rsidRPr="003D0AEA" w:rsidRDefault="003D0AEA" w:rsidP="003D0AEA">
      <w:pPr>
        <w:rPr>
          <w:sz w:val="20"/>
        </w:rPr>
      </w:pPr>
      <w:r w:rsidRPr="003D0AEA">
        <w:rPr>
          <w:rFonts w:eastAsia="Arial"/>
          <w:sz w:val="20"/>
        </w:rPr>
        <w:footnoteRef/>
      </w:r>
      <w:r w:rsidRPr="003D0AEA">
        <w:rPr>
          <w:rFonts w:eastAsia="Arial"/>
          <w:sz w:val="20"/>
        </w:rPr>
        <w:t xml:space="preserve"> California Energy Commission Proposed EPIC Interim Investment Plan 2021, https://efiling.energy.ca.gov/GetDocument.aspx?tn=236882 and approved by CPUC decision 21-07-006, July 15, 2021, https://docs.cpuc.ca.gov/SearchRes.aspx?docformat=ALL&amp;docid=394265545.</w:t>
      </w:r>
    </w:p>
  </w:footnote>
  <w:footnote w:id="3">
    <w:p w14:paraId="5F360D4B" w14:textId="77777777" w:rsidR="003D0AEA" w:rsidRPr="003D0AEA" w:rsidRDefault="003D0AEA" w:rsidP="003D0AEA">
      <w:pPr>
        <w:rPr>
          <w:rFonts w:eastAsia="Arial"/>
          <w:sz w:val="20"/>
          <w:u w:val="single"/>
        </w:rPr>
      </w:pPr>
      <w:r w:rsidRPr="003D0AEA">
        <w:rPr>
          <w:rFonts w:eastAsia="Arial"/>
          <w:sz w:val="20"/>
        </w:rPr>
        <w:footnoteRef/>
      </w:r>
      <w:r w:rsidRPr="003D0AEA">
        <w:rPr>
          <w:rFonts w:eastAsia="Arial"/>
          <w:sz w:val="20"/>
        </w:rPr>
        <w:t xml:space="preserve"> Gill, Liz, Gutierrez, Gutierrez, and Weeks, Terra, 2021 SB 100 Joint Agency Report., 2021.</w:t>
      </w:r>
    </w:p>
    <w:p w14:paraId="37A8CF90" w14:textId="77777777" w:rsidR="003D0AEA" w:rsidRPr="003D0AEA" w:rsidRDefault="003D0AEA" w:rsidP="003D0AEA">
      <w:pPr>
        <w:rPr>
          <w:rFonts w:eastAsia="Arial"/>
          <w:color w:val="D13438"/>
          <w:sz w:val="20"/>
          <w:u w:val="single"/>
        </w:rPr>
      </w:pPr>
      <w:r w:rsidRPr="003D0AEA">
        <w:rPr>
          <w:rFonts w:eastAsia="Arial"/>
          <w:sz w:val="20"/>
        </w:rPr>
        <w:t>https://www.energy.ca.gov/publications/2021/2021-sb-100-joint-agency-report-achieving-100-percent-clean-electricity</w:t>
      </w:r>
      <w:r w:rsidRPr="003D0AEA">
        <w:rPr>
          <w:sz w:val="20"/>
        </w:rPr>
        <w:fldChar w:fldCharType="begin"/>
      </w:r>
      <w:r w:rsidRPr="003D0AEA">
        <w:rPr>
          <w:sz w:val="20"/>
        </w:rPr>
        <w:instrText>￼￼￼</w:instrText>
      </w:r>
      <w:r w:rsidRPr="003D0AEA">
        <w:rPr>
          <w:rStyle w:val="Hyperlink"/>
          <w:sz w:val="20"/>
        </w:rPr>
        <w:instrText>https://www.energy.ca.gov/publications/2021/2021-sb-100-joint-agency-report-achieving-100-percentclean-electricity2</w:instrText>
      </w:r>
      <w:r w:rsidRPr="003D0AEA">
        <w:rPr>
          <w:sz w:val="20"/>
        </w:rPr>
        <w:fldChar w:fldCharType="end"/>
      </w:r>
    </w:p>
    <w:p w14:paraId="622F8E91" w14:textId="77777777" w:rsidR="003D0AEA" w:rsidRPr="003D0AEA" w:rsidRDefault="003D0AEA" w:rsidP="003D0AEA">
      <w:pPr>
        <w:rPr>
          <w:rFonts w:eastAsia="Arial"/>
          <w:sz w:val="20"/>
        </w:rPr>
      </w:pPr>
    </w:p>
  </w:footnote>
  <w:footnote w:id="4">
    <w:p w14:paraId="557D46E9" w14:textId="77777777" w:rsidR="003D0AEA" w:rsidRDefault="003D0AEA" w:rsidP="003D0AEA">
      <w:r w:rsidRPr="003D0AEA">
        <w:rPr>
          <w:sz w:val="20"/>
        </w:rPr>
        <w:footnoteRef/>
      </w:r>
      <w:r w:rsidRPr="003D0AEA">
        <w:rPr>
          <w:sz w:val="20"/>
        </w:rPr>
        <w:t xml:space="preserve"> https://www.cpuc.ca.gov/news-and-updates/all-news/cpuc-approves-long-term-plans-to-meet-electricity-reliability-and-climate-goals</w:t>
      </w:r>
    </w:p>
  </w:footnote>
  <w:footnote w:id="5">
    <w:p w14:paraId="42164A9C" w14:textId="092B0A3D" w:rsidR="003D0AEA" w:rsidRPr="003D0AEA" w:rsidRDefault="003D0AEA" w:rsidP="003D0AEA">
      <w:pPr>
        <w:rPr>
          <w:sz w:val="20"/>
        </w:rPr>
      </w:pPr>
      <w:r w:rsidRPr="003D0AEA">
        <w:rPr>
          <w:sz w:val="20"/>
        </w:rPr>
        <w:footnoteRef/>
      </w:r>
      <w:r w:rsidRPr="003D0AEA">
        <w:rPr>
          <w:sz w:val="20"/>
        </w:rPr>
        <w:t xml:space="preserve"> </w:t>
      </w:r>
      <w:hyperlink r:id="rId1" w:history="1">
        <w:r w:rsidRPr="009C60A9">
          <w:rPr>
            <w:rStyle w:val="Hyperlink"/>
            <w:rFonts w:cs="Arial"/>
            <w:sz w:val="20"/>
          </w:rPr>
          <w:t>Standard for Emergency and Standby Power Systems</w:t>
        </w:r>
      </w:hyperlink>
    </w:p>
    <w:p w14:paraId="6C392713" w14:textId="77777777" w:rsidR="003D0AEA" w:rsidRPr="003D0AEA" w:rsidRDefault="003D0AEA" w:rsidP="003D0AEA">
      <w:pPr>
        <w:rPr>
          <w:sz w:val="20"/>
        </w:rPr>
      </w:pPr>
      <w:r w:rsidRPr="003D0AEA">
        <w:rPr>
          <w:sz w:val="20"/>
        </w:rPr>
        <w:t>https://www.nfpa.org/codes-and-standards/all-codes-and-standards/list-of-codes-and-standards/detail?code=110</w:t>
      </w:r>
    </w:p>
  </w:footnote>
  <w:footnote w:id="6">
    <w:p w14:paraId="679CED06" w14:textId="1A8319D1" w:rsidR="003D0AEA" w:rsidRPr="003D0AEA" w:rsidRDefault="003D0AEA" w:rsidP="003D0AEA">
      <w:pPr>
        <w:rPr>
          <w:rFonts w:eastAsia="Arial"/>
          <w:sz w:val="20"/>
        </w:rPr>
      </w:pPr>
      <w:r w:rsidRPr="003D0AEA">
        <w:rPr>
          <w:sz w:val="20"/>
        </w:rPr>
        <w:footnoteRef/>
      </w:r>
      <w:r w:rsidRPr="003D0AEA">
        <w:rPr>
          <w:sz w:val="20"/>
        </w:rPr>
        <w:t xml:space="preserve"> </w:t>
      </w:r>
      <w:hyperlink r:id="rId2" w:history="1">
        <w:r w:rsidRPr="009C60A9">
          <w:rPr>
            <w:rStyle w:val="Hyperlink"/>
            <w:rFonts w:eastAsia="Arial" w:cs="Arial"/>
            <w:sz w:val="20"/>
          </w:rPr>
          <w:t>Emission Impact: Additional Generator Usage Associated with Power Outage January 30, 2020</w:t>
        </w:r>
      </w:hyperlink>
    </w:p>
    <w:p w14:paraId="0A3DF964" w14:textId="77777777" w:rsidR="003D0AEA" w:rsidRDefault="003D0AEA" w:rsidP="003D0AEA">
      <w:pPr>
        <w:rPr>
          <w:rFonts w:eastAsia="Arial"/>
        </w:rPr>
      </w:pPr>
      <w:r w:rsidRPr="003D0AEA">
        <w:rPr>
          <w:rFonts w:eastAsia="Arial"/>
          <w:sz w:val="20"/>
        </w:rPr>
        <w:t>https://ww2.arb.ca.gov/sites/default/files/2020-01/Emissions_Inventory_Generator_Demand%20Usage_During_Power_Outage_01_30_20.pdf</w:t>
      </w:r>
    </w:p>
  </w:footnote>
  <w:footnote w:id="7">
    <w:p w14:paraId="058A5711" w14:textId="39113E06" w:rsidR="007C4879" w:rsidRPr="007C4879" w:rsidRDefault="007C4879" w:rsidP="007C4879">
      <w:pPr>
        <w:spacing w:after="0"/>
        <w:rPr>
          <w:sz w:val="20"/>
        </w:rPr>
      </w:pPr>
      <w:r w:rsidRPr="007C4879">
        <w:rPr>
          <w:sz w:val="20"/>
        </w:rPr>
        <w:footnoteRef/>
      </w:r>
      <w:r w:rsidRPr="007C4879">
        <w:rPr>
          <w:sz w:val="20"/>
        </w:rPr>
        <w:t xml:space="preserve"> </w:t>
      </w:r>
      <w:hyperlink r:id="rId3" w:history="1">
        <w:r w:rsidRPr="00FF256C">
          <w:rPr>
            <w:rStyle w:val="Hyperlink"/>
            <w:rFonts w:cs="Arial"/>
            <w:sz w:val="20"/>
          </w:rPr>
          <w:t xml:space="preserve">Why Long-Duration Energy Storage Matters, Max </w:t>
        </w:r>
        <w:proofErr w:type="spellStart"/>
        <w:r w:rsidRPr="00FF256C">
          <w:rPr>
            <w:rStyle w:val="Hyperlink"/>
            <w:rFonts w:cs="Arial"/>
            <w:sz w:val="20"/>
          </w:rPr>
          <w:t>Tuttman</w:t>
        </w:r>
        <w:proofErr w:type="spellEnd"/>
        <w:r w:rsidRPr="00FF256C">
          <w:rPr>
            <w:rStyle w:val="Hyperlink"/>
            <w:rFonts w:cs="Arial"/>
            <w:sz w:val="20"/>
          </w:rPr>
          <w:t xml:space="preserve"> &amp; Dr. Scott </w:t>
        </w:r>
        <w:proofErr w:type="spellStart"/>
        <w:r w:rsidRPr="00FF256C">
          <w:rPr>
            <w:rStyle w:val="Hyperlink"/>
            <w:rFonts w:cs="Arial"/>
            <w:sz w:val="20"/>
          </w:rPr>
          <w:t>Litzelman</w:t>
        </w:r>
        <w:proofErr w:type="spellEnd"/>
      </w:hyperlink>
      <w:r w:rsidRPr="007C4879">
        <w:rPr>
          <w:sz w:val="20"/>
        </w:rPr>
        <w:t xml:space="preserve"> </w:t>
      </w:r>
    </w:p>
    <w:p w14:paraId="273AD017" w14:textId="77777777" w:rsidR="007C4879" w:rsidRDefault="007C4879" w:rsidP="007C4879">
      <w:pPr>
        <w:spacing w:after="0"/>
      </w:pPr>
      <w:r w:rsidRPr="007C4879">
        <w:rPr>
          <w:sz w:val="20"/>
        </w:rPr>
        <w:t>https://www.arpa-e.energy.gov/news-and-media/blog-posts/why-long-duration-energy-storage-matters</w:t>
      </w:r>
    </w:p>
  </w:footnote>
  <w:footnote w:id="8">
    <w:p w14:paraId="615597DD" w14:textId="526183D7" w:rsidR="00914A52" w:rsidRPr="00914A52" w:rsidRDefault="007C4879" w:rsidP="00914A52">
      <w:pPr>
        <w:rPr>
          <w:b/>
          <w:bCs/>
          <w:sz w:val="20"/>
        </w:rPr>
      </w:pPr>
      <w:r w:rsidRPr="007C4879">
        <w:rPr>
          <w:sz w:val="20"/>
        </w:rPr>
        <w:footnoteRef/>
      </w:r>
      <w:r w:rsidRPr="007C4879">
        <w:rPr>
          <w:sz w:val="20"/>
        </w:rPr>
        <w:t xml:space="preserve"> </w:t>
      </w:r>
      <w:hyperlink r:id="rId4" w:history="1">
        <w:r w:rsidR="00914A52" w:rsidRPr="00914A52">
          <w:rPr>
            <w:rStyle w:val="Hyperlink"/>
            <w:rFonts w:cs="Arial"/>
            <w:sz w:val="20"/>
          </w:rPr>
          <w:t>California Public Utilities Commission Fire-Threat Maps and Fire-Safety Rulemaking</w:t>
        </w:r>
      </w:hyperlink>
    </w:p>
    <w:p w14:paraId="164DBC94" w14:textId="2BAFF179" w:rsidR="007C4879" w:rsidRPr="007C4879" w:rsidRDefault="007C4879" w:rsidP="007C4879">
      <w:pPr>
        <w:rPr>
          <w:sz w:val="20"/>
        </w:rPr>
      </w:pPr>
      <w:r w:rsidRPr="007C4879">
        <w:rPr>
          <w:rFonts w:cs="Times New Roman"/>
          <w:sz w:val="20"/>
        </w:rPr>
        <w:t>https://www.cpuc.ca.gov/industries-and-topics/wildfires/fire-threat-maps-and-fire-safety-rulemaking</w:t>
      </w:r>
    </w:p>
  </w:footnote>
  <w:footnote w:id="9">
    <w:p w14:paraId="3F483269" w14:textId="7B665383" w:rsidR="007C4879" w:rsidRPr="007C4879" w:rsidRDefault="007C4879" w:rsidP="007C4879">
      <w:pPr>
        <w:rPr>
          <w:rFonts w:eastAsia="Arial"/>
          <w:sz w:val="20"/>
        </w:rPr>
      </w:pPr>
      <w:r w:rsidRPr="007C4879">
        <w:rPr>
          <w:sz w:val="20"/>
        </w:rPr>
        <w:footnoteRef/>
      </w:r>
      <w:r w:rsidRPr="007C4879">
        <w:rPr>
          <w:sz w:val="20"/>
        </w:rPr>
        <w:t xml:space="preserve"> </w:t>
      </w:r>
      <w:hyperlink r:id="rId5" w:history="1">
        <w:r w:rsidRPr="00283E37">
          <w:rPr>
            <w:rStyle w:val="Hyperlink"/>
            <w:rFonts w:eastAsia="Arial" w:cs="Arial"/>
            <w:sz w:val="20"/>
          </w:rPr>
          <w:t>Long Duration Energy Storage Pathway to Commercial Liftoff, U.S. Department of Energy</w:t>
        </w:r>
      </w:hyperlink>
    </w:p>
    <w:p w14:paraId="4FC2CC45" w14:textId="77777777" w:rsidR="007C4879" w:rsidRDefault="007C4879" w:rsidP="007C4879">
      <w:pPr>
        <w:rPr>
          <w:rFonts w:eastAsia="Arial"/>
          <w:szCs w:val="22"/>
        </w:rPr>
      </w:pPr>
      <w:r w:rsidRPr="007C4879">
        <w:rPr>
          <w:rFonts w:eastAsia="Arial"/>
          <w:sz w:val="20"/>
        </w:rPr>
        <w:t>https://liftoff.energy.gov/wp-content/uploads/2023/03/20230320-Liftoff-LDES-vPUB-0329-update.pdf</w:t>
      </w:r>
    </w:p>
  </w:footnote>
  <w:footnote w:id="10">
    <w:p w14:paraId="7F236301" w14:textId="7231B1BF" w:rsidR="007C4879" w:rsidRPr="007C4879" w:rsidRDefault="007C4879" w:rsidP="007C4879">
      <w:pPr>
        <w:rPr>
          <w:sz w:val="20"/>
        </w:rPr>
      </w:pPr>
      <w:r w:rsidRPr="007C4879">
        <w:rPr>
          <w:rFonts w:eastAsia="Arial"/>
          <w:sz w:val="20"/>
        </w:rPr>
        <w:footnoteRef/>
      </w:r>
      <w:r w:rsidRPr="007C4879">
        <w:rPr>
          <w:rFonts w:eastAsia="Arial"/>
          <w:sz w:val="20"/>
        </w:rPr>
        <w:t xml:space="preserve"> </w:t>
      </w:r>
      <w:hyperlink r:id="rId6" w:history="1">
        <w:r w:rsidRPr="00E347B7">
          <w:rPr>
            <w:rStyle w:val="Hyperlink"/>
            <w:rFonts w:eastAsia="Arial" w:cs="Arial"/>
            <w:sz w:val="20"/>
          </w:rPr>
          <w:t>California Public Utilities Commission (CPUC) Electric Rule 21</w:t>
        </w:r>
      </w:hyperlink>
      <w:r w:rsidRPr="007C4879">
        <w:rPr>
          <w:rFonts w:eastAsia="Arial"/>
          <w:sz w:val="20"/>
        </w:rPr>
        <w:t>. https://www.cpuc.ca.gov/Rule21/</w:t>
      </w:r>
    </w:p>
  </w:footnote>
  <w:footnote w:id="11">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12">
    <w:p w14:paraId="66AE8602" w14:textId="77777777" w:rsidR="00580534" w:rsidRDefault="00580534"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13">
    <w:p w14:paraId="5057F16A" w14:textId="1A2959A5" w:rsidR="00580534" w:rsidRDefault="00580534" w:rsidP="00BA3BBD">
      <w:pPr>
        <w:pStyle w:val="FootnoteText"/>
      </w:pPr>
      <w:r>
        <w:rPr>
          <w:rStyle w:val="FootnoteReference"/>
        </w:rPr>
        <w:footnoteRef/>
      </w:r>
      <w:r>
        <w:t xml:space="preserve"> </w:t>
      </w:r>
      <w:hyperlink r:id="rId7" w:history="1">
        <w:r w:rsidRPr="00D14D7B">
          <w:rPr>
            <w:rStyle w:val="Hyperlink"/>
            <w:rFonts w:cs="Arial"/>
          </w:rPr>
          <w:t>See CPUC “Phase 1” Decision 11-12-035</w:t>
        </w:r>
      </w:hyperlink>
      <w:r>
        <w:t xml:space="preserve">, December 15, 2011, </w:t>
      </w:r>
      <w:r w:rsidRPr="00995BF7">
        <w:rPr>
          <w:rFonts w:cs="Times New Roman"/>
        </w:rPr>
        <w:t>http://docs.cpuc.ca.gov/PublishedDocs/WORD_PDF/FINAL_DECISION/156050.PDF</w:t>
      </w:r>
      <w:r>
        <w:t>.</w:t>
      </w:r>
    </w:p>
  </w:footnote>
  <w:footnote w:id="14">
    <w:p w14:paraId="00398B11" w14:textId="2C9D0423" w:rsidR="00606770" w:rsidRDefault="00606770">
      <w:pPr>
        <w:pStyle w:val="FootnoteText"/>
      </w:pPr>
      <w:r>
        <w:rPr>
          <w:rStyle w:val="FootnoteReference"/>
        </w:rPr>
        <w:footnoteRef/>
      </w:r>
      <w:r>
        <w:t xml:space="preserve"> </w:t>
      </w:r>
      <w:hyperlink r:id="rId8" w:history="1">
        <w:r w:rsidRPr="00D14D7B">
          <w:rPr>
            <w:rStyle w:val="Hyperlink"/>
            <w:rFonts w:eastAsia="Arial" w:cs="Arial"/>
          </w:rPr>
          <w:t>CPUC Decision 21-11-028, Appendix A</w:t>
        </w:r>
      </w:hyperlink>
      <w:r w:rsidRPr="00DA6FF2">
        <w:rPr>
          <w:rFonts w:eastAsia="Arial"/>
        </w:rPr>
        <w:t xml:space="preserve"> </w:t>
      </w:r>
      <w:r w:rsidRPr="0061746A">
        <w:rPr>
          <w:rFonts w:eastAsia="Arial"/>
        </w:rPr>
        <w:t xml:space="preserve">https://docs.cpuc.ca.gov/PublishedDocs/Published/G000/M425/K515/425515575.PDF </w:t>
      </w:r>
      <w:r w:rsidRPr="00DA6FF2">
        <w:rPr>
          <w:rFonts w:eastAsia="Arial"/>
        </w:rPr>
        <w:t xml:space="preserve">(revising former guiding principles within </w:t>
      </w:r>
      <w:hyperlink r:id="rId9" w:history="1">
        <w:r w:rsidRPr="00D14D7B">
          <w:rPr>
            <w:rStyle w:val="Hyperlink"/>
            <w:rFonts w:eastAsia="Arial" w:cs="Arial"/>
          </w:rPr>
          <w:t>CPUC “Phase 2” Decision 12-05-037, Ordering Paragraph 2</w:t>
        </w:r>
      </w:hyperlink>
      <w:r>
        <w:rPr>
          <w:rFonts w:eastAsia="Arial"/>
        </w:rPr>
        <w:t xml:space="preserve"> </w:t>
      </w:r>
      <w:r w:rsidRPr="00616F23">
        <w:t>http://docs.cpuc.ca.gov/PublishedDocs/WORD_PDF/FINAL_DECISION/167664.PDF</w:t>
      </w:r>
      <w:r>
        <w:t>.</w:t>
      </w:r>
      <w:r w:rsidRPr="00DA6FF2">
        <w:rPr>
          <w:rFonts w:eastAsia="Arial"/>
        </w:rPr>
        <w:t>).</w:t>
      </w:r>
    </w:p>
  </w:footnote>
  <w:footnote w:id="15">
    <w:p w14:paraId="07CDBFA1" w14:textId="22403F21" w:rsidR="00580534" w:rsidRDefault="00580534" w:rsidP="00BA3BBD">
      <w:pPr>
        <w:pStyle w:val="FootnoteText"/>
      </w:pPr>
      <w:r>
        <w:rPr>
          <w:rStyle w:val="FootnoteReference"/>
        </w:rPr>
        <w:footnoteRef/>
      </w:r>
      <w:r>
        <w:t xml:space="preserve"> </w:t>
      </w:r>
      <w:hyperlink r:id="rId10" w:history="1">
        <w:r w:rsidRPr="00D14D7B">
          <w:rPr>
            <w:rStyle w:val="Hyperlink"/>
            <w:rFonts w:cs="Arial"/>
          </w:rPr>
          <w:t>California Public Resources Code, Section 25711.5(a),</w:t>
        </w:r>
      </w:hyperlink>
      <w:r>
        <w:t xml:space="preserve"> </w:t>
      </w:r>
      <w:r w:rsidRPr="00995BF7">
        <w:rPr>
          <w:rFonts w:cs="Times New Roman"/>
        </w:rPr>
        <w:t>http://www.leginfo.ca.gov/cgi-bin/displaycode?section=prc&amp;group=25001-26000&amp;file=25710-25712</w:t>
      </w:r>
      <w:r>
        <w:t>.</w:t>
      </w:r>
    </w:p>
  </w:footnote>
  <w:footnote w:id="16">
    <w:p w14:paraId="4460618B" w14:textId="2626D1E6" w:rsidR="003D6602" w:rsidRDefault="003D6602" w:rsidP="005E23EA">
      <w:pPr>
        <w:pStyle w:val="FootnoteText"/>
        <w:spacing w:after="0"/>
      </w:pPr>
      <w:r>
        <w:rPr>
          <w:rStyle w:val="FootnoteReference"/>
        </w:rPr>
        <w:footnoteRef/>
      </w:r>
      <w:r>
        <w:t xml:space="preserve"> </w:t>
      </w:r>
      <w:hyperlink r:id="rId11" w:history="1">
        <w:r w:rsidR="008A09B1" w:rsidRPr="00D14D7B">
          <w:rPr>
            <w:rStyle w:val="Hyperlink"/>
            <w:rFonts w:cs="Arial"/>
          </w:rPr>
          <w:t>2018-2020 EPIC Triennial Investment Plan</w:t>
        </w:r>
      </w:hyperlink>
      <w:r w:rsidR="008A09B1">
        <w:t xml:space="preserve">, </w:t>
      </w:r>
    </w:p>
    <w:p w14:paraId="7F9FD6B5" w14:textId="02711951" w:rsidR="005E23EA" w:rsidRDefault="00C47118" w:rsidP="005E23EA">
      <w:pPr>
        <w:pStyle w:val="FootnoteText"/>
        <w:spacing w:after="0"/>
      </w:pPr>
      <w:r w:rsidRPr="00C47118">
        <w:t>https://docketpublic.energy.ca.gov/PublicDocuments/17-EPIC-01/TN217347_20170428T145448_The_Electric_Program_Investment_Charge_Proposed_20182020_Trienn.pdf</w:t>
      </w:r>
      <w:r w:rsidR="00D524E1">
        <w:t>.</w:t>
      </w:r>
    </w:p>
  </w:footnote>
  <w:footnote w:id="17">
    <w:p w14:paraId="7B3D487E" w14:textId="15EFF378" w:rsidR="00580534" w:rsidRDefault="00580534" w:rsidP="002B624A">
      <w:pPr>
        <w:pStyle w:val="FootnoteText"/>
      </w:pPr>
      <w:r>
        <w:rPr>
          <w:rStyle w:val="FootnoteReference"/>
        </w:rPr>
        <w:footnoteRef/>
      </w:r>
      <w:r>
        <w:t xml:space="preserve"> </w:t>
      </w:r>
      <w:hyperlink r:id="rId12" w:history="1">
        <w:r w:rsidR="002B624A" w:rsidRPr="00D14D7B">
          <w:rPr>
            <w:rStyle w:val="Hyperlink"/>
            <w:rFonts w:cs="Arial"/>
          </w:rPr>
          <w:t>Electric Program Investment Charge Interim Investment Plan 2021</w:t>
        </w:r>
      </w:hyperlink>
      <w:r w:rsidR="000A5CA2">
        <w:t>,</w:t>
      </w:r>
      <w:r w:rsidR="002B624A" w:rsidRPr="00995BF7">
        <w:rPr>
          <w:rFonts w:cs="Times New Roman"/>
        </w:rPr>
        <w:t xml:space="preserve"> </w:t>
      </w:r>
      <w:r w:rsidR="000A5CA2" w:rsidRPr="000A5CA2">
        <w:rPr>
          <w:rFonts w:cs="Times New Roman"/>
        </w:rPr>
        <w:t>https://efiling.energy.ca.gov/GetDocument.aspx?tn=236882</w:t>
      </w:r>
      <w:r>
        <w:rPr>
          <w:color w:val="1F497D"/>
        </w:rPr>
        <w:t xml:space="preserve">. </w:t>
      </w:r>
      <w:r>
        <w:t xml:space="preserve"> </w:t>
      </w:r>
    </w:p>
  </w:footnote>
  <w:footnote w:id="18">
    <w:p w14:paraId="79131523" w14:textId="2451BD1B" w:rsidR="00580534" w:rsidRDefault="00580534" w:rsidP="00BA3BBD">
      <w:pPr>
        <w:pStyle w:val="FootnoteText"/>
      </w:pPr>
      <w:r>
        <w:rPr>
          <w:rStyle w:val="FootnoteReference"/>
        </w:rPr>
        <w:footnoteRef/>
      </w:r>
      <w:r>
        <w:t xml:space="preserve"> </w:t>
      </w:r>
      <w:hyperlink r:id="rId13" w:history="1">
        <w:r w:rsidRPr="00D14D7B">
          <w:rPr>
            <w:rStyle w:val="Hyperlink"/>
            <w:rFonts w:cs="Arial"/>
          </w:rPr>
          <w:t>20</w:t>
        </w:r>
        <w:r w:rsidR="00953362" w:rsidRPr="00D14D7B">
          <w:rPr>
            <w:rStyle w:val="Hyperlink"/>
            <w:rFonts w:cs="Arial"/>
          </w:rPr>
          <w:t>21</w:t>
        </w:r>
        <w:r w:rsidRPr="00D14D7B">
          <w:rPr>
            <w:rStyle w:val="Hyperlink"/>
            <w:rFonts w:cs="Arial"/>
          </w:rPr>
          <w:t>-</w:t>
        </w:r>
        <w:r w:rsidR="00953362" w:rsidRPr="00D14D7B">
          <w:rPr>
            <w:rStyle w:val="Hyperlink"/>
            <w:rFonts w:cs="Arial"/>
          </w:rPr>
          <w:t>2025</w:t>
        </w:r>
        <w:r w:rsidRPr="00D14D7B">
          <w:rPr>
            <w:rStyle w:val="Hyperlink"/>
            <w:rFonts w:cs="Arial"/>
          </w:rPr>
          <w:t xml:space="preserve"> EPIC Investment Plan</w:t>
        </w:r>
      </w:hyperlink>
      <w:r>
        <w:t xml:space="preserve">, </w:t>
      </w:r>
      <w:r w:rsidR="00953362" w:rsidRPr="00953362">
        <w:rPr>
          <w:rFonts w:cs="Times New Roman"/>
        </w:rPr>
        <w:t>https://efiling.energy.ca.gov/GetDocument.aspx?tn=240609</w:t>
      </w:r>
      <w:r>
        <w:t xml:space="preserve">.   </w:t>
      </w:r>
    </w:p>
  </w:footnote>
  <w:footnote w:id="19">
    <w:p w14:paraId="7F49C182" w14:textId="77777777" w:rsidR="00B477E6" w:rsidRDefault="00B477E6" w:rsidP="00B477E6">
      <w:pPr>
        <w:pStyle w:val="FootnoteText"/>
      </w:pPr>
      <w:r>
        <w:rPr>
          <w:rStyle w:val="FootnoteReference"/>
        </w:rPr>
        <w:footnoteRef/>
      </w:r>
      <w:r>
        <w:t xml:space="preserve"> AB 32 (Statutes of 2006, chapter 488)</w:t>
      </w:r>
    </w:p>
  </w:footnote>
  <w:footnote w:id="20">
    <w:p w14:paraId="4656548C" w14:textId="77777777" w:rsidR="00580534" w:rsidRDefault="00580534" w:rsidP="00BA3BBD">
      <w:pPr>
        <w:pStyle w:val="FootnoteText"/>
      </w:pPr>
      <w:r>
        <w:rPr>
          <w:rStyle w:val="FootnoteReference"/>
        </w:rPr>
        <w:footnoteRef/>
      </w:r>
      <w:r>
        <w:t xml:space="preserve"> AB 2514 (Statutes of 2010, chapter 469)</w:t>
      </w:r>
    </w:p>
  </w:footnote>
  <w:footnote w:id="21">
    <w:p w14:paraId="204D9ED4" w14:textId="77777777" w:rsidR="00580534" w:rsidRDefault="00580534" w:rsidP="00BA3BBD">
      <w:pPr>
        <w:pStyle w:val="FootnoteText"/>
      </w:pPr>
      <w:r>
        <w:rPr>
          <w:rStyle w:val="FootnoteReference"/>
        </w:rPr>
        <w:footnoteRef/>
      </w:r>
      <w:r>
        <w:t xml:space="preserve"> SB 350 (Statutes of 2015, chapter 547</w:t>
      </w:r>
    </w:p>
  </w:footnote>
  <w:footnote w:id="22">
    <w:p w14:paraId="74FB717E" w14:textId="212CD2A5" w:rsidR="003C17EA" w:rsidRPr="003C17EA" w:rsidRDefault="003C17EA">
      <w:pPr>
        <w:pStyle w:val="FootnoteText"/>
        <w:rPr>
          <w:b/>
          <w:bCs/>
          <w:u w:val="single"/>
        </w:rPr>
      </w:pPr>
      <w:r w:rsidRPr="003C17EA">
        <w:rPr>
          <w:rStyle w:val="FootnoteReference"/>
          <w:b/>
          <w:bCs/>
          <w:u w:val="single"/>
        </w:rPr>
        <w:footnoteRef/>
      </w:r>
      <w:r w:rsidRPr="003C17EA">
        <w:rPr>
          <w:b/>
          <w:bCs/>
          <w:u w:val="single"/>
        </w:rPr>
        <w:t xml:space="preserve"> A local publicly owned electric utility is an entity as defined in California Public Utilities Code section 224.3.</w:t>
      </w:r>
    </w:p>
  </w:footnote>
  <w:footnote w:id="23">
    <w:p w14:paraId="206B7DF7" w14:textId="77777777" w:rsidR="00580534" w:rsidRDefault="00580534">
      <w:pPr>
        <w:pStyle w:val="FootnoteText"/>
      </w:pPr>
      <w:r>
        <w:rPr>
          <w:rStyle w:val="FootnoteReference"/>
        </w:rPr>
        <w:footnoteRef/>
      </w:r>
      <w:r>
        <w:t xml:space="preserve"> Public Resources Code § 25711.6.  </w:t>
      </w:r>
    </w:p>
  </w:footnote>
  <w:footnote w:id="24">
    <w:p w14:paraId="56CC364F" w14:textId="77777777" w:rsidR="00580534" w:rsidRDefault="00580534">
      <w:pPr>
        <w:pStyle w:val="FootnoteText"/>
      </w:pPr>
      <w:r>
        <w:rPr>
          <w:rStyle w:val="FootnoteReference"/>
        </w:rPr>
        <w:footnoteRef/>
      </w:r>
      <w:r>
        <w:t xml:space="preserve"> Public Resources Code § 25711.5. </w:t>
      </w:r>
    </w:p>
  </w:footnote>
  <w:footnote w:id="25">
    <w:p w14:paraId="734C5CC6" w14:textId="77777777" w:rsidR="00580534" w:rsidRDefault="00580534">
      <w:pPr>
        <w:pStyle w:val="FootnoteText"/>
      </w:pPr>
      <w:r>
        <w:rPr>
          <w:rStyle w:val="FootnoteReference"/>
        </w:rPr>
        <w:footnoteRef/>
      </w:r>
      <w:r>
        <w:t xml:space="preserve"> Public Resources Code § 25711.6.  </w:t>
      </w:r>
    </w:p>
  </w:footnote>
  <w:footnote w:id="26">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7">
    <w:p w14:paraId="59CB0053" w14:textId="011BB7E6" w:rsidR="00E14641" w:rsidRDefault="00E14641">
      <w:pPr>
        <w:pStyle w:val="FootnoteText"/>
      </w:pPr>
      <w:r>
        <w:rPr>
          <w:rStyle w:val="FootnoteReference"/>
        </w:rPr>
        <w:footnoteRef/>
      </w:r>
      <w:r>
        <w:t xml:space="preserve"> </w:t>
      </w:r>
      <w:r w:rsidRPr="00E14641">
        <w:t>CPUC Decision 21-11-028, Appendix A https://docs.cpuc.ca.gov/PublishedDocs/Published/G000/M425/K515/425515575.PDF (revising former guiding principles within CPUC “Phase 2” Decision 12-05-037, Ordering Paragraph 2 http://docs.cpuc.ca.gov/PublishedDocs/WORD_PDF/FINAL_DECISION/167664.PDF.).</w:t>
      </w:r>
    </w:p>
  </w:footnote>
  <w:footnote w:id="28">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 w:id="29">
    <w:p w14:paraId="70118C1D" w14:textId="5B4125F4" w:rsidR="00580534" w:rsidRDefault="00580534" w:rsidP="00616F23">
      <w:pPr>
        <w:pStyle w:val="FootnoteText"/>
      </w:pPr>
      <w:r>
        <w:rPr>
          <w:rStyle w:val="FootnoteReference"/>
        </w:rPr>
        <w:footnoteRef/>
      </w:r>
      <w:r>
        <w:t xml:space="preserve"> </w:t>
      </w:r>
      <w:r w:rsidRPr="00616F23">
        <w:rPr>
          <w:rFonts w:cs="Times New Roman"/>
        </w:rPr>
        <w:t>https://oehha.ca.gov/calenviroscreen/report/calenviroscreen-</w:t>
      </w:r>
      <w:r w:rsidR="00C43F0B">
        <w:rPr>
          <w:rFonts w:cs="Times New Roman"/>
        </w:rPr>
        <w:t>4</w:t>
      </w:r>
      <w:r w:rsidRPr="00616F23">
        <w:rPr>
          <w:rFonts w:cs="Times New Roman"/>
        </w:rPr>
        <w:t>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967A39"/>
    <w:multiLevelType w:val="hybridMultilevel"/>
    <w:tmpl w:val="73FAC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1"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2"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35B27EC7"/>
    <w:multiLevelType w:val="hybridMultilevel"/>
    <w:tmpl w:val="FFFFFFFF"/>
    <w:lvl w:ilvl="0" w:tplc="E566FC24">
      <w:start w:val="1"/>
      <w:numFmt w:val="bullet"/>
      <w:lvlText w:val=""/>
      <w:lvlJc w:val="left"/>
      <w:pPr>
        <w:ind w:left="720" w:hanging="360"/>
      </w:pPr>
      <w:rPr>
        <w:rFonts w:ascii="Symbol" w:hAnsi="Symbol" w:hint="default"/>
      </w:rPr>
    </w:lvl>
    <w:lvl w:ilvl="1" w:tplc="7A70873C">
      <w:start w:val="1"/>
      <w:numFmt w:val="bullet"/>
      <w:lvlText w:val="o"/>
      <w:lvlJc w:val="left"/>
      <w:pPr>
        <w:ind w:left="1440" w:hanging="360"/>
      </w:pPr>
      <w:rPr>
        <w:rFonts w:ascii="Courier New" w:hAnsi="Courier New" w:hint="default"/>
      </w:rPr>
    </w:lvl>
    <w:lvl w:ilvl="2" w:tplc="8840A886">
      <w:start w:val="1"/>
      <w:numFmt w:val="bullet"/>
      <w:lvlText w:val=""/>
      <w:lvlJc w:val="left"/>
      <w:pPr>
        <w:ind w:left="2160" w:hanging="360"/>
      </w:pPr>
      <w:rPr>
        <w:rFonts w:ascii="Wingdings" w:hAnsi="Wingdings" w:hint="default"/>
      </w:rPr>
    </w:lvl>
    <w:lvl w:ilvl="3" w:tplc="B4BC3C42">
      <w:start w:val="1"/>
      <w:numFmt w:val="bullet"/>
      <w:lvlText w:val=""/>
      <w:lvlJc w:val="left"/>
      <w:pPr>
        <w:ind w:left="2880" w:hanging="360"/>
      </w:pPr>
      <w:rPr>
        <w:rFonts w:ascii="Symbol" w:hAnsi="Symbol" w:hint="default"/>
      </w:rPr>
    </w:lvl>
    <w:lvl w:ilvl="4" w:tplc="2402B202">
      <w:start w:val="1"/>
      <w:numFmt w:val="bullet"/>
      <w:lvlText w:val="o"/>
      <w:lvlJc w:val="left"/>
      <w:pPr>
        <w:ind w:left="3600" w:hanging="360"/>
      </w:pPr>
      <w:rPr>
        <w:rFonts w:ascii="Courier New" w:hAnsi="Courier New" w:hint="default"/>
      </w:rPr>
    </w:lvl>
    <w:lvl w:ilvl="5" w:tplc="85EE878A">
      <w:start w:val="1"/>
      <w:numFmt w:val="bullet"/>
      <w:lvlText w:val=""/>
      <w:lvlJc w:val="left"/>
      <w:pPr>
        <w:ind w:left="4320" w:hanging="360"/>
      </w:pPr>
      <w:rPr>
        <w:rFonts w:ascii="Wingdings" w:hAnsi="Wingdings" w:hint="default"/>
      </w:rPr>
    </w:lvl>
    <w:lvl w:ilvl="6" w:tplc="1B82CFFC">
      <w:start w:val="1"/>
      <w:numFmt w:val="bullet"/>
      <w:lvlText w:val=""/>
      <w:lvlJc w:val="left"/>
      <w:pPr>
        <w:ind w:left="5040" w:hanging="360"/>
      </w:pPr>
      <w:rPr>
        <w:rFonts w:ascii="Symbol" w:hAnsi="Symbol" w:hint="default"/>
      </w:rPr>
    </w:lvl>
    <w:lvl w:ilvl="7" w:tplc="8B0A80C6">
      <w:start w:val="1"/>
      <w:numFmt w:val="bullet"/>
      <w:lvlText w:val="o"/>
      <w:lvlJc w:val="left"/>
      <w:pPr>
        <w:ind w:left="5760" w:hanging="360"/>
      </w:pPr>
      <w:rPr>
        <w:rFonts w:ascii="Courier New" w:hAnsi="Courier New" w:hint="default"/>
      </w:rPr>
    </w:lvl>
    <w:lvl w:ilvl="8" w:tplc="9F8A2344">
      <w:start w:val="1"/>
      <w:numFmt w:val="bullet"/>
      <w:lvlText w:val=""/>
      <w:lvlJc w:val="left"/>
      <w:pPr>
        <w:ind w:left="6480" w:hanging="360"/>
      </w:pPr>
      <w:rPr>
        <w:rFonts w:ascii="Wingdings" w:hAnsi="Wingdings" w:hint="default"/>
      </w:rPr>
    </w:lvl>
  </w:abstractNum>
  <w:abstractNum w:abstractNumId="25"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29"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F96CB3"/>
    <w:multiLevelType w:val="hybridMultilevel"/>
    <w:tmpl w:val="CA92CD6A"/>
    <w:lvl w:ilvl="0" w:tplc="BF1C3CB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3"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403330"/>
    <w:multiLevelType w:val="multilevel"/>
    <w:tmpl w:val="D0E8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2A07BA2"/>
    <w:multiLevelType w:val="hybridMultilevel"/>
    <w:tmpl w:val="FFFFFFFF"/>
    <w:lvl w:ilvl="0" w:tplc="0E88E50C">
      <w:start w:val="1"/>
      <w:numFmt w:val="bullet"/>
      <w:lvlText w:val=""/>
      <w:lvlJc w:val="left"/>
      <w:pPr>
        <w:ind w:left="720" w:hanging="360"/>
      </w:pPr>
      <w:rPr>
        <w:rFonts w:ascii="Symbol" w:hAnsi="Symbol" w:hint="default"/>
      </w:rPr>
    </w:lvl>
    <w:lvl w:ilvl="1" w:tplc="90B048FE">
      <w:start w:val="1"/>
      <w:numFmt w:val="bullet"/>
      <w:lvlText w:val="o"/>
      <w:lvlJc w:val="left"/>
      <w:pPr>
        <w:ind w:left="1440" w:hanging="360"/>
      </w:pPr>
      <w:rPr>
        <w:rFonts w:ascii="Courier New" w:hAnsi="Courier New" w:hint="default"/>
      </w:rPr>
    </w:lvl>
    <w:lvl w:ilvl="2" w:tplc="C19CEFE4">
      <w:start w:val="1"/>
      <w:numFmt w:val="bullet"/>
      <w:lvlText w:val=""/>
      <w:lvlJc w:val="left"/>
      <w:pPr>
        <w:ind w:left="2160" w:hanging="360"/>
      </w:pPr>
      <w:rPr>
        <w:rFonts w:ascii="Wingdings" w:hAnsi="Wingdings" w:hint="default"/>
      </w:rPr>
    </w:lvl>
    <w:lvl w:ilvl="3" w:tplc="B112A9C4">
      <w:start w:val="1"/>
      <w:numFmt w:val="bullet"/>
      <w:lvlText w:val=""/>
      <w:lvlJc w:val="left"/>
      <w:pPr>
        <w:ind w:left="2880" w:hanging="360"/>
      </w:pPr>
      <w:rPr>
        <w:rFonts w:ascii="Symbol" w:hAnsi="Symbol" w:hint="default"/>
      </w:rPr>
    </w:lvl>
    <w:lvl w:ilvl="4" w:tplc="3E024D84">
      <w:start w:val="1"/>
      <w:numFmt w:val="bullet"/>
      <w:lvlText w:val="o"/>
      <w:lvlJc w:val="left"/>
      <w:pPr>
        <w:ind w:left="3600" w:hanging="360"/>
      </w:pPr>
      <w:rPr>
        <w:rFonts w:ascii="Courier New" w:hAnsi="Courier New" w:hint="default"/>
      </w:rPr>
    </w:lvl>
    <w:lvl w:ilvl="5" w:tplc="546E9AAC">
      <w:start w:val="1"/>
      <w:numFmt w:val="bullet"/>
      <w:lvlText w:val=""/>
      <w:lvlJc w:val="left"/>
      <w:pPr>
        <w:ind w:left="4320" w:hanging="360"/>
      </w:pPr>
      <w:rPr>
        <w:rFonts w:ascii="Wingdings" w:hAnsi="Wingdings" w:hint="default"/>
      </w:rPr>
    </w:lvl>
    <w:lvl w:ilvl="6" w:tplc="1ECE2D9A">
      <w:start w:val="1"/>
      <w:numFmt w:val="bullet"/>
      <w:lvlText w:val=""/>
      <w:lvlJc w:val="left"/>
      <w:pPr>
        <w:ind w:left="5040" w:hanging="360"/>
      </w:pPr>
      <w:rPr>
        <w:rFonts w:ascii="Symbol" w:hAnsi="Symbol" w:hint="default"/>
      </w:rPr>
    </w:lvl>
    <w:lvl w:ilvl="7" w:tplc="DCF67108">
      <w:start w:val="1"/>
      <w:numFmt w:val="bullet"/>
      <w:lvlText w:val="o"/>
      <w:lvlJc w:val="left"/>
      <w:pPr>
        <w:ind w:left="5760" w:hanging="360"/>
      </w:pPr>
      <w:rPr>
        <w:rFonts w:ascii="Courier New" w:hAnsi="Courier New" w:hint="default"/>
      </w:rPr>
    </w:lvl>
    <w:lvl w:ilvl="8" w:tplc="CCAEDFB4">
      <w:start w:val="1"/>
      <w:numFmt w:val="bullet"/>
      <w:lvlText w:val=""/>
      <w:lvlJc w:val="left"/>
      <w:pPr>
        <w:ind w:left="6480" w:hanging="360"/>
      </w:pPr>
      <w:rPr>
        <w:rFonts w:ascii="Wingdings" w:hAnsi="Wingdings" w:hint="default"/>
      </w:rPr>
    </w:lvl>
  </w:abstractNum>
  <w:abstractNum w:abstractNumId="41"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7"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8"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49" w15:restartNumberingAfterBreak="0">
    <w:nsid w:val="6182011B"/>
    <w:multiLevelType w:val="hybridMultilevel"/>
    <w:tmpl w:val="ED0EF95A"/>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0" w15:restartNumberingAfterBreak="0">
    <w:nsid w:val="624B2EE5"/>
    <w:multiLevelType w:val="multilevel"/>
    <w:tmpl w:val="8000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94D0AF"/>
    <w:multiLevelType w:val="hybridMultilevel"/>
    <w:tmpl w:val="FFFFFFFF"/>
    <w:lvl w:ilvl="0" w:tplc="FFFFFFFF">
      <w:start w:val="1"/>
      <w:numFmt w:val="bullet"/>
      <w:lvlText w:val=""/>
      <w:lvlJc w:val="left"/>
      <w:pPr>
        <w:ind w:left="720" w:hanging="360"/>
      </w:pPr>
      <w:rPr>
        <w:rFonts w:ascii="Symbol" w:hAnsi="Symbol" w:hint="default"/>
      </w:rPr>
    </w:lvl>
    <w:lvl w:ilvl="1" w:tplc="1DD01392">
      <w:start w:val="1"/>
      <w:numFmt w:val="bullet"/>
      <w:lvlText w:val="o"/>
      <w:lvlJc w:val="left"/>
      <w:pPr>
        <w:ind w:left="1440" w:hanging="360"/>
      </w:pPr>
      <w:rPr>
        <w:rFonts w:ascii="Courier New" w:hAnsi="Courier New" w:hint="default"/>
      </w:rPr>
    </w:lvl>
    <w:lvl w:ilvl="2" w:tplc="0FA81226">
      <w:start w:val="1"/>
      <w:numFmt w:val="bullet"/>
      <w:lvlText w:val=""/>
      <w:lvlJc w:val="left"/>
      <w:pPr>
        <w:ind w:left="2160" w:hanging="360"/>
      </w:pPr>
      <w:rPr>
        <w:rFonts w:ascii="Wingdings" w:hAnsi="Wingdings" w:hint="default"/>
      </w:rPr>
    </w:lvl>
    <w:lvl w:ilvl="3" w:tplc="9E7ED53C">
      <w:start w:val="1"/>
      <w:numFmt w:val="bullet"/>
      <w:lvlText w:val=""/>
      <w:lvlJc w:val="left"/>
      <w:pPr>
        <w:ind w:left="2880" w:hanging="360"/>
      </w:pPr>
      <w:rPr>
        <w:rFonts w:ascii="Symbol" w:hAnsi="Symbol" w:hint="default"/>
      </w:rPr>
    </w:lvl>
    <w:lvl w:ilvl="4" w:tplc="EC889B60">
      <w:start w:val="1"/>
      <w:numFmt w:val="bullet"/>
      <w:lvlText w:val="o"/>
      <w:lvlJc w:val="left"/>
      <w:pPr>
        <w:ind w:left="3600" w:hanging="360"/>
      </w:pPr>
      <w:rPr>
        <w:rFonts w:ascii="Courier New" w:hAnsi="Courier New" w:hint="default"/>
      </w:rPr>
    </w:lvl>
    <w:lvl w:ilvl="5" w:tplc="35346DBC">
      <w:start w:val="1"/>
      <w:numFmt w:val="bullet"/>
      <w:lvlText w:val=""/>
      <w:lvlJc w:val="left"/>
      <w:pPr>
        <w:ind w:left="4320" w:hanging="360"/>
      </w:pPr>
      <w:rPr>
        <w:rFonts w:ascii="Wingdings" w:hAnsi="Wingdings" w:hint="default"/>
      </w:rPr>
    </w:lvl>
    <w:lvl w:ilvl="6" w:tplc="54C8CFDA">
      <w:start w:val="1"/>
      <w:numFmt w:val="bullet"/>
      <w:lvlText w:val=""/>
      <w:lvlJc w:val="left"/>
      <w:pPr>
        <w:ind w:left="5040" w:hanging="360"/>
      </w:pPr>
      <w:rPr>
        <w:rFonts w:ascii="Symbol" w:hAnsi="Symbol" w:hint="default"/>
      </w:rPr>
    </w:lvl>
    <w:lvl w:ilvl="7" w:tplc="8EBADBC8">
      <w:start w:val="1"/>
      <w:numFmt w:val="bullet"/>
      <w:lvlText w:val="o"/>
      <w:lvlJc w:val="left"/>
      <w:pPr>
        <w:ind w:left="5760" w:hanging="360"/>
      </w:pPr>
      <w:rPr>
        <w:rFonts w:ascii="Courier New" w:hAnsi="Courier New" w:hint="default"/>
      </w:rPr>
    </w:lvl>
    <w:lvl w:ilvl="8" w:tplc="07407774">
      <w:start w:val="1"/>
      <w:numFmt w:val="bullet"/>
      <w:lvlText w:val=""/>
      <w:lvlJc w:val="left"/>
      <w:pPr>
        <w:ind w:left="6480" w:hanging="360"/>
      </w:pPr>
      <w:rPr>
        <w:rFonts w:ascii="Wingdings" w:hAnsi="Wingdings" w:hint="default"/>
      </w:rPr>
    </w:lvl>
  </w:abstractNum>
  <w:abstractNum w:abstractNumId="57" w15:restartNumberingAfterBreak="0">
    <w:nsid w:val="6A0509F6"/>
    <w:multiLevelType w:val="hybridMultilevel"/>
    <w:tmpl w:val="A244A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59"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5"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8BE764E"/>
    <w:multiLevelType w:val="hybridMultilevel"/>
    <w:tmpl w:val="8BBC332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8CE4C44"/>
    <w:multiLevelType w:val="hybridMultilevel"/>
    <w:tmpl w:val="BD8C26B2"/>
    <w:lvl w:ilvl="0" w:tplc="DF6015D2">
      <w:start w:val="1"/>
      <w:numFmt w:val="bullet"/>
      <w:lvlText w:val=""/>
      <w:lvlJc w:val="left"/>
      <w:pPr>
        <w:ind w:left="720" w:hanging="360"/>
      </w:pPr>
      <w:rPr>
        <w:rFonts w:ascii="Symbol" w:hAnsi="Symbol" w:hint="default"/>
      </w:rPr>
    </w:lvl>
    <w:lvl w:ilvl="1" w:tplc="98F2F21A">
      <w:start w:val="1"/>
      <w:numFmt w:val="bullet"/>
      <w:lvlText w:val="o"/>
      <w:lvlJc w:val="left"/>
      <w:pPr>
        <w:ind w:left="1440" w:hanging="360"/>
      </w:pPr>
      <w:rPr>
        <w:rFonts w:ascii="Courier New" w:hAnsi="Courier New" w:hint="default"/>
      </w:rPr>
    </w:lvl>
    <w:lvl w:ilvl="2" w:tplc="993C41CC">
      <w:start w:val="1"/>
      <w:numFmt w:val="bullet"/>
      <w:lvlText w:val=""/>
      <w:lvlJc w:val="left"/>
      <w:pPr>
        <w:ind w:left="2160" w:hanging="360"/>
      </w:pPr>
      <w:rPr>
        <w:rFonts w:ascii="Wingdings" w:hAnsi="Wingdings" w:hint="default"/>
      </w:rPr>
    </w:lvl>
    <w:lvl w:ilvl="3" w:tplc="860ACB0C">
      <w:start w:val="1"/>
      <w:numFmt w:val="bullet"/>
      <w:lvlText w:val=""/>
      <w:lvlJc w:val="left"/>
      <w:pPr>
        <w:ind w:left="2880" w:hanging="360"/>
      </w:pPr>
      <w:rPr>
        <w:rFonts w:ascii="Symbol" w:hAnsi="Symbol" w:hint="default"/>
      </w:rPr>
    </w:lvl>
    <w:lvl w:ilvl="4" w:tplc="36F2374E">
      <w:start w:val="1"/>
      <w:numFmt w:val="bullet"/>
      <w:lvlText w:val="o"/>
      <w:lvlJc w:val="left"/>
      <w:pPr>
        <w:ind w:left="3600" w:hanging="360"/>
      </w:pPr>
      <w:rPr>
        <w:rFonts w:ascii="Courier New" w:hAnsi="Courier New" w:hint="default"/>
      </w:rPr>
    </w:lvl>
    <w:lvl w:ilvl="5" w:tplc="2F682B6A">
      <w:start w:val="1"/>
      <w:numFmt w:val="bullet"/>
      <w:lvlText w:val=""/>
      <w:lvlJc w:val="left"/>
      <w:pPr>
        <w:ind w:left="4320" w:hanging="360"/>
      </w:pPr>
      <w:rPr>
        <w:rFonts w:ascii="Wingdings" w:hAnsi="Wingdings" w:hint="default"/>
      </w:rPr>
    </w:lvl>
    <w:lvl w:ilvl="6" w:tplc="F780ABA2">
      <w:start w:val="1"/>
      <w:numFmt w:val="bullet"/>
      <w:lvlText w:val=""/>
      <w:lvlJc w:val="left"/>
      <w:pPr>
        <w:ind w:left="5040" w:hanging="360"/>
      </w:pPr>
      <w:rPr>
        <w:rFonts w:ascii="Symbol" w:hAnsi="Symbol" w:hint="default"/>
      </w:rPr>
    </w:lvl>
    <w:lvl w:ilvl="7" w:tplc="0734C27C">
      <w:start w:val="1"/>
      <w:numFmt w:val="bullet"/>
      <w:lvlText w:val="o"/>
      <w:lvlJc w:val="left"/>
      <w:pPr>
        <w:ind w:left="5760" w:hanging="360"/>
      </w:pPr>
      <w:rPr>
        <w:rFonts w:ascii="Courier New" w:hAnsi="Courier New" w:hint="default"/>
      </w:rPr>
    </w:lvl>
    <w:lvl w:ilvl="8" w:tplc="C582A4C0">
      <w:start w:val="1"/>
      <w:numFmt w:val="bullet"/>
      <w:lvlText w:val=""/>
      <w:lvlJc w:val="left"/>
      <w:pPr>
        <w:ind w:left="6480" w:hanging="360"/>
      </w:pPr>
      <w:rPr>
        <w:rFonts w:ascii="Wingdings" w:hAnsi="Wingdings" w:hint="default"/>
      </w:rPr>
    </w:lvl>
  </w:abstractNum>
  <w:abstractNum w:abstractNumId="68"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356811">
    <w:abstractNumId w:val="3"/>
  </w:num>
  <w:num w:numId="2" w16cid:durableId="318001779">
    <w:abstractNumId w:val="2"/>
  </w:num>
  <w:num w:numId="3" w16cid:durableId="372847183">
    <w:abstractNumId w:val="58"/>
  </w:num>
  <w:num w:numId="4" w16cid:durableId="375010086">
    <w:abstractNumId w:val="48"/>
  </w:num>
  <w:num w:numId="5" w16cid:durableId="1722747829">
    <w:abstractNumId w:val="25"/>
  </w:num>
  <w:num w:numId="6" w16cid:durableId="622272196">
    <w:abstractNumId w:val="26"/>
  </w:num>
  <w:num w:numId="7" w16cid:durableId="1430350267">
    <w:abstractNumId w:val="65"/>
  </w:num>
  <w:num w:numId="8" w16cid:durableId="1168062195">
    <w:abstractNumId w:val="6"/>
  </w:num>
  <w:num w:numId="9" w16cid:durableId="67240286">
    <w:abstractNumId w:val="19"/>
  </w:num>
  <w:num w:numId="10" w16cid:durableId="370227861">
    <w:abstractNumId w:val="45"/>
  </w:num>
  <w:num w:numId="11" w16cid:durableId="1800874624">
    <w:abstractNumId w:val="5"/>
  </w:num>
  <w:num w:numId="12" w16cid:durableId="296031885">
    <w:abstractNumId w:val="20"/>
  </w:num>
  <w:num w:numId="13" w16cid:durableId="1998143795">
    <w:abstractNumId w:val="68"/>
  </w:num>
  <w:num w:numId="14" w16cid:durableId="1281182583">
    <w:abstractNumId w:val="42"/>
  </w:num>
  <w:num w:numId="15" w16cid:durableId="544875083">
    <w:abstractNumId w:val="36"/>
  </w:num>
  <w:num w:numId="16" w16cid:durableId="1051227113">
    <w:abstractNumId w:val="59"/>
  </w:num>
  <w:num w:numId="17" w16cid:durableId="974412012">
    <w:abstractNumId w:val="69"/>
  </w:num>
  <w:num w:numId="18" w16cid:durableId="657226541">
    <w:abstractNumId w:val="70"/>
  </w:num>
  <w:num w:numId="19" w16cid:durableId="1840848614">
    <w:abstractNumId w:val="63"/>
  </w:num>
  <w:num w:numId="20" w16cid:durableId="663895913">
    <w:abstractNumId w:val="53"/>
  </w:num>
  <w:num w:numId="21" w16cid:durableId="1265697112">
    <w:abstractNumId w:val="71"/>
  </w:num>
  <w:num w:numId="22" w16cid:durableId="515730420">
    <w:abstractNumId w:val="34"/>
  </w:num>
  <w:num w:numId="23" w16cid:durableId="977496274">
    <w:abstractNumId w:val="43"/>
  </w:num>
  <w:num w:numId="24" w16cid:durableId="2060202319">
    <w:abstractNumId w:val="39"/>
  </w:num>
  <w:num w:numId="25" w16cid:durableId="1125780871">
    <w:abstractNumId w:val="22"/>
  </w:num>
  <w:num w:numId="26" w16cid:durableId="1734621549">
    <w:abstractNumId w:val="60"/>
  </w:num>
  <w:num w:numId="27" w16cid:durableId="1917477933">
    <w:abstractNumId w:val="62"/>
  </w:num>
  <w:num w:numId="28" w16cid:durableId="1251818346">
    <w:abstractNumId w:val="8"/>
  </w:num>
  <w:num w:numId="29" w16cid:durableId="20056578">
    <w:abstractNumId w:val="12"/>
  </w:num>
  <w:num w:numId="30" w16cid:durableId="5393683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59155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58943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0799305">
    <w:abstractNumId w:val="17"/>
  </w:num>
  <w:num w:numId="34" w16cid:durableId="1035352646">
    <w:abstractNumId w:val="13"/>
  </w:num>
  <w:num w:numId="35" w16cid:durableId="1469393658">
    <w:abstractNumId w:val="4"/>
  </w:num>
  <w:num w:numId="36" w16cid:durableId="1858427752">
    <w:abstractNumId w:val="35"/>
  </w:num>
  <w:num w:numId="37" w16cid:durableId="749931040">
    <w:abstractNumId w:val="55"/>
  </w:num>
  <w:num w:numId="38" w16cid:durableId="2048793071">
    <w:abstractNumId w:val="60"/>
    <w:lvlOverride w:ilvl="0">
      <w:startOverride w:val="1"/>
    </w:lvlOverride>
  </w:num>
  <w:num w:numId="39" w16cid:durableId="486475973">
    <w:abstractNumId w:val="1"/>
  </w:num>
  <w:num w:numId="40" w16cid:durableId="241110328">
    <w:abstractNumId w:val="54"/>
  </w:num>
  <w:num w:numId="41" w16cid:durableId="1478692354">
    <w:abstractNumId w:val="14"/>
  </w:num>
  <w:num w:numId="42" w16cid:durableId="621502918">
    <w:abstractNumId w:val="23"/>
  </w:num>
  <w:num w:numId="43" w16cid:durableId="1060589991">
    <w:abstractNumId w:val="47"/>
  </w:num>
  <w:num w:numId="44" w16cid:durableId="1902982037">
    <w:abstractNumId w:val="28"/>
  </w:num>
  <w:num w:numId="45" w16cid:durableId="75320890">
    <w:abstractNumId w:val="32"/>
  </w:num>
  <w:num w:numId="46" w16cid:durableId="1629697703">
    <w:abstractNumId w:val="33"/>
  </w:num>
  <w:num w:numId="47" w16cid:durableId="1479612636">
    <w:abstractNumId w:val="46"/>
  </w:num>
  <w:num w:numId="48" w16cid:durableId="1657343819">
    <w:abstractNumId w:val="0"/>
  </w:num>
  <w:num w:numId="49" w16cid:durableId="601955024">
    <w:abstractNumId w:val="41"/>
  </w:num>
  <w:num w:numId="50" w16cid:durableId="156962237">
    <w:abstractNumId w:val="11"/>
  </w:num>
  <w:num w:numId="51" w16cid:durableId="2143304085">
    <w:abstractNumId w:val="27"/>
  </w:num>
  <w:num w:numId="52" w16cid:durableId="1419903267">
    <w:abstractNumId w:val="44"/>
  </w:num>
  <w:num w:numId="53" w16cid:durableId="1323437296">
    <w:abstractNumId w:val="9"/>
  </w:num>
  <w:num w:numId="54" w16cid:durableId="1840804497">
    <w:abstractNumId w:val="37"/>
  </w:num>
  <w:num w:numId="55" w16cid:durableId="334111782">
    <w:abstractNumId w:val="61"/>
  </w:num>
  <w:num w:numId="56" w16cid:durableId="1913543774">
    <w:abstractNumId w:val="30"/>
  </w:num>
  <w:num w:numId="57" w16cid:durableId="1121877835">
    <w:abstractNumId w:val="29"/>
  </w:num>
  <w:num w:numId="58" w16cid:durableId="973869022">
    <w:abstractNumId w:val="51"/>
  </w:num>
  <w:num w:numId="59" w16cid:durableId="362749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274080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42348513">
    <w:abstractNumId w:val="52"/>
  </w:num>
  <w:num w:numId="62" w16cid:durableId="6226585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28776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1240856">
    <w:abstractNumId w:val="7"/>
  </w:num>
  <w:num w:numId="65" w16cid:durableId="1157575941">
    <w:abstractNumId w:val="16"/>
  </w:num>
  <w:num w:numId="66" w16cid:durableId="1801534805">
    <w:abstractNumId w:val="67"/>
  </w:num>
  <w:num w:numId="67" w16cid:durableId="17632461">
    <w:abstractNumId w:val="40"/>
  </w:num>
  <w:num w:numId="68" w16cid:durableId="223611395">
    <w:abstractNumId w:val="56"/>
  </w:num>
  <w:num w:numId="69" w16cid:durableId="952981272">
    <w:abstractNumId w:val="24"/>
  </w:num>
  <w:num w:numId="70" w16cid:durableId="130487972">
    <w:abstractNumId w:val="31"/>
  </w:num>
  <w:num w:numId="71" w16cid:durableId="366294288">
    <w:abstractNumId w:val="66"/>
  </w:num>
  <w:num w:numId="72" w16cid:durableId="1829250726">
    <w:abstractNumId w:val="50"/>
  </w:num>
  <w:num w:numId="73" w16cid:durableId="774906933">
    <w:abstractNumId w:val="38"/>
  </w:num>
  <w:num w:numId="74" w16cid:durableId="1618566911">
    <w:abstractNumId w:val="57"/>
  </w:num>
  <w:num w:numId="75" w16cid:durableId="1043211973">
    <w:abstractNumId w:val="18"/>
  </w:num>
  <w:num w:numId="76" w16cid:durableId="528107346">
    <w:abstractNumId w:val="10"/>
  </w:num>
  <w:num w:numId="77" w16cid:durableId="91053563">
    <w:abstractNumId w:val="49"/>
  </w:num>
  <w:num w:numId="78" w16cid:durableId="736244906">
    <w:abstractNumId w:val="60"/>
  </w:num>
  <w:num w:numId="79" w16cid:durableId="1580604078">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793"/>
    <w:rsid w:val="00002CC4"/>
    <w:rsid w:val="00003543"/>
    <w:rsid w:val="00003593"/>
    <w:rsid w:val="00003B2D"/>
    <w:rsid w:val="00003BC0"/>
    <w:rsid w:val="00003F42"/>
    <w:rsid w:val="00004DF2"/>
    <w:rsid w:val="00004FFA"/>
    <w:rsid w:val="00005A4A"/>
    <w:rsid w:val="00005A8F"/>
    <w:rsid w:val="00005D53"/>
    <w:rsid w:val="00005E7A"/>
    <w:rsid w:val="0000604D"/>
    <w:rsid w:val="0000689C"/>
    <w:rsid w:val="0000779E"/>
    <w:rsid w:val="00007CE1"/>
    <w:rsid w:val="00007D1E"/>
    <w:rsid w:val="00007D1F"/>
    <w:rsid w:val="00007FF3"/>
    <w:rsid w:val="00010A17"/>
    <w:rsid w:val="00010A82"/>
    <w:rsid w:val="00010E66"/>
    <w:rsid w:val="000114B3"/>
    <w:rsid w:val="000124A3"/>
    <w:rsid w:val="00012510"/>
    <w:rsid w:val="0001353A"/>
    <w:rsid w:val="00013878"/>
    <w:rsid w:val="000138B2"/>
    <w:rsid w:val="00013CF0"/>
    <w:rsid w:val="0001460E"/>
    <w:rsid w:val="00014E00"/>
    <w:rsid w:val="00015220"/>
    <w:rsid w:val="00015877"/>
    <w:rsid w:val="00015CEA"/>
    <w:rsid w:val="00016303"/>
    <w:rsid w:val="00016FC9"/>
    <w:rsid w:val="00017560"/>
    <w:rsid w:val="00017EB7"/>
    <w:rsid w:val="00020361"/>
    <w:rsid w:val="00020529"/>
    <w:rsid w:val="00020B8B"/>
    <w:rsid w:val="000212BB"/>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C3E"/>
    <w:rsid w:val="00025A53"/>
    <w:rsid w:val="00025CE4"/>
    <w:rsid w:val="00025DD0"/>
    <w:rsid w:val="000264F9"/>
    <w:rsid w:val="00026B28"/>
    <w:rsid w:val="00026C92"/>
    <w:rsid w:val="00026CA4"/>
    <w:rsid w:val="00026D9E"/>
    <w:rsid w:val="000274C3"/>
    <w:rsid w:val="0002752A"/>
    <w:rsid w:val="000276B1"/>
    <w:rsid w:val="000277C2"/>
    <w:rsid w:val="000305F5"/>
    <w:rsid w:val="00030B75"/>
    <w:rsid w:val="00031059"/>
    <w:rsid w:val="000311E1"/>
    <w:rsid w:val="00031460"/>
    <w:rsid w:val="0003180D"/>
    <w:rsid w:val="00032125"/>
    <w:rsid w:val="00032477"/>
    <w:rsid w:val="0003286E"/>
    <w:rsid w:val="000328EF"/>
    <w:rsid w:val="00032904"/>
    <w:rsid w:val="00032CE6"/>
    <w:rsid w:val="00032F16"/>
    <w:rsid w:val="00032F46"/>
    <w:rsid w:val="0003304E"/>
    <w:rsid w:val="00033751"/>
    <w:rsid w:val="000338A1"/>
    <w:rsid w:val="0003496A"/>
    <w:rsid w:val="000351CB"/>
    <w:rsid w:val="000354B4"/>
    <w:rsid w:val="0003596D"/>
    <w:rsid w:val="00035BF1"/>
    <w:rsid w:val="00035F37"/>
    <w:rsid w:val="0003609F"/>
    <w:rsid w:val="00036604"/>
    <w:rsid w:val="00036618"/>
    <w:rsid w:val="00036791"/>
    <w:rsid w:val="00037EF7"/>
    <w:rsid w:val="00040579"/>
    <w:rsid w:val="00040A20"/>
    <w:rsid w:val="00040B75"/>
    <w:rsid w:val="00040DAA"/>
    <w:rsid w:val="00040E61"/>
    <w:rsid w:val="000414A3"/>
    <w:rsid w:val="000419FF"/>
    <w:rsid w:val="00042243"/>
    <w:rsid w:val="0004261D"/>
    <w:rsid w:val="0004267B"/>
    <w:rsid w:val="000426A8"/>
    <w:rsid w:val="0004276E"/>
    <w:rsid w:val="00042DCB"/>
    <w:rsid w:val="0004356A"/>
    <w:rsid w:val="00043BE8"/>
    <w:rsid w:val="000447F1"/>
    <w:rsid w:val="00044959"/>
    <w:rsid w:val="00044DF2"/>
    <w:rsid w:val="0004506B"/>
    <w:rsid w:val="0004587B"/>
    <w:rsid w:val="000458D4"/>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B4F"/>
    <w:rsid w:val="00053BEC"/>
    <w:rsid w:val="000541B6"/>
    <w:rsid w:val="00054F51"/>
    <w:rsid w:val="00055531"/>
    <w:rsid w:val="00055903"/>
    <w:rsid w:val="0005684F"/>
    <w:rsid w:val="0005688E"/>
    <w:rsid w:val="00056D6A"/>
    <w:rsid w:val="0005732D"/>
    <w:rsid w:val="00057527"/>
    <w:rsid w:val="000576AE"/>
    <w:rsid w:val="00057768"/>
    <w:rsid w:val="00057859"/>
    <w:rsid w:val="0006069C"/>
    <w:rsid w:val="00060914"/>
    <w:rsid w:val="00060D67"/>
    <w:rsid w:val="00060E2C"/>
    <w:rsid w:val="000615A2"/>
    <w:rsid w:val="00063170"/>
    <w:rsid w:val="00063223"/>
    <w:rsid w:val="00063593"/>
    <w:rsid w:val="00063EB6"/>
    <w:rsid w:val="00063F67"/>
    <w:rsid w:val="00064326"/>
    <w:rsid w:val="00064449"/>
    <w:rsid w:val="00064472"/>
    <w:rsid w:val="00064663"/>
    <w:rsid w:val="00064BE6"/>
    <w:rsid w:val="00065492"/>
    <w:rsid w:val="00065A2B"/>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96E"/>
    <w:rsid w:val="00073ABA"/>
    <w:rsid w:val="00074BBF"/>
    <w:rsid w:val="000752AD"/>
    <w:rsid w:val="00075A45"/>
    <w:rsid w:val="00075AFE"/>
    <w:rsid w:val="00075D2B"/>
    <w:rsid w:val="0007647A"/>
    <w:rsid w:val="00076A0E"/>
    <w:rsid w:val="00076BD7"/>
    <w:rsid w:val="00077074"/>
    <w:rsid w:val="000772E5"/>
    <w:rsid w:val="000802B8"/>
    <w:rsid w:val="000807CF"/>
    <w:rsid w:val="0008166D"/>
    <w:rsid w:val="00081F87"/>
    <w:rsid w:val="00082155"/>
    <w:rsid w:val="00082374"/>
    <w:rsid w:val="000823E5"/>
    <w:rsid w:val="000828F4"/>
    <w:rsid w:val="00082E4C"/>
    <w:rsid w:val="00082E73"/>
    <w:rsid w:val="00083382"/>
    <w:rsid w:val="00083BD4"/>
    <w:rsid w:val="00083D0F"/>
    <w:rsid w:val="00084094"/>
    <w:rsid w:val="00084500"/>
    <w:rsid w:val="000846B3"/>
    <w:rsid w:val="000849A1"/>
    <w:rsid w:val="00085165"/>
    <w:rsid w:val="00085407"/>
    <w:rsid w:val="00086DFB"/>
    <w:rsid w:val="00086E98"/>
    <w:rsid w:val="0008749B"/>
    <w:rsid w:val="0008754A"/>
    <w:rsid w:val="00087E0C"/>
    <w:rsid w:val="00087E47"/>
    <w:rsid w:val="000902B3"/>
    <w:rsid w:val="000904AA"/>
    <w:rsid w:val="00090B5B"/>
    <w:rsid w:val="00090B69"/>
    <w:rsid w:val="00090CA1"/>
    <w:rsid w:val="00090EE4"/>
    <w:rsid w:val="00091A74"/>
    <w:rsid w:val="00091E33"/>
    <w:rsid w:val="00091E59"/>
    <w:rsid w:val="00091EE3"/>
    <w:rsid w:val="00091FF9"/>
    <w:rsid w:val="000921BB"/>
    <w:rsid w:val="000921CD"/>
    <w:rsid w:val="00092648"/>
    <w:rsid w:val="000926C5"/>
    <w:rsid w:val="00092950"/>
    <w:rsid w:val="000929BA"/>
    <w:rsid w:val="0009345D"/>
    <w:rsid w:val="00093D90"/>
    <w:rsid w:val="00095093"/>
    <w:rsid w:val="00095153"/>
    <w:rsid w:val="0009592E"/>
    <w:rsid w:val="00095B32"/>
    <w:rsid w:val="00095BF3"/>
    <w:rsid w:val="00096570"/>
    <w:rsid w:val="0009657D"/>
    <w:rsid w:val="000965C0"/>
    <w:rsid w:val="0009680D"/>
    <w:rsid w:val="00097264"/>
    <w:rsid w:val="000975AA"/>
    <w:rsid w:val="00097BE8"/>
    <w:rsid w:val="000A01E6"/>
    <w:rsid w:val="000A0945"/>
    <w:rsid w:val="000A1035"/>
    <w:rsid w:val="000A1AB8"/>
    <w:rsid w:val="000A22F2"/>
    <w:rsid w:val="000A246B"/>
    <w:rsid w:val="000A2D2A"/>
    <w:rsid w:val="000A32E6"/>
    <w:rsid w:val="000A348D"/>
    <w:rsid w:val="000A3CF8"/>
    <w:rsid w:val="000A4000"/>
    <w:rsid w:val="000A4E50"/>
    <w:rsid w:val="000A56FA"/>
    <w:rsid w:val="000A5CA2"/>
    <w:rsid w:val="000A5E5D"/>
    <w:rsid w:val="000A6F06"/>
    <w:rsid w:val="000A7C94"/>
    <w:rsid w:val="000B053E"/>
    <w:rsid w:val="000B0697"/>
    <w:rsid w:val="000B07EA"/>
    <w:rsid w:val="000B0D33"/>
    <w:rsid w:val="000B0D93"/>
    <w:rsid w:val="000B10F9"/>
    <w:rsid w:val="000B1715"/>
    <w:rsid w:val="000B17EB"/>
    <w:rsid w:val="000B19FC"/>
    <w:rsid w:val="000B1A21"/>
    <w:rsid w:val="000B2632"/>
    <w:rsid w:val="000B3033"/>
    <w:rsid w:val="000B325A"/>
    <w:rsid w:val="000B3587"/>
    <w:rsid w:val="000B3DB3"/>
    <w:rsid w:val="000B4F05"/>
    <w:rsid w:val="000B5031"/>
    <w:rsid w:val="000B5232"/>
    <w:rsid w:val="000B54A8"/>
    <w:rsid w:val="000B55F4"/>
    <w:rsid w:val="000B5E0C"/>
    <w:rsid w:val="000B5E14"/>
    <w:rsid w:val="000B5E9E"/>
    <w:rsid w:val="000B648E"/>
    <w:rsid w:val="000B6E64"/>
    <w:rsid w:val="000B7ADC"/>
    <w:rsid w:val="000B7B3F"/>
    <w:rsid w:val="000C0561"/>
    <w:rsid w:val="000C0BBB"/>
    <w:rsid w:val="000C0CF1"/>
    <w:rsid w:val="000C0D7B"/>
    <w:rsid w:val="000C0F67"/>
    <w:rsid w:val="000C1814"/>
    <w:rsid w:val="000C1D17"/>
    <w:rsid w:val="000C20A6"/>
    <w:rsid w:val="000C23EF"/>
    <w:rsid w:val="000C33E2"/>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CC"/>
    <w:rsid w:val="000D22CA"/>
    <w:rsid w:val="000D2ACD"/>
    <w:rsid w:val="000D35C1"/>
    <w:rsid w:val="000D37D2"/>
    <w:rsid w:val="000D3F0D"/>
    <w:rsid w:val="000D4096"/>
    <w:rsid w:val="000D4558"/>
    <w:rsid w:val="000D4B4A"/>
    <w:rsid w:val="000D52D2"/>
    <w:rsid w:val="000D66CE"/>
    <w:rsid w:val="000D6E95"/>
    <w:rsid w:val="000D6FFE"/>
    <w:rsid w:val="000D707E"/>
    <w:rsid w:val="000D7304"/>
    <w:rsid w:val="000D746B"/>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AAC"/>
    <w:rsid w:val="000E2BBC"/>
    <w:rsid w:val="000E30C0"/>
    <w:rsid w:val="000E3253"/>
    <w:rsid w:val="000E331F"/>
    <w:rsid w:val="000E33A6"/>
    <w:rsid w:val="000E3895"/>
    <w:rsid w:val="000E3B9C"/>
    <w:rsid w:val="000E3DBD"/>
    <w:rsid w:val="000E3FE0"/>
    <w:rsid w:val="000E494D"/>
    <w:rsid w:val="000E4CB3"/>
    <w:rsid w:val="000E4DF0"/>
    <w:rsid w:val="000E5180"/>
    <w:rsid w:val="000E5593"/>
    <w:rsid w:val="000E5EFB"/>
    <w:rsid w:val="000E6E9B"/>
    <w:rsid w:val="000E6EE4"/>
    <w:rsid w:val="000E71F8"/>
    <w:rsid w:val="000E799C"/>
    <w:rsid w:val="000E7EB6"/>
    <w:rsid w:val="000F02A9"/>
    <w:rsid w:val="000F03D8"/>
    <w:rsid w:val="000F04CC"/>
    <w:rsid w:val="000F0C7E"/>
    <w:rsid w:val="000F0F1F"/>
    <w:rsid w:val="000F1029"/>
    <w:rsid w:val="000F1338"/>
    <w:rsid w:val="000F1AF5"/>
    <w:rsid w:val="000F1B9B"/>
    <w:rsid w:val="000F2054"/>
    <w:rsid w:val="000F22E6"/>
    <w:rsid w:val="000F2CD4"/>
    <w:rsid w:val="000F2D53"/>
    <w:rsid w:val="000F2E9A"/>
    <w:rsid w:val="000F2F2A"/>
    <w:rsid w:val="000F351E"/>
    <w:rsid w:val="000F397B"/>
    <w:rsid w:val="000F44BF"/>
    <w:rsid w:val="000F487C"/>
    <w:rsid w:val="000F4ED8"/>
    <w:rsid w:val="000F565B"/>
    <w:rsid w:val="000F6AD3"/>
    <w:rsid w:val="000F6FBD"/>
    <w:rsid w:val="00100234"/>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72C7"/>
    <w:rsid w:val="00107A55"/>
    <w:rsid w:val="00107EC3"/>
    <w:rsid w:val="00107F4A"/>
    <w:rsid w:val="0011060C"/>
    <w:rsid w:val="00110FEC"/>
    <w:rsid w:val="001110CA"/>
    <w:rsid w:val="00111433"/>
    <w:rsid w:val="00111487"/>
    <w:rsid w:val="001114BC"/>
    <w:rsid w:val="00111C51"/>
    <w:rsid w:val="00111E04"/>
    <w:rsid w:val="00111F20"/>
    <w:rsid w:val="00112564"/>
    <w:rsid w:val="00114668"/>
    <w:rsid w:val="00114967"/>
    <w:rsid w:val="00114F11"/>
    <w:rsid w:val="0011579C"/>
    <w:rsid w:val="0011611B"/>
    <w:rsid w:val="00116574"/>
    <w:rsid w:val="00116778"/>
    <w:rsid w:val="00116B62"/>
    <w:rsid w:val="00116D36"/>
    <w:rsid w:val="00116F87"/>
    <w:rsid w:val="00117059"/>
    <w:rsid w:val="00117380"/>
    <w:rsid w:val="001201FA"/>
    <w:rsid w:val="001202A1"/>
    <w:rsid w:val="00120ABA"/>
    <w:rsid w:val="00120D43"/>
    <w:rsid w:val="0012143D"/>
    <w:rsid w:val="00121ADB"/>
    <w:rsid w:val="00122853"/>
    <w:rsid w:val="0012344E"/>
    <w:rsid w:val="001235A7"/>
    <w:rsid w:val="00123BE0"/>
    <w:rsid w:val="00123E78"/>
    <w:rsid w:val="00124CDF"/>
    <w:rsid w:val="00124DC6"/>
    <w:rsid w:val="00124EFA"/>
    <w:rsid w:val="001250DA"/>
    <w:rsid w:val="00125125"/>
    <w:rsid w:val="001258B9"/>
    <w:rsid w:val="00125BB4"/>
    <w:rsid w:val="00125D60"/>
    <w:rsid w:val="00125E7A"/>
    <w:rsid w:val="00126BB8"/>
    <w:rsid w:val="00127CBB"/>
    <w:rsid w:val="00130529"/>
    <w:rsid w:val="0013053A"/>
    <w:rsid w:val="00131CA0"/>
    <w:rsid w:val="00131EC7"/>
    <w:rsid w:val="001323DA"/>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920"/>
    <w:rsid w:val="00135E3D"/>
    <w:rsid w:val="00135E84"/>
    <w:rsid w:val="001361DC"/>
    <w:rsid w:val="001362A2"/>
    <w:rsid w:val="00136372"/>
    <w:rsid w:val="00136B38"/>
    <w:rsid w:val="0013710A"/>
    <w:rsid w:val="001372CC"/>
    <w:rsid w:val="001379B6"/>
    <w:rsid w:val="00137D9C"/>
    <w:rsid w:val="00140436"/>
    <w:rsid w:val="0014049F"/>
    <w:rsid w:val="001405CF"/>
    <w:rsid w:val="001410C6"/>
    <w:rsid w:val="00141390"/>
    <w:rsid w:val="001422C0"/>
    <w:rsid w:val="001425E5"/>
    <w:rsid w:val="00142AAE"/>
    <w:rsid w:val="00142B20"/>
    <w:rsid w:val="00142C15"/>
    <w:rsid w:val="00142D75"/>
    <w:rsid w:val="00143187"/>
    <w:rsid w:val="0014502C"/>
    <w:rsid w:val="001450A2"/>
    <w:rsid w:val="00145750"/>
    <w:rsid w:val="00146CFB"/>
    <w:rsid w:val="0014740C"/>
    <w:rsid w:val="00147459"/>
    <w:rsid w:val="001474ED"/>
    <w:rsid w:val="00147D4E"/>
    <w:rsid w:val="001503EF"/>
    <w:rsid w:val="00150602"/>
    <w:rsid w:val="001511EC"/>
    <w:rsid w:val="001514CE"/>
    <w:rsid w:val="0015191F"/>
    <w:rsid w:val="00151ACC"/>
    <w:rsid w:val="00151E9B"/>
    <w:rsid w:val="0015264A"/>
    <w:rsid w:val="001530DA"/>
    <w:rsid w:val="001531DE"/>
    <w:rsid w:val="00153335"/>
    <w:rsid w:val="00153BAE"/>
    <w:rsid w:val="0015407C"/>
    <w:rsid w:val="00154867"/>
    <w:rsid w:val="00154959"/>
    <w:rsid w:val="00154B1A"/>
    <w:rsid w:val="00154F83"/>
    <w:rsid w:val="00156733"/>
    <w:rsid w:val="001567D9"/>
    <w:rsid w:val="00156D58"/>
    <w:rsid w:val="001571C9"/>
    <w:rsid w:val="001575E8"/>
    <w:rsid w:val="00157618"/>
    <w:rsid w:val="00157E14"/>
    <w:rsid w:val="0016127D"/>
    <w:rsid w:val="00161B10"/>
    <w:rsid w:val="00162002"/>
    <w:rsid w:val="00162357"/>
    <w:rsid w:val="00162503"/>
    <w:rsid w:val="00162D3F"/>
    <w:rsid w:val="001631BC"/>
    <w:rsid w:val="00163557"/>
    <w:rsid w:val="00163BD0"/>
    <w:rsid w:val="00163CEB"/>
    <w:rsid w:val="00164D10"/>
    <w:rsid w:val="00164F58"/>
    <w:rsid w:val="00165EEA"/>
    <w:rsid w:val="0016675D"/>
    <w:rsid w:val="00166A96"/>
    <w:rsid w:val="00166EF6"/>
    <w:rsid w:val="0016739E"/>
    <w:rsid w:val="00167E0B"/>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460D"/>
    <w:rsid w:val="00174DB4"/>
    <w:rsid w:val="0017549A"/>
    <w:rsid w:val="00175604"/>
    <w:rsid w:val="0017584F"/>
    <w:rsid w:val="00175A77"/>
    <w:rsid w:val="00175B7F"/>
    <w:rsid w:val="0017631F"/>
    <w:rsid w:val="00176ACE"/>
    <w:rsid w:val="00176B8C"/>
    <w:rsid w:val="001771EB"/>
    <w:rsid w:val="001775A4"/>
    <w:rsid w:val="001777D3"/>
    <w:rsid w:val="00180200"/>
    <w:rsid w:val="001808A2"/>
    <w:rsid w:val="00180D57"/>
    <w:rsid w:val="00181467"/>
    <w:rsid w:val="00181BC5"/>
    <w:rsid w:val="00181DBA"/>
    <w:rsid w:val="00181EB6"/>
    <w:rsid w:val="0018230F"/>
    <w:rsid w:val="0018242F"/>
    <w:rsid w:val="0018253C"/>
    <w:rsid w:val="0018292A"/>
    <w:rsid w:val="00182FEF"/>
    <w:rsid w:val="00183370"/>
    <w:rsid w:val="0018348F"/>
    <w:rsid w:val="00183942"/>
    <w:rsid w:val="00183D20"/>
    <w:rsid w:val="00184386"/>
    <w:rsid w:val="001845CB"/>
    <w:rsid w:val="00184AF6"/>
    <w:rsid w:val="0018567B"/>
    <w:rsid w:val="00186108"/>
    <w:rsid w:val="001861EA"/>
    <w:rsid w:val="00186264"/>
    <w:rsid w:val="00186837"/>
    <w:rsid w:val="00186AC7"/>
    <w:rsid w:val="00186E80"/>
    <w:rsid w:val="001871F2"/>
    <w:rsid w:val="0018727C"/>
    <w:rsid w:val="00187CC9"/>
    <w:rsid w:val="00187D1E"/>
    <w:rsid w:val="001905F1"/>
    <w:rsid w:val="0019071E"/>
    <w:rsid w:val="00190809"/>
    <w:rsid w:val="001908BB"/>
    <w:rsid w:val="0019090F"/>
    <w:rsid w:val="001913A6"/>
    <w:rsid w:val="00191DA3"/>
    <w:rsid w:val="0019239B"/>
    <w:rsid w:val="001931A0"/>
    <w:rsid w:val="00193F48"/>
    <w:rsid w:val="0019444B"/>
    <w:rsid w:val="00194E6F"/>
    <w:rsid w:val="0019510E"/>
    <w:rsid w:val="001952E2"/>
    <w:rsid w:val="00195DAD"/>
    <w:rsid w:val="00196188"/>
    <w:rsid w:val="00196608"/>
    <w:rsid w:val="00196A31"/>
    <w:rsid w:val="00196D4E"/>
    <w:rsid w:val="00197044"/>
    <w:rsid w:val="001970B9"/>
    <w:rsid w:val="001973A5"/>
    <w:rsid w:val="00197522"/>
    <w:rsid w:val="001977F4"/>
    <w:rsid w:val="00197A4B"/>
    <w:rsid w:val="00197D80"/>
    <w:rsid w:val="001A0375"/>
    <w:rsid w:val="001A0D64"/>
    <w:rsid w:val="001A0EE2"/>
    <w:rsid w:val="001A0FBA"/>
    <w:rsid w:val="001A10FF"/>
    <w:rsid w:val="001A1159"/>
    <w:rsid w:val="001A1C2D"/>
    <w:rsid w:val="001A1FA3"/>
    <w:rsid w:val="001A2B3B"/>
    <w:rsid w:val="001A2D60"/>
    <w:rsid w:val="001A3288"/>
    <w:rsid w:val="001A3ECA"/>
    <w:rsid w:val="001A4B58"/>
    <w:rsid w:val="001A4DDE"/>
    <w:rsid w:val="001A4FA6"/>
    <w:rsid w:val="001A57C8"/>
    <w:rsid w:val="001A5BA5"/>
    <w:rsid w:val="001A6984"/>
    <w:rsid w:val="001A6AB5"/>
    <w:rsid w:val="001A74AA"/>
    <w:rsid w:val="001A756E"/>
    <w:rsid w:val="001A762D"/>
    <w:rsid w:val="001A77DE"/>
    <w:rsid w:val="001A7B35"/>
    <w:rsid w:val="001A7E4C"/>
    <w:rsid w:val="001B1C17"/>
    <w:rsid w:val="001B2544"/>
    <w:rsid w:val="001B277D"/>
    <w:rsid w:val="001B2C66"/>
    <w:rsid w:val="001B309A"/>
    <w:rsid w:val="001B32AE"/>
    <w:rsid w:val="001B40E4"/>
    <w:rsid w:val="001B47C6"/>
    <w:rsid w:val="001B4E0B"/>
    <w:rsid w:val="001B540A"/>
    <w:rsid w:val="001B55AA"/>
    <w:rsid w:val="001B572E"/>
    <w:rsid w:val="001B597E"/>
    <w:rsid w:val="001B5CE7"/>
    <w:rsid w:val="001B6C6C"/>
    <w:rsid w:val="001B6ED4"/>
    <w:rsid w:val="001B7001"/>
    <w:rsid w:val="001B72B2"/>
    <w:rsid w:val="001B7929"/>
    <w:rsid w:val="001C051E"/>
    <w:rsid w:val="001C073B"/>
    <w:rsid w:val="001C1007"/>
    <w:rsid w:val="001C1102"/>
    <w:rsid w:val="001C177F"/>
    <w:rsid w:val="001C1A47"/>
    <w:rsid w:val="001C1C6A"/>
    <w:rsid w:val="001C1E6D"/>
    <w:rsid w:val="001C2A68"/>
    <w:rsid w:val="001C2D56"/>
    <w:rsid w:val="001C3119"/>
    <w:rsid w:val="001C3257"/>
    <w:rsid w:val="001C3589"/>
    <w:rsid w:val="001C398B"/>
    <w:rsid w:val="001C3A45"/>
    <w:rsid w:val="001C3D7A"/>
    <w:rsid w:val="001C4405"/>
    <w:rsid w:val="001C54FF"/>
    <w:rsid w:val="001C55CF"/>
    <w:rsid w:val="001C587C"/>
    <w:rsid w:val="001C5CD1"/>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D4B"/>
    <w:rsid w:val="001D1D9D"/>
    <w:rsid w:val="001D2A4B"/>
    <w:rsid w:val="001D2C4B"/>
    <w:rsid w:val="001D2D1A"/>
    <w:rsid w:val="001D3021"/>
    <w:rsid w:val="001D33E2"/>
    <w:rsid w:val="001D3567"/>
    <w:rsid w:val="001D44A7"/>
    <w:rsid w:val="001D45A9"/>
    <w:rsid w:val="001D4697"/>
    <w:rsid w:val="001D4AE2"/>
    <w:rsid w:val="001D57CC"/>
    <w:rsid w:val="001D5981"/>
    <w:rsid w:val="001D5C20"/>
    <w:rsid w:val="001D5D2F"/>
    <w:rsid w:val="001D63C7"/>
    <w:rsid w:val="001D68BB"/>
    <w:rsid w:val="001D6C10"/>
    <w:rsid w:val="001D6D08"/>
    <w:rsid w:val="001D740D"/>
    <w:rsid w:val="001D77BF"/>
    <w:rsid w:val="001E0053"/>
    <w:rsid w:val="001E185B"/>
    <w:rsid w:val="001E1EFA"/>
    <w:rsid w:val="001E21A6"/>
    <w:rsid w:val="001E22EC"/>
    <w:rsid w:val="001E2694"/>
    <w:rsid w:val="001E2729"/>
    <w:rsid w:val="001E2E20"/>
    <w:rsid w:val="001E369D"/>
    <w:rsid w:val="001E3708"/>
    <w:rsid w:val="001E40CB"/>
    <w:rsid w:val="001E40FD"/>
    <w:rsid w:val="001E43D3"/>
    <w:rsid w:val="001E479F"/>
    <w:rsid w:val="001E527A"/>
    <w:rsid w:val="001E5579"/>
    <w:rsid w:val="001E5D7E"/>
    <w:rsid w:val="001E5E9F"/>
    <w:rsid w:val="001E6BF2"/>
    <w:rsid w:val="001E707B"/>
    <w:rsid w:val="001E7283"/>
    <w:rsid w:val="001F0147"/>
    <w:rsid w:val="001F04A0"/>
    <w:rsid w:val="001F0624"/>
    <w:rsid w:val="001F0EDC"/>
    <w:rsid w:val="001F0F8A"/>
    <w:rsid w:val="001F12BF"/>
    <w:rsid w:val="001F186A"/>
    <w:rsid w:val="001F1882"/>
    <w:rsid w:val="001F1D1B"/>
    <w:rsid w:val="001F2889"/>
    <w:rsid w:val="001F2CD8"/>
    <w:rsid w:val="001F3D48"/>
    <w:rsid w:val="001F4160"/>
    <w:rsid w:val="001F4939"/>
    <w:rsid w:val="001F4A89"/>
    <w:rsid w:val="001F4BB4"/>
    <w:rsid w:val="001F51BC"/>
    <w:rsid w:val="001F574E"/>
    <w:rsid w:val="001F5F8F"/>
    <w:rsid w:val="001F61E5"/>
    <w:rsid w:val="001F629E"/>
    <w:rsid w:val="001F6589"/>
    <w:rsid w:val="001F6958"/>
    <w:rsid w:val="001F696A"/>
    <w:rsid w:val="001F702D"/>
    <w:rsid w:val="001F7343"/>
    <w:rsid w:val="001F750D"/>
    <w:rsid w:val="001F78FD"/>
    <w:rsid w:val="00200E56"/>
    <w:rsid w:val="00201A7A"/>
    <w:rsid w:val="00201C9E"/>
    <w:rsid w:val="002023AC"/>
    <w:rsid w:val="0020251F"/>
    <w:rsid w:val="002027F7"/>
    <w:rsid w:val="00203645"/>
    <w:rsid w:val="00203822"/>
    <w:rsid w:val="00203CE8"/>
    <w:rsid w:val="00203DAC"/>
    <w:rsid w:val="00203EC9"/>
    <w:rsid w:val="00203FA8"/>
    <w:rsid w:val="00204AD6"/>
    <w:rsid w:val="002059B5"/>
    <w:rsid w:val="0020690A"/>
    <w:rsid w:val="00207941"/>
    <w:rsid w:val="00207AB1"/>
    <w:rsid w:val="00207C8A"/>
    <w:rsid w:val="0021031C"/>
    <w:rsid w:val="00210BAF"/>
    <w:rsid w:val="00210CDC"/>
    <w:rsid w:val="00211321"/>
    <w:rsid w:val="00211EF1"/>
    <w:rsid w:val="00212015"/>
    <w:rsid w:val="0021251F"/>
    <w:rsid w:val="00212599"/>
    <w:rsid w:val="002125C4"/>
    <w:rsid w:val="0021344D"/>
    <w:rsid w:val="00213484"/>
    <w:rsid w:val="00213C07"/>
    <w:rsid w:val="00213DF1"/>
    <w:rsid w:val="002141FD"/>
    <w:rsid w:val="0021468C"/>
    <w:rsid w:val="00214701"/>
    <w:rsid w:val="00214707"/>
    <w:rsid w:val="00214FD2"/>
    <w:rsid w:val="002156BE"/>
    <w:rsid w:val="00215EE6"/>
    <w:rsid w:val="00216586"/>
    <w:rsid w:val="00216F0F"/>
    <w:rsid w:val="00216F5F"/>
    <w:rsid w:val="002173A2"/>
    <w:rsid w:val="0021799B"/>
    <w:rsid w:val="00217A81"/>
    <w:rsid w:val="00217ADA"/>
    <w:rsid w:val="00217BF6"/>
    <w:rsid w:val="00220017"/>
    <w:rsid w:val="00220704"/>
    <w:rsid w:val="00220748"/>
    <w:rsid w:val="002209B3"/>
    <w:rsid w:val="0022108C"/>
    <w:rsid w:val="0022112B"/>
    <w:rsid w:val="00222093"/>
    <w:rsid w:val="002226A7"/>
    <w:rsid w:val="002227B7"/>
    <w:rsid w:val="0022284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5CB"/>
    <w:rsid w:val="0022783E"/>
    <w:rsid w:val="00227D35"/>
    <w:rsid w:val="00230476"/>
    <w:rsid w:val="00231568"/>
    <w:rsid w:val="002328A7"/>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7261"/>
    <w:rsid w:val="00237DAF"/>
    <w:rsid w:val="00240032"/>
    <w:rsid w:val="002403B6"/>
    <w:rsid w:val="00240A99"/>
    <w:rsid w:val="00241BC4"/>
    <w:rsid w:val="00241C05"/>
    <w:rsid w:val="00241CA1"/>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EED"/>
    <w:rsid w:val="00251283"/>
    <w:rsid w:val="00251302"/>
    <w:rsid w:val="00251D27"/>
    <w:rsid w:val="00251E03"/>
    <w:rsid w:val="0025242E"/>
    <w:rsid w:val="0025290A"/>
    <w:rsid w:val="00253148"/>
    <w:rsid w:val="0025333D"/>
    <w:rsid w:val="00253401"/>
    <w:rsid w:val="0025372A"/>
    <w:rsid w:val="00253850"/>
    <w:rsid w:val="00254B6C"/>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EC5"/>
    <w:rsid w:val="00260FBE"/>
    <w:rsid w:val="00261A2A"/>
    <w:rsid w:val="00261BFC"/>
    <w:rsid w:val="00262215"/>
    <w:rsid w:val="002629C3"/>
    <w:rsid w:val="00262BED"/>
    <w:rsid w:val="00262C9C"/>
    <w:rsid w:val="00262F5B"/>
    <w:rsid w:val="002638DF"/>
    <w:rsid w:val="00263ABF"/>
    <w:rsid w:val="00263F83"/>
    <w:rsid w:val="00264050"/>
    <w:rsid w:val="00264367"/>
    <w:rsid w:val="0026441B"/>
    <w:rsid w:val="00264511"/>
    <w:rsid w:val="00264D7F"/>
    <w:rsid w:val="00264F06"/>
    <w:rsid w:val="0026601C"/>
    <w:rsid w:val="00266327"/>
    <w:rsid w:val="0026636C"/>
    <w:rsid w:val="002666B0"/>
    <w:rsid w:val="00266DA5"/>
    <w:rsid w:val="00267198"/>
    <w:rsid w:val="0026721F"/>
    <w:rsid w:val="002674BE"/>
    <w:rsid w:val="00267544"/>
    <w:rsid w:val="002676F3"/>
    <w:rsid w:val="00267DAB"/>
    <w:rsid w:val="002708EB"/>
    <w:rsid w:val="00270E7C"/>
    <w:rsid w:val="00270F38"/>
    <w:rsid w:val="0027122A"/>
    <w:rsid w:val="00271306"/>
    <w:rsid w:val="00271699"/>
    <w:rsid w:val="00271C16"/>
    <w:rsid w:val="00271EE8"/>
    <w:rsid w:val="00272844"/>
    <w:rsid w:val="002729A4"/>
    <w:rsid w:val="00272C33"/>
    <w:rsid w:val="00272D1D"/>
    <w:rsid w:val="002732D0"/>
    <w:rsid w:val="00273CF6"/>
    <w:rsid w:val="00273FCB"/>
    <w:rsid w:val="002740B2"/>
    <w:rsid w:val="00274313"/>
    <w:rsid w:val="0027480E"/>
    <w:rsid w:val="00274B52"/>
    <w:rsid w:val="00274CE7"/>
    <w:rsid w:val="0027506B"/>
    <w:rsid w:val="00275477"/>
    <w:rsid w:val="002757DB"/>
    <w:rsid w:val="00275C43"/>
    <w:rsid w:val="002760E8"/>
    <w:rsid w:val="00276673"/>
    <w:rsid w:val="002766A6"/>
    <w:rsid w:val="00276A9A"/>
    <w:rsid w:val="00276BA9"/>
    <w:rsid w:val="00276DD0"/>
    <w:rsid w:val="00276E53"/>
    <w:rsid w:val="00276E93"/>
    <w:rsid w:val="002773E6"/>
    <w:rsid w:val="002774C5"/>
    <w:rsid w:val="00277738"/>
    <w:rsid w:val="002779B7"/>
    <w:rsid w:val="002779BD"/>
    <w:rsid w:val="002804CD"/>
    <w:rsid w:val="0028096F"/>
    <w:rsid w:val="00280C3E"/>
    <w:rsid w:val="0028152B"/>
    <w:rsid w:val="002815A1"/>
    <w:rsid w:val="0028164B"/>
    <w:rsid w:val="002818E0"/>
    <w:rsid w:val="00281B9D"/>
    <w:rsid w:val="00282012"/>
    <w:rsid w:val="00283569"/>
    <w:rsid w:val="00283C2C"/>
    <w:rsid w:val="00283E37"/>
    <w:rsid w:val="00283FC7"/>
    <w:rsid w:val="00284377"/>
    <w:rsid w:val="002847AA"/>
    <w:rsid w:val="00285364"/>
    <w:rsid w:val="00285CED"/>
    <w:rsid w:val="00285E47"/>
    <w:rsid w:val="00286350"/>
    <w:rsid w:val="002865AE"/>
    <w:rsid w:val="0028718A"/>
    <w:rsid w:val="002874F6"/>
    <w:rsid w:val="002875C0"/>
    <w:rsid w:val="002876FE"/>
    <w:rsid w:val="00287C73"/>
    <w:rsid w:val="00287F47"/>
    <w:rsid w:val="002901BF"/>
    <w:rsid w:val="002905C2"/>
    <w:rsid w:val="00290CDD"/>
    <w:rsid w:val="002916C3"/>
    <w:rsid w:val="00291EF1"/>
    <w:rsid w:val="00291F8E"/>
    <w:rsid w:val="00291FA6"/>
    <w:rsid w:val="00292848"/>
    <w:rsid w:val="00292C07"/>
    <w:rsid w:val="00292D9E"/>
    <w:rsid w:val="0029371D"/>
    <w:rsid w:val="0029378D"/>
    <w:rsid w:val="002937B8"/>
    <w:rsid w:val="00293E6C"/>
    <w:rsid w:val="00294541"/>
    <w:rsid w:val="00294880"/>
    <w:rsid w:val="002948E9"/>
    <w:rsid w:val="00294E96"/>
    <w:rsid w:val="0029521B"/>
    <w:rsid w:val="0029532D"/>
    <w:rsid w:val="002953A8"/>
    <w:rsid w:val="00295A6A"/>
    <w:rsid w:val="00295BBC"/>
    <w:rsid w:val="002960A6"/>
    <w:rsid w:val="002967F9"/>
    <w:rsid w:val="00296B66"/>
    <w:rsid w:val="002971EE"/>
    <w:rsid w:val="0029796E"/>
    <w:rsid w:val="00297DE2"/>
    <w:rsid w:val="002A0405"/>
    <w:rsid w:val="002A0448"/>
    <w:rsid w:val="002A142F"/>
    <w:rsid w:val="002A1431"/>
    <w:rsid w:val="002A2DB6"/>
    <w:rsid w:val="002A2DE3"/>
    <w:rsid w:val="002A36D6"/>
    <w:rsid w:val="002A3D79"/>
    <w:rsid w:val="002A40E1"/>
    <w:rsid w:val="002A4866"/>
    <w:rsid w:val="002A49BD"/>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00"/>
    <w:rsid w:val="002B0FC8"/>
    <w:rsid w:val="002B14DD"/>
    <w:rsid w:val="002B20CA"/>
    <w:rsid w:val="002B3154"/>
    <w:rsid w:val="002B39AA"/>
    <w:rsid w:val="002B3FDF"/>
    <w:rsid w:val="002B42DB"/>
    <w:rsid w:val="002B4431"/>
    <w:rsid w:val="002B5269"/>
    <w:rsid w:val="002B57DD"/>
    <w:rsid w:val="002B5808"/>
    <w:rsid w:val="002B5D80"/>
    <w:rsid w:val="002B5FE9"/>
    <w:rsid w:val="002B624A"/>
    <w:rsid w:val="002B632F"/>
    <w:rsid w:val="002B635A"/>
    <w:rsid w:val="002B67B2"/>
    <w:rsid w:val="002B76A3"/>
    <w:rsid w:val="002B78D7"/>
    <w:rsid w:val="002C002A"/>
    <w:rsid w:val="002C002D"/>
    <w:rsid w:val="002C011E"/>
    <w:rsid w:val="002C021D"/>
    <w:rsid w:val="002C03D0"/>
    <w:rsid w:val="002C047D"/>
    <w:rsid w:val="002C074C"/>
    <w:rsid w:val="002C09B2"/>
    <w:rsid w:val="002C12A3"/>
    <w:rsid w:val="002C136F"/>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D71"/>
    <w:rsid w:val="002C5FDA"/>
    <w:rsid w:val="002C6011"/>
    <w:rsid w:val="002C60FB"/>
    <w:rsid w:val="002C61A0"/>
    <w:rsid w:val="002C646A"/>
    <w:rsid w:val="002C663D"/>
    <w:rsid w:val="002C6B86"/>
    <w:rsid w:val="002C6F52"/>
    <w:rsid w:val="002C70D0"/>
    <w:rsid w:val="002C780D"/>
    <w:rsid w:val="002C7B63"/>
    <w:rsid w:val="002D00E6"/>
    <w:rsid w:val="002D00F4"/>
    <w:rsid w:val="002D0A64"/>
    <w:rsid w:val="002D0E78"/>
    <w:rsid w:val="002D13A8"/>
    <w:rsid w:val="002D15B3"/>
    <w:rsid w:val="002D1B6F"/>
    <w:rsid w:val="002D1CE4"/>
    <w:rsid w:val="002D1DF5"/>
    <w:rsid w:val="002D1E22"/>
    <w:rsid w:val="002D1E9C"/>
    <w:rsid w:val="002D21B0"/>
    <w:rsid w:val="002D2B77"/>
    <w:rsid w:val="002D3179"/>
    <w:rsid w:val="002D36A2"/>
    <w:rsid w:val="002D3DAB"/>
    <w:rsid w:val="002D4469"/>
    <w:rsid w:val="002D46F7"/>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E55"/>
    <w:rsid w:val="002E16BB"/>
    <w:rsid w:val="002E1763"/>
    <w:rsid w:val="002E1EBF"/>
    <w:rsid w:val="002E2464"/>
    <w:rsid w:val="002E30E0"/>
    <w:rsid w:val="002E358C"/>
    <w:rsid w:val="002E403E"/>
    <w:rsid w:val="002E4A43"/>
    <w:rsid w:val="002E4CDC"/>
    <w:rsid w:val="002E4F05"/>
    <w:rsid w:val="002E53E7"/>
    <w:rsid w:val="002E5661"/>
    <w:rsid w:val="002E572A"/>
    <w:rsid w:val="002E65A3"/>
    <w:rsid w:val="002E65B5"/>
    <w:rsid w:val="002E6712"/>
    <w:rsid w:val="002E697B"/>
    <w:rsid w:val="002E6A73"/>
    <w:rsid w:val="002E7476"/>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2D3"/>
    <w:rsid w:val="002F33A5"/>
    <w:rsid w:val="002F3623"/>
    <w:rsid w:val="002F50B3"/>
    <w:rsid w:val="002F530F"/>
    <w:rsid w:val="002F5373"/>
    <w:rsid w:val="002F5423"/>
    <w:rsid w:val="002F54DE"/>
    <w:rsid w:val="002F56C3"/>
    <w:rsid w:val="002F5B18"/>
    <w:rsid w:val="002F5E65"/>
    <w:rsid w:val="002F64C4"/>
    <w:rsid w:val="002F68ED"/>
    <w:rsid w:val="002F70F8"/>
    <w:rsid w:val="002F78EF"/>
    <w:rsid w:val="002F7992"/>
    <w:rsid w:val="002F7A6C"/>
    <w:rsid w:val="002F7CA8"/>
    <w:rsid w:val="0030019B"/>
    <w:rsid w:val="003003C1"/>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7EB"/>
    <w:rsid w:val="00304FF7"/>
    <w:rsid w:val="00305197"/>
    <w:rsid w:val="0030582E"/>
    <w:rsid w:val="00305A1C"/>
    <w:rsid w:val="003064BF"/>
    <w:rsid w:val="00306DBF"/>
    <w:rsid w:val="00307526"/>
    <w:rsid w:val="003075AA"/>
    <w:rsid w:val="00307C8D"/>
    <w:rsid w:val="00310170"/>
    <w:rsid w:val="00310341"/>
    <w:rsid w:val="00310A2C"/>
    <w:rsid w:val="003110A4"/>
    <w:rsid w:val="00311E88"/>
    <w:rsid w:val="00312552"/>
    <w:rsid w:val="00312A26"/>
    <w:rsid w:val="00312DAD"/>
    <w:rsid w:val="00312ED6"/>
    <w:rsid w:val="0031309F"/>
    <w:rsid w:val="0031367B"/>
    <w:rsid w:val="00313945"/>
    <w:rsid w:val="00313B40"/>
    <w:rsid w:val="00313D72"/>
    <w:rsid w:val="00314638"/>
    <w:rsid w:val="0031489E"/>
    <w:rsid w:val="00314A40"/>
    <w:rsid w:val="00315571"/>
    <w:rsid w:val="00315821"/>
    <w:rsid w:val="003159C0"/>
    <w:rsid w:val="00315A2F"/>
    <w:rsid w:val="00315BBB"/>
    <w:rsid w:val="00315BDB"/>
    <w:rsid w:val="00315D02"/>
    <w:rsid w:val="00316019"/>
    <w:rsid w:val="00316409"/>
    <w:rsid w:val="0031643B"/>
    <w:rsid w:val="0031675E"/>
    <w:rsid w:val="00316CD0"/>
    <w:rsid w:val="00316DD2"/>
    <w:rsid w:val="00317FC5"/>
    <w:rsid w:val="0032096B"/>
    <w:rsid w:val="003209A0"/>
    <w:rsid w:val="003219EB"/>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A0D"/>
    <w:rsid w:val="00331B4B"/>
    <w:rsid w:val="00331F7F"/>
    <w:rsid w:val="003323CC"/>
    <w:rsid w:val="003329CB"/>
    <w:rsid w:val="00332FAB"/>
    <w:rsid w:val="00333369"/>
    <w:rsid w:val="00333859"/>
    <w:rsid w:val="00333938"/>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40519"/>
    <w:rsid w:val="00340824"/>
    <w:rsid w:val="00340BEC"/>
    <w:rsid w:val="00340D32"/>
    <w:rsid w:val="003413A6"/>
    <w:rsid w:val="003416B7"/>
    <w:rsid w:val="003417AD"/>
    <w:rsid w:val="00341961"/>
    <w:rsid w:val="003421CD"/>
    <w:rsid w:val="003422F0"/>
    <w:rsid w:val="0034260F"/>
    <w:rsid w:val="0034297F"/>
    <w:rsid w:val="00343795"/>
    <w:rsid w:val="00343A6C"/>
    <w:rsid w:val="0034451C"/>
    <w:rsid w:val="00344986"/>
    <w:rsid w:val="00344C79"/>
    <w:rsid w:val="00344FF1"/>
    <w:rsid w:val="003452F8"/>
    <w:rsid w:val="00345569"/>
    <w:rsid w:val="00345849"/>
    <w:rsid w:val="00345A01"/>
    <w:rsid w:val="00345E61"/>
    <w:rsid w:val="00345E69"/>
    <w:rsid w:val="003460E0"/>
    <w:rsid w:val="0034614B"/>
    <w:rsid w:val="003467D3"/>
    <w:rsid w:val="0034690D"/>
    <w:rsid w:val="00346AD4"/>
    <w:rsid w:val="00347279"/>
    <w:rsid w:val="003477BE"/>
    <w:rsid w:val="00347D2E"/>
    <w:rsid w:val="00350ADD"/>
    <w:rsid w:val="003510D2"/>
    <w:rsid w:val="00351813"/>
    <w:rsid w:val="00351C11"/>
    <w:rsid w:val="00351C3E"/>
    <w:rsid w:val="00351DA0"/>
    <w:rsid w:val="00351EB8"/>
    <w:rsid w:val="00352578"/>
    <w:rsid w:val="003527E0"/>
    <w:rsid w:val="00352A91"/>
    <w:rsid w:val="00352E68"/>
    <w:rsid w:val="0035316A"/>
    <w:rsid w:val="00353303"/>
    <w:rsid w:val="00353579"/>
    <w:rsid w:val="0035362D"/>
    <w:rsid w:val="0035386E"/>
    <w:rsid w:val="0035406F"/>
    <w:rsid w:val="0035448E"/>
    <w:rsid w:val="00354722"/>
    <w:rsid w:val="003548FE"/>
    <w:rsid w:val="00354B5A"/>
    <w:rsid w:val="00354E3A"/>
    <w:rsid w:val="003557A3"/>
    <w:rsid w:val="00355ACB"/>
    <w:rsid w:val="00355CAF"/>
    <w:rsid w:val="00355EA9"/>
    <w:rsid w:val="00356EF6"/>
    <w:rsid w:val="0035724F"/>
    <w:rsid w:val="003572BE"/>
    <w:rsid w:val="00357990"/>
    <w:rsid w:val="00357C93"/>
    <w:rsid w:val="00360517"/>
    <w:rsid w:val="00360F2C"/>
    <w:rsid w:val="00360F57"/>
    <w:rsid w:val="00360FA4"/>
    <w:rsid w:val="003621DB"/>
    <w:rsid w:val="003634AC"/>
    <w:rsid w:val="0036389C"/>
    <w:rsid w:val="00363AC1"/>
    <w:rsid w:val="0036409F"/>
    <w:rsid w:val="0036433A"/>
    <w:rsid w:val="003648D3"/>
    <w:rsid w:val="00364D5A"/>
    <w:rsid w:val="00364DCE"/>
    <w:rsid w:val="003652A8"/>
    <w:rsid w:val="00365DFC"/>
    <w:rsid w:val="00365EAD"/>
    <w:rsid w:val="00365FAE"/>
    <w:rsid w:val="00366251"/>
    <w:rsid w:val="00366284"/>
    <w:rsid w:val="003666DB"/>
    <w:rsid w:val="00366791"/>
    <w:rsid w:val="00366E0D"/>
    <w:rsid w:val="003676D2"/>
    <w:rsid w:val="003677B9"/>
    <w:rsid w:val="003679AF"/>
    <w:rsid w:val="00370573"/>
    <w:rsid w:val="0037093A"/>
    <w:rsid w:val="003716E5"/>
    <w:rsid w:val="003720BA"/>
    <w:rsid w:val="003721A4"/>
    <w:rsid w:val="00372F02"/>
    <w:rsid w:val="003732FF"/>
    <w:rsid w:val="00373410"/>
    <w:rsid w:val="003735D4"/>
    <w:rsid w:val="00373B73"/>
    <w:rsid w:val="00373D03"/>
    <w:rsid w:val="00373F5B"/>
    <w:rsid w:val="00374035"/>
    <w:rsid w:val="0037409E"/>
    <w:rsid w:val="003742CC"/>
    <w:rsid w:val="00374314"/>
    <w:rsid w:val="00374C6F"/>
    <w:rsid w:val="00374DE3"/>
    <w:rsid w:val="00374E0B"/>
    <w:rsid w:val="00374EA0"/>
    <w:rsid w:val="003752BE"/>
    <w:rsid w:val="0037555C"/>
    <w:rsid w:val="0037556A"/>
    <w:rsid w:val="00375D7B"/>
    <w:rsid w:val="00376AA9"/>
    <w:rsid w:val="0037765A"/>
    <w:rsid w:val="003777C4"/>
    <w:rsid w:val="00377A57"/>
    <w:rsid w:val="00377C8B"/>
    <w:rsid w:val="00377D6E"/>
    <w:rsid w:val="0038009F"/>
    <w:rsid w:val="003800DE"/>
    <w:rsid w:val="003802E0"/>
    <w:rsid w:val="00380F2D"/>
    <w:rsid w:val="00381A45"/>
    <w:rsid w:val="00381D96"/>
    <w:rsid w:val="00381E3B"/>
    <w:rsid w:val="003820FC"/>
    <w:rsid w:val="00382F39"/>
    <w:rsid w:val="0038326A"/>
    <w:rsid w:val="003832F7"/>
    <w:rsid w:val="00383E1F"/>
    <w:rsid w:val="00384E3D"/>
    <w:rsid w:val="00384E5F"/>
    <w:rsid w:val="00384E84"/>
    <w:rsid w:val="003857FD"/>
    <w:rsid w:val="00385F44"/>
    <w:rsid w:val="0038608B"/>
    <w:rsid w:val="0038708A"/>
    <w:rsid w:val="003871FA"/>
    <w:rsid w:val="00387402"/>
    <w:rsid w:val="0038784D"/>
    <w:rsid w:val="00387A14"/>
    <w:rsid w:val="00387A90"/>
    <w:rsid w:val="00387ADB"/>
    <w:rsid w:val="00387EA7"/>
    <w:rsid w:val="0039059E"/>
    <w:rsid w:val="0039068C"/>
    <w:rsid w:val="00390BBC"/>
    <w:rsid w:val="003913EE"/>
    <w:rsid w:val="0039152F"/>
    <w:rsid w:val="003924A1"/>
    <w:rsid w:val="003925C6"/>
    <w:rsid w:val="00392745"/>
    <w:rsid w:val="003927D1"/>
    <w:rsid w:val="003929BE"/>
    <w:rsid w:val="00392E82"/>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2108"/>
    <w:rsid w:val="003A29AE"/>
    <w:rsid w:val="003A2A80"/>
    <w:rsid w:val="003A2DD7"/>
    <w:rsid w:val="003A2FBF"/>
    <w:rsid w:val="003A2FCD"/>
    <w:rsid w:val="003A30E3"/>
    <w:rsid w:val="003A3149"/>
    <w:rsid w:val="003A3221"/>
    <w:rsid w:val="003A3B27"/>
    <w:rsid w:val="003A40D6"/>
    <w:rsid w:val="003A4333"/>
    <w:rsid w:val="003A4967"/>
    <w:rsid w:val="003A4DC6"/>
    <w:rsid w:val="003A4E24"/>
    <w:rsid w:val="003A50FA"/>
    <w:rsid w:val="003A5B3B"/>
    <w:rsid w:val="003A62E9"/>
    <w:rsid w:val="003A637F"/>
    <w:rsid w:val="003A64F9"/>
    <w:rsid w:val="003A678D"/>
    <w:rsid w:val="003A73C8"/>
    <w:rsid w:val="003A779F"/>
    <w:rsid w:val="003A78C1"/>
    <w:rsid w:val="003A7D49"/>
    <w:rsid w:val="003A7E98"/>
    <w:rsid w:val="003B000F"/>
    <w:rsid w:val="003B02CA"/>
    <w:rsid w:val="003B08F3"/>
    <w:rsid w:val="003B09A2"/>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E3B"/>
    <w:rsid w:val="003B50E3"/>
    <w:rsid w:val="003B527B"/>
    <w:rsid w:val="003B58A6"/>
    <w:rsid w:val="003B5B95"/>
    <w:rsid w:val="003B61BA"/>
    <w:rsid w:val="003B6A4F"/>
    <w:rsid w:val="003B72CB"/>
    <w:rsid w:val="003B7447"/>
    <w:rsid w:val="003B744C"/>
    <w:rsid w:val="003B7DEF"/>
    <w:rsid w:val="003C00AF"/>
    <w:rsid w:val="003C0C2D"/>
    <w:rsid w:val="003C0DFF"/>
    <w:rsid w:val="003C111A"/>
    <w:rsid w:val="003C1212"/>
    <w:rsid w:val="003C1369"/>
    <w:rsid w:val="003C13E1"/>
    <w:rsid w:val="003C17EA"/>
    <w:rsid w:val="003C1835"/>
    <w:rsid w:val="003C19D7"/>
    <w:rsid w:val="003C1B9A"/>
    <w:rsid w:val="003C1E70"/>
    <w:rsid w:val="003C1E74"/>
    <w:rsid w:val="003C227B"/>
    <w:rsid w:val="003C2325"/>
    <w:rsid w:val="003C23F4"/>
    <w:rsid w:val="003C283F"/>
    <w:rsid w:val="003C2C7C"/>
    <w:rsid w:val="003C2E93"/>
    <w:rsid w:val="003C48E2"/>
    <w:rsid w:val="003C4B2E"/>
    <w:rsid w:val="003C4B83"/>
    <w:rsid w:val="003C5A9C"/>
    <w:rsid w:val="003C6349"/>
    <w:rsid w:val="003C6364"/>
    <w:rsid w:val="003C6B0E"/>
    <w:rsid w:val="003C6C9A"/>
    <w:rsid w:val="003C6FF3"/>
    <w:rsid w:val="003C71A6"/>
    <w:rsid w:val="003C72D8"/>
    <w:rsid w:val="003C730D"/>
    <w:rsid w:val="003C78A0"/>
    <w:rsid w:val="003C7B3C"/>
    <w:rsid w:val="003D0090"/>
    <w:rsid w:val="003D0575"/>
    <w:rsid w:val="003D0AEA"/>
    <w:rsid w:val="003D1490"/>
    <w:rsid w:val="003D14D9"/>
    <w:rsid w:val="003D1DA4"/>
    <w:rsid w:val="003D214C"/>
    <w:rsid w:val="003D2209"/>
    <w:rsid w:val="003D22CE"/>
    <w:rsid w:val="003D2350"/>
    <w:rsid w:val="003D2418"/>
    <w:rsid w:val="003D2A76"/>
    <w:rsid w:val="003D2ACC"/>
    <w:rsid w:val="003D2ADC"/>
    <w:rsid w:val="003D2FD6"/>
    <w:rsid w:val="003D37F8"/>
    <w:rsid w:val="003D38B0"/>
    <w:rsid w:val="003D3F82"/>
    <w:rsid w:val="003D417E"/>
    <w:rsid w:val="003D42FB"/>
    <w:rsid w:val="003D4357"/>
    <w:rsid w:val="003D43E7"/>
    <w:rsid w:val="003D4B43"/>
    <w:rsid w:val="003D5563"/>
    <w:rsid w:val="003D579E"/>
    <w:rsid w:val="003D5D41"/>
    <w:rsid w:val="003D6319"/>
    <w:rsid w:val="003D6602"/>
    <w:rsid w:val="003D73D4"/>
    <w:rsid w:val="003D7D6F"/>
    <w:rsid w:val="003E0125"/>
    <w:rsid w:val="003E04F2"/>
    <w:rsid w:val="003E0C50"/>
    <w:rsid w:val="003E0DC0"/>
    <w:rsid w:val="003E12BD"/>
    <w:rsid w:val="003E1870"/>
    <w:rsid w:val="003E18EB"/>
    <w:rsid w:val="003E20D8"/>
    <w:rsid w:val="003E22AD"/>
    <w:rsid w:val="003E286E"/>
    <w:rsid w:val="003E2DDA"/>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F1"/>
    <w:rsid w:val="003F3C38"/>
    <w:rsid w:val="003F4529"/>
    <w:rsid w:val="003F45AB"/>
    <w:rsid w:val="003F51B1"/>
    <w:rsid w:val="003F568D"/>
    <w:rsid w:val="003F5B02"/>
    <w:rsid w:val="003F607B"/>
    <w:rsid w:val="003F6147"/>
    <w:rsid w:val="003F657D"/>
    <w:rsid w:val="003F65AA"/>
    <w:rsid w:val="003F66B1"/>
    <w:rsid w:val="003F6C60"/>
    <w:rsid w:val="003F6F73"/>
    <w:rsid w:val="003F7152"/>
    <w:rsid w:val="003F7482"/>
    <w:rsid w:val="003F760C"/>
    <w:rsid w:val="003F7667"/>
    <w:rsid w:val="00400238"/>
    <w:rsid w:val="00400698"/>
    <w:rsid w:val="00400953"/>
    <w:rsid w:val="00400AA0"/>
    <w:rsid w:val="00401079"/>
    <w:rsid w:val="00401DFF"/>
    <w:rsid w:val="004026EF"/>
    <w:rsid w:val="0040286E"/>
    <w:rsid w:val="00402E98"/>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7A4A"/>
    <w:rsid w:val="00407EB1"/>
    <w:rsid w:val="00407F46"/>
    <w:rsid w:val="004100D0"/>
    <w:rsid w:val="004101B7"/>
    <w:rsid w:val="0041081C"/>
    <w:rsid w:val="00410C9E"/>
    <w:rsid w:val="00411500"/>
    <w:rsid w:val="00411CEF"/>
    <w:rsid w:val="0041232D"/>
    <w:rsid w:val="00412DD5"/>
    <w:rsid w:val="00413E21"/>
    <w:rsid w:val="0041444A"/>
    <w:rsid w:val="00414664"/>
    <w:rsid w:val="00414A5C"/>
    <w:rsid w:val="00414DC3"/>
    <w:rsid w:val="00415115"/>
    <w:rsid w:val="004156DA"/>
    <w:rsid w:val="00416E5D"/>
    <w:rsid w:val="00416E9E"/>
    <w:rsid w:val="00416F2B"/>
    <w:rsid w:val="0041776A"/>
    <w:rsid w:val="00417ACE"/>
    <w:rsid w:val="00417B6A"/>
    <w:rsid w:val="00417BD8"/>
    <w:rsid w:val="004200E3"/>
    <w:rsid w:val="0042061F"/>
    <w:rsid w:val="00420BFA"/>
    <w:rsid w:val="004210C3"/>
    <w:rsid w:val="004217D3"/>
    <w:rsid w:val="00421C81"/>
    <w:rsid w:val="004222F7"/>
    <w:rsid w:val="00422C2A"/>
    <w:rsid w:val="004230C2"/>
    <w:rsid w:val="004232C3"/>
    <w:rsid w:val="00423780"/>
    <w:rsid w:val="00423975"/>
    <w:rsid w:val="0042468D"/>
    <w:rsid w:val="004249C7"/>
    <w:rsid w:val="00424A56"/>
    <w:rsid w:val="00424A73"/>
    <w:rsid w:val="0042594E"/>
    <w:rsid w:val="00425AB4"/>
    <w:rsid w:val="004262ED"/>
    <w:rsid w:val="004269AB"/>
    <w:rsid w:val="00426A4F"/>
    <w:rsid w:val="00426C1E"/>
    <w:rsid w:val="00426C35"/>
    <w:rsid w:val="00426D73"/>
    <w:rsid w:val="00426EFE"/>
    <w:rsid w:val="00427417"/>
    <w:rsid w:val="00427593"/>
    <w:rsid w:val="004305A7"/>
    <w:rsid w:val="00430B21"/>
    <w:rsid w:val="004311E6"/>
    <w:rsid w:val="0043139D"/>
    <w:rsid w:val="00431427"/>
    <w:rsid w:val="0043154F"/>
    <w:rsid w:val="004317F0"/>
    <w:rsid w:val="00431B9F"/>
    <w:rsid w:val="00431C7A"/>
    <w:rsid w:val="00431D49"/>
    <w:rsid w:val="0043204D"/>
    <w:rsid w:val="0043262C"/>
    <w:rsid w:val="00432F71"/>
    <w:rsid w:val="00433AEA"/>
    <w:rsid w:val="00433E0C"/>
    <w:rsid w:val="00434289"/>
    <w:rsid w:val="0043460E"/>
    <w:rsid w:val="0043461F"/>
    <w:rsid w:val="00434899"/>
    <w:rsid w:val="00434926"/>
    <w:rsid w:val="00434E3E"/>
    <w:rsid w:val="004358F7"/>
    <w:rsid w:val="00435BFF"/>
    <w:rsid w:val="00435C8C"/>
    <w:rsid w:val="00436C32"/>
    <w:rsid w:val="004372A5"/>
    <w:rsid w:val="00437564"/>
    <w:rsid w:val="00437686"/>
    <w:rsid w:val="004376C2"/>
    <w:rsid w:val="0044009D"/>
    <w:rsid w:val="0044036A"/>
    <w:rsid w:val="0044047F"/>
    <w:rsid w:val="0044058E"/>
    <w:rsid w:val="00440AA5"/>
    <w:rsid w:val="00440CCA"/>
    <w:rsid w:val="0044145F"/>
    <w:rsid w:val="00442059"/>
    <w:rsid w:val="00442BF1"/>
    <w:rsid w:val="00442C68"/>
    <w:rsid w:val="00442E03"/>
    <w:rsid w:val="004430AF"/>
    <w:rsid w:val="00443957"/>
    <w:rsid w:val="00443C54"/>
    <w:rsid w:val="004441DD"/>
    <w:rsid w:val="004446BF"/>
    <w:rsid w:val="00444799"/>
    <w:rsid w:val="004449CC"/>
    <w:rsid w:val="00445031"/>
    <w:rsid w:val="00445211"/>
    <w:rsid w:val="00445569"/>
    <w:rsid w:val="004456DE"/>
    <w:rsid w:val="0044589A"/>
    <w:rsid w:val="00445BE9"/>
    <w:rsid w:val="004470F6"/>
    <w:rsid w:val="00447454"/>
    <w:rsid w:val="00447837"/>
    <w:rsid w:val="00447FF1"/>
    <w:rsid w:val="00450157"/>
    <w:rsid w:val="00450394"/>
    <w:rsid w:val="00450796"/>
    <w:rsid w:val="00450ED3"/>
    <w:rsid w:val="00450F11"/>
    <w:rsid w:val="0045111A"/>
    <w:rsid w:val="00451D25"/>
    <w:rsid w:val="00451F58"/>
    <w:rsid w:val="004520E4"/>
    <w:rsid w:val="0045266D"/>
    <w:rsid w:val="00452AAC"/>
    <w:rsid w:val="00452E19"/>
    <w:rsid w:val="00453D37"/>
    <w:rsid w:val="00453F01"/>
    <w:rsid w:val="00454128"/>
    <w:rsid w:val="0045487B"/>
    <w:rsid w:val="004554EF"/>
    <w:rsid w:val="00455888"/>
    <w:rsid w:val="004559F6"/>
    <w:rsid w:val="00455A01"/>
    <w:rsid w:val="00455A47"/>
    <w:rsid w:val="00455EC9"/>
    <w:rsid w:val="004563F1"/>
    <w:rsid w:val="00456829"/>
    <w:rsid w:val="00456EAA"/>
    <w:rsid w:val="004570E9"/>
    <w:rsid w:val="004604E6"/>
    <w:rsid w:val="004605E6"/>
    <w:rsid w:val="004609AA"/>
    <w:rsid w:val="00461107"/>
    <w:rsid w:val="004611F6"/>
    <w:rsid w:val="00461B2D"/>
    <w:rsid w:val="00461BE0"/>
    <w:rsid w:val="004624A3"/>
    <w:rsid w:val="004624D0"/>
    <w:rsid w:val="00462912"/>
    <w:rsid w:val="00462A82"/>
    <w:rsid w:val="00463001"/>
    <w:rsid w:val="0046362A"/>
    <w:rsid w:val="004639EF"/>
    <w:rsid w:val="00463A8E"/>
    <w:rsid w:val="00463B01"/>
    <w:rsid w:val="00463DD7"/>
    <w:rsid w:val="00463E0B"/>
    <w:rsid w:val="00465254"/>
    <w:rsid w:val="00465258"/>
    <w:rsid w:val="00465773"/>
    <w:rsid w:val="00465C78"/>
    <w:rsid w:val="004661CE"/>
    <w:rsid w:val="004670BF"/>
    <w:rsid w:val="00467945"/>
    <w:rsid w:val="00467B48"/>
    <w:rsid w:val="00470121"/>
    <w:rsid w:val="00470137"/>
    <w:rsid w:val="00470593"/>
    <w:rsid w:val="004706A4"/>
    <w:rsid w:val="004713AA"/>
    <w:rsid w:val="0047253A"/>
    <w:rsid w:val="004729EA"/>
    <w:rsid w:val="00472AEA"/>
    <w:rsid w:val="00472D3B"/>
    <w:rsid w:val="00472E7A"/>
    <w:rsid w:val="00472EFF"/>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92"/>
    <w:rsid w:val="00475BD6"/>
    <w:rsid w:val="00475C43"/>
    <w:rsid w:val="00475F0E"/>
    <w:rsid w:val="0047617B"/>
    <w:rsid w:val="0047685D"/>
    <w:rsid w:val="00477229"/>
    <w:rsid w:val="00477539"/>
    <w:rsid w:val="00477748"/>
    <w:rsid w:val="0047790A"/>
    <w:rsid w:val="004779A4"/>
    <w:rsid w:val="00477C46"/>
    <w:rsid w:val="00481D6F"/>
    <w:rsid w:val="00481F35"/>
    <w:rsid w:val="00483C37"/>
    <w:rsid w:val="0048471D"/>
    <w:rsid w:val="0048497C"/>
    <w:rsid w:val="004849ED"/>
    <w:rsid w:val="00484E40"/>
    <w:rsid w:val="00484E7A"/>
    <w:rsid w:val="004853EA"/>
    <w:rsid w:val="00485687"/>
    <w:rsid w:val="0048578E"/>
    <w:rsid w:val="00485DEE"/>
    <w:rsid w:val="00486162"/>
    <w:rsid w:val="0048661B"/>
    <w:rsid w:val="00486926"/>
    <w:rsid w:val="00487508"/>
    <w:rsid w:val="00487BFA"/>
    <w:rsid w:val="004905BF"/>
    <w:rsid w:val="00491107"/>
    <w:rsid w:val="004925D4"/>
    <w:rsid w:val="004928FB"/>
    <w:rsid w:val="00493386"/>
    <w:rsid w:val="00493984"/>
    <w:rsid w:val="00493BC1"/>
    <w:rsid w:val="00494B83"/>
    <w:rsid w:val="00494EAB"/>
    <w:rsid w:val="00495022"/>
    <w:rsid w:val="004950BC"/>
    <w:rsid w:val="004953B4"/>
    <w:rsid w:val="00495FC2"/>
    <w:rsid w:val="00495FF9"/>
    <w:rsid w:val="0049610E"/>
    <w:rsid w:val="00496333"/>
    <w:rsid w:val="00497323"/>
    <w:rsid w:val="0049776E"/>
    <w:rsid w:val="00497A89"/>
    <w:rsid w:val="00497A9F"/>
    <w:rsid w:val="00497C01"/>
    <w:rsid w:val="00497D65"/>
    <w:rsid w:val="00497EF2"/>
    <w:rsid w:val="004A131C"/>
    <w:rsid w:val="004A14AD"/>
    <w:rsid w:val="004A17D2"/>
    <w:rsid w:val="004A1ADF"/>
    <w:rsid w:val="004A1C47"/>
    <w:rsid w:val="004A2740"/>
    <w:rsid w:val="004A27C1"/>
    <w:rsid w:val="004A281A"/>
    <w:rsid w:val="004A2983"/>
    <w:rsid w:val="004A329C"/>
    <w:rsid w:val="004A390E"/>
    <w:rsid w:val="004A43C8"/>
    <w:rsid w:val="004A484D"/>
    <w:rsid w:val="004A48C6"/>
    <w:rsid w:val="004A532B"/>
    <w:rsid w:val="004A5475"/>
    <w:rsid w:val="004A58EB"/>
    <w:rsid w:val="004A5CE5"/>
    <w:rsid w:val="004A5F40"/>
    <w:rsid w:val="004A5F57"/>
    <w:rsid w:val="004A64F5"/>
    <w:rsid w:val="004A6670"/>
    <w:rsid w:val="004A6F15"/>
    <w:rsid w:val="004A7132"/>
    <w:rsid w:val="004A7190"/>
    <w:rsid w:val="004A7BA1"/>
    <w:rsid w:val="004B027B"/>
    <w:rsid w:val="004B06B8"/>
    <w:rsid w:val="004B07FD"/>
    <w:rsid w:val="004B0A7D"/>
    <w:rsid w:val="004B1445"/>
    <w:rsid w:val="004B160A"/>
    <w:rsid w:val="004B1645"/>
    <w:rsid w:val="004B1A22"/>
    <w:rsid w:val="004B1A7C"/>
    <w:rsid w:val="004B1F6C"/>
    <w:rsid w:val="004B2204"/>
    <w:rsid w:val="004B221F"/>
    <w:rsid w:val="004B240B"/>
    <w:rsid w:val="004B24DB"/>
    <w:rsid w:val="004B2FDF"/>
    <w:rsid w:val="004B33A0"/>
    <w:rsid w:val="004B34FE"/>
    <w:rsid w:val="004B37AB"/>
    <w:rsid w:val="004B38A2"/>
    <w:rsid w:val="004B3BA7"/>
    <w:rsid w:val="004B3BF4"/>
    <w:rsid w:val="004B4105"/>
    <w:rsid w:val="004B4903"/>
    <w:rsid w:val="004B4D2A"/>
    <w:rsid w:val="004B4D9C"/>
    <w:rsid w:val="004B524E"/>
    <w:rsid w:val="004B53DC"/>
    <w:rsid w:val="004B5D27"/>
    <w:rsid w:val="004B604F"/>
    <w:rsid w:val="004B646D"/>
    <w:rsid w:val="004B6507"/>
    <w:rsid w:val="004B6714"/>
    <w:rsid w:val="004B6BDB"/>
    <w:rsid w:val="004B6C8F"/>
    <w:rsid w:val="004B787C"/>
    <w:rsid w:val="004B7B9D"/>
    <w:rsid w:val="004B7D31"/>
    <w:rsid w:val="004C01D7"/>
    <w:rsid w:val="004C06FD"/>
    <w:rsid w:val="004C0B6E"/>
    <w:rsid w:val="004C0BD9"/>
    <w:rsid w:val="004C0CD0"/>
    <w:rsid w:val="004C0CF0"/>
    <w:rsid w:val="004C0DC7"/>
    <w:rsid w:val="004C214D"/>
    <w:rsid w:val="004C2389"/>
    <w:rsid w:val="004C24C8"/>
    <w:rsid w:val="004C294D"/>
    <w:rsid w:val="004C2B45"/>
    <w:rsid w:val="004C2F89"/>
    <w:rsid w:val="004C42DF"/>
    <w:rsid w:val="004C44AF"/>
    <w:rsid w:val="004C46B5"/>
    <w:rsid w:val="004C4836"/>
    <w:rsid w:val="004C4915"/>
    <w:rsid w:val="004C4B7B"/>
    <w:rsid w:val="004C55C5"/>
    <w:rsid w:val="004C588A"/>
    <w:rsid w:val="004C5ED4"/>
    <w:rsid w:val="004C5F24"/>
    <w:rsid w:val="004C63A8"/>
    <w:rsid w:val="004C668B"/>
    <w:rsid w:val="004C6774"/>
    <w:rsid w:val="004C7587"/>
    <w:rsid w:val="004C762E"/>
    <w:rsid w:val="004C7777"/>
    <w:rsid w:val="004C7AB4"/>
    <w:rsid w:val="004D0273"/>
    <w:rsid w:val="004D085D"/>
    <w:rsid w:val="004D0A67"/>
    <w:rsid w:val="004D0F5D"/>
    <w:rsid w:val="004D117F"/>
    <w:rsid w:val="004D22FB"/>
    <w:rsid w:val="004D2388"/>
    <w:rsid w:val="004D2701"/>
    <w:rsid w:val="004D287A"/>
    <w:rsid w:val="004D32FA"/>
    <w:rsid w:val="004D336F"/>
    <w:rsid w:val="004D354D"/>
    <w:rsid w:val="004D38E1"/>
    <w:rsid w:val="004D3908"/>
    <w:rsid w:val="004D3DB5"/>
    <w:rsid w:val="004D46C1"/>
    <w:rsid w:val="004D496F"/>
    <w:rsid w:val="004D51F6"/>
    <w:rsid w:val="004D5D2B"/>
    <w:rsid w:val="004D6C67"/>
    <w:rsid w:val="004D6FD1"/>
    <w:rsid w:val="004D7156"/>
    <w:rsid w:val="004D7AF1"/>
    <w:rsid w:val="004D7D04"/>
    <w:rsid w:val="004D7DE7"/>
    <w:rsid w:val="004E00A0"/>
    <w:rsid w:val="004E01D8"/>
    <w:rsid w:val="004E057E"/>
    <w:rsid w:val="004E06C5"/>
    <w:rsid w:val="004E0997"/>
    <w:rsid w:val="004E0E11"/>
    <w:rsid w:val="004E16CD"/>
    <w:rsid w:val="004E219E"/>
    <w:rsid w:val="004E2442"/>
    <w:rsid w:val="004E2541"/>
    <w:rsid w:val="004E27D8"/>
    <w:rsid w:val="004E339D"/>
    <w:rsid w:val="004E42D6"/>
    <w:rsid w:val="004E498C"/>
    <w:rsid w:val="004E514D"/>
    <w:rsid w:val="004E51B4"/>
    <w:rsid w:val="004E5267"/>
    <w:rsid w:val="004E54F4"/>
    <w:rsid w:val="004E58A4"/>
    <w:rsid w:val="004E5A03"/>
    <w:rsid w:val="004E5F0C"/>
    <w:rsid w:val="004E5F3E"/>
    <w:rsid w:val="004E6032"/>
    <w:rsid w:val="004E6B9D"/>
    <w:rsid w:val="004E6C18"/>
    <w:rsid w:val="004E70A8"/>
    <w:rsid w:val="004E7434"/>
    <w:rsid w:val="004E7DA8"/>
    <w:rsid w:val="004F0572"/>
    <w:rsid w:val="004F10DF"/>
    <w:rsid w:val="004F11A0"/>
    <w:rsid w:val="004F1AA8"/>
    <w:rsid w:val="004F24BD"/>
    <w:rsid w:val="004F4494"/>
    <w:rsid w:val="004F44F4"/>
    <w:rsid w:val="004F4641"/>
    <w:rsid w:val="004F47AB"/>
    <w:rsid w:val="004F492E"/>
    <w:rsid w:val="004F4B7D"/>
    <w:rsid w:val="004F51E8"/>
    <w:rsid w:val="004F5D22"/>
    <w:rsid w:val="004F5F63"/>
    <w:rsid w:val="004F633B"/>
    <w:rsid w:val="004F652D"/>
    <w:rsid w:val="004F6D8E"/>
    <w:rsid w:val="004F764C"/>
    <w:rsid w:val="004F7907"/>
    <w:rsid w:val="00500832"/>
    <w:rsid w:val="00501C74"/>
    <w:rsid w:val="00501F4D"/>
    <w:rsid w:val="00502895"/>
    <w:rsid w:val="005028D9"/>
    <w:rsid w:val="00502B9E"/>
    <w:rsid w:val="00502F6F"/>
    <w:rsid w:val="005030A4"/>
    <w:rsid w:val="005030E9"/>
    <w:rsid w:val="00503D10"/>
    <w:rsid w:val="00503F96"/>
    <w:rsid w:val="00504605"/>
    <w:rsid w:val="00504645"/>
    <w:rsid w:val="0050478F"/>
    <w:rsid w:val="00504948"/>
    <w:rsid w:val="00504A8E"/>
    <w:rsid w:val="00504D8F"/>
    <w:rsid w:val="005050BD"/>
    <w:rsid w:val="00505370"/>
    <w:rsid w:val="00505541"/>
    <w:rsid w:val="00505742"/>
    <w:rsid w:val="00505B89"/>
    <w:rsid w:val="00505E8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7CA"/>
    <w:rsid w:val="00511EA4"/>
    <w:rsid w:val="00511F81"/>
    <w:rsid w:val="005128D4"/>
    <w:rsid w:val="00512DAD"/>
    <w:rsid w:val="00512FA6"/>
    <w:rsid w:val="00513B67"/>
    <w:rsid w:val="00513CD1"/>
    <w:rsid w:val="00513DA2"/>
    <w:rsid w:val="005141E1"/>
    <w:rsid w:val="005149DC"/>
    <w:rsid w:val="00514A0C"/>
    <w:rsid w:val="00514C5C"/>
    <w:rsid w:val="00515853"/>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0808"/>
    <w:rsid w:val="005216A3"/>
    <w:rsid w:val="00521DBA"/>
    <w:rsid w:val="0052263D"/>
    <w:rsid w:val="00522966"/>
    <w:rsid w:val="005231C6"/>
    <w:rsid w:val="005233F0"/>
    <w:rsid w:val="005234A0"/>
    <w:rsid w:val="0052497F"/>
    <w:rsid w:val="00525121"/>
    <w:rsid w:val="0052555B"/>
    <w:rsid w:val="005265E2"/>
    <w:rsid w:val="00526612"/>
    <w:rsid w:val="005268BC"/>
    <w:rsid w:val="00526CB8"/>
    <w:rsid w:val="00526DFF"/>
    <w:rsid w:val="00526EA2"/>
    <w:rsid w:val="00526FE5"/>
    <w:rsid w:val="00527202"/>
    <w:rsid w:val="00527F7C"/>
    <w:rsid w:val="0053074A"/>
    <w:rsid w:val="00530815"/>
    <w:rsid w:val="00530D84"/>
    <w:rsid w:val="00531013"/>
    <w:rsid w:val="005313D2"/>
    <w:rsid w:val="005314C5"/>
    <w:rsid w:val="005318AD"/>
    <w:rsid w:val="00531FB7"/>
    <w:rsid w:val="00532027"/>
    <w:rsid w:val="0053234F"/>
    <w:rsid w:val="005328D6"/>
    <w:rsid w:val="005332F2"/>
    <w:rsid w:val="00533652"/>
    <w:rsid w:val="00534111"/>
    <w:rsid w:val="0053466B"/>
    <w:rsid w:val="005348BE"/>
    <w:rsid w:val="0053493A"/>
    <w:rsid w:val="005355B2"/>
    <w:rsid w:val="0053560B"/>
    <w:rsid w:val="005358C5"/>
    <w:rsid w:val="00537182"/>
    <w:rsid w:val="005371C3"/>
    <w:rsid w:val="005378AE"/>
    <w:rsid w:val="0053792E"/>
    <w:rsid w:val="00537C2F"/>
    <w:rsid w:val="00537D22"/>
    <w:rsid w:val="00540090"/>
    <w:rsid w:val="00540131"/>
    <w:rsid w:val="00540919"/>
    <w:rsid w:val="00540D87"/>
    <w:rsid w:val="00541595"/>
    <w:rsid w:val="0054164D"/>
    <w:rsid w:val="005417A3"/>
    <w:rsid w:val="00541AE1"/>
    <w:rsid w:val="00541B38"/>
    <w:rsid w:val="00542B04"/>
    <w:rsid w:val="005432A7"/>
    <w:rsid w:val="00543A5B"/>
    <w:rsid w:val="00543E9D"/>
    <w:rsid w:val="005443A5"/>
    <w:rsid w:val="0054447A"/>
    <w:rsid w:val="00544764"/>
    <w:rsid w:val="00544F1E"/>
    <w:rsid w:val="005451B9"/>
    <w:rsid w:val="00545411"/>
    <w:rsid w:val="005457FA"/>
    <w:rsid w:val="00545872"/>
    <w:rsid w:val="00546099"/>
    <w:rsid w:val="00546BD4"/>
    <w:rsid w:val="005471F7"/>
    <w:rsid w:val="00547906"/>
    <w:rsid w:val="00547B69"/>
    <w:rsid w:val="00550272"/>
    <w:rsid w:val="00550383"/>
    <w:rsid w:val="005506F0"/>
    <w:rsid w:val="00550F3C"/>
    <w:rsid w:val="00551E4B"/>
    <w:rsid w:val="005522EA"/>
    <w:rsid w:val="0055242D"/>
    <w:rsid w:val="00552C6C"/>
    <w:rsid w:val="0055327C"/>
    <w:rsid w:val="005534D3"/>
    <w:rsid w:val="00554129"/>
    <w:rsid w:val="005546C2"/>
    <w:rsid w:val="00554BC5"/>
    <w:rsid w:val="005551B3"/>
    <w:rsid w:val="00555A0E"/>
    <w:rsid w:val="00555C4C"/>
    <w:rsid w:val="005564A4"/>
    <w:rsid w:val="005564FE"/>
    <w:rsid w:val="00556585"/>
    <w:rsid w:val="00556AF9"/>
    <w:rsid w:val="00556D17"/>
    <w:rsid w:val="00557589"/>
    <w:rsid w:val="005575CF"/>
    <w:rsid w:val="005576D3"/>
    <w:rsid w:val="005577CA"/>
    <w:rsid w:val="00557B47"/>
    <w:rsid w:val="00557E15"/>
    <w:rsid w:val="0056014C"/>
    <w:rsid w:val="00560202"/>
    <w:rsid w:val="00560281"/>
    <w:rsid w:val="005602AA"/>
    <w:rsid w:val="00560425"/>
    <w:rsid w:val="0056104A"/>
    <w:rsid w:val="005611F6"/>
    <w:rsid w:val="00561D76"/>
    <w:rsid w:val="0056238D"/>
    <w:rsid w:val="00562554"/>
    <w:rsid w:val="00562B9B"/>
    <w:rsid w:val="00563343"/>
    <w:rsid w:val="00563C4C"/>
    <w:rsid w:val="005642F8"/>
    <w:rsid w:val="00564821"/>
    <w:rsid w:val="00564896"/>
    <w:rsid w:val="00564AFD"/>
    <w:rsid w:val="00565806"/>
    <w:rsid w:val="00565A00"/>
    <w:rsid w:val="00565BA9"/>
    <w:rsid w:val="00565EEB"/>
    <w:rsid w:val="005668F6"/>
    <w:rsid w:val="00566944"/>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24E8"/>
    <w:rsid w:val="0057285B"/>
    <w:rsid w:val="00573665"/>
    <w:rsid w:val="00573721"/>
    <w:rsid w:val="00573DC8"/>
    <w:rsid w:val="005741F4"/>
    <w:rsid w:val="00574985"/>
    <w:rsid w:val="00574EFA"/>
    <w:rsid w:val="00575925"/>
    <w:rsid w:val="005759F6"/>
    <w:rsid w:val="00575AE8"/>
    <w:rsid w:val="00575DE8"/>
    <w:rsid w:val="00576D03"/>
    <w:rsid w:val="00576F8C"/>
    <w:rsid w:val="00577102"/>
    <w:rsid w:val="005779DD"/>
    <w:rsid w:val="00577B53"/>
    <w:rsid w:val="0058018F"/>
    <w:rsid w:val="00580534"/>
    <w:rsid w:val="0058068E"/>
    <w:rsid w:val="0058186C"/>
    <w:rsid w:val="005818FD"/>
    <w:rsid w:val="00581C79"/>
    <w:rsid w:val="005820E5"/>
    <w:rsid w:val="005821DE"/>
    <w:rsid w:val="0058232D"/>
    <w:rsid w:val="00582F4E"/>
    <w:rsid w:val="00583630"/>
    <w:rsid w:val="00583CCB"/>
    <w:rsid w:val="005840C5"/>
    <w:rsid w:val="005841E5"/>
    <w:rsid w:val="005841F2"/>
    <w:rsid w:val="00584775"/>
    <w:rsid w:val="00585313"/>
    <w:rsid w:val="00585471"/>
    <w:rsid w:val="00585618"/>
    <w:rsid w:val="00585F5A"/>
    <w:rsid w:val="005860CD"/>
    <w:rsid w:val="00586105"/>
    <w:rsid w:val="00586295"/>
    <w:rsid w:val="005868B0"/>
    <w:rsid w:val="0058699C"/>
    <w:rsid w:val="005873E2"/>
    <w:rsid w:val="005875D2"/>
    <w:rsid w:val="00590010"/>
    <w:rsid w:val="00590093"/>
    <w:rsid w:val="0059011C"/>
    <w:rsid w:val="00590A09"/>
    <w:rsid w:val="00590E48"/>
    <w:rsid w:val="00590E61"/>
    <w:rsid w:val="00591110"/>
    <w:rsid w:val="00591502"/>
    <w:rsid w:val="005922B5"/>
    <w:rsid w:val="005925EB"/>
    <w:rsid w:val="00592E22"/>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6E"/>
    <w:rsid w:val="005A13C8"/>
    <w:rsid w:val="005A1B5F"/>
    <w:rsid w:val="005A1CC8"/>
    <w:rsid w:val="005A212F"/>
    <w:rsid w:val="005A279A"/>
    <w:rsid w:val="005A2D3C"/>
    <w:rsid w:val="005A2DF5"/>
    <w:rsid w:val="005A3136"/>
    <w:rsid w:val="005A3B62"/>
    <w:rsid w:val="005A3ED8"/>
    <w:rsid w:val="005A409F"/>
    <w:rsid w:val="005A4231"/>
    <w:rsid w:val="005A49F3"/>
    <w:rsid w:val="005A4B8E"/>
    <w:rsid w:val="005A5B4F"/>
    <w:rsid w:val="005A5C0A"/>
    <w:rsid w:val="005A5C19"/>
    <w:rsid w:val="005A617E"/>
    <w:rsid w:val="005A6240"/>
    <w:rsid w:val="005A6622"/>
    <w:rsid w:val="005A6CBE"/>
    <w:rsid w:val="005A6DEC"/>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B6F"/>
    <w:rsid w:val="005B1D50"/>
    <w:rsid w:val="005B25A9"/>
    <w:rsid w:val="005B2AA6"/>
    <w:rsid w:val="005B2E1A"/>
    <w:rsid w:val="005B2E25"/>
    <w:rsid w:val="005B36D1"/>
    <w:rsid w:val="005B376C"/>
    <w:rsid w:val="005B3CCA"/>
    <w:rsid w:val="005B3EB2"/>
    <w:rsid w:val="005B40B0"/>
    <w:rsid w:val="005B43B2"/>
    <w:rsid w:val="005B69B7"/>
    <w:rsid w:val="005B6D65"/>
    <w:rsid w:val="005B6DA3"/>
    <w:rsid w:val="005B70A3"/>
    <w:rsid w:val="005B7124"/>
    <w:rsid w:val="005B7374"/>
    <w:rsid w:val="005B739E"/>
    <w:rsid w:val="005B73DC"/>
    <w:rsid w:val="005B7716"/>
    <w:rsid w:val="005B7719"/>
    <w:rsid w:val="005B77E7"/>
    <w:rsid w:val="005B7B28"/>
    <w:rsid w:val="005C0039"/>
    <w:rsid w:val="005C03F3"/>
    <w:rsid w:val="005C1DEC"/>
    <w:rsid w:val="005C32D9"/>
    <w:rsid w:val="005C339A"/>
    <w:rsid w:val="005C3520"/>
    <w:rsid w:val="005C35DB"/>
    <w:rsid w:val="005C3B17"/>
    <w:rsid w:val="005C4A09"/>
    <w:rsid w:val="005C4BB8"/>
    <w:rsid w:val="005C5116"/>
    <w:rsid w:val="005C5243"/>
    <w:rsid w:val="005C551E"/>
    <w:rsid w:val="005C57D4"/>
    <w:rsid w:val="005C591A"/>
    <w:rsid w:val="005C5DFC"/>
    <w:rsid w:val="005C69DD"/>
    <w:rsid w:val="005C6A35"/>
    <w:rsid w:val="005C6F49"/>
    <w:rsid w:val="005C7013"/>
    <w:rsid w:val="005C75DA"/>
    <w:rsid w:val="005C762E"/>
    <w:rsid w:val="005C7D49"/>
    <w:rsid w:val="005D01D1"/>
    <w:rsid w:val="005D0B0F"/>
    <w:rsid w:val="005D15D4"/>
    <w:rsid w:val="005D1BD5"/>
    <w:rsid w:val="005D235E"/>
    <w:rsid w:val="005D2665"/>
    <w:rsid w:val="005D2E67"/>
    <w:rsid w:val="005D30A3"/>
    <w:rsid w:val="005D30BD"/>
    <w:rsid w:val="005D40BC"/>
    <w:rsid w:val="005D416D"/>
    <w:rsid w:val="005D42F3"/>
    <w:rsid w:val="005D4B24"/>
    <w:rsid w:val="005D4C2E"/>
    <w:rsid w:val="005D59C5"/>
    <w:rsid w:val="005D6195"/>
    <w:rsid w:val="005D63C5"/>
    <w:rsid w:val="005D63F7"/>
    <w:rsid w:val="005D674D"/>
    <w:rsid w:val="005D6E0C"/>
    <w:rsid w:val="005D70C1"/>
    <w:rsid w:val="005D78BF"/>
    <w:rsid w:val="005D7E20"/>
    <w:rsid w:val="005E0248"/>
    <w:rsid w:val="005E06C0"/>
    <w:rsid w:val="005E0F47"/>
    <w:rsid w:val="005E10DD"/>
    <w:rsid w:val="005E12F6"/>
    <w:rsid w:val="005E14FA"/>
    <w:rsid w:val="005E1802"/>
    <w:rsid w:val="005E1EF8"/>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BE1"/>
    <w:rsid w:val="005E52CD"/>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45E"/>
    <w:rsid w:val="005F2500"/>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F3A"/>
    <w:rsid w:val="005F6117"/>
    <w:rsid w:val="005F6B2B"/>
    <w:rsid w:val="005F6BCF"/>
    <w:rsid w:val="005F7055"/>
    <w:rsid w:val="005F72A5"/>
    <w:rsid w:val="005F74F1"/>
    <w:rsid w:val="005F76F7"/>
    <w:rsid w:val="005F781A"/>
    <w:rsid w:val="005F7BEA"/>
    <w:rsid w:val="005F7BF7"/>
    <w:rsid w:val="005F7F03"/>
    <w:rsid w:val="00600D61"/>
    <w:rsid w:val="00600DCF"/>
    <w:rsid w:val="00600EA8"/>
    <w:rsid w:val="0060107B"/>
    <w:rsid w:val="00601AAC"/>
    <w:rsid w:val="00601B54"/>
    <w:rsid w:val="00601C21"/>
    <w:rsid w:val="00602273"/>
    <w:rsid w:val="006023E4"/>
    <w:rsid w:val="0060280B"/>
    <w:rsid w:val="006029A1"/>
    <w:rsid w:val="00602B79"/>
    <w:rsid w:val="006035A8"/>
    <w:rsid w:val="0060369C"/>
    <w:rsid w:val="0060415B"/>
    <w:rsid w:val="00604683"/>
    <w:rsid w:val="0060490D"/>
    <w:rsid w:val="00604D73"/>
    <w:rsid w:val="00604F9D"/>
    <w:rsid w:val="00604FBA"/>
    <w:rsid w:val="006052C4"/>
    <w:rsid w:val="006059B7"/>
    <w:rsid w:val="00605C4F"/>
    <w:rsid w:val="006063AF"/>
    <w:rsid w:val="006065CC"/>
    <w:rsid w:val="00606770"/>
    <w:rsid w:val="00606A59"/>
    <w:rsid w:val="00606E95"/>
    <w:rsid w:val="00606F60"/>
    <w:rsid w:val="006074F4"/>
    <w:rsid w:val="00607671"/>
    <w:rsid w:val="00607BB6"/>
    <w:rsid w:val="006102B2"/>
    <w:rsid w:val="00610508"/>
    <w:rsid w:val="00610542"/>
    <w:rsid w:val="00610783"/>
    <w:rsid w:val="00610BEE"/>
    <w:rsid w:val="006116A3"/>
    <w:rsid w:val="006126B2"/>
    <w:rsid w:val="00612799"/>
    <w:rsid w:val="00612853"/>
    <w:rsid w:val="00612898"/>
    <w:rsid w:val="0061290D"/>
    <w:rsid w:val="006129B7"/>
    <w:rsid w:val="00612B2E"/>
    <w:rsid w:val="00612E17"/>
    <w:rsid w:val="00612EAD"/>
    <w:rsid w:val="00613147"/>
    <w:rsid w:val="0061342D"/>
    <w:rsid w:val="006134BD"/>
    <w:rsid w:val="006136FA"/>
    <w:rsid w:val="00613CC6"/>
    <w:rsid w:val="00614054"/>
    <w:rsid w:val="006148E7"/>
    <w:rsid w:val="0061491A"/>
    <w:rsid w:val="00614A6D"/>
    <w:rsid w:val="00614D27"/>
    <w:rsid w:val="006152FE"/>
    <w:rsid w:val="006154D6"/>
    <w:rsid w:val="00615693"/>
    <w:rsid w:val="00615704"/>
    <w:rsid w:val="00615F92"/>
    <w:rsid w:val="0061612B"/>
    <w:rsid w:val="00616534"/>
    <w:rsid w:val="00616EC5"/>
    <w:rsid w:val="00616F23"/>
    <w:rsid w:val="006172D6"/>
    <w:rsid w:val="0061733D"/>
    <w:rsid w:val="0061746A"/>
    <w:rsid w:val="00617582"/>
    <w:rsid w:val="006179BA"/>
    <w:rsid w:val="00620065"/>
    <w:rsid w:val="00620F66"/>
    <w:rsid w:val="00621465"/>
    <w:rsid w:val="00621583"/>
    <w:rsid w:val="006218DE"/>
    <w:rsid w:val="00621A59"/>
    <w:rsid w:val="00621C6D"/>
    <w:rsid w:val="00622376"/>
    <w:rsid w:val="00622B5A"/>
    <w:rsid w:val="00622C09"/>
    <w:rsid w:val="00622CF2"/>
    <w:rsid w:val="00623078"/>
    <w:rsid w:val="006231C5"/>
    <w:rsid w:val="00623873"/>
    <w:rsid w:val="00623A00"/>
    <w:rsid w:val="00624855"/>
    <w:rsid w:val="00624B3C"/>
    <w:rsid w:val="00624F21"/>
    <w:rsid w:val="006250B4"/>
    <w:rsid w:val="0062512A"/>
    <w:rsid w:val="00625255"/>
    <w:rsid w:val="00625809"/>
    <w:rsid w:val="00625DCD"/>
    <w:rsid w:val="00626C63"/>
    <w:rsid w:val="00627ABA"/>
    <w:rsid w:val="0063049B"/>
    <w:rsid w:val="00630981"/>
    <w:rsid w:val="00632389"/>
    <w:rsid w:val="006325AD"/>
    <w:rsid w:val="006327C5"/>
    <w:rsid w:val="00632DD9"/>
    <w:rsid w:val="0063378F"/>
    <w:rsid w:val="00633857"/>
    <w:rsid w:val="00633997"/>
    <w:rsid w:val="00633F9D"/>
    <w:rsid w:val="006340D5"/>
    <w:rsid w:val="00634695"/>
    <w:rsid w:val="00634CDD"/>
    <w:rsid w:val="00635A6C"/>
    <w:rsid w:val="00635D62"/>
    <w:rsid w:val="00636897"/>
    <w:rsid w:val="006368D7"/>
    <w:rsid w:val="00636A3D"/>
    <w:rsid w:val="006372BC"/>
    <w:rsid w:val="00637FC7"/>
    <w:rsid w:val="006406F6"/>
    <w:rsid w:val="00640CA1"/>
    <w:rsid w:val="0064141B"/>
    <w:rsid w:val="006421B5"/>
    <w:rsid w:val="00642539"/>
    <w:rsid w:val="0064254F"/>
    <w:rsid w:val="006425DF"/>
    <w:rsid w:val="00642777"/>
    <w:rsid w:val="006428D6"/>
    <w:rsid w:val="00643E17"/>
    <w:rsid w:val="0064452D"/>
    <w:rsid w:val="0064466F"/>
    <w:rsid w:val="0064470B"/>
    <w:rsid w:val="00644B6C"/>
    <w:rsid w:val="006453E7"/>
    <w:rsid w:val="0064553B"/>
    <w:rsid w:val="0064596C"/>
    <w:rsid w:val="00645D76"/>
    <w:rsid w:val="006465F7"/>
    <w:rsid w:val="0064725A"/>
    <w:rsid w:val="00647E0E"/>
    <w:rsid w:val="00651893"/>
    <w:rsid w:val="006519B9"/>
    <w:rsid w:val="00651B00"/>
    <w:rsid w:val="00652089"/>
    <w:rsid w:val="006520B8"/>
    <w:rsid w:val="006520E3"/>
    <w:rsid w:val="00652A81"/>
    <w:rsid w:val="00652B21"/>
    <w:rsid w:val="00653336"/>
    <w:rsid w:val="006533C6"/>
    <w:rsid w:val="0065359E"/>
    <w:rsid w:val="006539B7"/>
    <w:rsid w:val="00654678"/>
    <w:rsid w:val="0065470C"/>
    <w:rsid w:val="00654BBD"/>
    <w:rsid w:val="00654EFB"/>
    <w:rsid w:val="00655245"/>
    <w:rsid w:val="0065529E"/>
    <w:rsid w:val="006557C4"/>
    <w:rsid w:val="006558A6"/>
    <w:rsid w:val="0065594C"/>
    <w:rsid w:val="00655DE5"/>
    <w:rsid w:val="00655F3A"/>
    <w:rsid w:val="0065630D"/>
    <w:rsid w:val="00656511"/>
    <w:rsid w:val="0065687D"/>
    <w:rsid w:val="0065699E"/>
    <w:rsid w:val="00656A01"/>
    <w:rsid w:val="00656AEE"/>
    <w:rsid w:val="00656DB6"/>
    <w:rsid w:val="00657185"/>
    <w:rsid w:val="0065742F"/>
    <w:rsid w:val="00657BD6"/>
    <w:rsid w:val="00657D1E"/>
    <w:rsid w:val="00657DB6"/>
    <w:rsid w:val="00660334"/>
    <w:rsid w:val="00660F37"/>
    <w:rsid w:val="0066133B"/>
    <w:rsid w:val="00661C38"/>
    <w:rsid w:val="006621BD"/>
    <w:rsid w:val="00662C1D"/>
    <w:rsid w:val="00662DEC"/>
    <w:rsid w:val="006638D9"/>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F5E"/>
    <w:rsid w:val="00670985"/>
    <w:rsid w:val="006714AE"/>
    <w:rsid w:val="0067163B"/>
    <w:rsid w:val="00671EA4"/>
    <w:rsid w:val="006720A6"/>
    <w:rsid w:val="00672166"/>
    <w:rsid w:val="00672C08"/>
    <w:rsid w:val="00672EE0"/>
    <w:rsid w:val="00673763"/>
    <w:rsid w:val="006737BC"/>
    <w:rsid w:val="00674155"/>
    <w:rsid w:val="00674393"/>
    <w:rsid w:val="00674A04"/>
    <w:rsid w:val="0067542B"/>
    <w:rsid w:val="006754AB"/>
    <w:rsid w:val="006755DF"/>
    <w:rsid w:val="0067561C"/>
    <w:rsid w:val="006758C2"/>
    <w:rsid w:val="006758FA"/>
    <w:rsid w:val="00675910"/>
    <w:rsid w:val="006760A1"/>
    <w:rsid w:val="006760F9"/>
    <w:rsid w:val="00676162"/>
    <w:rsid w:val="00676C18"/>
    <w:rsid w:val="00676C3B"/>
    <w:rsid w:val="0067719D"/>
    <w:rsid w:val="00677F36"/>
    <w:rsid w:val="006800FE"/>
    <w:rsid w:val="00680379"/>
    <w:rsid w:val="0068052A"/>
    <w:rsid w:val="00680BB5"/>
    <w:rsid w:val="00680DBA"/>
    <w:rsid w:val="00681166"/>
    <w:rsid w:val="00681203"/>
    <w:rsid w:val="00681984"/>
    <w:rsid w:val="00682ACE"/>
    <w:rsid w:val="006833C5"/>
    <w:rsid w:val="006836ED"/>
    <w:rsid w:val="00683707"/>
    <w:rsid w:val="00683C05"/>
    <w:rsid w:val="0068415B"/>
    <w:rsid w:val="006849D3"/>
    <w:rsid w:val="00684BC6"/>
    <w:rsid w:val="006859D7"/>
    <w:rsid w:val="00686D5C"/>
    <w:rsid w:val="0068716A"/>
    <w:rsid w:val="006872A9"/>
    <w:rsid w:val="00687703"/>
    <w:rsid w:val="0068F780"/>
    <w:rsid w:val="0069017B"/>
    <w:rsid w:val="006904B5"/>
    <w:rsid w:val="00690FC8"/>
    <w:rsid w:val="006910D3"/>
    <w:rsid w:val="006911F0"/>
    <w:rsid w:val="006916EA"/>
    <w:rsid w:val="0069196B"/>
    <w:rsid w:val="006920DD"/>
    <w:rsid w:val="00692309"/>
    <w:rsid w:val="006929CE"/>
    <w:rsid w:val="006942FF"/>
    <w:rsid w:val="00694345"/>
    <w:rsid w:val="00694926"/>
    <w:rsid w:val="00694DDB"/>
    <w:rsid w:val="00695269"/>
    <w:rsid w:val="00695440"/>
    <w:rsid w:val="006955C8"/>
    <w:rsid w:val="00695D18"/>
    <w:rsid w:val="006965AE"/>
    <w:rsid w:val="00696BD0"/>
    <w:rsid w:val="00697302"/>
    <w:rsid w:val="006973E2"/>
    <w:rsid w:val="006974BC"/>
    <w:rsid w:val="006A0142"/>
    <w:rsid w:val="006A05DF"/>
    <w:rsid w:val="006A0D23"/>
    <w:rsid w:val="006A0F59"/>
    <w:rsid w:val="006A1529"/>
    <w:rsid w:val="006A18E7"/>
    <w:rsid w:val="006A1FC8"/>
    <w:rsid w:val="006A2023"/>
    <w:rsid w:val="006A25CB"/>
    <w:rsid w:val="006A2A47"/>
    <w:rsid w:val="006A2B28"/>
    <w:rsid w:val="006A2D8D"/>
    <w:rsid w:val="006A3130"/>
    <w:rsid w:val="006A39FB"/>
    <w:rsid w:val="006A3C4D"/>
    <w:rsid w:val="006A4A8F"/>
    <w:rsid w:val="006A4DF0"/>
    <w:rsid w:val="006A5D71"/>
    <w:rsid w:val="006A606A"/>
    <w:rsid w:val="006A60E0"/>
    <w:rsid w:val="006A6492"/>
    <w:rsid w:val="006A6961"/>
    <w:rsid w:val="006A6B72"/>
    <w:rsid w:val="006A703A"/>
    <w:rsid w:val="006A70B9"/>
    <w:rsid w:val="006A7128"/>
    <w:rsid w:val="006B007A"/>
    <w:rsid w:val="006B018E"/>
    <w:rsid w:val="006B04DB"/>
    <w:rsid w:val="006B159E"/>
    <w:rsid w:val="006B16A7"/>
    <w:rsid w:val="006B1E02"/>
    <w:rsid w:val="006B21A0"/>
    <w:rsid w:val="006B2296"/>
    <w:rsid w:val="006B2306"/>
    <w:rsid w:val="006B2932"/>
    <w:rsid w:val="006B29B6"/>
    <w:rsid w:val="006B2A5B"/>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DF1"/>
    <w:rsid w:val="006C14F1"/>
    <w:rsid w:val="006C167F"/>
    <w:rsid w:val="006C2207"/>
    <w:rsid w:val="006C315B"/>
    <w:rsid w:val="006C31CD"/>
    <w:rsid w:val="006C31FD"/>
    <w:rsid w:val="006C329F"/>
    <w:rsid w:val="006C36F7"/>
    <w:rsid w:val="006C3E78"/>
    <w:rsid w:val="006C410E"/>
    <w:rsid w:val="006C45E7"/>
    <w:rsid w:val="006C4EDF"/>
    <w:rsid w:val="006C547D"/>
    <w:rsid w:val="006C6004"/>
    <w:rsid w:val="006C6191"/>
    <w:rsid w:val="006C6533"/>
    <w:rsid w:val="006C6792"/>
    <w:rsid w:val="006C7203"/>
    <w:rsid w:val="006C7517"/>
    <w:rsid w:val="006C7B41"/>
    <w:rsid w:val="006C7E21"/>
    <w:rsid w:val="006D08A4"/>
    <w:rsid w:val="006D0FE4"/>
    <w:rsid w:val="006D160E"/>
    <w:rsid w:val="006D1A00"/>
    <w:rsid w:val="006D1F3B"/>
    <w:rsid w:val="006D1F99"/>
    <w:rsid w:val="006D2C19"/>
    <w:rsid w:val="006D2DD1"/>
    <w:rsid w:val="006D3787"/>
    <w:rsid w:val="006D37CA"/>
    <w:rsid w:val="006D39B8"/>
    <w:rsid w:val="006D3FFA"/>
    <w:rsid w:val="006D551D"/>
    <w:rsid w:val="006D5AF5"/>
    <w:rsid w:val="006D5C2F"/>
    <w:rsid w:val="006D5C5E"/>
    <w:rsid w:val="006D5DBE"/>
    <w:rsid w:val="006D5EB4"/>
    <w:rsid w:val="006D63BA"/>
    <w:rsid w:val="006D6410"/>
    <w:rsid w:val="006D6A7B"/>
    <w:rsid w:val="006D6B03"/>
    <w:rsid w:val="006D6BE5"/>
    <w:rsid w:val="006D6BEB"/>
    <w:rsid w:val="006D704D"/>
    <w:rsid w:val="006D7C1B"/>
    <w:rsid w:val="006D7DAD"/>
    <w:rsid w:val="006D7E22"/>
    <w:rsid w:val="006E042A"/>
    <w:rsid w:val="006E1736"/>
    <w:rsid w:val="006E1E33"/>
    <w:rsid w:val="006E26CC"/>
    <w:rsid w:val="006E2841"/>
    <w:rsid w:val="006E2A88"/>
    <w:rsid w:val="006E3A05"/>
    <w:rsid w:val="006E3A29"/>
    <w:rsid w:val="006E3F27"/>
    <w:rsid w:val="006E3F85"/>
    <w:rsid w:val="006E421F"/>
    <w:rsid w:val="006E526C"/>
    <w:rsid w:val="006E5358"/>
    <w:rsid w:val="006E5946"/>
    <w:rsid w:val="006E597D"/>
    <w:rsid w:val="006E59C9"/>
    <w:rsid w:val="006E6019"/>
    <w:rsid w:val="006E62EC"/>
    <w:rsid w:val="006E6327"/>
    <w:rsid w:val="006E6949"/>
    <w:rsid w:val="006E69FA"/>
    <w:rsid w:val="006E7946"/>
    <w:rsid w:val="006E7C0B"/>
    <w:rsid w:val="006E7C81"/>
    <w:rsid w:val="006F00BA"/>
    <w:rsid w:val="006F048A"/>
    <w:rsid w:val="006F0666"/>
    <w:rsid w:val="006F0853"/>
    <w:rsid w:val="006F096E"/>
    <w:rsid w:val="006F17AD"/>
    <w:rsid w:val="006F1915"/>
    <w:rsid w:val="006F1F58"/>
    <w:rsid w:val="006F2832"/>
    <w:rsid w:val="006F30A3"/>
    <w:rsid w:val="006F34CF"/>
    <w:rsid w:val="006F35ED"/>
    <w:rsid w:val="006F3646"/>
    <w:rsid w:val="006F3897"/>
    <w:rsid w:val="006F38DF"/>
    <w:rsid w:val="006F39CA"/>
    <w:rsid w:val="006F4463"/>
    <w:rsid w:val="006F4854"/>
    <w:rsid w:val="006F4CFC"/>
    <w:rsid w:val="006F5399"/>
    <w:rsid w:val="006F5CC0"/>
    <w:rsid w:val="006F6007"/>
    <w:rsid w:val="006F6046"/>
    <w:rsid w:val="006F6443"/>
    <w:rsid w:val="006F6647"/>
    <w:rsid w:val="006F6897"/>
    <w:rsid w:val="006F6920"/>
    <w:rsid w:val="006F6EC3"/>
    <w:rsid w:val="006F70E8"/>
    <w:rsid w:val="006F73A6"/>
    <w:rsid w:val="006F7C81"/>
    <w:rsid w:val="00700215"/>
    <w:rsid w:val="00700A35"/>
    <w:rsid w:val="007011DF"/>
    <w:rsid w:val="00701645"/>
    <w:rsid w:val="00701999"/>
    <w:rsid w:val="00701A5C"/>
    <w:rsid w:val="00701C1B"/>
    <w:rsid w:val="00701C85"/>
    <w:rsid w:val="00702A77"/>
    <w:rsid w:val="00702E2A"/>
    <w:rsid w:val="00703222"/>
    <w:rsid w:val="007032F9"/>
    <w:rsid w:val="007033BA"/>
    <w:rsid w:val="00703459"/>
    <w:rsid w:val="00703702"/>
    <w:rsid w:val="00704413"/>
    <w:rsid w:val="00704B70"/>
    <w:rsid w:val="00705033"/>
    <w:rsid w:val="00705703"/>
    <w:rsid w:val="00705840"/>
    <w:rsid w:val="007058BF"/>
    <w:rsid w:val="00705D02"/>
    <w:rsid w:val="00705EC8"/>
    <w:rsid w:val="007065BB"/>
    <w:rsid w:val="007066AA"/>
    <w:rsid w:val="0070672A"/>
    <w:rsid w:val="00706C8A"/>
    <w:rsid w:val="007074AB"/>
    <w:rsid w:val="0070770D"/>
    <w:rsid w:val="007079BC"/>
    <w:rsid w:val="00710036"/>
    <w:rsid w:val="0071009B"/>
    <w:rsid w:val="007102C1"/>
    <w:rsid w:val="00710983"/>
    <w:rsid w:val="00710DE5"/>
    <w:rsid w:val="007114A4"/>
    <w:rsid w:val="0071219A"/>
    <w:rsid w:val="007122ED"/>
    <w:rsid w:val="007126C1"/>
    <w:rsid w:val="00712852"/>
    <w:rsid w:val="00712C64"/>
    <w:rsid w:val="00712C93"/>
    <w:rsid w:val="007130DD"/>
    <w:rsid w:val="00713198"/>
    <w:rsid w:val="00714136"/>
    <w:rsid w:val="007143AA"/>
    <w:rsid w:val="007144FA"/>
    <w:rsid w:val="0071554C"/>
    <w:rsid w:val="007159B4"/>
    <w:rsid w:val="00715BF4"/>
    <w:rsid w:val="00715EDF"/>
    <w:rsid w:val="0071643C"/>
    <w:rsid w:val="00716543"/>
    <w:rsid w:val="0071682E"/>
    <w:rsid w:val="00717165"/>
    <w:rsid w:val="00717EA1"/>
    <w:rsid w:val="00717F3E"/>
    <w:rsid w:val="007200ED"/>
    <w:rsid w:val="007205D6"/>
    <w:rsid w:val="007206C5"/>
    <w:rsid w:val="007206D0"/>
    <w:rsid w:val="00720D68"/>
    <w:rsid w:val="00721377"/>
    <w:rsid w:val="00721483"/>
    <w:rsid w:val="00721504"/>
    <w:rsid w:val="007215D7"/>
    <w:rsid w:val="00721B17"/>
    <w:rsid w:val="00721B24"/>
    <w:rsid w:val="007220A6"/>
    <w:rsid w:val="00722172"/>
    <w:rsid w:val="00723532"/>
    <w:rsid w:val="00723E7C"/>
    <w:rsid w:val="007241CF"/>
    <w:rsid w:val="007244F0"/>
    <w:rsid w:val="00724629"/>
    <w:rsid w:val="007248A1"/>
    <w:rsid w:val="0072493D"/>
    <w:rsid w:val="00724DC8"/>
    <w:rsid w:val="00725885"/>
    <w:rsid w:val="00725B2F"/>
    <w:rsid w:val="00725B48"/>
    <w:rsid w:val="0072600A"/>
    <w:rsid w:val="007265A4"/>
    <w:rsid w:val="00726D74"/>
    <w:rsid w:val="00726F42"/>
    <w:rsid w:val="007274E4"/>
    <w:rsid w:val="00727B27"/>
    <w:rsid w:val="00727E59"/>
    <w:rsid w:val="00730A2C"/>
    <w:rsid w:val="00730C29"/>
    <w:rsid w:val="00730D4B"/>
    <w:rsid w:val="00730F14"/>
    <w:rsid w:val="007312BD"/>
    <w:rsid w:val="007318BC"/>
    <w:rsid w:val="00731978"/>
    <w:rsid w:val="007323DD"/>
    <w:rsid w:val="00732657"/>
    <w:rsid w:val="00732C54"/>
    <w:rsid w:val="00733375"/>
    <w:rsid w:val="007333F0"/>
    <w:rsid w:val="00733829"/>
    <w:rsid w:val="00733A66"/>
    <w:rsid w:val="00733F02"/>
    <w:rsid w:val="0073414B"/>
    <w:rsid w:val="007344EA"/>
    <w:rsid w:val="00734517"/>
    <w:rsid w:val="00734C0C"/>
    <w:rsid w:val="00735C25"/>
    <w:rsid w:val="00735E97"/>
    <w:rsid w:val="00735F30"/>
    <w:rsid w:val="00736178"/>
    <w:rsid w:val="00736332"/>
    <w:rsid w:val="0073662A"/>
    <w:rsid w:val="007369C2"/>
    <w:rsid w:val="00736A26"/>
    <w:rsid w:val="00736A5C"/>
    <w:rsid w:val="007370FB"/>
    <w:rsid w:val="00737110"/>
    <w:rsid w:val="00737B62"/>
    <w:rsid w:val="00740879"/>
    <w:rsid w:val="0074102A"/>
    <w:rsid w:val="00742350"/>
    <w:rsid w:val="0074290F"/>
    <w:rsid w:val="00742AE4"/>
    <w:rsid w:val="00742B11"/>
    <w:rsid w:val="00742BEB"/>
    <w:rsid w:val="00742F34"/>
    <w:rsid w:val="00743BBD"/>
    <w:rsid w:val="00743F0A"/>
    <w:rsid w:val="0074476B"/>
    <w:rsid w:val="00744835"/>
    <w:rsid w:val="00744A6E"/>
    <w:rsid w:val="007457F2"/>
    <w:rsid w:val="007467F4"/>
    <w:rsid w:val="007468B2"/>
    <w:rsid w:val="00746A42"/>
    <w:rsid w:val="00746B63"/>
    <w:rsid w:val="00747884"/>
    <w:rsid w:val="0075033A"/>
    <w:rsid w:val="00750EAF"/>
    <w:rsid w:val="0075163D"/>
    <w:rsid w:val="007517C5"/>
    <w:rsid w:val="00751CCC"/>
    <w:rsid w:val="0075281F"/>
    <w:rsid w:val="00752846"/>
    <w:rsid w:val="007528B1"/>
    <w:rsid w:val="00753051"/>
    <w:rsid w:val="007532C2"/>
    <w:rsid w:val="007535B9"/>
    <w:rsid w:val="0075360F"/>
    <w:rsid w:val="007538DD"/>
    <w:rsid w:val="00753A3F"/>
    <w:rsid w:val="00753C62"/>
    <w:rsid w:val="00753D9D"/>
    <w:rsid w:val="00754543"/>
    <w:rsid w:val="007546FE"/>
    <w:rsid w:val="007549F9"/>
    <w:rsid w:val="00754D5C"/>
    <w:rsid w:val="00754EE2"/>
    <w:rsid w:val="00754FD9"/>
    <w:rsid w:val="00755248"/>
    <w:rsid w:val="00755392"/>
    <w:rsid w:val="007556B2"/>
    <w:rsid w:val="0075582D"/>
    <w:rsid w:val="0075592E"/>
    <w:rsid w:val="00755C8F"/>
    <w:rsid w:val="00755E1F"/>
    <w:rsid w:val="0075613F"/>
    <w:rsid w:val="00756235"/>
    <w:rsid w:val="00756429"/>
    <w:rsid w:val="0075644B"/>
    <w:rsid w:val="00756976"/>
    <w:rsid w:val="00756BAC"/>
    <w:rsid w:val="007576F9"/>
    <w:rsid w:val="0075794F"/>
    <w:rsid w:val="00757B9E"/>
    <w:rsid w:val="007606B3"/>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7322"/>
    <w:rsid w:val="0076781F"/>
    <w:rsid w:val="00767B19"/>
    <w:rsid w:val="00767BD5"/>
    <w:rsid w:val="00767DE4"/>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53D"/>
    <w:rsid w:val="00775283"/>
    <w:rsid w:val="00775C1B"/>
    <w:rsid w:val="00775C54"/>
    <w:rsid w:val="007760B5"/>
    <w:rsid w:val="00776B8D"/>
    <w:rsid w:val="00776C87"/>
    <w:rsid w:val="00776E3A"/>
    <w:rsid w:val="00777347"/>
    <w:rsid w:val="00777395"/>
    <w:rsid w:val="00777599"/>
    <w:rsid w:val="00777845"/>
    <w:rsid w:val="007801B7"/>
    <w:rsid w:val="0078047D"/>
    <w:rsid w:val="00780524"/>
    <w:rsid w:val="00780B83"/>
    <w:rsid w:val="007811BD"/>
    <w:rsid w:val="00781BDB"/>
    <w:rsid w:val="0078204F"/>
    <w:rsid w:val="007821A2"/>
    <w:rsid w:val="00782364"/>
    <w:rsid w:val="007831CB"/>
    <w:rsid w:val="007838D0"/>
    <w:rsid w:val="00783A4E"/>
    <w:rsid w:val="00784653"/>
    <w:rsid w:val="00784A66"/>
    <w:rsid w:val="00784AB5"/>
    <w:rsid w:val="00784BDA"/>
    <w:rsid w:val="00784D14"/>
    <w:rsid w:val="00785B3B"/>
    <w:rsid w:val="00785BD1"/>
    <w:rsid w:val="00786118"/>
    <w:rsid w:val="0078716C"/>
    <w:rsid w:val="007872D7"/>
    <w:rsid w:val="007874E4"/>
    <w:rsid w:val="00787875"/>
    <w:rsid w:val="00787E88"/>
    <w:rsid w:val="007907CC"/>
    <w:rsid w:val="0079098D"/>
    <w:rsid w:val="00790A2E"/>
    <w:rsid w:val="00791268"/>
    <w:rsid w:val="00791468"/>
    <w:rsid w:val="00791FF2"/>
    <w:rsid w:val="00792137"/>
    <w:rsid w:val="00792356"/>
    <w:rsid w:val="00793AD7"/>
    <w:rsid w:val="00793D8E"/>
    <w:rsid w:val="00793EFB"/>
    <w:rsid w:val="00793FD7"/>
    <w:rsid w:val="007941FE"/>
    <w:rsid w:val="00794431"/>
    <w:rsid w:val="00794A07"/>
    <w:rsid w:val="00794D25"/>
    <w:rsid w:val="007951B3"/>
    <w:rsid w:val="007957B5"/>
    <w:rsid w:val="0079581E"/>
    <w:rsid w:val="0079588F"/>
    <w:rsid w:val="00795960"/>
    <w:rsid w:val="00795C9B"/>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0B61"/>
    <w:rsid w:val="007A1248"/>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77DA"/>
    <w:rsid w:val="007A7FAA"/>
    <w:rsid w:val="007B00F5"/>
    <w:rsid w:val="007B054A"/>
    <w:rsid w:val="007B0E10"/>
    <w:rsid w:val="007B11D3"/>
    <w:rsid w:val="007B1453"/>
    <w:rsid w:val="007B19FD"/>
    <w:rsid w:val="007B1CE5"/>
    <w:rsid w:val="007B253D"/>
    <w:rsid w:val="007B3B02"/>
    <w:rsid w:val="007B3CCE"/>
    <w:rsid w:val="007B3F4C"/>
    <w:rsid w:val="007B3F78"/>
    <w:rsid w:val="007B417E"/>
    <w:rsid w:val="007B4411"/>
    <w:rsid w:val="007B4B4A"/>
    <w:rsid w:val="007B4E43"/>
    <w:rsid w:val="007B4F8A"/>
    <w:rsid w:val="007B57FD"/>
    <w:rsid w:val="007B5882"/>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DE2"/>
    <w:rsid w:val="007C40C5"/>
    <w:rsid w:val="007C44C9"/>
    <w:rsid w:val="007C4610"/>
    <w:rsid w:val="007C4879"/>
    <w:rsid w:val="007C4A65"/>
    <w:rsid w:val="007C50BB"/>
    <w:rsid w:val="007C51DA"/>
    <w:rsid w:val="007C5698"/>
    <w:rsid w:val="007C5706"/>
    <w:rsid w:val="007C5C8B"/>
    <w:rsid w:val="007C60B0"/>
    <w:rsid w:val="007C63CC"/>
    <w:rsid w:val="007C68AE"/>
    <w:rsid w:val="007C7E4C"/>
    <w:rsid w:val="007C7EBA"/>
    <w:rsid w:val="007D051F"/>
    <w:rsid w:val="007D11FD"/>
    <w:rsid w:val="007D14C7"/>
    <w:rsid w:val="007D15F8"/>
    <w:rsid w:val="007D2361"/>
    <w:rsid w:val="007D2543"/>
    <w:rsid w:val="007D2882"/>
    <w:rsid w:val="007D310C"/>
    <w:rsid w:val="007D32D5"/>
    <w:rsid w:val="007D38FB"/>
    <w:rsid w:val="007D3A02"/>
    <w:rsid w:val="007D3F39"/>
    <w:rsid w:val="007D42E3"/>
    <w:rsid w:val="007D44FE"/>
    <w:rsid w:val="007D492B"/>
    <w:rsid w:val="007D4A6F"/>
    <w:rsid w:val="007D4E3F"/>
    <w:rsid w:val="007D526A"/>
    <w:rsid w:val="007D54FB"/>
    <w:rsid w:val="007D59B0"/>
    <w:rsid w:val="007D61DF"/>
    <w:rsid w:val="007D62DC"/>
    <w:rsid w:val="007D709A"/>
    <w:rsid w:val="007D740F"/>
    <w:rsid w:val="007D7A86"/>
    <w:rsid w:val="007D7E75"/>
    <w:rsid w:val="007E0369"/>
    <w:rsid w:val="007E04FC"/>
    <w:rsid w:val="007E05B1"/>
    <w:rsid w:val="007E0A9D"/>
    <w:rsid w:val="007E0ADC"/>
    <w:rsid w:val="007E1216"/>
    <w:rsid w:val="007E123F"/>
    <w:rsid w:val="007E22AE"/>
    <w:rsid w:val="007E29FA"/>
    <w:rsid w:val="007E2A56"/>
    <w:rsid w:val="007E2FDD"/>
    <w:rsid w:val="007E3AA3"/>
    <w:rsid w:val="007E40F4"/>
    <w:rsid w:val="007E41D6"/>
    <w:rsid w:val="007E4551"/>
    <w:rsid w:val="007E517E"/>
    <w:rsid w:val="007E5346"/>
    <w:rsid w:val="007E61A6"/>
    <w:rsid w:val="007E628F"/>
    <w:rsid w:val="007E6756"/>
    <w:rsid w:val="007E7741"/>
    <w:rsid w:val="007E7A77"/>
    <w:rsid w:val="007E7D5B"/>
    <w:rsid w:val="007E7F4F"/>
    <w:rsid w:val="007F001D"/>
    <w:rsid w:val="007F0570"/>
    <w:rsid w:val="007F0690"/>
    <w:rsid w:val="007F0AAB"/>
    <w:rsid w:val="007F0B38"/>
    <w:rsid w:val="007F0DC9"/>
    <w:rsid w:val="007F0E41"/>
    <w:rsid w:val="007F176C"/>
    <w:rsid w:val="007F1B6C"/>
    <w:rsid w:val="007F1BBE"/>
    <w:rsid w:val="007F1D3B"/>
    <w:rsid w:val="007F2991"/>
    <w:rsid w:val="007F3203"/>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F02"/>
    <w:rsid w:val="007F7271"/>
    <w:rsid w:val="007F74C9"/>
    <w:rsid w:val="007F7A7D"/>
    <w:rsid w:val="007F7C85"/>
    <w:rsid w:val="0080052B"/>
    <w:rsid w:val="00800A77"/>
    <w:rsid w:val="008011C0"/>
    <w:rsid w:val="008012BE"/>
    <w:rsid w:val="00801DD8"/>
    <w:rsid w:val="00801FA9"/>
    <w:rsid w:val="0080280B"/>
    <w:rsid w:val="00802B16"/>
    <w:rsid w:val="008030D4"/>
    <w:rsid w:val="00803B10"/>
    <w:rsid w:val="00804326"/>
    <w:rsid w:val="0080467C"/>
    <w:rsid w:val="008048AA"/>
    <w:rsid w:val="00806163"/>
    <w:rsid w:val="008064C5"/>
    <w:rsid w:val="00807176"/>
    <w:rsid w:val="008071DB"/>
    <w:rsid w:val="0080751E"/>
    <w:rsid w:val="00807889"/>
    <w:rsid w:val="008100A7"/>
    <w:rsid w:val="0081043E"/>
    <w:rsid w:val="00810C3C"/>
    <w:rsid w:val="00810CE7"/>
    <w:rsid w:val="00811409"/>
    <w:rsid w:val="008116ED"/>
    <w:rsid w:val="00812389"/>
    <w:rsid w:val="00812E9F"/>
    <w:rsid w:val="008134A6"/>
    <w:rsid w:val="00813BED"/>
    <w:rsid w:val="00813E7B"/>
    <w:rsid w:val="0081409B"/>
    <w:rsid w:val="008142AE"/>
    <w:rsid w:val="008145C8"/>
    <w:rsid w:val="00814874"/>
    <w:rsid w:val="008149C0"/>
    <w:rsid w:val="00814E9F"/>
    <w:rsid w:val="008153B5"/>
    <w:rsid w:val="00815759"/>
    <w:rsid w:val="00815BB1"/>
    <w:rsid w:val="00815BC9"/>
    <w:rsid w:val="00815C3E"/>
    <w:rsid w:val="00816249"/>
    <w:rsid w:val="008168BB"/>
    <w:rsid w:val="0081691B"/>
    <w:rsid w:val="008171B8"/>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DB8"/>
    <w:rsid w:val="00826003"/>
    <w:rsid w:val="008260BB"/>
    <w:rsid w:val="0082620B"/>
    <w:rsid w:val="00826792"/>
    <w:rsid w:val="00826B3F"/>
    <w:rsid w:val="00827915"/>
    <w:rsid w:val="00827CFD"/>
    <w:rsid w:val="0083040B"/>
    <w:rsid w:val="00830964"/>
    <w:rsid w:val="00830C21"/>
    <w:rsid w:val="00830C2E"/>
    <w:rsid w:val="0083156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90A"/>
    <w:rsid w:val="00836C74"/>
    <w:rsid w:val="008372AB"/>
    <w:rsid w:val="00837326"/>
    <w:rsid w:val="00837750"/>
    <w:rsid w:val="00837F7A"/>
    <w:rsid w:val="008407F6"/>
    <w:rsid w:val="0084091E"/>
    <w:rsid w:val="0084094A"/>
    <w:rsid w:val="00840D3C"/>
    <w:rsid w:val="00840DBF"/>
    <w:rsid w:val="0084248F"/>
    <w:rsid w:val="00842663"/>
    <w:rsid w:val="00842800"/>
    <w:rsid w:val="00842AC5"/>
    <w:rsid w:val="00842E84"/>
    <w:rsid w:val="0084366A"/>
    <w:rsid w:val="0084475B"/>
    <w:rsid w:val="00844B53"/>
    <w:rsid w:val="008464B0"/>
    <w:rsid w:val="0084659E"/>
    <w:rsid w:val="008466AF"/>
    <w:rsid w:val="00846BE4"/>
    <w:rsid w:val="00846D02"/>
    <w:rsid w:val="0084752E"/>
    <w:rsid w:val="008475A6"/>
    <w:rsid w:val="0084766A"/>
    <w:rsid w:val="008479D3"/>
    <w:rsid w:val="00847EA3"/>
    <w:rsid w:val="00850149"/>
    <w:rsid w:val="00850291"/>
    <w:rsid w:val="008503C0"/>
    <w:rsid w:val="0085138F"/>
    <w:rsid w:val="00851B3B"/>
    <w:rsid w:val="00852686"/>
    <w:rsid w:val="008526FA"/>
    <w:rsid w:val="00852D80"/>
    <w:rsid w:val="00852E59"/>
    <w:rsid w:val="00853E24"/>
    <w:rsid w:val="00854071"/>
    <w:rsid w:val="008543EE"/>
    <w:rsid w:val="0085531F"/>
    <w:rsid w:val="0085551E"/>
    <w:rsid w:val="00855805"/>
    <w:rsid w:val="008559B5"/>
    <w:rsid w:val="00855C68"/>
    <w:rsid w:val="00856094"/>
    <w:rsid w:val="008560AA"/>
    <w:rsid w:val="008561A1"/>
    <w:rsid w:val="008564B8"/>
    <w:rsid w:val="00856871"/>
    <w:rsid w:val="00856908"/>
    <w:rsid w:val="008572CC"/>
    <w:rsid w:val="008575B5"/>
    <w:rsid w:val="00860462"/>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925"/>
    <w:rsid w:val="00863A1F"/>
    <w:rsid w:val="00863D3D"/>
    <w:rsid w:val="00863DCB"/>
    <w:rsid w:val="008643CD"/>
    <w:rsid w:val="00864882"/>
    <w:rsid w:val="00864B1E"/>
    <w:rsid w:val="00864E00"/>
    <w:rsid w:val="008653C0"/>
    <w:rsid w:val="0086560B"/>
    <w:rsid w:val="00866389"/>
    <w:rsid w:val="0086669D"/>
    <w:rsid w:val="00866BB5"/>
    <w:rsid w:val="00867450"/>
    <w:rsid w:val="00867861"/>
    <w:rsid w:val="00867B84"/>
    <w:rsid w:val="00867CD9"/>
    <w:rsid w:val="0087062D"/>
    <w:rsid w:val="008708E8"/>
    <w:rsid w:val="00870998"/>
    <w:rsid w:val="00870AB4"/>
    <w:rsid w:val="00870AFB"/>
    <w:rsid w:val="008714F9"/>
    <w:rsid w:val="008715F0"/>
    <w:rsid w:val="0087181F"/>
    <w:rsid w:val="00871963"/>
    <w:rsid w:val="00871C2F"/>
    <w:rsid w:val="00871E7C"/>
    <w:rsid w:val="008728AB"/>
    <w:rsid w:val="008728C5"/>
    <w:rsid w:val="00872A98"/>
    <w:rsid w:val="00873078"/>
    <w:rsid w:val="0087351E"/>
    <w:rsid w:val="00873CE9"/>
    <w:rsid w:val="00873EFE"/>
    <w:rsid w:val="0087416D"/>
    <w:rsid w:val="00874364"/>
    <w:rsid w:val="00874A5E"/>
    <w:rsid w:val="00874CA8"/>
    <w:rsid w:val="00874F5C"/>
    <w:rsid w:val="00874FA2"/>
    <w:rsid w:val="00876005"/>
    <w:rsid w:val="00876312"/>
    <w:rsid w:val="00876780"/>
    <w:rsid w:val="00877F7F"/>
    <w:rsid w:val="00877F92"/>
    <w:rsid w:val="008805A0"/>
    <w:rsid w:val="008810DD"/>
    <w:rsid w:val="008816CE"/>
    <w:rsid w:val="008816FB"/>
    <w:rsid w:val="00881E44"/>
    <w:rsid w:val="00881E9A"/>
    <w:rsid w:val="008822AF"/>
    <w:rsid w:val="00882316"/>
    <w:rsid w:val="00882417"/>
    <w:rsid w:val="008826C3"/>
    <w:rsid w:val="00882854"/>
    <w:rsid w:val="00882FB9"/>
    <w:rsid w:val="0088313C"/>
    <w:rsid w:val="00883578"/>
    <w:rsid w:val="00883CE1"/>
    <w:rsid w:val="0088412A"/>
    <w:rsid w:val="008847A2"/>
    <w:rsid w:val="00884D37"/>
    <w:rsid w:val="00885170"/>
    <w:rsid w:val="0088526F"/>
    <w:rsid w:val="00885666"/>
    <w:rsid w:val="0088606B"/>
    <w:rsid w:val="008861FD"/>
    <w:rsid w:val="008864A2"/>
    <w:rsid w:val="0088692F"/>
    <w:rsid w:val="008870D5"/>
    <w:rsid w:val="00887889"/>
    <w:rsid w:val="00887E26"/>
    <w:rsid w:val="00890569"/>
    <w:rsid w:val="00890D19"/>
    <w:rsid w:val="00890F88"/>
    <w:rsid w:val="008918D5"/>
    <w:rsid w:val="008919BB"/>
    <w:rsid w:val="00891CAD"/>
    <w:rsid w:val="00891FAB"/>
    <w:rsid w:val="00892162"/>
    <w:rsid w:val="008921EB"/>
    <w:rsid w:val="008927E9"/>
    <w:rsid w:val="00892AA3"/>
    <w:rsid w:val="0089311F"/>
    <w:rsid w:val="008937E7"/>
    <w:rsid w:val="008941C5"/>
    <w:rsid w:val="0089461C"/>
    <w:rsid w:val="00894729"/>
    <w:rsid w:val="008948E6"/>
    <w:rsid w:val="00894FFE"/>
    <w:rsid w:val="008951AA"/>
    <w:rsid w:val="00895492"/>
    <w:rsid w:val="00895D87"/>
    <w:rsid w:val="00896485"/>
    <w:rsid w:val="00896921"/>
    <w:rsid w:val="00896B04"/>
    <w:rsid w:val="00896CC0"/>
    <w:rsid w:val="00896DA5"/>
    <w:rsid w:val="00897291"/>
    <w:rsid w:val="008978C0"/>
    <w:rsid w:val="008979CE"/>
    <w:rsid w:val="00897B88"/>
    <w:rsid w:val="00897CBB"/>
    <w:rsid w:val="00897E30"/>
    <w:rsid w:val="008A0055"/>
    <w:rsid w:val="008A00E8"/>
    <w:rsid w:val="008A045B"/>
    <w:rsid w:val="008A09B1"/>
    <w:rsid w:val="008A0F9B"/>
    <w:rsid w:val="008A10BF"/>
    <w:rsid w:val="008A1102"/>
    <w:rsid w:val="008A12D1"/>
    <w:rsid w:val="008A13F9"/>
    <w:rsid w:val="008A166A"/>
    <w:rsid w:val="008A176C"/>
    <w:rsid w:val="008A17F8"/>
    <w:rsid w:val="008A1A9D"/>
    <w:rsid w:val="008A2AB9"/>
    <w:rsid w:val="008A2AF6"/>
    <w:rsid w:val="008A329C"/>
    <w:rsid w:val="008A3433"/>
    <w:rsid w:val="008A362F"/>
    <w:rsid w:val="008A3C30"/>
    <w:rsid w:val="008A3DEB"/>
    <w:rsid w:val="008A4124"/>
    <w:rsid w:val="008A4770"/>
    <w:rsid w:val="008A4EDC"/>
    <w:rsid w:val="008A5333"/>
    <w:rsid w:val="008A539F"/>
    <w:rsid w:val="008A5944"/>
    <w:rsid w:val="008A61BD"/>
    <w:rsid w:val="008A7648"/>
    <w:rsid w:val="008B15A1"/>
    <w:rsid w:val="008B17A9"/>
    <w:rsid w:val="008B22BA"/>
    <w:rsid w:val="008B2503"/>
    <w:rsid w:val="008B2505"/>
    <w:rsid w:val="008B2592"/>
    <w:rsid w:val="008B27CF"/>
    <w:rsid w:val="008B28D1"/>
    <w:rsid w:val="008B2922"/>
    <w:rsid w:val="008B2C4C"/>
    <w:rsid w:val="008B366F"/>
    <w:rsid w:val="008B3681"/>
    <w:rsid w:val="008B3896"/>
    <w:rsid w:val="008B3D88"/>
    <w:rsid w:val="008B456E"/>
    <w:rsid w:val="008B48B6"/>
    <w:rsid w:val="008B48F4"/>
    <w:rsid w:val="008B4C18"/>
    <w:rsid w:val="008B4E97"/>
    <w:rsid w:val="008B5B91"/>
    <w:rsid w:val="008B60E0"/>
    <w:rsid w:val="008B615C"/>
    <w:rsid w:val="008B61BB"/>
    <w:rsid w:val="008B64EF"/>
    <w:rsid w:val="008B675D"/>
    <w:rsid w:val="008B6829"/>
    <w:rsid w:val="008B6B9D"/>
    <w:rsid w:val="008B73B6"/>
    <w:rsid w:val="008B7A15"/>
    <w:rsid w:val="008C021F"/>
    <w:rsid w:val="008C0A71"/>
    <w:rsid w:val="008C0C78"/>
    <w:rsid w:val="008C0F2E"/>
    <w:rsid w:val="008C14DB"/>
    <w:rsid w:val="008C1952"/>
    <w:rsid w:val="008C268A"/>
    <w:rsid w:val="008C2D60"/>
    <w:rsid w:val="008C3348"/>
    <w:rsid w:val="008C3771"/>
    <w:rsid w:val="008C3D13"/>
    <w:rsid w:val="008C4AD9"/>
    <w:rsid w:val="008C5188"/>
    <w:rsid w:val="008C57CD"/>
    <w:rsid w:val="008C5CD2"/>
    <w:rsid w:val="008C617C"/>
    <w:rsid w:val="008C6E70"/>
    <w:rsid w:val="008C7618"/>
    <w:rsid w:val="008C7742"/>
    <w:rsid w:val="008C7B96"/>
    <w:rsid w:val="008D0661"/>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B83"/>
    <w:rsid w:val="008D4CBE"/>
    <w:rsid w:val="008D4F40"/>
    <w:rsid w:val="008D5131"/>
    <w:rsid w:val="008D53FA"/>
    <w:rsid w:val="008D5A2B"/>
    <w:rsid w:val="008D60A8"/>
    <w:rsid w:val="008D6D71"/>
    <w:rsid w:val="008D6DF8"/>
    <w:rsid w:val="008D6EBB"/>
    <w:rsid w:val="008D786D"/>
    <w:rsid w:val="008D7F6D"/>
    <w:rsid w:val="008E05E1"/>
    <w:rsid w:val="008E06BA"/>
    <w:rsid w:val="008E0B1B"/>
    <w:rsid w:val="008E11BB"/>
    <w:rsid w:val="008E19ED"/>
    <w:rsid w:val="008E1A61"/>
    <w:rsid w:val="008E1A80"/>
    <w:rsid w:val="008E2295"/>
    <w:rsid w:val="008E2C0F"/>
    <w:rsid w:val="008E32D7"/>
    <w:rsid w:val="008E3385"/>
    <w:rsid w:val="008E338D"/>
    <w:rsid w:val="008E38AF"/>
    <w:rsid w:val="008E4FA3"/>
    <w:rsid w:val="008E558C"/>
    <w:rsid w:val="008E5D63"/>
    <w:rsid w:val="008E615B"/>
    <w:rsid w:val="008E7180"/>
    <w:rsid w:val="008E7250"/>
    <w:rsid w:val="008E73F4"/>
    <w:rsid w:val="008E7753"/>
    <w:rsid w:val="008F0929"/>
    <w:rsid w:val="008F0B76"/>
    <w:rsid w:val="008F0F5B"/>
    <w:rsid w:val="008F1369"/>
    <w:rsid w:val="008F2115"/>
    <w:rsid w:val="008F24D7"/>
    <w:rsid w:val="008F2622"/>
    <w:rsid w:val="008F2EBC"/>
    <w:rsid w:val="008F32ED"/>
    <w:rsid w:val="008F33AD"/>
    <w:rsid w:val="008F3F50"/>
    <w:rsid w:val="008F43BD"/>
    <w:rsid w:val="008F4828"/>
    <w:rsid w:val="008F4A0E"/>
    <w:rsid w:val="008F4EAD"/>
    <w:rsid w:val="008F511C"/>
    <w:rsid w:val="008F5376"/>
    <w:rsid w:val="008F559B"/>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414"/>
    <w:rsid w:val="009017DF"/>
    <w:rsid w:val="00901A59"/>
    <w:rsid w:val="00901FAD"/>
    <w:rsid w:val="00902535"/>
    <w:rsid w:val="0090258A"/>
    <w:rsid w:val="009027C5"/>
    <w:rsid w:val="00902A78"/>
    <w:rsid w:val="00902B8F"/>
    <w:rsid w:val="00903698"/>
    <w:rsid w:val="009037D1"/>
    <w:rsid w:val="00903E77"/>
    <w:rsid w:val="0090428B"/>
    <w:rsid w:val="009048C4"/>
    <w:rsid w:val="00905A38"/>
    <w:rsid w:val="00905C5F"/>
    <w:rsid w:val="00905D29"/>
    <w:rsid w:val="009064EE"/>
    <w:rsid w:val="0090710B"/>
    <w:rsid w:val="009073AA"/>
    <w:rsid w:val="009076CD"/>
    <w:rsid w:val="00907D61"/>
    <w:rsid w:val="00907E7C"/>
    <w:rsid w:val="00907F17"/>
    <w:rsid w:val="00910449"/>
    <w:rsid w:val="009106C2"/>
    <w:rsid w:val="0091072E"/>
    <w:rsid w:val="00910A0F"/>
    <w:rsid w:val="00910F65"/>
    <w:rsid w:val="009117CC"/>
    <w:rsid w:val="009119B9"/>
    <w:rsid w:val="00911DCF"/>
    <w:rsid w:val="009125F2"/>
    <w:rsid w:val="0091264E"/>
    <w:rsid w:val="00912770"/>
    <w:rsid w:val="009129D6"/>
    <w:rsid w:val="00912CE7"/>
    <w:rsid w:val="00912D2F"/>
    <w:rsid w:val="00912E47"/>
    <w:rsid w:val="0091308D"/>
    <w:rsid w:val="009130D3"/>
    <w:rsid w:val="00913796"/>
    <w:rsid w:val="009137AA"/>
    <w:rsid w:val="009146F0"/>
    <w:rsid w:val="00914A52"/>
    <w:rsid w:val="00914B45"/>
    <w:rsid w:val="009154F4"/>
    <w:rsid w:val="009156DD"/>
    <w:rsid w:val="00915CA8"/>
    <w:rsid w:val="00915CFF"/>
    <w:rsid w:val="00916061"/>
    <w:rsid w:val="009162A2"/>
    <w:rsid w:val="0091683C"/>
    <w:rsid w:val="009169CC"/>
    <w:rsid w:val="0091702A"/>
    <w:rsid w:val="0091714C"/>
    <w:rsid w:val="0091721E"/>
    <w:rsid w:val="00917D38"/>
    <w:rsid w:val="00917F27"/>
    <w:rsid w:val="009201BB"/>
    <w:rsid w:val="009205C3"/>
    <w:rsid w:val="009205F0"/>
    <w:rsid w:val="00920A45"/>
    <w:rsid w:val="00920C93"/>
    <w:rsid w:val="00920E8B"/>
    <w:rsid w:val="0092140D"/>
    <w:rsid w:val="00921ADC"/>
    <w:rsid w:val="009221D6"/>
    <w:rsid w:val="00922B62"/>
    <w:rsid w:val="00922E4F"/>
    <w:rsid w:val="0092321D"/>
    <w:rsid w:val="00923B20"/>
    <w:rsid w:val="00924146"/>
    <w:rsid w:val="00924290"/>
    <w:rsid w:val="009246E1"/>
    <w:rsid w:val="0092486A"/>
    <w:rsid w:val="00924FB4"/>
    <w:rsid w:val="00925C6A"/>
    <w:rsid w:val="00925F74"/>
    <w:rsid w:val="00925F8F"/>
    <w:rsid w:val="009262B0"/>
    <w:rsid w:val="009262FF"/>
    <w:rsid w:val="009267BB"/>
    <w:rsid w:val="00930A3B"/>
    <w:rsid w:val="00930EDF"/>
    <w:rsid w:val="00930FF1"/>
    <w:rsid w:val="009311DA"/>
    <w:rsid w:val="00931522"/>
    <w:rsid w:val="00931FE3"/>
    <w:rsid w:val="00932401"/>
    <w:rsid w:val="00932780"/>
    <w:rsid w:val="00932913"/>
    <w:rsid w:val="009329D4"/>
    <w:rsid w:val="00932DAC"/>
    <w:rsid w:val="009336D9"/>
    <w:rsid w:val="00933766"/>
    <w:rsid w:val="00933C13"/>
    <w:rsid w:val="00933D00"/>
    <w:rsid w:val="0093474F"/>
    <w:rsid w:val="00935469"/>
    <w:rsid w:val="0093577D"/>
    <w:rsid w:val="00935AD4"/>
    <w:rsid w:val="00935C40"/>
    <w:rsid w:val="00936197"/>
    <w:rsid w:val="0093651E"/>
    <w:rsid w:val="00936A97"/>
    <w:rsid w:val="00936E17"/>
    <w:rsid w:val="009370C1"/>
    <w:rsid w:val="009371C5"/>
    <w:rsid w:val="00940291"/>
    <w:rsid w:val="00941033"/>
    <w:rsid w:val="00941216"/>
    <w:rsid w:val="009412B8"/>
    <w:rsid w:val="00941365"/>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0D0A"/>
    <w:rsid w:val="00951531"/>
    <w:rsid w:val="009522D3"/>
    <w:rsid w:val="0095246C"/>
    <w:rsid w:val="00952671"/>
    <w:rsid w:val="009529AA"/>
    <w:rsid w:val="00952F25"/>
    <w:rsid w:val="00952F9D"/>
    <w:rsid w:val="00952FB3"/>
    <w:rsid w:val="0095330D"/>
    <w:rsid w:val="00953331"/>
    <w:rsid w:val="00953362"/>
    <w:rsid w:val="009534F9"/>
    <w:rsid w:val="00953C69"/>
    <w:rsid w:val="00953CA0"/>
    <w:rsid w:val="0095448E"/>
    <w:rsid w:val="009546C7"/>
    <w:rsid w:val="00954E5A"/>
    <w:rsid w:val="0095525F"/>
    <w:rsid w:val="00955741"/>
    <w:rsid w:val="00955845"/>
    <w:rsid w:val="00955B4C"/>
    <w:rsid w:val="00955C90"/>
    <w:rsid w:val="00955F3A"/>
    <w:rsid w:val="009563FF"/>
    <w:rsid w:val="00956477"/>
    <w:rsid w:val="00957922"/>
    <w:rsid w:val="00957A64"/>
    <w:rsid w:val="00960D30"/>
    <w:rsid w:val="0096156B"/>
    <w:rsid w:val="00961991"/>
    <w:rsid w:val="00961AE2"/>
    <w:rsid w:val="00962E15"/>
    <w:rsid w:val="0096393E"/>
    <w:rsid w:val="009647E9"/>
    <w:rsid w:val="009648B7"/>
    <w:rsid w:val="00964AC2"/>
    <w:rsid w:val="00965037"/>
    <w:rsid w:val="0096573A"/>
    <w:rsid w:val="009664EC"/>
    <w:rsid w:val="00966A8E"/>
    <w:rsid w:val="00966E8F"/>
    <w:rsid w:val="009674F2"/>
    <w:rsid w:val="00967668"/>
    <w:rsid w:val="00967689"/>
    <w:rsid w:val="00967708"/>
    <w:rsid w:val="00967DA0"/>
    <w:rsid w:val="0097030C"/>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500"/>
    <w:rsid w:val="0097461A"/>
    <w:rsid w:val="00974949"/>
    <w:rsid w:val="00974CF0"/>
    <w:rsid w:val="00974E41"/>
    <w:rsid w:val="009752B6"/>
    <w:rsid w:val="009760C7"/>
    <w:rsid w:val="00976915"/>
    <w:rsid w:val="00976C5C"/>
    <w:rsid w:val="009772AC"/>
    <w:rsid w:val="00977E60"/>
    <w:rsid w:val="00977EDB"/>
    <w:rsid w:val="0098011B"/>
    <w:rsid w:val="009804C1"/>
    <w:rsid w:val="0098068D"/>
    <w:rsid w:val="0098098C"/>
    <w:rsid w:val="0098099D"/>
    <w:rsid w:val="009812A8"/>
    <w:rsid w:val="00981F69"/>
    <w:rsid w:val="00982A00"/>
    <w:rsid w:val="00982CEB"/>
    <w:rsid w:val="00983626"/>
    <w:rsid w:val="0098368D"/>
    <w:rsid w:val="00983A4F"/>
    <w:rsid w:val="0098409D"/>
    <w:rsid w:val="009844BD"/>
    <w:rsid w:val="00985832"/>
    <w:rsid w:val="00986140"/>
    <w:rsid w:val="009862EC"/>
    <w:rsid w:val="0098634A"/>
    <w:rsid w:val="0098644E"/>
    <w:rsid w:val="00986580"/>
    <w:rsid w:val="00986A0A"/>
    <w:rsid w:val="00986AD0"/>
    <w:rsid w:val="00986D93"/>
    <w:rsid w:val="00987174"/>
    <w:rsid w:val="00987604"/>
    <w:rsid w:val="0098783C"/>
    <w:rsid w:val="00987D6E"/>
    <w:rsid w:val="009902B1"/>
    <w:rsid w:val="00990604"/>
    <w:rsid w:val="009906E0"/>
    <w:rsid w:val="00991085"/>
    <w:rsid w:val="00991308"/>
    <w:rsid w:val="009919C2"/>
    <w:rsid w:val="00992450"/>
    <w:rsid w:val="00992DDC"/>
    <w:rsid w:val="00992EBB"/>
    <w:rsid w:val="00993B63"/>
    <w:rsid w:val="00994138"/>
    <w:rsid w:val="00994544"/>
    <w:rsid w:val="009945C8"/>
    <w:rsid w:val="0099494B"/>
    <w:rsid w:val="0099537A"/>
    <w:rsid w:val="0099568B"/>
    <w:rsid w:val="009956DC"/>
    <w:rsid w:val="00995EEF"/>
    <w:rsid w:val="0099616D"/>
    <w:rsid w:val="009971E1"/>
    <w:rsid w:val="0099753F"/>
    <w:rsid w:val="009978FE"/>
    <w:rsid w:val="00997D13"/>
    <w:rsid w:val="009A00CE"/>
    <w:rsid w:val="009A07CF"/>
    <w:rsid w:val="009A0AE8"/>
    <w:rsid w:val="009A16D3"/>
    <w:rsid w:val="009A1722"/>
    <w:rsid w:val="009A1737"/>
    <w:rsid w:val="009A19FB"/>
    <w:rsid w:val="009A23B2"/>
    <w:rsid w:val="009A2582"/>
    <w:rsid w:val="009A292F"/>
    <w:rsid w:val="009A37D1"/>
    <w:rsid w:val="009A37E8"/>
    <w:rsid w:val="009A3F69"/>
    <w:rsid w:val="009A4C64"/>
    <w:rsid w:val="009A5C50"/>
    <w:rsid w:val="009A5D02"/>
    <w:rsid w:val="009A63B2"/>
    <w:rsid w:val="009A6990"/>
    <w:rsid w:val="009A69EB"/>
    <w:rsid w:val="009A6B1B"/>
    <w:rsid w:val="009A6BFD"/>
    <w:rsid w:val="009A6F9A"/>
    <w:rsid w:val="009A7AB3"/>
    <w:rsid w:val="009A7E67"/>
    <w:rsid w:val="009A7F86"/>
    <w:rsid w:val="009B06D0"/>
    <w:rsid w:val="009B09AB"/>
    <w:rsid w:val="009B0A6F"/>
    <w:rsid w:val="009B13FF"/>
    <w:rsid w:val="009B17BE"/>
    <w:rsid w:val="009B286F"/>
    <w:rsid w:val="009B319A"/>
    <w:rsid w:val="009B32F3"/>
    <w:rsid w:val="009B35DD"/>
    <w:rsid w:val="009B3CC3"/>
    <w:rsid w:val="009B4279"/>
    <w:rsid w:val="009B4B1E"/>
    <w:rsid w:val="009B5B91"/>
    <w:rsid w:val="009B5E11"/>
    <w:rsid w:val="009B5F5A"/>
    <w:rsid w:val="009B6534"/>
    <w:rsid w:val="009B6574"/>
    <w:rsid w:val="009B675D"/>
    <w:rsid w:val="009B68C8"/>
    <w:rsid w:val="009B6FB6"/>
    <w:rsid w:val="009B7329"/>
    <w:rsid w:val="009B7508"/>
    <w:rsid w:val="009B7B14"/>
    <w:rsid w:val="009B7B4B"/>
    <w:rsid w:val="009B7F13"/>
    <w:rsid w:val="009C0C7A"/>
    <w:rsid w:val="009C18F4"/>
    <w:rsid w:val="009C19FC"/>
    <w:rsid w:val="009C1F84"/>
    <w:rsid w:val="009C2176"/>
    <w:rsid w:val="009C2E99"/>
    <w:rsid w:val="009C3597"/>
    <w:rsid w:val="009C36C1"/>
    <w:rsid w:val="009C4426"/>
    <w:rsid w:val="009C45A9"/>
    <w:rsid w:val="009C4758"/>
    <w:rsid w:val="009C475F"/>
    <w:rsid w:val="009C47B7"/>
    <w:rsid w:val="009C4C3F"/>
    <w:rsid w:val="009C4F4E"/>
    <w:rsid w:val="009C5586"/>
    <w:rsid w:val="009C5D9F"/>
    <w:rsid w:val="009C60A9"/>
    <w:rsid w:val="009C60B6"/>
    <w:rsid w:val="009C61B5"/>
    <w:rsid w:val="009C6534"/>
    <w:rsid w:val="009C670F"/>
    <w:rsid w:val="009C675F"/>
    <w:rsid w:val="009C6EF9"/>
    <w:rsid w:val="009C73D0"/>
    <w:rsid w:val="009C7B32"/>
    <w:rsid w:val="009D0D09"/>
    <w:rsid w:val="009D0EB0"/>
    <w:rsid w:val="009D111B"/>
    <w:rsid w:val="009D12B7"/>
    <w:rsid w:val="009D14E0"/>
    <w:rsid w:val="009D1509"/>
    <w:rsid w:val="009D1641"/>
    <w:rsid w:val="009D1F77"/>
    <w:rsid w:val="009D2A4F"/>
    <w:rsid w:val="009D2B0D"/>
    <w:rsid w:val="009D3237"/>
    <w:rsid w:val="009D43A6"/>
    <w:rsid w:val="009D4576"/>
    <w:rsid w:val="009D4ED0"/>
    <w:rsid w:val="009D4F37"/>
    <w:rsid w:val="009D4F95"/>
    <w:rsid w:val="009D512D"/>
    <w:rsid w:val="009D5AF6"/>
    <w:rsid w:val="009D5BF3"/>
    <w:rsid w:val="009D5FE5"/>
    <w:rsid w:val="009D64B0"/>
    <w:rsid w:val="009D6A7E"/>
    <w:rsid w:val="009D6B58"/>
    <w:rsid w:val="009D6C40"/>
    <w:rsid w:val="009D70E0"/>
    <w:rsid w:val="009D7713"/>
    <w:rsid w:val="009D7B31"/>
    <w:rsid w:val="009D7D6B"/>
    <w:rsid w:val="009E0191"/>
    <w:rsid w:val="009E02FB"/>
    <w:rsid w:val="009E034B"/>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5300"/>
    <w:rsid w:val="009E5A65"/>
    <w:rsid w:val="009E5CC3"/>
    <w:rsid w:val="009E6664"/>
    <w:rsid w:val="009E693B"/>
    <w:rsid w:val="009E69D0"/>
    <w:rsid w:val="009E6D0B"/>
    <w:rsid w:val="009E772A"/>
    <w:rsid w:val="009E79ED"/>
    <w:rsid w:val="009F03FB"/>
    <w:rsid w:val="009F06CF"/>
    <w:rsid w:val="009F075A"/>
    <w:rsid w:val="009F09C1"/>
    <w:rsid w:val="009F09C2"/>
    <w:rsid w:val="009F1017"/>
    <w:rsid w:val="009F1068"/>
    <w:rsid w:val="009F10A8"/>
    <w:rsid w:val="009F1311"/>
    <w:rsid w:val="009F17CD"/>
    <w:rsid w:val="009F17F9"/>
    <w:rsid w:val="009F1936"/>
    <w:rsid w:val="009F22B2"/>
    <w:rsid w:val="009F22F4"/>
    <w:rsid w:val="009F2AC5"/>
    <w:rsid w:val="009F2E49"/>
    <w:rsid w:val="009F2ECA"/>
    <w:rsid w:val="009F3A36"/>
    <w:rsid w:val="009F3CE7"/>
    <w:rsid w:val="009F42B4"/>
    <w:rsid w:val="009F43DB"/>
    <w:rsid w:val="009F4CA1"/>
    <w:rsid w:val="009F4FA8"/>
    <w:rsid w:val="009F55FD"/>
    <w:rsid w:val="009F60A9"/>
    <w:rsid w:val="009F616E"/>
    <w:rsid w:val="009F6BC1"/>
    <w:rsid w:val="009F6FFB"/>
    <w:rsid w:val="009F702B"/>
    <w:rsid w:val="009F72F0"/>
    <w:rsid w:val="009F7934"/>
    <w:rsid w:val="00A0057D"/>
    <w:rsid w:val="00A00EC9"/>
    <w:rsid w:val="00A0160E"/>
    <w:rsid w:val="00A01A0B"/>
    <w:rsid w:val="00A01E7D"/>
    <w:rsid w:val="00A01F5B"/>
    <w:rsid w:val="00A02071"/>
    <w:rsid w:val="00A025B2"/>
    <w:rsid w:val="00A026D3"/>
    <w:rsid w:val="00A0279D"/>
    <w:rsid w:val="00A02C2F"/>
    <w:rsid w:val="00A02F6C"/>
    <w:rsid w:val="00A02FA7"/>
    <w:rsid w:val="00A02FC4"/>
    <w:rsid w:val="00A0327F"/>
    <w:rsid w:val="00A032C2"/>
    <w:rsid w:val="00A03314"/>
    <w:rsid w:val="00A04040"/>
    <w:rsid w:val="00A048C8"/>
    <w:rsid w:val="00A0502F"/>
    <w:rsid w:val="00A055EF"/>
    <w:rsid w:val="00A064B2"/>
    <w:rsid w:val="00A06513"/>
    <w:rsid w:val="00A06563"/>
    <w:rsid w:val="00A074A4"/>
    <w:rsid w:val="00A07678"/>
    <w:rsid w:val="00A077F0"/>
    <w:rsid w:val="00A1013B"/>
    <w:rsid w:val="00A1030B"/>
    <w:rsid w:val="00A10337"/>
    <w:rsid w:val="00A104AE"/>
    <w:rsid w:val="00A105DD"/>
    <w:rsid w:val="00A10CB4"/>
    <w:rsid w:val="00A1133A"/>
    <w:rsid w:val="00A11517"/>
    <w:rsid w:val="00A115BA"/>
    <w:rsid w:val="00A11850"/>
    <w:rsid w:val="00A118AE"/>
    <w:rsid w:val="00A11DF4"/>
    <w:rsid w:val="00A128B4"/>
    <w:rsid w:val="00A12CB4"/>
    <w:rsid w:val="00A12F55"/>
    <w:rsid w:val="00A12F6A"/>
    <w:rsid w:val="00A13C79"/>
    <w:rsid w:val="00A145A5"/>
    <w:rsid w:val="00A1468B"/>
    <w:rsid w:val="00A14C92"/>
    <w:rsid w:val="00A152AF"/>
    <w:rsid w:val="00A1547E"/>
    <w:rsid w:val="00A15A7C"/>
    <w:rsid w:val="00A16413"/>
    <w:rsid w:val="00A16684"/>
    <w:rsid w:val="00A16CE4"/>
    <w:rsid w:val="00A173B4"/>
    <w:rsid w:val="00A175D3"/>
    <w:rsid w:val="00A17C46"/>
    <w:rsid w:val="00A20309"/>
    <w:rsid w:val="00A20C9A"/>
    <w:rsid w:val="00A21992"/>
    <w:rsid w:val="00A21C2F"/>
    <w:rsid w:val="00A21D47"/>
    <w:rsid w:val="00A2262B"/>
    <w:rsid w:val="00A2264B"/>
    <w:rsid w:val="00A22C4F"/>
    <w:rsid w:val="00A23486"/>
    <w:rsid w:val="00A23876"/>
    <w:rsid w:val="00A2424A"/>
    <w:rsid w:val="00A244B1"/>
    <w:rsid w:val="00A247DA"/>
    <w:rsid w:val="00A254B6"/>
    <w:rsid w:val="00A30171"/>
    <w:rsid w:val="00A301BB"/>
    <w:rsid w:val="00A30616"/>
    <w:rsid w:val="00A3091A"/>
    <w:rsid w:val="00A30A48"/>
    <w:rsid w:val="00A30EC8"/>
    <w:rsid w:val="00A3107A"/>
    <w:rsid w:val="00A32461"/>
    <w:rsid w:val="00A330B7"/>
    <w:rsid w:val="00A33E32"/>
    <w:rsid w:val="00A34502"/>
    <w:rsid w:val="00A34619"/>
    <w:rsid w:val="00A34AF7"/>
    <w:rsid w:val="00A34FE0"/>
    <w:rsid w:val="00A34FFF"/>
    <w:rsid w:val="00A359E5"/>
    <w:rsid w:val="00A35AB7"/>
    <w:rsid w:val="00A363C2"/>
    <w:rsid w:val="00A365EC"/>
    <w:rsid w:val="00A365FB"/>
    <w:rsid w:val="00A36878"/>
    <w:rsid w:val="00A36A68"/>
    <w:rsid w:val="00A37839"/>
    <w:rsid w:val="00A37FAB"/>
    <w:rsid w:val="00A407D6"/>
    <w:rsid w:val="00A408E7"/>
    <w:rsid w:val="00A40E01"/>
    <w:rsid w:val="00A41607"/>
    <w:rsid w:val="00A4179F"/>
    <w:rsid w:val="00A41ACF"/>
    <w:rsid w:val="00A42028"/>
    <w:rsid w:val="00A42990"/>
    <w:rsid w:val="00A42B18"/>
    <w:rsid w:val="00A4304E"/>
    <w:rsid w:val="00A4304F"/>
    <w:rsid w:val="00A43548"/>
    <w:rsid w:val="00A437FE"/>
    <w:rsid w:val="00A43B64"/>
    <w:rsid w:val="00A44426"/>
    <w:rsid w:val="00A4489D"/>
    <w:rsid w:val="00A448F9"/>
    <w:rsid w:val="00A45270"/>
    <w:rsid w:val="00A454FC"/>
    <w:rsid w:val="00A45718"/>
    <w:rsid w:val="00A46405"/>
    <w:rsid w:val="00A46EE0"/>
    <w:rsid w:val="00A5003B"/>
    <w:rsid w:val="00A500C9"/>
    <w:rsid w:val="00A50122"/>
    <w:rsid w:val="00A5044D"/>
    <w:rsid w:val="00A504D2"/>
    <w:rsid w:val="00A504EE"/>
    <w:rsid w:val="00A508C5"/>
    <w:rsid w:val="00A50B17"/>
    <w:rsid w:val="00A50F97"/>
    <w:rsid w:val="00A511B4"/>
    <w:rsid w:val="00A51482"/>
    <w:rsid w:val="00A51BC6"/>
    <w:rsid w:val="00A527B4"/>
    <w:rsid w:val="00A52851"/>
    <w:rsid w:val="00A52B3C"/>
    <w:rsid w:val="00A52C34"/>
    <w:rsid w:val="00A52D33"/>
    <w:rsid w:val="00A52ED0"/>
    <w:rsid w:val="00A533CB"/>
    <w:rsid w:val="00A535A6"/>
    <w:rsid w:val="00A53D28"/>
    <w:rsid w:val="00A54CC5"/>
    <w:rsid w:val="00A54EA0"/>
    <w:rsid w:val="00A55C43"/>
    <w:rsid w:val="00A55D53"/>
    <w:rsid w:val="00A55F45"/>
    <w:rsid w:val="00A56AEE"/>
    <w:rsid w:val="00A56B96"/>
    <w:rsid w:val="00A56C0C"/>
    <w:rsid w:val="00A56C12"/>
    <w:rsid w:val="00A57071"/>
    <w:rsid w:val="00A57755"/>
    <w:rsid w:val="00A579D1"/>
    <w:rsid w:val="00A57FF1"/>
    <w:rsid w:val="00A6046C"/>
    <w:rsid w:val="00A60540"/>
    <w:rsid w:val="00A614D3"/>
    <w:rsid w:val="00A6230B"/>
    <w:rsid w:val="00A6257B"/>
    <w:rsid w:val="00A63493"/>
    <w:rsid w:val="00A638D1"/>
    <w:rsid w:val="00A64EC6"/>
    <w:rsid w:val="00A6529F"/>
    <w:rsid w:val="00A6539E"/>
    <w:rsid w:val="00A6553D"/>
    <w:rsid w:val="00A656BB"/>
    <w:rsid w:val="00A65744"/>
    <w:rsid w:val="00A657E8"/>
    <w:rsid w:val="00A6666B"/>
    <w:rsid w:val="00A676DE"/>
    <w:rsid w:val="00A677DA"/>
    <w:rsid w:val="00A67816"/>
    <w:rsid w:val="00A67B49"/>
    <w:rsid w:val="00A701BE"/>
    <w:rsid w:val="00A70AFE"/>
    <w:rsid w:val="00A72179"/>
    <w:rsid w:val="00A72369"/>
    <w:rsid w:val="00A724C1"/>
    <w:rsid w:val="00A7260F"/>
    <w:rsid w:val="00A726F7"/>
    <w:rsid w:val="00A72CE2"/>
    <w:rsid w:val="00A730BB"/>
    <w:rsid w:val="00A7386E"/>
    <w:rsid w:val="00A73BE0"/>
    <w:rsid w:val="00A74B2C"/>
    <w:rsid w:val="00A74CBF"/>
    <w:rsid w:val="00A74D0E"/>
    <w:rsid w:val="00A74E8F"/>
    <w:rsid w:val="00A757D8"/>
    <w:rsid w:val="00A7607C"/>
    <w:rsid w:val="00A769C8"/>
    <w:rsid w:val="00A76B0E"/>
    <w:rsid w:val="00A76F65"/>
    <w:rsid w:val="00A77BFD"/>
    <w:rsid w:val="00A77C81"/>
    <w:rsid w:val="00A8009F"/>
    <w:rsid w:val="00A8039F"/>
    <w:rsid w:val="00A80680"/>
    <w:rsid w:val="00A80987"/>
    <w:rsid w:val="00A80B75"/>
    <w:rsid w:val="00A80BCD"/>
    <w:rsid w:val="00A80C4F"/>
    <w:rsid w:val="00A80D67"/>
    <w:rsid w:val="00A80EDB"/>
    <w:rsid w:val="00A81087"/>
    <w:rsid w:val="00A810C8"/>
    <w:rsid w:val="00A8171C"/>
    <w:rsid w:val="00A822B2"/>
    <w:rsid w:val="00A8248C"/>
    <w:rsid w:val="00A8276D"/>
    <w:rsid w:val="00A829C1"/>
    <w:rsid w:val="00A82F22"/>
    <w:rsid w:val="00A82F3E"/>
    <w:rsid w:val="00A831DA"/>
    <w:rsid w:val="00A83460"/>
    <w:rsid w:val="00A838CD"/>
    <w:rsid w:val="00A83A60"/>
    <w:rsid w:val="00A8400D"/>
    <w:rsid w:val="00A84802"/>
    <w:rsid w:val="00A84811"/>
    <w:rsid w:val="00A849CA"/>
    <w:rsid w:val="00A84AF7"/>
    <w:rsid w:val="00A8604B"/>
    <w:rsid w:val="00A8616C"/>
    <w:rsid w:val="00A86451"/>
    <w:rsid w:val="00A86CF5"/>
    <w:rsid w:val="00A87739"/>
    <w:rsid w:val="00A87940"/>
    <w:rsid w:val="00A87F9E"/>
    <w:rsid w:val="00A9019C"/>
    <w:rsid w:val="00A90362"/>
    <w:rsid w:val="00A90C41"/>
    <w:rsid w:val="00A90FE5"/>
    <w:rsid w:val="00A912A4"/>
    <w:rsid w:val="00A914A8"/>
    <w:rsid w:val="00A91667"/>
    <w:rsid w:val="00A91A9B"/>
    <w:rsid w:val="00A9303A"/>
    <w:rsid w:val="00A934BD"/>
    <w:rsid w:val="00A93852"/>
    <w:rsid w:val="00A940C0"/>
    <w:rsid w:val="00A94578"/>
    <w:rsid w:val="00A949F9"/>
    <w:rsid w:val="00A94C9F"/>
    <w:rsid w:val="00A95085"/>
    <w:rsid w:val="00A95D22"/>
    <w:rsid w:val="00A9618F"/>
    <w:rsid w:val="00A96222"/>
    <w:rsid w:val="00A96AC8"/>
    <w:rsid w:val="00A96ADC"/>
    <w:rsid w:val="00A96F2C"/>
    <w:rsid w:val="00A97308"/>
    <w:rsid w:val="00A975A9"/>
    <w:rsid w:val="00A97CA7"/>
    <w:rsid w:val="00A97FB6"/>
    <w:rsid w:val="00AA062A"/>
    <w:rsid w:val="00AA0A5E"/>
    <w:rsid w:val="00AA0BA2"/>
    <w:rsid w:val="00AA0BD2"/>
    <w:rsid w:val="00AA0C9D"/>
    <w:rsid w:val="00AA0F73"/>
    <w:rsid w:val="00AA0F80"/>
    <w:rsid w:val="00AA116A"/>
    <w:rsid w:val="00AA14BB"/>
    <w:rsid w:val="00AA157F"/>
    <w:rsid w:val="00AA2255"/>
    <w:rsid w:val="00AA28BC"/>
    <w:rsid w:val="00AA2BFD"/>
    <w:rsid w:val="00AA2DE9"/>
    <w:rsid w:val="00AA3B4A"/>
    <w:rsid w:val="00AA48F7"/>
    <w:rsid w:val="00AA6097"/>
    <w:rsid w:val="00AA657A"/>
    <w:rsid w:val="00AA68F3"/>
    <w:rsid w:val="00AA6929"/>
    <w:rsid w:val="00AA6DAC"/>
    <w:rsid w:val="00AA737D"/>
    <w:rsid w:val="00AA7A17"/>
    <w:rsid w:val="00AA7B3B"/>
    <w:rsid w:val="00AB00B3"/>
    <w:rsid w:val="00AB028A"/>
    <w:rsid w:val="00AB0363"/>
    <w:rsid w:val="00AB05BE"/>
    <w:rsid w:val="00AB0FB9"/>
    <w:rsid w:val="00AB13EB"/>
    <w:rsid w:val="00AB1A60"/>
    <w:rsid w:val="00AB2E6C"/>
    <w:rsid w:val="00AB30AB"/>
    <w:rsid w:val="00AB351E"/>
    <w:rsid w:val="00AB356A"/>
    <w:rsid w:val="00AB3786"/>
    <w:rsid w:val="00AB40AD"/>
    <w:rsid w:val="00AB4B0D"/>
    <w:rsid w:val="00AB5E4B"/>
    <w:rsid w:val="00AB5F74"/>
    <w:rsid w:val="00AB628C"/>
    <w:rsid w:val="00AB6523"/>
    <w:rsid w:val="00AB673A"/>
    <w:rsid w:val="00AB691E"/>
    <w:rsid w:val="00AB6BC8"/>
    <w:rsid w:val="00AB7D2D"/>
    <w:rsid w:val="00AC0AFC"/>
    <w:rsid w:val="00AC1151"/>
    <w:rsid w:val="00AC14F5"/>
    <w:rsid w:val="00AC15EB"/>
    <w:rsid w:val="00AC1635"/>
    <w:rsid w:val="00AC1705"/>
    <w:rsid w:val="00AC17B4"/>
    <w:rsid w:val="00AC18C4"/>
    <w:rsid w:val="00AC19C1"/>
    <w:rsid w:val="00AC26A3"/>
    <w:rsid w:val="00AC2D20"/>
    <w:rsid w:val="00AC3140"/>
    <w:rsid w:val="00AC314B"/>
    <w:rsid w:val="00AC31A9"/>
    <w:rsid w:val="00AC31AC"/>
    <w:rsid w:val="00AC327F"/>
    <w:rsid w:val="00AC34E5"/>
    <w:rsid w:val="00AC35E9"/>
    <w:rsid w:val="00AC3896"/>
    <w:rsid w:val="00AC42BA"/>
    <w:rsid w:val="00AC46AD"/>
    <w:rsid w:val="00AC4804"/>
    <w:rsid w:val="00AC4BBD"/>
    <w:rsid w:val="00AC4DAE"/>
    <w:rsid w:val="00AC4F77"/>
    <w:rsid w:val="00AC5BB4"/>
    <w:rsid w:val="00AC6022"/>
    <w:rsid w:val="00AC616A"/>
    <w:rsid w:val="00AC6199"/>
    <w:rsid w:val="00AC6459"/>
    <w:rsid w:val="00AC6771"/>
    <w:rsid w:val="00AC6C57"/>
    <w:rsid w:val="00AC7BBA"/>
    <w:rsid w:val="00AD0BB2"/>
    <w:rsid w:val="00AD0D0E"/>
    <w:rsid w:val="00AD10A1"/>
    <w:rsid w:val="00AD123E"/>
    <w:rsid w:val="00AD15B4"/>
    <w:rsid w:val="00AD174A"/>
    <w:rsid w:val="00AD1CE0"/>
    <w:rsid w:val="00AD28A6"/>
    <w:rsid w:val="00AD2D4A"/>
    <w:rsid w:val="00AD2E76"/>
    <w:rsid w:val="00AD31A7"/>
    <w:rsid w:val="00AD3814"/>
    <w:rsid w:val="00AD3852"/>
    <w:rsid w:val="00AD3919"/>
    <w:rsid w:val="00AD3E97"/>
    <w:rsid w:val="00AD43F9"/>
    <w:rsid w:val="00AD4540"/>
    <w:rsid w:val="00AD4C6D"/>
    <w:rsid w:val="00AD4D51"/>
    <w:rsid w:val="00AD4D6B"/>
    <w:rsid w:val="00AD5520"/>
    <w:rsid w:val="00AD5816"/>
    <w:rsid w:val="00AD591E"/>
    <w:rsid w:val="00AD5AC6"/>
    <w:rsid w:val="00AD5C69"/>
    <w:rsid w:val="00AD6931"/>
    <w:rsid w:val="00AD693C"/>
    <w:rsid w:val="00AD6A54"/>
    <w:rsid w:val="00AD7085"/>
    <w:rsid w:val="00AD7087"/>
    <w:rsid w:val="00AD7240"/>
    <w:rsid w:val="00AD7505"/>
    <w:rsid w:val="00AD7BD9"/>
    <w:rsid w:val="00AD7EDA"/>
    <w:rsid w:val="00AE0138"/>
    <w:rsid w:val="00AE0EA2"/>
    <w:rsid w:val="00AE1140"/>
    <w:rsid w:val="00AE1210"/>
    <w:rsid w:val="00AE13A8"/>
    <w:rsid w:val="00AE144F"/>
    <w:rsid w:val="00AE21B6"/>
    <w:rsid w:val="00AE2EEC"/>
    <w:rsid w:val="00AE2EF1"/>
    <w:rsid w:val="00AE2F71"/>
    <w:rsid w:val="00AE349B"/>
    <w:rsid w:val="00AE3837"/>
    <w:rsid w:val="00AE3973"/>
    <w:rsid w:val="00AE3C0C"/>
    <w:rsid w:val="00AE481E"/>
    <w:rsid w:val="00AE482C"/>
    <w:rsid w:val="00AE4E3A"/>
    <w:rsid w:val="00AE5259"/>
    <w:rsid w:val="00AE59AD"/>
    <w:rsid w:val="00AE5FE3"/>
    <w:rsid w:val="00AE6116"/>
    <w:rsid w:val="00AF0B8B"/>
    <w:rsid w:val="00AF0C34"/>
    <w:rsid w:val="00AF10D8"/>
    <w:rsid w:val="00AF10DA"/>
    <w:rsid w:val="00AF19B1"/>
    <w:rsid w:val="00AF1CA9"/>
    <w:rsid w:val="00AF1FC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16"/>
    <w:rsid w:val="00B02165"/>
    <w:rsid w:val="00B0235F"/>
    <w:rsid w:val="00B02478"/>
    <w:rsid w:val="00B02A9E"/>
    <w:rsid w:val="00B02B7A"/>
    <w:rsid w:val="00B02E72"/>
    <w:rsid w:val="00B02EEA"/>
    <w:rsid w:val="00B0429D"/>
    <w:rsid w:val="00B047AD"/>
    <w:rsid w:val="00B04A32"/>
    <w:rsid w:val="00B04FF1"/>
    <w:rsid w:val="00B06231"/>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A1F"/>
    <w:rsid w:val="00B11DB1"/>
    <w:rsid w:val="00B11F85"/>
    <w:rsid w:val="00B1208C"/>
    <w:rsid w:val="00B12779"/>
    <w:rsid w:val="00B12A5D"/>
    <w:rsid w:val="00B12E7B"/>
    <w:rsid w:val="00B13391"/>
    <w:rsid w:val="00B13397"/>
    <w:rsid w:val="00B13BC2"/>
    <w:rsid w:val="00B1414C"/>
    <w:rsid w:val="00B14380"/>
    <w:rsid w:val="00B149DE"/>
    <w:rsid w:val="00B152AA"/>
    <w:rsid w:val="00B15529"/>
    <w:rsid w:val="00B160CE"/>
    <w:rsid w:val="00B1656A"/>
    <w:rsid w:val="00B1686C"/>
    <w:rsid w:val="00B17332"/>
    <w:rsid w:val="00B17868"/>
    <w:rsid w:val="00B1786B"/>
    <w:rsid w:val="00B17879"/>
    <w:rsid w:val="00B17BFF"/>
    <w:rsid w:val="00B207BE"/>
    <w:rsid w:val="00B20919"/>
    <w:rsid w:val="00B20F07"/>
    <w:rsid w:val="00B21AE9"/>
    <w:rsid w:val="00B21BBB"/>
    <w:rsid w:val="00B22A9A"/>
    <w:rsid w:val="00B22D32"/>
    <w:rsid w:val="00B22E5E"/>
    <w:rsid w:val="00B23701"/>
    <w:rsid w:val="00B238B6"/>
    <w:rsid w:val="00B23992"/>
    <w:rsid w:val="00B23C23"/>
    <w:rsid w:val="00B243C5"/>
    <w:rsid w:val="00B24689"/>
    <w:rsid w:val="00B24A7B"/>
    <w:rsid w:val="00B24EF5"/>
    <w:rsid w:val="00B25280"/>
    <w:rsid w:val="00B25373"/>
    <w:rsid w:val="00B254F0"/>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F6C"/>
    <w:rsid w:val="00B34452"/>
    <w:rsid w:val="00B34CCD"/>
    <w:rsid w:val="00B3560A"/>
    <w:rsid w:val="00B35B78"/>
    <w:rsid w:val="00B35C99"/>
    <w:rsid w:val="00B35DC7"/>
    <w:rsid w:val="00B362AB"/>
    <w:rsid w:val="00B365DE"/>
    <w:rsid w:val="00B367F2"/>
    <w:rsid w:val="00B36893"/>
    <w:rsid w:val="00B36E66"/>
    <w:rsid w:val="00B36E68"/>
    <w:rsid w:val="00B37C32"/>
    <w:rsid w:val="00B401BD"/>
    <w:rsid w:val="00B4041F"/>
    <w:rsid w:val="00B40FBD"/>
    <w:rsid w:val="00B4106D"/>
    <w:rsid w:val="00B41658"/>
    <w:rsid w:val="00B4242F"/>
    <w:rsid w:val="00B42BA7"/>
    <w:rsid w:val="00B42DA3"/>
    <w:rsid w:val="00B42FCD"/>
    <w:rsid w:val="00B43A1E"/>
    <w:rsid w:val="00B43C24"/>
    <w:rsid w:val="00B4408A"/>
    <w:rsid w:val="00B44223"/>
    <w:rsid w:val="00B442C0"/>
    <w:rsid w:val="00B44301"/>
    <w:rsid w:val="00B44323"/>
    <w:rsid w:val="00B445AE"/>
    <w:rsid w:val="00B449E1"/>
    <w:rsid w:val="00B44C78"/>
    <w:rsid w:val="00B45766"/>
    <w:rsid w:val="00B45A7C"/>
    <w:rsid w:val="00B45D12"/>
    <w:rsid w:val="00B45FCE"/>
    <w:rsid w:val="00B46517"/>
    <w:rsid w:val="00B46F2F"/>
    <w:rsid w:val="00B476B5"/>
    <w:rsid w:val="00B477E6"/>
    <w:rsid w:val="00B478B9"/>
    <w:rsid w:val="00B47D10"/>
    <w:rsid w:val="00B507CD"/>
    <w:rsid w:val="00B509FC"/>
    <w:rsid w:val="00B50D35"/>
    <w:rsid w:val="00B51047"/>
    <w:rsid w:val="00B512E5"/>
    <w:rsid w:val="00B513CA"/>
    <w:rsid w:val="00B51BA6"/>
    <w:rsid w:val="00B51FC2"/>
    <w:rsid w:val="00B523BC"/>
    <w:rsid w:val="00B524D1"/>
    <w:rsid w:val="00B52730"/>
    <w:rsid w:val="00B52EF9"/>
    <w:rsid w:val="00B536AB"/>
    <w:rsid w:val="00B53937"/>
    <w:rsid w:val="00B53A39"/>
    <w:rsid w:val="00B53D3A"/>
    <w:rsid w:val="00B54165"/>
    <w:rsid w:val="00B54673"/>
    <w:rsid w:val="00B54C46"/>
    <w:rsid w:val="00B55390"/>
    <w:rsid w:val="00B55568"/>
    <w:rsid w:val="00B555BF"/>
    <w:rsid w:val="00B5570E"/>
    <w:rsid w:val="00B55AB3"/>
    <w:rsid w:val="00B55C6C"/>
    <w:rsid w:val="00B56002"/>
    <w:rsid w:val="00B56119"/>
    <w:rsid w:val="00B56A0F"/>
    <w:rsid w:val="00B57114"/>
    <w:rsid w:val="00B57584"/>
    <w:rsid w:val="00B575BE"/>
    <w:rsid w:val="00B577A8"/>
    <w:rsid w:val="00B5797B"/>
    <w:rsid w:val="00B57AA0"/>
    <w:rsid w:val="00B600AB"/>
    <w:rsid w:val="00B6057C"/>
    <w:rsid w:val="00B6089E"/>
    <w:rsid w:val="00B60BA6"/>
    <w:rsid w:val="00B614C8"/>
    <w:rsid w:val="00B617B5"/>
    <w:rsid w:val="00B61FA9"/>
    <w:rsid w:val="00B6206E"/>
    <w:rsid w:val="00B62C19"/>
    <w:rsid w:val="00B6314C"/>
    <w:rsid w:val="00B63917"/>
    <w:rsid w:val="00B6433B"/>
    <w:rsid w:val="00B645A4"/>
    <w:rsid w:val="00B6473A"/>
    <w:rsid w:val="00B64DED"/>
    <w:rsid w:val="00B6520F"/>
    <w:rsid w:val="00B669D4"/>
    <w:rsid w:val="00B67038"/>
    <w:rsid w:val="00B67796"/>
    <w:rsid w:val="00B7006E"/>
    <w:rsid w:val="00B70081"/>
    <w:rsid w:val="00B700DD"/>
    <w:rsid w:val="00B70155"/>
    <w:rsid w:val="00B70183"/>
    <w:rsid w:val="00B703F3"/>
    <w:rsid w:val="00B70CCF"/>
    <w:rsid w:val="00B70D1A"/>
    <w:rsid w:val="00B71502"/>
    <w:rsid w:val="00B71686"/>
    <w:rsid w:val="00B718ED"/>
    <w:rsid w:val="00B71B49"/>
    <w:rsid w:val="00B71DA6"/>
    <w:rsid w:val="00B71DE1"/>
    <w:rsid w:val="00B71F53"/>
    <w:rsid w:val="00B71F65"/>
    <w:rsid w:val="00B7201F"/>
    <w:rsid w:val="00B7228D"/>
    <w:rsid w:val="00B7242B"/>
    <w:rsid w:val="00B727C4"/>
    <w:rsid w:val="00B72CD2"/>
    <w:rsid w:val="00B72D64"/>
    <w:rsid w:val="00B73744"/>
    <w:rsid w:val="00B73C89"/>
    <w:rsid w:val="00B74582"/>
    <w:rsid w:val="00B74ABA"/>
    <w:rsid w:val="00B74C7E"/>
    <w:rsid w:val="00B74E1E"/>
    <w:rsid w:val="00B7521A"/>
    <w:rsid w:val="00B75371"/>
    <w:rsid w:val="00B75573"/>
    <w:rsid w:val="00B75C9F"/>
    <w:rsid w:val="00B76325"/>
    <w:rsid w:val="00B76975"/>
    <w:rsid w:val="00B769EC"/>
    <w:rsid w:val="00B771A1"/>
    <w:rsid w:val="00B772FB"/>
    <w:rsid w:val="00B773D3"/>
    <w:rsid w:val="00B77C4B"/>
    <w:rsid w:val="00B77EF7"/>
    <w:rsid w:val="00B80309"/>
    <w:rsid w:val="00B8036E"/>
    <w:rsid w:val="00B80630"/>
    <w:rsid w:val="00B80B9B"/>
    <w:rsid w:val="00B812A5"/>
    <w:rsid w:val="00B819DB"/>
    <w:rsid w:val="00B81C8B"/>
    <w:rsid w:val="00B82004"/>
    <w:rsid w:val="00B82287"/>
    <w:rsid w:val="00B8241D"/>
    <w:rsid w:val="00B827A4"/>
    <w:rsid w:val="00B82DD3"/>
    <w:rsid w:val="00B831C3"/>
    <w:rsid w:val="00B83250"/>
    <w:rsid w:val="00B8327C"/>
    <w:rsid w:val="00B83A0D"/>
    <w:rsid w:val="00B83F18"/>
    <w:rsid w:val="00B84628"/>
    <w:rsid w:val="00B84A64"/>
    <w:rsid w:val="00B84CB0"/>
    <w:rsid w:val="00B84D00"/>
    <w:rsid w:val="00B851DC"/>
    <w:rsid w:val="00B85D61"/>
    <w:rsid w:val="00B8610E"/>
    <w:rsid w:val="00B86290"/>
    <w:rsid w:val="00B8675C"/>
    <w:rsid w:val="00B86E79"/>
    <w:rsid w:val="00B86F22"/>
    <w:rsid w:val="00B86F63"/>
    <w:rsid w:val="00B8723F"/>
    <w:rsid w:val="00B90255"/>
    <w:rsid w:val="00B90772"/>
    <w:rsid w:val="00B90E32"/>
    <w:rsid w:val="00B90E3E"/>
    <w:rsid w:val="00B9178E"/>
    <w:rsid w:val="00B91D61"/>
    <w:rsid w:val="00B91EEC"/>
    <w:rsid w:val="00B9210D"/>
    <w:rsid w:val="00B92377"/>
    <w:rsid w:val="00B92B3B"/>
    <w:rsid w:val="00B930C8"/>
    <w:rsid w:val="00B938AD"/>
    <w:rsid w:val="00B94136"/>
    <w:rsid w:val="00B942E5"/>
    <w:rsid w:val="00B94637"/>
    <w:rsid w:val="00B949C2"/>
    <w:rsid w:val="00B94C7C"/>
    <w:rsid w:val="00B94F9E"/>
    <w:rsid w:val="00B9549B"/>
    <w:rsid w:val="00B95E21"/>
    <w:rsid w:val="00B962FD"/>
    <w:rsid w:val="00B9661B"/>
    <w:rsid w:val="00B967A8"/>
    <w:rsid w:val="00B96F70"/>
    <w:rsid w:val="00B975CD"/>
    <w:rsid w:val="00B977C4"/>
    <w:rsid w:val="00B97865"/>
    <w:rsid w:val="00B97DBF"/>
    <w:rsid w:val="00B97EDF"/>
    <w:rsid w:val="00BA0596"/>
    <w:rsid w:val="00BA072A"/>
    <w:rsid w:val="00BA09E3"/>
    <w:rsid w:val="00BA0D3B"/>
    <w:rsid w:val="00BA0DA9"/>
    <w:rsid w:val="00BA0DAF"/>
    <w:rsid w:val="00BA142F"/>
    <w:rsid w:val="00BA1861"/>
    <w:rsid w:val="00BA1E05"/>
    <w:rsid w:val="00BA1E9B"/>
    <w:rsid w:val="00BA1EC6"/>
    <w:rsid w:val="00BA25C8"/>
    <w:rsid w:val="00BA2A38"/>
    <w:rsid w:val="00BA2E05"/>
    <w:rsid w:val="00BA3B16"/>
    <w:rsid w:val="00BA3BBD"/>
    <w:rsid w:val="00BA4692"/>
    <w:rsid w:val="00BA4936"/>
    <w:rsid w:val="00BA5065"/>
    <w:rsid w:val="00BA50EB"/>
    <w:rsid w:val="00BA584C"/>
    <w:rsid w:val="00BA61D2"/>
    <w:rsid w:val="00BA62D7"/>
    <w:rsid w:val="00BA63D9"/>
    <w:rsid w:val="00BA6D06"/>
    <w:rsid w:val="00BA7684"/>
    <w:rsid w:val="00BA77AD"/>
    <w:rsid w:val="00BA77DF"/>
    <w:rsid w:val="00BA7A1D"/>
    <w:rsid w:val="00BA7C19"/>
    <w:rsid w:val="00BA7C7F"/>
    <w:rsid w:val="00BB03B6"/>
    <w:rsid w:val="00BB03BC"/>
    <w:rsid w:val="00BB0CE6"/>
    <w:rsid w:val="00BB113D"/>
    <w:rsid w:val="00BB12EF"/>
    <w:rsid w:val="00BB130E"/>
    <w:rsid w:val="00BB18AC"/>
    <w:rsid w:val="00BB2028"/>
    <w:rsid w:val="00BB2154"/>
    <w:rsid w:val="00BB2984"/>
    <w:rsid w:val="00BB2AD1"/>
    <w:rsid w:val="00BB2E67"/>
    <w:rsid w:val="00BB396E"/>
    <w:rsid w:val="00BB3DD6"/>
    <w:rsid w:val="00BB4833"/>
    <w:rsid w:val="00BB4A9C"/>
    <w:rsid w:val="00BB4F28"/>
    <w:rsid w:val="00BB5023"/>
    <w:rsid w:val="00BB57D0"/>
    <w:rsid w:val="00BB5B08"/>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AE1"/>
    <w:rsid w:val="00BC4152"/>
    <w:rsid w:val="00BC417C"/>
    <w:rsid w:val="00BC536E"/>
    <w:rsid w:val="00BC5713"/>
    <w:rsid w:val="00BC585E"/>
    <w:rsid w:val="00BC5885"/>
    <w:rsid w:val="00BC65A8"/>
    <w:rsid w:val="00BC677F"/>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F5D"/>
    <w:rsid w:val="00BD5217"/>
    <w:rsid w:val="00BD5414"/>
    <w:rsid w:val="00BD58CD"/>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48B9"/>
    <w:rsid w:val="00BE491F"/>
    <w:rsid w:val="00BE56F6"/>
    <w:rsid w:val="00BE59C3"/>
    <w:rsid w:val="00BE5D3B"/>
    <w:rsid w:val="00BE6380"/>
    <w:rsid w:val="00BE6466"/>
    <w:rsid w:val="00BE64A5"/>
    <w:rsid w:val="00BE6AB6"/>
    <w:rsid w:val="00BE6BE4"/>
    <w:rsid w:val="00BE6F60"/>
    <w:rsid w:val="00BE6FC3"/>
    <w:rsid w:val="00BE724A"/>
    <w:rsid w:val="00BE7646"/>
    <w:rsid w:val="00BE7818"/>
    <w:rsid w:val="00BE7AA1"/>
    <w:rsid w:val="00BE7EA3"/>
    <w:rsid w:val="00BF017D"/>
    <w:rsid w:val="00BF0492"/>
    <w:rsid w:val="00BF0622"/>
    <w:rsid w:val="00BF064A"/>
    <w:rsid w:val="00BF0FA8"/>
    <w:rsid w:val="00BF115E"/>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61B7"/>
    <w:rsid w:val="00BF66BD"/>
    <w:rsid w:val="00BF6868"/>
    <w:rsid w:val="00BF6A2A"/>
    <w:rsid w:val="00BF6B39"/>
    <w:rsid w:val="00BF6C04"/>
    <w:rsid w:val="00BF7667"/>
    <w:rsid w:val="00BF7E53"/>
    <w:rsid w:val="00C00111"/>
    <w:rsid w:val="00C00225"/>
    <w:rsid w:val="00C00497"/>
    <w:rsid w:val="00C00C2C"/>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460"/>
    <w:rsid w:val="00C0642D"/>
    <w:rsid w:val="00C06564"/>
    <w:rsid w:val="00C06628"/>
    <w:rsid w:val="00C067FC"/>
    <w:rsid w:val="00C06ED4"/>
    <w:rsid w:val="00C06EEE"/>
    <w:rsid w:val="00C0700A"/>
    <w:rsid w:val="00C07686"/>
    <w:rsid w:val="00C07BC1"/>
    <w:rsid w:val="00C07F85"/>
    <w:rsid w:val="00C1039F"/>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FB2"/>
    <w:rsid w:val="00C1503E"/>
    <w:rsid w:val="00C159DE"/>
    <w:rsid w:val="00C15E98"/>
    <w:rsid w:val="00C170C6"/>
    <w:rsid w:val="00C17483"/>
    <w:rsid w:val="00C1765B"/>
    <w:rsid w:val="00C17EB0"/>
    <w:rsid w:val="00C17FF6"/>
    <w:rsid w:val="00C2020F"/>
    <w:rsid w:val="00C20301"/>
    <w:rsid w:val="00C2057A"/>
    <w:rsid w:val="00C20936"/>
    <w:rsid w:val="00C20C90"/>
    <w:rsid w:val="00C215DA"/>
    <w:rsid w:val="00C2187B"/>
    <w:rsid w:val="00C21D62"/>
    <w:rsid w:val="00C21E4F"/>
    <w:rsid w:val="00C2239B"/>
    <w:rsid w:val="00C226B3"/>
    <w:rsid w:val="00C22F7E"/>
    <w:rsid w:val="00C23167"/>
    <w:rsid w:val="00C23507"/>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827"/>
    <w:rsid w:val="00C27DA5"/>
    <w:rsid w:val="00C302DB"/>
    <w:rsid w:val="00C30447"/>
    <w:rsid w:val="00C308B6"/>
    <w:rsid w:val="00C30EAE"/>
    <w:rsid w:val="00C31853"/>
    <w:rsid w:val="00C31BD3"/>
    <w:rsid w:val="00C31C1D"/>
    <w:rsid w:val="00C31EDA"/>
    <w:rsid w:val="00C3225D"/>
    <w:rsid w:val="00C325B6"/>
    <w:rsid w:val="00C326AC"/>
    <w:rsid w:val="00C32861"/>
    <w:rsid w:val="00C32C68"/>
    <w:rsid w:val="00C32E89"/>
    <w:rsid w:val="00C330B7"/>
    <w:rsid w:val="00C337E8"/>
    <w:rsid w:val="00C337F6"/>
    <w:rsid w:val="00C33F29"/>
    <w:rsid w:val="00C34354"/>
    <w:rsid w:val="00C346C7"/>
    <w:rsid w:val="00C349F6"/>
    <w:rsid w:val="00C34F18"/>
    <w:rsid w:val="00C360FF"/>
    <w:rsid w:val="00C362F0"/>
    <w:rsid w:val="00C369C4"/>
    <w:rsid w:val="00C36BFE"/>
    <w:rsid w:val="00C36CCE"/>
    <w:rsid w:val="00C36F55"/>
    <w:rsid w:val="00C37273"/>
    <w:rsid w:val="00C373AE"/>
    <w:rsid w:val="00C37683"/>
    <w:rsid w:val="00C37750"/>
    <w:rsid w:val="00C37765"/>
    <w:rsid w:val="00C37DC7"/>
    <w:rsid w:val="00C40576"/>
    <w:rsid w:val="00C408FB"/>
    <w:rsid w:val="00C40A25"/>
    <w:rsid w:val="00C40BFC"/>
    <w:rsid w:val="00C41342"/>
    <w:rsid w:val="00C4186A"/>
    <w:rsid w:val="00C418C1"/>
    <w:rsid w:val="00C42CE4"/>
    <w:rsid w:val="00C42E2C"/>
    <w:rsid w:val="00C434B4"/>
    <w:rsid w:val="00C43882"/>
    <w:rsid w:val="00C43887"/>
    <w:rsid w:val="00C43D05"/>
    <w:rsid w:val="00C43F0B"/>
    <w:rsid w:val="00C4439D"/>
    <w:rsid w:val="00C44C5A"/>
    <w:rsid w:val="00C450A3"/>
    <w:rsid w:val="00C459B2"/>
    <w:rsid w:val="00C45AA7"/>
    <w:rsid w:val="00C45B22"/>
    <w:rsid w:val="00C462CF"/>
    <w:rsid w:val="00C47118"/>
    <w:rsid w:val="00C47AA9"/>
    <w:rsid w:val="00C47F3C"/>
    <w:rsid w:val="00C508DC"/>
    <w:rsid w:val="00C50C41"/>
    <w:rsid w:val="00C5133B"/>
    <w:rsid w:val="00C514BB"/>
    <w:rsid w:val="00C518E2"/>
    <w:rsid w:val="00C51A05"/>
    <w:rsid w:val="00C51CCB"/>
    <w:rsid w:val="00C527FA"/>
    <w:rsid w:val="00C52819"/>
    <w:rsid w:val="00C53835"/>
    <w:rsid w:val="00C53E15"/>
    <w:rsid w:val="00C5459C"/>
    <w:rsid w:val="00C546A0"/>
    <w:rsid w:val="00C56473"/>
    <w:rsid w:val="00C5652E"/>
    <w:rsid w:val="00C57DAE"/>
    <w:rsid w:val="00C6007B"/>
    <w:rsid w:val="00C6070E"/>
    <w:rsid w:val="00C60BC7"/>
    <w:rsid w:val="00C61794"/>
    <w:rsid w:val="00C61888"/>
    <w:rsid w:val="00C62053"/>
    <w:rsid w:val="00C62568"/>
    <w:rsid w:val="00C62EFF"/>
    <w:rsid w:val="00C6316A"/>
    <w:rsid w:val="00C632A9"/>
    <w:rsid w:val="00C639F0"/>
    <w:rsid w:val="00C649FB"/>
    <w:rsid w:val="00C64B81"/>
    <w:rsid w:val="00C64E5A"/>
    <w:rsid w:val="00C64E75"/>
    <w:rsid w:val="00C64FDD"/>
    <w:rsid w:val="00C6551F"/>
    <w:rsid w:val="00C65533"/>
    <w:rsid w:val="00C656DE"/>
    <w:rsid w:val="00C65810"/>
    <w:rsid w:val="00C65C34"/>
    <w:rsid w:val="00C65C43"/>
    <w:rsid w:val="00C66147"/>
    <w:rsid w:val="00C66815"/>
    <w:rsid w:val="00C66894"/>
    <w:rsid w:val="00C66D34"/>
    <w:rsid w:val="00C67865"/>
    <w:rsid w:val="00C700B2"/>
    <w:rsid w:val="00C70BCB"/>
    <w:rsid w:val="00C7140F"/>
    <w:rsid w:val="00C71F6F"/>
    <w:rsid w:val="00C7211D"/>
    <w:rsid w:val="00C72294"/>
    <w:rsid w:val="00C724EA"/>
    <w:rsid w:val="00C726AF"/>
    <w:rsid w:val="00C728AC"/>
    <w:rsid w:val="00C728B1"/>
    <w:rsid w:val="00C73061"/>
    <w:rsid w:val="00C7313D"/>
    <w:rsid w:val="00C73316"/>
    <w:rsid w:val="00C73792"/>
    <w:rsid w:val="00C73A26"/>
    <w:rsid w:val="00C73D8E"/>
    <w:rsid w:val="00C73F8E"/>
    <w:rsid w:val="00C7431B"/>
    <w:rsid w:val="00C751A5"/>
    <w:rsid w:val="00C751B9"/>
    <w:rsid w:val="00C75B4A"/>
    <w:rsid w:val="00C75C25"/>
    <w:rsid w:val="00C75CBA"/>
    <w:rsid w:val="00C767F4"/>
    <w:rsid w:val="00C76833"/>
    <w:rsid w:val="00C76B4C"/>
    <w:rsid w:val="00C77331"/>
    <w:rsid w:val="00C773E5"/>
    <w:rsid w:val="00C77A2B"/>
    <w:rsid w:val="00C77C6D"/>
    <w:rsid w:val="00C8008F"/>
    <w:rsid w:val="00C804A6"/>
    <w:rsid w:val="00C805A9"/>
    <w:rsid w:val="00C80DE7"/>
    <w:rsid w:val="00C81D7C"/>
    <w:rsid w:val="00C81EBC"/>
    <w:rsid w:val="00C82703"/>
    <w:rsid w:val="00C82737"/>
    <w:rsid w:val="00C82956"/>
    <w:rsid w:val="00C82993"/>
    <w:rsid w:val="00C82B30"/>
    <w:rsid w:val="00C834A4"/>
    <w:rsid w:val="00C837D5"/>
    <w:rsid w:val="00C838F6"/>
    <w:rsid w:val="00C83F3F"/>
    <w:rsid w:val="00C8470C"/>
    <w:rsid w:val="00C84CD9"/>
    <w:rsid w:val="00C84DD9"/>
    <w:rsid w:val="00C851A4"/>
    <w:rsid w:val="00C857B2"/>
    <w:rsid w:val="00C85934"/>
    <w:rsid w:val="00C85F37"/>
    <w:rsid w:val="00C868B0"/>
    <w:rsid w:val="00C86CB5"/>
    <w:rsid w:val="00C86DE6"/>
    <w:rsid w:val="00C870AF"/>
    <w:rsid w:val="00C871E4"/>
    <w:rsid w:val="00C8778D"/>
    <w:rsid w:val="00C87917"/>
    <w:rsid w:val="00C87D65"/>
    <w:rsid w:val="00C903C9"/>
    <w:rsid w:val="00C90D0E"/>
    <w:rsid w:val="00C90F19"/>
    <w:rsid w:val="00C912C1"/>
    <w:rsid w:val="00C91EF4"/>
    <w:rsid w:val="00C92CA8"/>
    <w:rsid w:val="00C92FF6"/>
    <w:rsid w:val="00C934D9"/>
    <w:rsid w:val="00C93A31"/>
    <w:rsid w:val="00C93FE8"/>
    <w:rsid w:val="00C94417"/>
    <w:rsid w:val="00C9483B"/>
    <w:rsid w:val="00C9486F"/>
    <w:rsid w:val="00C94D43"/>
    <w:rsid w:val="00C94DB7"/>
    <w:rsid w:val="00C95A9C"/>
    <w:rsid w:val="00C95ECC"/>
    <w:rsid w:val="00C96061"/>
    <w:rsid w:val="00C9627A"/>
    <w:rsid w:val="00C964D7"/>
    <w:rsid w:val="00C965C2"/>
    <w:rsid w:val="00C96907"/>
    <w:rsid w:val="00C970BB"/>
    <w:rsid w:val="00C97195"/>
    <w:rsid w:val="00C97F20"/>
    <w:rsid w:val="00CA0343"/>
    <w:rsid w:val="00CA06FF"/>
    <w:rsid w:val="00CA0A10"/>
    <w:rsid w:val="00CA0F81"/>
    <w:rsid w:val="00CA1036"/>
    <w:rsid w:val="00CA152E"/>
    <w:rsid w:val="00CA18FF"/>
    <w:rsid w:val="00CA1DE5"/>
    <w:rsid w:val="00CA2012"/>
    <w:rsid w:val="00CA23DD"/>
    <w:rsid w:val="00CA2491"/>
    <w:rsid w:val="00CA2ABF"/>
    <w:rsid w:val="00CA41DA"/>
    <w:rsid w:val="00CA4334"/>
    <w:rsid w:val="00CA43FA"/>
    <w:rsid w:val="00CA4E84"/>
    <w:rsid w:val="00CA58C3"/>
    <w:rsid w:val="00CA5FAA"/>
    <w:rsid w:val="00CA6F33"/>
    <w:rsid w:val="00CA713C"/>
    <w:rsid w:val="00CA7B49"/>
    <w:rsid w:val="00CA7C5C"/>
    <w:rsid w:val="00CB0AC8"/>
    <w:rsid w:val="00CB0C0B"/>
    <w:rsid w:val="00CB0F78"/>
    <w:rsid w:val="00CB17F2"/>
    <w:rsid w:val="00CB2060"/>
    <w:rsid w:val="00CB284F"/>
    <w:rsid w:val="00CB2EF5"/>
    <w:rsid w:val="00CB2FB9"/>
    <w:rsid w:val="00CB334A"/>
    <w:rsid w:val="00CB34A4"/>
    <w:rsid w:val="00CB34DC"/>
    <w:rsid w:val="00CB3CCF"/>
    <w:rsid w:val="00CB3EE1"/>
    <w:rsid w:val="00CB447A"/>
    <w:rsid w:val="00CB4750"/>
    <w:rsid w:val="00CB4BCF"/>
    <w:rsid w:val="00CB4F18"/>
    <w:rsid w:val="00CB51BA"/>
    <w:rsid w:val="00CB523C"/>
    <w:rsid w:val="00CB59F2"/>
    <w:rsid w:val="00CB5F2D"/>
    <w:rsid w:val="00CB6125"/>
    <w:rsid w:val="00CB705C"/>
    <w:rsid w:val="00CC066D"/>
    <w:rsid w:val="00CC0F03"/>
    <w:rsid w:val="00CC1385"/>
    <w:rsid w:val="00CC1917"/>
    <w:rsid w:val="00CC1BA8"/>
    <w:rsid w:val="00CC1BC4"/>
    <w:rsid w:val="00CC1CA2"/>
    <w:rsid w:val="00CC1F70"/>
    <w:rsid w:val="00CC2009"/>
    <w:rsid w:val="00CC20E4"/>
    <w:rsid w:val="00CC280C"/>
    <w:rsid w:val="00CC2ABC"/>
    <w:rsid w:val="00CC2EC8"/>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C"/>
    <w:rsid w:val="00CD040C"/>
    <w:rsid w:val="00CD044F"/>
    <w:rsid w:val="00CD04D3"/>
    <w:rsid w:val="00CD1036"/>
    <w:rsid w:val="00CD1074"/>
    <w:rsid w:val="00CD1098"/>
    <w:rsid w:val="00CD1AE6"/>
    <w:rsid w:val="00CD1DAF"/>
    <w:rsid w:val="00CD253B"/>
    <w:rsid w:val="00CD3158"/>
    <w:rsid w:val="00CD389F"/>
    <w:rsid w:val="00CD4060"/>
    <w:rsid w:val="00CD4B7D"/>
    <w:rsid w:val="00CD4FA5"/>
    <w:rsid w:val="00CD5882"/>
    <w:rsid w:val="00CD59C4"/>
    <w:rsid w:val="00CD5BAA"/>
    <w:rsid w:val="00CD5F28"/>
    <w:rsid w:val="00CD6A9F"/>
    <w:rsid w:val="00CD7499"/>
    <w:rsid w:val="00CD7DDD"/>
    <w:rsid w:val="00CD7EDE"/>
    <w:rsid w:val="00CE02D0"/>
    <w:rsid w:val="00CE0351"/>
    <w:rsid w:val="00CE0646"/>
    <w:rsid w:val="00CE07AF"/>
    <w:rsid w:val="00CE0DA8"/>
    <w:rsid w:val="00CE1544"/>
    <w:rsid w:val="00CE1857"/>
    <w:rsid w:val="00CE1D19"/>
    <w:rsid w:val="00CE2474"/>
    <w:rsid w:val="00CE3194"/>
    <w:rsid w:val="00CE3E28"/>
    <w:rsid w:val="00CE4200"/>
    <w:rsid w:val="00CE4B12"/>
    <w:rsid w:val="00CE4B86"/>
    <w:rsid w:val="00CE4ECF"/>
    <w:rsid w:val="00CE5028"/>
    <w:rsid w:val="00CE5182"/>
    <w:rsid w:val="00CE5562"/>
    <w:rsid w:val="00CE55DB"/>
    <w:rsid w:val="00CE6606"/>
    <w:rsid w:val="00CE661E"/>
    <w:rsid w:val="00CE68D9"/>
    <w:rsid w:val="00CE73EF"/>
    <w:rsid w:val="00CE7628"/>
    <w:rsid w:val="00CE7E34"/>
    <w:rsid w:val="00CF02E8"/>
    <w:rsid w:val="00CF0ED0"/>
    <w:rsid w:val="00CF19E2"/>
    <w:rsid w:val="00CF1A8C"/>
    <w:rsid w:val="00CF255E"/>
    <w:rsid w:val="00CF3470"/>
    <w:rsid w:val="00CF3E24"/>
    <w:rsid w:val="00CF4761"/>
    <w:rsid w:val="00CF4FB8"/>
    <w:rsid w:val="00CF5F04"/>
    <w:rsid w:val="00CF60B7"/>
    <w:rsid w:val="00CF684E"/>
    <w:rsid w:val="00CF6DED"/>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AC5"/>
    <w:rsid w:val="00D0330D"/>
    <w:rsid w:val="00D03824"/>
    <w:rsid w:val="00D03871"/>
    <w:rsid w:val="00D03A53"/>
    <w:rsid w:val="00D03E74"/>
    <w:rsid w:val="00D03F6A"/>
    <w:rsid w:val="00D045DD"/>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F24"/>
    <w:rsid w:val="00D134B3"/>
    <w:rsid w:val="00D13EF0"/>
    <w:rsid w:val="00D14186"/>
    <w:rsid w:val="00D141E9"/>
    <w:rsid w:val="00D143C5"/>
    <w:rsid w:val="00D144CA"/>
    <w:rsid w:val="00D1451B"/>
    <w:rsid w:val="00D14982"/>
    <w:rsid w:val="00D14D7B"/>
    <w:rsid w:val="00D14F32"/>
    <w:rsid w:val="00D15116"/>
    <w:rsid w:val="00D15135"/>
    <w:rsid w:val="00D157D1"/>
    <w:rsid w:val="00D162F1"/>
    <w:rsid w:val="00D16B74"/>
    <w:rsid w:val="00D170F2"/>
    <w:rsid w:val="00D173DE"/>
    <w:rsid w:val="00D1758B"/>
    <w:rsid w:val="00D17C1B"/>
    <w:rsid w:val="00D2042F"/>
    <w:rsid w:val="00D205CD"/>
    <w:rsid w:val="00D20F46"/>
    <w:rsid w:val="00D21FEE"/>
    <w:rsid w:val="00D22680"/>
    <w:rsid w:val="00D2283B"/>
    <w:rsid w:val="00D23107"/>
    <w:rsid w:val="00D23CBC"/>
    <w:rsid w:val="00D23CD3"/>
    <w:rsid w:val="00D23EA0"/>
    <w:rsid w:val="00D23FBE"/>
    <w:rsid w:val="00D24265"/>
    <w:rsid w:val="00D24880"/>
    <w:rsid w:val="00D24AAB"/>
    <w:rsid w:val="00D25278"/>
    <w:rsid w:val="00D256DF"/>
    <w:rsid w:val="00D26A8A"/>
    <w:rsid w:val="00D27A0B"/>
    <w:rsid w:val="00D27B36"/>
    <w:rsid w:val="00D30869"/>
    <w:rsid w:val="00D30DE3"/>
    <w:rsid w:val="00D318B8"/>
    <w:rsid w:val="00D323DE"/>
    <w:rsid w:val="00D328D4"/>
    <w:rsid w:val="00D329FE"/>
    <w:rsid w:val="00D32D58"/>
    <w:rsid w:val="00D33422"/>
    <w:rsid w:val="00D336AA"/>
    <w:rsid w:val="00D336B0"/>
    <w:rsid w:val="00D33A35"/>
    <w:rsid w:val="00D33E1C"/>
    <w:rsid w:val="00D34DA6"/>
    <w:rsid w:val="00D35546"/>
    <w:rsid w:val="00D3586B"/>
    <w:rsid w:val="00D358D5"/>
    <w:rsid w:val="00D3598C"/>
    <w:rsid w:val="00D35C41"/>
    <w:rsid w:val="00D36209"/>
    <w:rsid w:val="00D365D7"/>
    <w:rsid w:val="00D36C4D"/>
    <w:rsid w:val="00D36D65"/>
    <w:rsid w:val="00D37657"/>
    <w:rsid w:val="00D379A9"/>
    <w:rsid w:val="00D379C6"/>
    <w:rsid w:val="00D37E82"/>
    <w:rsid w:val="00D37F36"/>
    <w:rsid w:val="00D408E4"/>
    <w:rsid w:val="00D41004"/>
    <w:rsid w:val="00D417A5"/>
    <w:rsid w:val="00D418C2"/>
    <w:rsid w:val="00D41D08"/>
    <w:rsid w:val="00D41E27"/>
    <w:rsid w:val="00D42DBC"/>
    <w:rsid w:val="00D42F46"/>
    <w:rsid w:val="00D43C96"/>
    <w:rsid w:val="00D43F3C"/>
    <w:rsid w:val="00D447C4"/>
    <w:rsid w:val="00D44F47"/>
    <w:rsid w:val="00D44FC9"/>
    <w:rsid w:val="00D4511C"/>
    <w:rsid w:val="00D4511D"/>
    <w:rsid w:val="00D45339"/>
    <w:rsid w:val="00D45E02"/>
    <w:rsid w:val="00D46549"/>
    <w:rsid w:val="00D466BF"/>
    <w:rsid w:val="00D46A5B"/>
    <w:rsid w:val="00D46E51"/>
    <w:rsid w:val="00D47170"/>
    <w:rsid w:val="00D47506"/>
    <w:rsid w:val="00D4758D"/>
    <w:rsid w:val="00D50008"/>
    <w:rsid w:val="00D50946"/>
    <w:rsid w:val="00D50E49"/>
    <w:rsid w:val="00D512E7"/>
    <w:rsid w:val="00D5132B"/>
    <w:rsid w:val="00D513FA"/>
    <w:rsid w:val="00D51641"/>
    <w:rsid w:val="00D524E1"/>
    <w:rsid w:val="00D52654"/>
    <w:rsid w:val="00D52ECE"/>
    <w:rsid w:val="00D52F10"/>
    <w:rsid w:val="00D53B51"/>
    <w:rsid w:val="00D53BCA"/>
    <w:rsid w:val="00D53D5D"/>
    <w:rsid w:val="00D542AC"/>
    <w:rsid w:val="00D545D4"/>
    <w:rsid w:val="00D54675"/>
    <w:rsid w:val="00D552F8"/>
    <w:rsid w:val="00D5569E"/>
    <w:rsid w:val="00D55D2D"/>
    <w:rsid w:val="00D55FD7"/>
    <w:rsid w:val="00D56B7D"/>
    <w:rsid w:val="00D5709A"/>
    <w:rsid w:val="00D5773A"/>
    <w:rsid w:val="00D603D8"/>
    <w:rsid w:val="00D61727"/>
    <w:rsid w:val="00D61F7C"/>
    <w:rsid w:val="00D622DC"/>
    <w:rsid w:val="00D625A3"/>
    <w:rsid w:val="00D62709"/>
    <w:rsid w:val="00D62972"/>
    <w:rsid w:val="00D62C85"/>
    <w:rsid w:val="00D62FA4"/>
    <w:rsid w:val="00D63431"/>
    <w:rsid w:val="00D63A9F"/>
    <w:rsid w:val="00D63B99"/>
    <w:rsid w:val="00D63D72"/>
    <w:rsid w:val="00D64A64"/>
    <w:rsid w:val="00D64FE5"/>
    <w:rsid w:val="00D655B3"/>
    <w:rsid w:val="00D66154"/>
    <w:rsid w:val="00D6645B"/>
    <w:rsid w:val="00D66462"/>
    <w:rsid w:val="00D66CBF"/>
    <w:rsid w:val="00D67334"/>
    <w:rsid w:val="00D6751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3580"/>
    <w:rsid w:val="00D73788"/>
    <w:rsid w:val="00D74232"/>
    <w:rsid w:val="00D74E10"/>
    <w:rsid w:val="00D74FD3"/>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F79"/>
    <w:rsid w:val="00D82313"/>
    <w:rsid w:val="00D823CE"/>
    <w:rsid w:val="00D82630"/>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70E"/>
    <w:rsid w:val="00D92F9F"/>
    <w:rsid w:val="00D93036"/>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44"/>
    <w:rsid w:val="00D974B8"/>
    <w:rsid w:val="00D977A1"/>
    <w:rsid w:val="00DA015F"/>
    <w:rsid w:val="00DA06A8"/>
    <w:rsid w:val="00DA0C85"/>
    <w:rsid w:val="00DA111A"/>
    <w:rsid w:val="00DA16D2"/>
    <w:rsid w:val="00DA18B3"/>
    <w:rsid w:val="00DA1D22"/>
    <w:rsid w:val="00DA1E5B"/>
    <w:rsid w:val="00DA208A"/>
    <w:rsid w:val="00DA20CA"/>
    <w:rsid w:val="00DA220B"/>
    <w:rsid w:val="00DA2788"/>
    <w:rsid w:val="00DA2E17"/>
    <w:rsid w:val="00DA2FED"/>
    <w:rsid w:val="00DA31FF"/>
    <w:rsid w:val="00DA380A"/>
    <w:rsid w:val="00DA3A62"/>
    <w:rsid w:val="00DA3F54"/>
    <w:rsid w:val="00DA4653"/>
    <w:rsid w:val="00DA4A8E"/>
    <w:rsid w:val="00DA4B8A"/>
    <w:rsid w:val="00DA4C16"/>
    <w:rsid w:val="00DA4D36"/>
    <w:rsid w:val="00DA5002"/>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2469"/>
    <w:rsid w:val="00DB2934"/>
    <w:rsid w:val="00DB3288"/>
    <w:rsid w:val="00DB328B"/>
    <w:rsid w:val="00DB36B9"/>
    <w:rsid w:val="00DB3B66"/>
    <w:rsid w:val="00DB40A1"/>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C99"/>
    <w:rsid w:val="00DC1CF3"/>
    <w:rsid w:val="00DC2AC1"/>
    <w:rsid w:val="00DC3400"/>
    <w:rsid w:val="00DC3A64"/>
    <w:rsid w:val="00DC4680"/>
    <w:rsid w:val="00DC47EE"/>
    <w:rsid w:val="00DC4AAC"/>
    <w:rsid w:val="00DC54F4"/>
    <w:rsid w:val="00DC579E"/>
    <w:rsid w:val="00DC59B7"/>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4997"/>
    <w:rsid w:val="00DD524B"/>
    <w:rsid w:val="00DD53E9"/>
    <w:rsid w:val="00DD62BA"/>
    <w:rsid w:val="00DD64D3"/>
    <w:rsid w:val="00DD6604"/>
    <w:rsid w:val="00DD677B"/>
    <w:rsid w:val="00DD67D7"/>
    <w:rsid w:val="00DD6B02"/>
    <w:rsid w:val="00DD7245"/>
    <w:rsid w:val="00DD7A84"/>
    <w:rsid w:val="00DD7D2B"/>
    <w:rsid w:val="00DE090D"/>
    <w:rsid w:val="00DE0FF7"/>
    <w:rsid w:val="00DE151B"/>
    <w:rsid w:val="00DE151E"/>
    <w:rsid w:val="00DE1955"/>
    <w:rsid w:val="00DE1CBD"/>
    <w:rsid w:val="00DE2516"/>
    <w:rsid w:val="00DE261A"/>
    <w:rsid w:val="00DE2F4E"/>
    <w:rsid w:val="00DE41D1"/>
    <w:rsid w:val="00DE45D8"/>
    <w:rsid w:val="00DE45E9"/>
    <w:rsid w:val="00DE53E1"/>
    <w:rsid w:val="00DE56C2"/>
    <w:rsid w:val="00DE57D1"/>
    <w:rsid w:val="00DE6142"/>
    <w:rsid w:val="00DE614E"/>
    <w:rsid w:val="00DE61D6"/>
    <w:rsid w:val="00DE6462"/>
    <w:rsid w:val="00DE69F4"/>
    <w:rsid w:val="00DE6E06"/>
    <w:rsid w:val="00DE6ED8"/>
    <w:rsid w:val="00DE7A4D"/>
    <w:rsid w:val="00DE7E0B"/>
    <w:rsid w:val="00DF0969"/>
    <w:rsid w:val="00DF168B"/>
    <w:rsid w:val="00DF1E61"/>
    <w:rsid w:val="00DF2040"/>
    <w:rsid w:val="00DF20D4"/>
    <w:rsid w:val="00DF25EF"/>
    <w:rsid w:val="00DF27A8"/>
    <w:rsid w:val="00DF2A48"/>
    <w:rsid w:val="00DF2F66"/>
    <w:rsid w:val="00DF3271"/>
    <w:rsid w:val="00DF34CF"/>
    <w:rsid w:val="00DF34D1"/>
    <w:rsid w:val="00DF37AE"/>
    <w:rsid w:val="00DF3ADA"/>
    <w:rsid w:val="00DF4AF1"/>
    <w:rsid w:val="00DF50BD"/>
    <w:rsid w:val="00DF520D"/>
    <w:rsid w:val="00DF52B0"/>
    <w:rsid w:val="00DF69E9"/>
    <w:rsid w:val="00DF71C9"/>
    <w:rsid w:val="00DF74D1"/>
    <w:rsid w:val="00E00A21"/>
    <w:rsid w:val="00E00BAE"/>
    <w:rsid w:val="00E00D89"/>
    <w:rsid w:val="00E01BEB"/>
    <w:rsid w:val="00E01D3E"/>
    <w:rsid w:val="00E01EF0"/>
    <w:rsid w:val="00E01F03"/>
    <w:rsid w:val="00E022BB"/>
    <w:rsid w:val="00E0231D"/>
    <w:rsid w:val="00E02AAC"/>
    <w:rsid w:val="00E0335C"/>
    <w:rsid w:val="00E035CC"/>
    <w:rsid w:val="00E039E4"/>
    <w:rsid w:val="00E03A64"/>
    <w:rsid w:val="00E03F6C"/>
    <w:rsid w:val="00E047F0"/>
    <w:rsid w:val="00E05312"/>
    <w:rsid w:val="00E05330"/>
    <w:rsid w:val="00E055A4"/>
    <w:rsid w:val="00E0620B"/>
    <w:rsid w:val="00E06917"/>
    <w:rsid w:val="00E06B8B"/>
    <w:rsid w:val="00E06FC2"/>
    <w:rsid w:val="00E07043"/>
    <w:rsid w:val="00E0720C"/>
    <w:rsid w:val="00E07BE2"/>
    <w:rsid w:val="00E07C3B"/>
    <w:rsid w:val="00E105A8"/>
    <w:rsid w:val="00E106BA"/>
    <w:rsid w:val="00E10785"/>
    <w:rsid w:val="00E10B74"/>
    <w:rsid w:val="00E11703"/>
    <w:rsid w:val="00E11B32"/>
    <w:rsid w:val="00E11EAB"/>
    <w:rsid w:val="00E12272"/>
    <w:rsid w:val="00E12284"/>
    <w:rsid w:val="00E12706"/>
    <w:rsid w:val="00E12923"/>
    <w:rsid w:val="00E12FB5"/>
    <w:rsid w:val="00E131A1"/>
    <w:rsid w:val="00E13674"/>
    <w:rsid w:val="00E13E5A"/>
    <w:rsid w:val="00E14641"/>
    <w:rsid w:val="00E1524F"/>
    <w:rsid w:val="00E15902"/>
    <w:rsid w:val="00E164BD"/>
    <w:rsid w:val="00E16AEE"/>
    <w:rsid w:val="00E16D5F"/>
    <w:rsid w:val="00E17239"/>
    <w:rsid w:val="00E17329"/>
    <w:rsid w:val="00E17703"/>
    <w:rsid w:val="00E178BE"/>
    <w:rsid w:val="00E17D7B"/>
    <w:rsid w:val="00E17DC0"/>
    <w:rsid w:val="00E17EB4"/>
    <w:rsid w:val="00E17FA3"/>
    <w:rsid w:val="00E20830"/>
    <w:rsid w:val="00E20B33"/>
    <w:rsid w:val="00E21275"/>
    <w:rsid w:val="00E212C2"/>
    <w:rsid w:val="00E217C0"/>
    <w:rsid w:val="00E219A8"/>
    <w:rsid w:val="00E21A06"/>
    <w:rsid w:val="00E21B77"/>
    <w:rsid w:val="00E21C03"/>
    <w:rsid w:val="00E21E37"/>
    <w:rsid w:val="00E224CC"/>
    <w:rsid w:val="00E228C4"/>
    <w:rsid w:val="00E22B13"/>
    <w:rsid w:val="00E22DE1"/>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2E11"/>
    <w:rsid w:val="00E33436"/>
    <w:rsid w:val="00E337D2"/>
    <w:rsid w:val="00E33966"/>
    <w:rsid w:val="00E339AA"/>
    <w:rsid w:val="00E33E66"/>
    <w:rsid w:val="00E347B7"/>
    <w:rsid w:val="00E34A44"/>
    <w:rsid w:val="00E34C8C"/>
    <w:rsid w:val="00E353FD"/>
    <w:rsid w:val="00E35580"/>
    <w:rsid w:val="00E3586B"/>
    <w:rsid w:val="00E35E73"/>
    <w:rsid w:val="00E3682B"/>
    <w:rsid w:val="00E36920"/>
    <w:rsid w:val="00E36BFC"/>
    <w:rsid w:val="00E36D9E"/>
    <w:rsid w:val="00E36DE5"/>
    <w:rsid w:val="00E371C0"/>
    <w:rsid w:val="00E373C3"/>
    <w:rsid w:val="00E374F8"/>
    <w:rsid w:val="00E37827"/>
    <w:rsid w:val="00E4013B"/>
    <w:rsid w:val="00E407FC"/>
    <w:rsid w:val="00E408BA"/>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AF8"/>
    <w:rsid w:val="00E46D20"/>
    <w:rsid w:val="00E46FB1"/>
    <w:rsid w:val="00E47A09"/>
    <w:rsid w:val="00E47C73"/>
    <w:rsid w:val="00E47D1D"/>
    <w:rsid w:val="00E47D52"/>
    <w:rsid w:val="00E47EF6"/>
    <w:rsid w:val="00E50074"/>
    <w:rsid w:val="00E506A8"/>
    <w:rsid w:val="00E5071A"/>
    <w:rsid w:val="00E50ED3"/>
    <w:rsid w:val="00E51346"/>
    <w:rsid w:val="00E51723"/>
    <w:rsid w:val="00E51970"/>
    <w:rsid w:val="00E51A50"/>
    <w:rsid w:val="00E51F35"/>
    <w:rsid w:val="00E5213E"/>
    <w:rsid w:val="00E5312A"/>
    <w:rsid w:val="00E53C9C"/>
    <w:rsid w:val="00E53E44"/>
    <w:rsid w:val="00E5496D"/>
    <w:rsid w:val="00E54C45"/>
    <w:rsid w:val="00E5539D"/>
    <w:rsid w:val="00E56C07"/>
    <w:rsid w:val="00E56CB5"/>
    <w:rsid w:val="00E56D78"/>
    <w:rsid w:val="00E5770D"/>
    <w:rsid w:val="00E6005E"/>
    <w:rsid w:val="00E602D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50F6"/>
    <w:rsid w:val="00E6565C"/>
    <w:rsid w:val="00E6598D"/>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418E"/>
    <w:rsid w:val="00E742FA"/>
    <w:rsid w:val="00E7432A"/>
    <w:rsid w:val="00E745A2"/>
    <w:rsid w:val="00E747FA"/>
    <w:rsid w:val="00E74B5A"/>
    <w:rsid w:val="00E75242"/>
    <w:rsid w:val="00E75313"/>
    <w:rsid w:val="00E75F62"/>
    <w:rsid w:val="00E763C7"/>
    <w:rsid w:val="00E77050"/>
    <w:rsid w:val="00E77249"/>
    <w:rsid w:val="00E77625"/>
    <w:rsid w:val="00E7779C"/>
    <w:rsid w:val="00E8050F"/>
    <w:rsid w:val="00E8065B"/>
    <w:rsid w:val="00E81542"/>
    <w:rsid w:val="00E8170E"/>
    <w:rsid w:val="00E82281"/>
    <w:rsid w:val="00E82ABF"/>
    <w:rsid w:val="00E82C10"/>
    <w:rsid w:val="00E8300C"/>
    <w:rsid w:val="00E8310F"/>
    <w:rsid w:val="00E8379E"/>
    <w:rsid w:val="00E83BF0"/>
    <w:rsid w:val="00E83D5A"/>
    <w:rsid w:val="00E84058"/>
    <w:rsid w:val="00E843E2"/>
    <w:rsid w:val="00E844CE"/>
    <w:rsid w:val="00E8464B"/>
    <w:rsid w:val="00E846CC"/>
    <w:rsid w:val="00E84888"/>
    <w:rsid w:val="00E851A4"/>
    <w:rsid w:val="00E8523F"/>
    <w:rsid w:val="00E85304"/>
    <w:rsid w:val="00E854E1"/>
    <w:rsid w:val="00E855CE"/>
    <w:rsid w:val="00E85A04"/>
    <w:rsid w:val="00E85B0F"/>
    <w:rsid w:val="00E8617A"/>
    <w:rsid w:val="00E86C27"/>
    <w:rsid w:val="00E872FC"/>
    <w:rsid w:val="00E87C5D"/>
    <w:rsid w:val="00E90654"/>
    <w:rsid w:val="00E90B93"/>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CF1"/>
    <w:rsid w:val="00E95362"/>
    <w:rsid w:val="00E954F9"/>
    <w:rsid w:val="00E95673"/>
    <w:rsid w:val="00E956B5"/>
    <w:rsid w:val="00E96789"/>
    <w:rsid w:val="00E9682D"/>
    <w:rsid w:val="00E9682E"/>
    <w:rsid w:val="00E97698"/>
    <w:rsid w:val="00EA00CC"/>
    <w:rsid w:val="00EA0242"/>
    <w:rsid w:val="00EA03C9"/>
    <w:rsid w:val="00EA08F8"/>
    <w:rsid w:val="00EA0B4E"/>
    <w:rsid w:val="00EA0DCF"/>
    <w:rsid w:val="00EA0E4D"/>
    <w:rsid w:val="00EA1ED5"/>
    <w:rsid w:val="00EA3838"/>
    <w:rsid w:val="00EA3CAF"/>
    <w:rsid w:val="00EA4181"/>
    <w:rsid w:val="00EA496D"/>
    <w:rsid w:val="00EA4D12"/>
    <w:rsid w:val="00EA4DD4"/>
    <w:rsid w:val="00EA4F5D"/>
    <w:rsid w:val="00EA539F"/>
    <w:rsid w:val="00EA542B"/>
    <w:rsid w:val="00EA6542"/>
    <w:rsid w:val="00EA6BFB"/>
    <w:rsid w:val="00EA6C04"/>
    <w:rsid w:val="00EA7601"/>
    <w:rsid w:val="00EA764D"/>
    <w:rsid w:val="00EA787F"/>
    <w:rsid w:val="00EA7AC2"/>
    <w:rsid w:val="00EB0550"/>
    <w:rsid w:val="00EB0970"/>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620E"/>
    <w:rsid w:val="00EB69FC"/>
    <w:rsid w:val="00EB6B55"/>
    <w:rsid w:val="00EB6B95"/>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BA9"/>
    <w:rsid w:val="00EC2E79"/>
    <w:rsid w:val="00EC2F7D"/>
    <w:rsid w:val="00EC352B"/>
    <w:rsid w:val="00EC40B9"/>
    <w:rsid w:val="00EC4B23"/>
    <w:rsid w:val="00EC4EA2"/>
    <w:rsid w:val="00EC57F6"/>
    <w:rsid w:val="00EC665C"/>
    <w:rsid w:val="00EC66C0"/>
    <w:rsid w:val="00EC70A6"/>
    <w:rsid w:val="00EC715A"/>
    <w:rsid w:val="00EC769A"/>
    <w:rsid w:val="00EC7C92"/>
    <w:rsid w:val="00ED1289"/>
    <w:rsid w:val="00ED16A7"/>
    <w:rsid w:val="00ED17E5"/>
    <w:rsid w:val="00ED233F"/>
    <w:rsid w:val="00ED2491"/>
    <w:rsid w:val="00ED2894"/>
    <w:rsid w:val="00ED2A9D"/>
    <w:rsid w:val="00ED35AA"/>
    <w:rsid w:val="00ED38E6"/>
    <w:rsid w:val="00ED3AB7"/>
    <w:rsid w:val="00ED500F"/>
    <w:rsid w:val="00ED5160"/>
    <w:rsid w:val="00ED5203"/>
    <w:rsid w:val="00ED5475"/>
    <w:rsid w:val="00ED55D9"/>
    <w:rsid w:val="00ED584A"/>
    <w:rsid w:val="00ED5A22"/>
    <w:rsid w:val="00ED689C"/>
    <w:rsid w:val="00ED6EC0"/>
    <w:rsid w:val="00ED6F5F"/>
    <w:rsid w:val="00ED76A2"/>
    <w:rsid w:val="00ED7B3C"/>
    <w:rsid w:val="00EE05CB"/>
    <w:rsid w:val="00EE06A7"/>
    <w:rsid w:val="00EE10B1"/>
    <w:rsid w:val="00EE1F6E"/>
    <w:rsid w:val="00EE2262"/>
    <w:rsid w:val="00EE24D3"/>
    <w:rsid w:val="00EE2C0C"/>
    <w:rsid w:val="00EE33FD"/>
    <w:rsid w:val="00EE3573"/>
    <w:rsid w:val="00EE3E2D"/>
    <w:rsid w:val="00EE4939"/>
    <w:rsid w:val="00EE51C9"/>
    <w:rsid w:val="00EE5C86"/>
    <w:rsid w:val="00EE5D39"/>
    <w:rsid w:val="00EE5DA8"/>
    <w:rsid w:val="00EE6CDA"/>
    <w:rsid w:val="00EE7069"/>
    <w:rsid w:val="00EE715B"/>
    <w:rsid w:val="00EE722A"/>
    <w:rsid w:val="00EE77E2"/>
    <w:rsid w:val="00EE7AF1"/>
    <w:rsid w:val="00EE7B80"/>
    <w:rsid w:val="00EF08B6"/>
    <w:rsid w:val="00EF107D"/>
    <w:rsid w:val="00EF20D8"/>
    <w:rsid w:val="00EF26E8"/>
    <w:rsid w:val="00EF29B6"/>
    <w:rsid w:val="00EF2DF0"/>
    <w:rsid w:val="00EF312E"/>
    <w:rsid w:val="00EF31D4"/>
    <w:rsid w:val="00EF35DE"/>
    <w:rsid w:val="00EF3B73"/>
    <w:rsid w:val="00EF3F96"/>
    <w:rsid w:val="00EF4189"/>
    <w:rsid w:val="00EF44EC"/>
    <w:rsid w:val="00EF457F"/>
    <w:rsid w:val="00EF4752"/>
    <w:rsid w:val="00EF487E"/>
    <w:rsid w:val="00EF4D38"/>
    <w:rsid w:val="00EF5141"/>
    <w:rsid w:val="00EF514B"/>
    <w:rsid w:val="00EF5339"/>
    <w:rsid w:val="00EF5DE0"/>
    <w:rsid w:val="00EF5ED9"/>
    <w:rsid w:val="00EF64F5"/>
    <w:rsid w:val="00EF6640"/>
    <w:rsid w:val="00EF6C41"/>
    <w:rsid w:val="00EF6CFE"/>
    <w:rsid w:val="00EF6D65"/>
    <w:rsid w:val="00EF6E54"/>
    <w:rsid w:val="00EF6E95"/>
    <w:rsid w:val="00EF71C3"/>
    <w:rsid w:val="00EF720B"/>
    <w:rsid w:val="00EF77E1"/>
    <w:rsid w:val="00F0099F"/>
    <w:rsid w:val="00F00B82"/>
    <w:rsid w:val="00F00DB1"/>
    <w:rsid w:val="00F01049"/>
    <w:rsid w:val="00F0117E"/>
    <w:rsid w:val="00F011A6"/>
    <w:rsid w:val="00F017BD"/>
    <w:rsid w:val="00F017D7"/>
    <w:rsid w:val="00F01C38"/>
    <w:rsid w:val="00F01C8D"/>
    <w:rsid w:val="00F021AD"/>
    <w:rsid w:val="00F0226E"/>
    <w:rsid w:val="00F02E42"/>
    <w:rsid w:val="00F02E93"/>
    <w:rsid w:val="00F03208"/>
    <w:rsid w:val="00F0336C"/>
    <w:rsid w:val="00F033A3"/>
    <w:rsid w:val="00F03A93"/>
    <w:rsid w:val="00F04035"/>
    <w:rsid w:val="00F04329"/>
    <w:rsid w:val="00F0449A"/>
    <w:rsid w:val="00F04624"/>
    <w:rsid w:val="00F05774"/>
    <w:rsid w:val="00F05AF2"/>
    <w:rsid w:val="00F062F6"/>
    <w:rsid w:val="00F06E12"/>
    <w:rsid w:val="00F06E95"/>
    <w:rsid w:val="00F07ABE"/>
    <w:rsid w:val="00F1037F"/>
    <w:rsid w:val="00F10840"/>
    <w:rsid w:val="00F108DB"/>
    <w:rsid w:val="00F111C9"/>
    <w:rsid w:val="00F116C5"/>
    <w:rsid w:val="00F11E0E"/>
    <w:rsid w:val="00F12F5C"/>
    <w:rsid w:val="00F133F9"/>
    <w:rsid w:val="00F14055"/>
    <w:rsid w:val="00F140D4"/>
    <w:rsid w:val="00F145FA"/>
    <w:rsid w:val="00F147F3"/>
    <w:rsid w:val="00F14B1E"/>
    <w:rsid w:val="00F14C64"/>
    <w:rsid w:val="00F14D0E"/>
    <w:rsid w:val="00F1531B"/>
    <w:rsid w:val="00F15B24"/>
    <w:rsid w:val="00F15D24"/>
    <w:rsid w:val="00F16743"/>
    <w:rsid w:val="00F16C02"/>
    <w:rsid w:val="00F16E46"/>
    <w:rsid w:val="00F16F46"/>
    <w:rsid w:val="00F17E63"/>
    <w:rsid w:val="00F20301"/>
    <w:rsid w:val="00F207E5"/>
    <w:rsid w:val="00F208F8"/>
    <w:rsid w:val="00F209CD"/>
    <w:rsid w:val="00F2150B"/>
    <w:rsid w:val="00F22650"/>
    <w:rsid w:val="00F23040"/>
    <w:rsid w:val="00F23AE4"/>
    <w:rsid w:val="00F23B77"/>
    <w:rsid w:val="00F23ECA"/>
    <w:rsid w:val="00F23FDD"/>
    <w:rsid w:val="00F24079"/>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0C13"/>
    <w:rsid w:val="00F31237"/>
    <w:rsid w:val="00F31336"/>
    <w:rsid w:val="00F31442"/>
    <w:rsid w:val="00F3175D"/>
    <w:rsid w:val="00F3193E"/>
    <w:rsid w:val="00F31BB3"/>
    <w:rsid w:val="00F328C6"/>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812"/>
    <w:rsid w:val="00F359C9"/>
    <w:rsid w:val="00F35C2B"/>
    <w:rsid w:val="00F3660C"/>
    <w:rsid w:val="00F36BF6"/>
    <w:rsid w:val="00F36FE9"/>
    <w:rsid w:val="00F37102"/>
    <w:rsid w:val="00F37AB9"/>
    <w:rsid w:val="00F37D7B"/>
    <w:rsid w:val="00F40011"/>
    <w:rsid w:val="00F40177"/>
    <w:rsid w:val="00F40B25"/>
    <w:rsid w:val="00F40BF2"/>
    <w:rsid w:val="00F42C95"/>
    <w:rsid w:val="00F42EFB"/>
    <w:rsid w:val="00F42F57"/>
    <w:rsid w:val="00F4388E"/>
    <w:rsid w:val="00F4409D"/>
    <w:rsid w:val="00F446D8"/>
    <w:rsid w:val="00F447F2"/>
    <w:rsid w:val="00F44B57"/>
    <w:rsid w:val="00F45E51"/>
    <w:rsid w:val="00F46C84"/>
    <w:rsid w:val="00F475E9"/>
    <w:rsid w:val="00F47785"/>
    <w:rsid w:val="00F47BB6"/>
    <w:rsid w:val="00F47E48"/>
    <w:rsid w:val="00F5026F"/>
    <w:rsid w:val="00F50621"/>
    <w:rsid w:val="00F51315"/>
    <w:rsid w:val="00F5166F"/>
    <w:rsid w:val="00F51C32"/>
    <w:rsid w:val="00F51CC6"/>
    <w:rsid w:val="00F523F0"/>
    <w:rsid w:val="00F52521"/>
    <w:rsid w:val="00F52956"/>
    <w:rsid w:val="00F529B8"/>
    <w:rsid w:val="00F5307B"/>
    <w:rsid w:val="00F54500"/>
    <w:rsid w:val="00F549B2"/>
    <w:rsid w:val="00F54D3F"/>
    <w:rsid w:val="00F54E58"/>
    <w:rsid w:val="00F558AC"/>
    <w:rsid w:val="00F5590B"/>
    <w:rsid w:val="00F55B93"/>
    <w:rsid w:val="00F55BEA"/>
    <w:rsid w:val="00F56181"/>
    <w:rsid w:val="00F56E0B"/>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471"/>
    <w:rsid w:val="00F62752"/>
    <w:rsid w:val="00F62B5A"/>
    <w:rsid w:val="00F6341B"/>
    <w:rsid w:val="00F636EE"/>
    <w:rsid w:val="00F637E6"/>
    <w:rsid w:val="00F63D08"/>
    <w:rsid w:val="00F64207"/>
    <w:rsid w:val="00F64377"/>
    <w:rsid w:val="00F64BDF"/>
    <w:rsid w:val="00F6563F"/>
    <w:rsid w:val="00F6594F"/>
    <w:rsid w:val="00F65AE3"/>
    <w:rsid w:val="00F65B27"/>
    <w:rsid w:val="00F6600E"/>
    <w:rsid w:val="00F6737B"/>
    <w:rsid w:val="00F6738C"/>
    <w:rsid w:val="00F676DD"/>
    <w:rsid w:val="00F67CE3"/>
    <w:rsid w:val="00F67EB8"/>
    <w:rsid w:val="00F709F9"/>
    <w:rsid w:val="00F70D15"/>
    <w:rsid w:val="00F70FB2"/>
    <w:rsid w:val="00F71668"/>
    <w:rsid w:val="00F71F7B"/>
    <w:rsid w:val="00F72CFC"/>
    <w:rsid w:val="00F7358A"/>
    <w:rsid w:val="00F73614"/>
    <w:rsid w:val="00F73748"/>
    <w:rsid w:val="00F73CAF"/>
    <w:rsid w:val="00F748FB"/>
    <w:rsid w:val="00F74939"/>
    <w:rsid w:val="00F74CD9"/>
    <w:rsid w:val="00F751B9"/>
    <w:rsid w:val="00F7598D"/>
    <w:rsid w:val="00F75B96"/>
    <w:rsid w:val="00F75D4D"/>
    <w:rsid w:val="00F75EF8"/>
    <w:rsid w:val="00F765B1"/>
    <w:rsid w:val="00F7691C"/>
    <w:rsid w:val="00F76E3C"/>
    <w:rsid w:val="00F77290"/>
    <w:rsid w:val="00F77548"/>
    <w:rsid w:val="00F77566"/>
    <w:rsid w:val="00F801F8"/>
    <w:rsid w:val="00F81468"/>
    <w:rsid w:val="00F814FA"/>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ECF"/>
    <w:rsid w:val="00F854FD"/>
    <w:rsid w:val="00F85647"/>
    <w:rsid w:val="00F85BC6"/>
    <w:rsid w:val="00F85FFE"/>
    <w:rsid w:val="00F8607B"/>
    <w:rsid w:val="00F87417"/>
    <w:rsid w:val="00F87C31"/>
    <w:rsid w:val="00F903D3"/>
    <w:rsid w:val="00F907BC"/>
    <w:rsid w:val="00F909E4"/>
    <w:rsid w:val="00F91068"/>
    <w:rsid w:val="00F91481"/>
    <w:rsid w:val="00F915AC"/>
    <w:rsid w:val="00F91618"/>
    <w:rsid w:val="00F91CFD"/>
    <w:rsid w:val="00F92722"/>
    <w:rsid w:val="00F929FA"/>
    <w:rsid w:val="00F92CDD"/>
    <w:rsid w:val="00F93D17"/>
    <w:rsid w:val="00F95356"/>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734"/>
    <w:rsid w:val="00FA17A4"/>
    <w:rsid w:val="00FA1A7D"/>
    <w:rsid w:val="00FA1A8E"/>
    <w:rsid w:val="00FA2064"/>
    <w:rsid w:val="00FA2FF5"/>
    <w:rsid w:val="00FA34C6"/>
    <w:rsid w:val="00FA352A"/>
    <w:rsid w:val="00FA367C"/>
    <w:rsid w:val="00FA36D9"/>
    <w:rsid w:val="00FA409E"/>
    <w:rsid w:val="00FA4244"/>
    <w:rsid w:val="00FA4CE4"/>
    <w:rsid w:val="00FA5784"/>
    <w:rsid w:val="00FA603A"/>
    <w:rsid w:val="00FA658A"/>
    <w:rsid w:val="00FA66F3"/>
    <w:rsid w:val="00FA6B8F"/>
    <w:rsid w:val="00FA74AD"/>
    <w:rsid w:val="00FA7B41"/>
    <w:rsid w:val="00FA7D54"/>
    <w:rsid w:val="00FB0515"/>
    <w:rsid w:val="00FB07E5"/>
    <w:rsid w:val="00FB1616"/>
    <w:rsid w:val="00FB1891"/>
    <w:rsid w:val="00FB1A76"/>
    <w:rsid w:val="00FB1B91"/>
    <w:rsid w:val="00FB209E"/>
    <w:rsid w:val="00FB3DF7"/>
    <w:rsid w:val="00FB3F69"/>
    <w:rsid w:val="00FB4477"/>
    <w:rsid w:val="00FB531F"/>
    <w:rsid w:val="00FB5A02"/>
    <w:rsid w:val="00FB5CB3"/>
    <w:rsid w:val="00FB5F13"/>
    <w:rsid w:val="00FB6BF7"/>
    <w:rsid w:val="00FB7DFE"/>
    <w:rsid w:val="00FB7E38"/>
    <w:rsid w:val="00FC019F"/>
    <w:rsid w:val="00FC0686"/>
    <w:rsid w:val="00FC0CFF"/>
    <w:rsid w:val="00FC0D90"/>
    <w:rsid w:val="00FC1B74"/>
    <w:rsid w:val="00FC1E34"/>
    <w:rsid w:val="00FC2149"/>
    <w:rsid w:val="00FC2FB6"/>
    <w:rsid w:val="00FC3487"/>
    <w:rsid w:val="00FC390E"/>
    <w:rsid w:val="00FC599A"/>
    <w:rsid w:val="00FC6DD7"/>
    <w:rsid w:val="00FC777C"/>
    <w:rsid w:val="00FD0CBF"/>
    <w:rsid w:val="00FD0EC5"/>
    <w:rsid w:val="00FD0FD9"/>
    <w:rsid w:val="00FD154F"/>
    <w:rsid w:val="00FD17CE"/>
    <w:rsid w:val="00FD1901"/>
    <w:rsid w:val="00FD1A95"/>
    <w:rsid w:val="00FD1B15"/>
    <w:rsid w:val="00FD23F2"/>
    <w:rsid w:val="00FD274A"/>
    <w:rsid w:val="00FD2964"/>
    <w:rsid w:val="00FD2E23"/>
    <w:rsid w:val="00FD3197"/>
    <w:rsid w:val="00FD32E9"/>
    <w:rsid w:val="00FD3604"/>
    <w:rsid w:val="00FD3850"/>
    <w:rsid w:val="00FD3B5C"/>
    <w:rsid w:val="00FD3E98"/>
    <w:rsid w:val="00FD4083"/>
    <w:rsid w:val="00FD42D2"/>
    <w:rsid w:val="00FD4389"/>
    <w:rsid w:val="00FD43D1"/>
    <w:rsid w:val="00FD46C4"/>
    <w:rsid w:val="00FD4725"/>
    <w:rsid w:val="00FD4B4C"/>
    <w:rsid w:val="00FD4E39"/>
    <w:rsid w:val="00FD4FCF"/>
    <w:rsid w:val="00FD500E"/>
    <w:rsid w:val="00FD52C9"/>
    <w:rsid w:val="00FD5715"/>
    <w:rsid w:val="00FD590E"/>
    <w:rsid w:val="00FD5A0A"/>
    <w:rsid w:val="00FD5DDA"/>
    <w:rsid w:val="00FD5F1D"/>
    <w:rsid w:val="00FD6239"/>
    <w:rsid w:val="00FD6323"/>
    <w:rsid w:val="00FD6417"/>
    <w:rsid w:val="00FD680F"/>
    <w:rsid w:val="00FD6C4A"/>
    <w:rsid w:val="00FD6E28"/>
    <w:rsid w:val="00FD77C0"/>
    <w:rsid w:val="00FE048E"/>
    <w:rsid w:val="00FE04AC"/>
    <w:rsid w:val="00FE07AE"/>
    <w:rsid w:val="00FE07DE"/>
    <w:rsid w:val="00FE0ADC"/>
    <w:rsid w:val="00FE146F"/>
    <w:rsid w:val="00FE1869"/>
    <w:rsid w:val="00FE1A8A"/>
    <w:rsid w:val="00FE1E5E"/>
    <w:rsid w:val="00FE1E61"/>
    <w:rsid w:val="00FE1E74"/>
    <w:rsid w:val="00FE22A1"/>
    <w:rsid w:val="00FE22E5"/>
    <w:rsid w:val="00FE23E2"/>
    <w:rsid w:val="00FE25E0"/>
    <w:rsid w:val="00FE2AE1"/>
    <w:rsid w:val="00FE327D"/>
    <w:rsid w:val="00FE3534"/>
    <w:rsid w:val="00FE401F"/>
    <w:rsid w:val="00FE4115"/>
    <w:rsid w:val="00FE4E1A"/>
    <w:rsid w:val="00FE505A"/>
    <w:rsid w:val="00FE5361"/>
    <w:rsid w:val="00FE5DA9"/>
    <w:rsid w:val="00FE5EC6"/>
    <w:rsid w:val="00FE6518"/>
    <w:rsid w:val="00FE6546"/>
    <w:rsid w:val="00FE6632"/>
    <w:rsid w:val="00FE7B0D"/>
    <w:rsid w:val="00FE7B1E"/>
    <w:rsid w:val="00FE7E80"/>
    <w:rsid w:val="00FF0637"/>
    <w:rsid w:val="00FF2475"/>
    <w:rsid w:val="00FF256C"/>
    <w:rsid w:val="00FF2664"/>
    <w:rsid w:val="00FF2E0A"/>
    <w:rsid w:val="00FF306C"/>
    <w:rsid w:val="00FF3170"/>
    <w:rsid w:val="00FF34D3"/>
    <w:rsid w:val="00FF368B"/>
    <w:rsid w:val="00FF3802"/>
    <w:rsid w:val="00FF3C79"/>
    <w:rsid w:val="00FF3CED"/>
    <w:rsid w:val="00FF3CFB"/>
    <w:rsid w:val="00FF4137"/>
    <w:rsid w:val="00FF425A"/>
    <w:rsid w:val="00FF4A2A"/>
    <w:rsid w:val="00FF60F0"/>
    <w:rsid w:val="00FF6514"/>
    <w:rsid w:val="00FF71A1"/>
    <w:rsid w:val="00FF72F6"/>
    <w:rsid w:val="00FF759F"/>
    <w:rsid w:val="00FF7E72"/>
    <w:rsid w:val="03B4060B"/>
    <w:rsid w:val="05789938"/>
    <w:rsid w:val="0631ED96"/>
    <w:rsid w:val="0D190D89"/>
    <w:rsid w:val="0FEA7BA5"/>
    <w:rsid w:val="119F0F77"/>
    <w:rsid w:val="15F0244A"/>
    <w:rsid w:val="17FE70CB"/>
    <w:rsid w:val="1CAB3D60"/>
    <w:rsid w:val="1CCFB430"/>
    <w:rsid w:val="203DE6DE"/>
    <w:rsid w:val="2254B68D"/>
    <w:rsid w:val="2546C8E8"/>
    <w:rsid w:val="25DE4717"/>
    <w:rsid w:val="2674E6EE"/>
    <w:rsid w:val="27467A11"/>
    <w:rsid w:val="28A2766F"/>
    <w:rsid w:val="2980DECC"/>
    <w:rsid w:val="2A58898C"/>
    <w:rsid w:val="2C82E315"/>
    <w:rsid w:val="2E921C93"/>
    <w:rsid w:val="32E4922E"/>
    <w:rsid w:val="34F42FFD"/>
    <w:rsid w:val="3510F273"/>
    <w:rsid w:val="3B68C44A"/>
    <w:rsid w:val="409B2C22"/>
    <w:rsid w:val="41589FC7"/>
    <w:rsid w:val="437824B0"/>
    <w:rsid w:val="437CCFB2"/>
    <w:rsid w:val="46DC6BE2"/>
    <w:rsid w:val="4A4B79CD"/>
    <w:rsid w:val="51724679"/>
    <w:rsid w:val="51DCAED0"/>
    <w:rsid w:val="51ED6D00"/>
    <w:rsid w:val="53AB0897"/>
    <w:rsid w:val="55539C79"/>
    <w:rsid w:val="55954FB1"/>
    <w:rsid w:val="58ABD453"/>
    <w:rsid w:val="5A11FF63"/>
    <w:rsid w:val="5AC54798"/>
    <w:rsid w:val="5AD5C84B"/>
    <w:rsid w:val="5ED493BF"/>
    <w:rsid w:val="5EE0C6D5"/>
    <w:rsid w:val="5FF285DF"/>
    <w:rsid w:val="62E6958D"/>
    <w:rsid w:val="655512FE"/>
    <w:rsid w:val="671B1A40"/>
    <w:rsid w:val="6B3B9DED"/>
    <w:rsid w:val="6D11442C"/>
    <w:rsid w:val="6DBB4ABD"/>
    <w:rsid w:val="6ECF5770"/>
    <w:rsid w:val="6ED6B112"/>
    <w:rsid w:val="6F59A015"/>
    <w:rsid w:val="7084D284"/>
    <w:rsid w:val="71C1E241"/>
    <w:rsid w:val="721BCCCA"/>
    <w:rsid w:val="735CB6C3"/>
    <w:rsid w:val="752FAB3A"/>
    <w:rsid w:val="7599884C"/>
    <w:rsid w:val="784E94B6"/>
    <w:rsid w:val="78D3AC68"/>
    <w:rsid w:val="78D3F9CA"/>
    <w:rsid w:val="7E86937F"/>
    <w:rsid w:val="7EA01284"/>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52F4CB0C-7967-4F7B-8E49-C185AE6F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99"/>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6"/>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advancedproofingissue">
    <w:name w:val="advancedproofingissue"/>
    <w:basedOn w:val="DefaultParagraphFont"/>
    <w:rsid w:val="00EE5DA8"/>
  </w:style>
  <w:style w:type="character" w:customStyle="1" w:styleId="superscript">
    <w:name w:val="superscript"/>
    <w:basedOn w:val="DefaultParagraphFont"/>
    <w:rsid w:val="00EE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1227">
      <w:bodyDiv w:val="1"/>
      <w:marLeft w:val="0"/>
      <w:marRight w:val="0"/>
      <w:marTop w:val="0"/>
      <w:marBottom w:val="0"/>
      <w:divBdr>
        <w:top w:val="none" w:sz="0" w:space="0" w:color="auto"/>
        <w:left w:val="none" w:sz="0" w:space="0" w:color="auto"/>
        <w:bottom w:val="none" w:sz="0" w:space="0" w:color="auto"/>
        <w:right w:val="none" w:sz="0" w:space="0" w:color="auto"/>
      </w:divBdr>
    </w:div>
    <w:div w:id="77559611">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77203745">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26201551">
      <w:bodyDiv w:val="1"/>
      <w:marLeft w:val="0"/>
      <w:marRight w:val="0"/>
      <w:marTop w:val="0"/>
      <w:marBottom w:val="0"/>
      <w:divBdr>
        <w:top w:val="none" w:sz="0" w:space="0" w:color="auto"/>
        <w:left w:val="none" w:sz="0" w:space="0" w:color="auto"/>
        <w:bottom w:val="none" w:sz="0" w:space="0" w:color="auto"/>
        <w:right w:val="none" w:sz="0" w:space="0" w:color="auto"/>
      </w:divBdr>
      <w:divsChild>
        <w:div w:id="436216489">
          <w:marLeft w:val="0"/>
          <w:marRight w:val="0"/>
          <w:marTop w:val="0"/>
          <w:marBottom w:val="0"/>
          <w:divBdr>
            <w:top w:val="none" w:sz="0" w:space="0" w:color="auto"/>
            <w:left w:val="none" w:sz="0" w:space="0" w:color="auto"/>
            <w:bottom w:val="none" w:sz="0" w:space="0" w:color="auto"/>
            <w:right w:val="none" w:sz="0" w:space="0" w:color="auto"/>
          </w:divBdr>
          <w:divsChild>
            <w:div w:id="140772383">
              <w:marLeft w:val="0"/>
              <w:marRight w:val="0"/>
              <w:marTop w:val="0"/>
              <w:marBottom w:val="0"/>
              <w:divBdr>
                <w:top w:val="none" w:sz="0" w:space="0" w:color="auto"/>
                <w:left w:val="none" w:sz="0" w:space="0" w:color="auto"/>
                <w:bottom w:val="none" w:sz="0" w:space="0" w:color="auto"/>
                <w:right w:val="none" w:sz="0" w:space="0" w:color="auto"/>
              </w:divBdr>
            </w:div>
            <w:div w:id="1077477588">
              <w:marLeft w:val="0"/>
              <w:marRight w:val="0"/>
              <w:marTop w:val="0"/>
              <w:marBottom w:val="0"/>
              <w:divBdr>
                <w:top w:val="none" w:sz="0" w:space="0" w:color="auto"/>
                <w:left w:val="none" w:sz="0" w:space="0" w:color="auto"/>
                <w:bottom w:val="none" w:sz="0" w:space="0" w:color="auto"/>
                <w:right w:val="none" w:sz="0" w:space="0" w:color="auto"/>
              </w:divBdr>
            </w:div>
          </w:divsChild>
        </w:div>
        <w:div w:id="1391878723">
          <w:marLeft w:val="0"/>
          <w:marRight w:val="0"/>
          <w:marTop w:val="0"/>
          <w:marBottom w:val="0"/>
          <w:divBdr>
            <w:top w:val="none" w:sz="0" w:space="0" w:color="auto"/>
            <w:left w:val="none" w:sz="0" w:space="0" w:color="auto"/>
            <w:bottom w:val="none" w:sz="0" w:space="0" w:color="auto"/>
            <w:right w:val="none" w:sz="0" w:space="0" w:color="auto"/>
          </w:divBdr>
          <w:divsChild>
            <w:div w:id="908347880">
              <w:marLeft w:val="0"/>
              <w:marRight w:val="0"/>
              <w:marTop w:val="0"/>
              <w:marBottom w:val="0"/>
              <w:divBdr>
                <w:top w:val="none" w:sz="0" w:space="0" w:color="auto"/>
                <w:left w:val="none" w:sz="0" w:space="0" w:color="auto"/>
                <w:bottom w:val="none" w:sz="0" w:space="0" w:color="auto"/>
                <w:right w:val="none" w:sz="0" w:space="0" w:color="auto"/>
              </w:divBdr>
            </w:div>
            <w:div w:id="1340962407">
              <w:marLeft w:val="0"/>
              <w:marRight w:val="0"/>
              <w:marTop w:val="0"/>
              <w:marBottom w:val="0"/>
              <w:divBdr>
                <w:top w:val="none" w:sz="0" w:space="0" w:color="auto"/>
                <w:left w:val="none" w:sz="0" w:space="0" w:color="auto"/>
                <w:bottom w:val="none" w:sz="0" w:space="0" w:color="auto"/>
                <w:right w:val="none" w:sz="0" w:space="0" w:color="auto"/>
              </w:divBdr>
            </w:div>
            <w:div w:id="14775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72827732">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35992287">
      <w:bodyDiv w:val="1"/>
      <w:marLeft w:val="0"/>
      <w:marRight w:val="0"/>
      <w:marTop w:val="0"/>
      <w:marBottom w:val="0"/>
      <w:divBdr>
        <w:top w:val="none" w:sz="0" w:space="0" w:color="auto"/>
        <w:left w:val="none" w:sz="0" w:space="0" w:color="auto"/>
        <w:bottom w:val="none" w:sz="0" w:space="0" w:color="auto"/>
        <w:right w:val="none" w:sz="0" w:space="0" w:color="auto"/>
      </w:divBdr>
    </w:div>
    <w:div w:id="1863125907">
      <w:bodyDiv w:val="1"/>
      <w:marLeft w:val="0"/>
      <w:marRight w:val="0"/>
      <w:marTop w:val="0"/>
      <w:marBottom w:val="0"/>
      <w:divBdr>
        <w:top w:val="none" w:sz="0" w:space="0" w:color="auto"/>
        <w:left w:val="none" w:sz="0" w:space="0" w:color="auto"/>
        <w:bottom w:val="none" w:sz="0" w:space="0" w:color="auto"/>
        <w:right w:val="none" w:sz="0" w:space="0" w:color="auto"/>
      </w:divBdr>
    </w:div>
    <w:div w:id="21391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2.lbl.gov/dir/assets/docs/TRL%20guide.pdf" TargetMode="External"/><Relationship Id="rId26" Type="http://schemas.openxmlformats.org/officeDocument/2006/relationships/hyperlink" Target="http://www.energy.ca.gov/research/contractors.html." TargetMode="External"/><Relationship Id="rId39" Type="http://schemas.openxmlformats.org/officeDocument/2006/relationships/hyperlink" Target="https://oag.ca.gov/ab1887" TargetMode="External"/><Relationship Id="rId21" Type="http://schemas.openxmlformats.org/officeDocument/2006/relationships/hyperlink" Target="https://energy.zoom.us/download." TargetMode="External"/><Relationship Id="rId34" Type="http://schemas.openxmlformats.org/officeDocument/2006/relationships/hyperlink" Target="https://leginfo.legislature.ca.gov/faces/billNavClient.xhtml?bill_id=202120220AB205" TargetMode="External"/><Relationship Id="rId42" Type="http://schemas.openxmlformats.org/officeDocument/2006/relationships/hyperlink" Target="https://calepa.ca.gov/envjustice/ghginvest/" TargetMode="External"/><Relationship Id="rId47" Type="http://schemas.openxmlformats.org/officeDocument/2006/relationships/hyperlink" Target="https://gss.energy.ca.gov/" TargetMode="External"/><Relationship Id="rId50" Type="http://schemas.openxmlformats.org/officeDocument/2006/relationships/hyperlink" Target="https://oag.ca.gov/ab1887"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ehha.ca.gov/calenviroscreen/report/calenviroscreen-40" TargetMode="External"/><Relationship Id="rId29" Type="http://schemas.openxmlformats.org/officeDocument/2006/relationships/hyperlink" Target="http://www.cpuc.ca.gov/general.aspx?id=3462" TargetMode="External"/><Relationship Id="rId11" Type="http://schemas.openxmlformats.org/officeDocument/2006/relationships/image" Target="media/image1.png"/><Relationship Id="rId24" Type="http://schemas.openxmlformats.org/officeDocument/2006/relationships/hyperlink" Target="mailto:Phil.Dyer@energy.ca.gov" TargetMode="External"/><Relationship Id="rId32" Type="http://schemas.openxmlformats.org/officeDocument/2006/relationships/hyperlink" Target="https://leginfo.legislature.ca.gov/faces/billTextClient.xhtml?bill_id=201720180SB100" TargetMode="External"/><Relationship Id="rId37" Type="http://schemas.openxmlformats.org/officeDocument/2006/relationships/hyperlink" Target="http://www.cpuc.ca.gov/uploadedfiles/cpuc_public_website/content/about_us/organization/former_commissioners/peevey(1)/news_and_announcements/ferron_peevey_concurrence_storaged1310040.pdf" TargetMode="External"/><Relationship Id="rId40" Type="http://schemas.openxmlformats.org/officeDocument/2006/relationships/hyperlink" Target="http://www.energy.ca.gov/research/contractors.html" TargetMode="External"/><Relationship Id="rId45" Type="http://schemas.openxmlformats.org/officeDocument/2006/relationships/hyperlink" Target="https://healthyplacesindex.org/" TargetMode="External"/><Relationship Id="rId53"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9" Type="http://schemas.openxmlformats.org/officeDocument/2006/relationships/hyperlink" Target="https://zoom.us/jo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upport.zoom.us/hc/en-us/articles/201362023-System-requirements-for-Windows-macOS-and-Linux" TargetMode="External"/><Relationship Id="rId27" Type="http://schemas.openxmlformats.org/officeDocument/2006/relationships/hyperlink" Target="https://leginfo.legislature.ca.gov/faces/billNavClient.xhtml?bill_id=200520060AB32;%20https://ww2.arb.ca.gov/our-work/programs/ab-32-climate-change-scoping-plan" TargetMode="External"/><Relationship Id="rId30" Type="http://schemas.openxmlformats.org/officeDocument/2006/relationships/hyperlink" Target="http://leginfo.legislature.ca.gov/faces/billNavClient.xhtml?bill_id=200920100AB2514" TargetMode="External"/><Relationship Id="rId35" Type="http://schemas.openxmlformats.org/officeDocument/2006/relationships/hyperlink" Target="https://leginfo.legislature.ca.gov/faces/billNavClient.xhtml?bill_id=202120220SB423" TargetMode="External"/><Relationship Id="rId43" Type="http://schemas.openxmlformats.org/officeDocument/2006/relationships/hyperlink" Target="http://www.hcd.ca.gov/grants-funding/income-limits/index.shtml" TargetMode="External"/><Relationship Id="rId48" Type="http://schemas.openxmlformats.org/officeDocument/2006/relationships/hyperlink" Target="https://www.energy.ca.gov/media/1654"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nergy.ca.gov/funding-opportunities/solicitations" TargetMode="External"/><Relationship Id="rId3" Type="http://schemas.openxmlformats.org/officeDocument/2006/relationships/customXml" Target="../customXml/item3.xml"/><Relationship Id="rId12" Type="http://schemas.openxmlformats.org/officeDocument/2006/relationships/hyperlink" Target="http://www.energy.ca.gov/contracts/index.html" TargetMode="External"/><Relationship Id="rId17" Type="http://schemas.openxmlformats.org/officeDocument/2006/relationships/hyperlink" Target="https://www.hcd.ca.gov/grants-funding/income-limits/state-and-federal-income-limits.shtml" TargetMode="External"/><Relationship Id="rId25" Type="http://schemas.openxmlformats.org/officeDocument/2006/relationships/hyperlink" Target="https://www.energy.ca.gov/funding-opportunities/solicitations" TargetMode="External"/><Relationship Id="rId33" Type="http://schemas.openxmlformats.org/officeDocument/2006/relationships/hyperlink" Target="https://leginfo.legislature.ca.gov/faces/billNavClient.xhtml?bill_id=202120220SB846" TargetMode="External"/><Relationship Id="rId38" Type="http://schemas.openxmlformats.org/officeDocument/2006/relationships/hyperlink" Target="http://www.energy.ca.gov/research/" TargetMode="External"/><Relationship Id="rId46" Type="http://schemas.openxmlformats.org/officeDocument/2006/relationships/hyperlink" Target="https://www.energy.ca.gov/funding-opportunities/solicitations" TargetMode="External"/><Relationship Id="rId20" Type="http://schemas.openxmlformats.org/officeDocument/2006/relationships/hyperlink" Target="https://energy.zoom.us/u/adjzKUXvoy" TargetMode="External"/><Relationship Id="rId41" Type="http://schemas.openxmlformats.org/officeDocument/2006/relationships/hyperlink" Target="http://www.sos.ca.gov/"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mpowerinnovation.net" TargetMode="External"/><Relationship Id="rId23" Type="http://schemas.openxmlformats.org/officeDocument/2006/relationships/hyperlink" Target="mailto:Erica.Rodriguez@energy.ca.gov" TargetMode="External"/><Relationship Id="rId28" Type="http://schemas.openxmlformats.org/officeDocument/2006/relationships/hyperlink" Target="https://leginfo.legislature.ca.gov/faces/billNavClient.xhtml?bill_id=201520160SB32" TargetMode="External"/><Relationship Id="rId36" Type="http://schemas.openxmlformats.org/officeDocument/2006/relationships/hyperlink" Target="http://www.energy.ca.gov/energypolicy" TargetMode="External"/><Relationship Id="rId49" Type="http://schemas.openxmlformats.org/officeDocument/2006/relationships/hyperlink" Target="https://www.energy.ca.gov/funding-opportunities/solicitations" TargetMode="External"/><Relationship Id="rId57"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www.leginfo.ca.gov/pub/15-16/bill/sen/sb_0301-0350/sb_350_bill_20151007_chaptered.htm" TargetMode="External"/><Relationship Id="rId44" Type="http://schemas.openxmlformats.org/officeDocument/2006/relationships/hyperlink" Target="https://oehha.ca.gov/calenviroscreen/report/calenviroscreen-40" TargetMode="External"/><Relationship Id="rId52" Type="http://schemas.openxmlformats.org/officeDocument/2006/relationships/hyperlink" Target="https://www.energy.ca.gov/funding-opportunities/solicita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https://docs.cpuc.ca.gov/PublishedDocs/Published/G000/M425/K515/425515575." TargetMode="External"/><Relationship Id="rId13" Type="http://schemas.openxmlformats.org/officeDocument/2006/relationships/hyperlink" Target="mailto:https://efiling.energy.ca.gov/GetDocument.aspx?tn=240609" TargetMode="External"/><Relationship Id="rId3" Type="http://schemas.openxmlformats.org/officeDocument/2006/relationships/hyperlink" Target="https://www.arpa-e.energy.gov/news-and-media/blog-posts/why-long-duration-energy-storage-matters" TargetMode="External"/><Relationship Id="rId7" Type="http://schemas.openxmlformats.org/officeDocument/2006/relationships/hyperlink" Target="mailto:http://docs.cpuc.ca.gov/PublishedDocs/WORD_PDF/FINAL_DECISION/156050.PDF." TargetMode="External"/><Relationship Id="rId12" Type="http://schemas.openxmlformats.org/officeDocument/2006/relationships/hyperlink" Target="mailto:https://efiling.energy.ca.gov/GetDocument.aspx?tn=236882" TargetMode="External"/><Relationship Id="rId2" Type="http://schemas.openxmlformats.org/officeDocument/2006/relationships/hyperlink" Target="https://ww2.arb.ca.gov/sites/default/files/2020-01/Emissions_Inventory_Generator_Demand%20Usage_During_Power_Outage_01_30_20.pdf" TargetMode="External"/><Relationship Id="rId1" Type="http://schemas.openxmlformats.org/officeDocument/2006/relationships/hyperlink" Target="https://www.nfpa.org/codes-and-standards/all-codes-and-standards/list-of-codes-and-standards/detail?code=110" TargetMode="External"/><Relationship Id="rId6" Type="http://schemas.openxmlformats.org/officeDocument/2006/relationships/hyperlink" Target="https://www.cpuc.ca.gov/Rule21/" TargetMode="External"/><Relationship Id="rId11" Type="http://schemas.openxmlformats.org/officeDocument/2006/relationships/hyperlink" Target="mailto:https://docketpublic.energy.ca.gov/PublicDocuments/17-EPIC-01/TN217347_20170428T145448_The_Electric_Program_Investment_Charge_Proposed_20182020_Trienn.pdf" TargetMode="External"/><Relationship Id="rId5" Type="http://schemas.openxmlformats.org/officeDocument/2006/relationships/hyperlink" Target="https://liftoff.energy.gov/wp-content/uploads/2023/03/20230320-Liftoff-LDES-vPUB-0329-update.pdf" TargetMode="External"/><Relationship Id="rId10" Type="http://schemas.openxmlformats.org/officeDocument/2006/relationships/hyperlink" Target="mailto:http://www.leginfo.ca.gov/cgi-bin/displaycode?section=prc&amp;group=25001-26000&amp;file=25710-25712" TargetMode="External"/><Relationship Id="rId4" Type="http://schemas.openxmlformats.org/officeDocument/2006/relationships/hyperlink" Target="https://www.cpuc.ca.gov/industries-and-topics/wildfires/fire-threat-maps-and-fire-safety-rulemaking" TargetMode="External"/><Relationship Id="rId9" Type="http://schemas.openxmlformats.org/officeDocument/2006/relationships/hyperlink" Target="mailto:http://docs.cpuc.ca.gov/PublishedDocs/WORD_PDF/FINAL_DECISION/16766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EDD7B4D6-28FD-4627-9F17-8710B0DD6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Template>
  <TotalTime>48</TotalTime>
  <Pages>49</Pages>
  <Words>15392</Words>
  <Characters>87740</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Manager/>
  <Company>Hewlett-Packard Company</Company>
  <LinksUpToDate>false</LinksUpToDate>
  <CharactersWithSpaces>102927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Dyer, Phil@Energy</cp:lastModifiedBy>
  <cp:revision>53</cp:revision>
  <cp:lastPrinted>2020-10-23T23:23:00Z</cp:lastPrinted>
  <dcterms:created xsi:type="dcterms:W3CDTF">2023-09-18T23:49:00Z</dcterms:created>
  <dcterms:modified xsi:type="dcterms:W3CDTF">2023-09-19T19:44:00Z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ies>
</file>