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271A" w14:textId="77777777" w:rsidR="00875E78" w:rsidRPr="00BE255C" w:rsidRDefault="00316FFC" w:rsidP="00316FFC">
      <w:pPr>
        <w:keepLines/>
        <w:widowControl w:val="0"/>
        <w:spacing w:after="120"/>
        <w:ind w:firstLine="720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 xml:space="preserve">                                      </w:t>
      </w:r>
      <w:r w:rsidR="00171A69">
        <w:rPr>
          <w:rFonts w:ascii="Arial" w:hAnsi="Arial" w:cs="Arial"/>
          <w:b/>
          <w:spacing w:val="-3"/>
          <w:sz w:val="28"/>
          <w:szCs w:val="28"/>
        </w:rPr>
        <w:t>COST BID</w:t>
      </w:r>
    </w:p>
    <w:p w14:paraId="204014B2" w14:textId="77777777" w:rsidR="00074C58" w:rsidRPr="00074C58" w:rsidRDefault="00074C58" w:rsidP="00BE255C">
      <w:pPr>
        <w:keepLines/>
        <w:widowControl w:val="0"/>
        <w:spacing w:after="120"/>
        <w:rPr>
          <w:rFonts w:ascii="Arial" w:hAnsi="Arial" w:cs="Arial"/>
          <w:szCs w:val="24"/>
        </w:rPr>
      </w:pPr>
      <w:r w:rsidRPr="00074C58">
        <w:rPr>
          <w:rFonts w:ascii="Arial" w:hAnsi="Arial" w:cs="Arial"/>
          <w:szCs w:val="24"/>
        </w:rPr>
        <w:t xml:space="preserve">The bid amount for purposes of determining low bid will consist of adding together the following </w:t>
      </w:r>
      <w:r w:rsidR="00B40B6D">
        <w:rPr>
          <w:rFonts w:ascii="Arial" w:hAnsi="Arial" w:cs="Arial"/>
          <w:szCs w:val="24"/>
        </w:rPr>
        <w:t>three</w:t>
      </w:r>
      <w:r w:rsidRPr="00074C58">
        <w:rPr>
          <w:rFonts w:ascii="Arial" w:hAnsi="Arial" w:cs="Arial"/>
          <w:szCs w:val="24"/>
        </w:rPr>
        <w:t xml:space="preserve"> costs: </w:t>
      </w:r>
    </w:p>
    <w:p w14:paraId="5566BB11" w14:textId="77777777" w:rsidR="00074C58" w:rsidRPr="00074C58" w:rsidRDefault="00074C58" w:rsidP="00BE255C">
      <w:pPr>
        <w:pStyle w:val="ListParagraph"/>
        <w:keepLines/>
        <w:widowControl w:val="0"/>
        <w:numPr>
          <w:ilvl w:val="0"/>
          <w:numId w:val="4"/>
        </w:numPr>
        <w:spacing w:after="120"/>
        <w:ind w:left="1080"/>
        <w:contextualSpacing w:val="0"/>
        <w:rPr>
          <w:rFonts w:ascii="Arial" w:hAnsi="Arial" w:cs="Arial"/>
          <w:szCs w:val="24"/>
        </w:rPr>
      </w:pPr>
      <w:r w:rsidRPr="00074C58">
        <w:rPr>
          <w:rFonts w:ascii="Arial" w:hAnsi="Arial" w:cs="Arial"/>
          <w:szCs w:val="24"/>
        </w:rPr>
        <w:t>Half-Day hearing, with 85-p</w:t>
      </w:r>
      <w:r w:rsidR="002E7153">
        <w:rPr>
          <w:rFonts w:ascii="Arial" w:hAnsi="Arial" w:cs="Arial"/>
          <w:szCs w:val="24"/>
        </w:rPr>
        <w:t>age transcript, completed in 7 days, plus printed transcript</w:t>
      </w:r>
      <w:r w:rsidRPr="00074C58">
        <w:rPr>
          <w:rFonts w:ascii="Arial" w:hAnsi="Arial" w:cs="Arial"/>
          <w:szCs w:val="24"/>
        </w:rPr>
        <w:t>.</w:t>
      </w:r>
    </w:p>
    <w:p w14:paraId="6123632D" w14:textId="77777777" w:rsidR="00BE255C" w:rsidRDefault="00074C58" w:rsidP="00BE255C">
      <w:pPr>
        <w:pStyle w:val="ListParagraph"/>
        <w:keepLines/>
        <w:widowControl w:val="0"/>
        <w:numPr>
          <w:ilvl w:val="0"/>
          <w:numId w:val="4"/>
        </w:numPr>
        <w:spacing w:after="120"/>
        <w:ind w:left="1080"/>
        <w:contextualSpacing w:val="0"/>
        <w:rPr>
          <w:rFonts w:ascii="Arial" w:hAnsi="Arial" w:cs="Arial"/>
          <w:szCs w:val="24"/>
        </w:rPr>
      </w:pPr>
      <w:r w:rsidRPr="00BE255C">
        <w:rPr>
          <w:rFonts w:ascii="Arial" w:hAnsi="Arial" w:cs="Arial"/>
          <w:szCs w:val="24"/>
        </w:rPr>
        <w:t>Full-Day hearing, with 225-p</w:t>
      </w:r>
      <w:r w:rsidR="002E7153">
        <w:rPr>
          <w:rFonts w:ascii="Arial" w:hAnsi="Arial" w:cs="Arial"/>
          <w:szCs w:val="24"/>
        </w:rPr>
        <w:t>age transcript, completed in 3 days, plus printed transcript.</w:t>
      </w:r>
    </w:p>
    <w:p w14:paraId="25A093AF" w14:textId="77777777" w:rsidR="002E7153" w:rsidRPr="00074C58" w:rsidRDefault="00B40B6D" w:rsidP="002E7153">
      <w:pPr>
        <w:pStyle w:val="ListParagraph"/>
        <w:keepLines/>
        <w:widowControl w:val="0"/>
        <w:numPr>
          <w:ilvl w:val="0"/>
          <w:numId w:val="4"/>
        </w:numPr>
        <w:spacing w:after="120"/>
        <w:ind w:left="1080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Half-Day hearing, with 60</w:t>
      </w:r>
      <w:r w:rsidR="002E7153" w:rsidRPr="00074C58">
        <w:rPr>
          <w:rFonts w:ascii="Arial" w:hAnsi="Arial" w:cs="Arial"/>
          <w:szCs w:val="24"/>
        </w:rPr>
        <w:t>-p</w:t>
      </w:r>
      <w:r w:rsidR="002E7153">
        <w:rPr>
          <w:rFonts w:ascii="Arial" w:hAnsi="Arial" w:cs="Arial"/>
          <w:szCs w:val="24"/>
        </w:rPr>
        <w:t xml:space="preserve">age transcript, completed </w:t>
      </w:r>
      <w:r>
        <w:rPr>
          <w:rFonts w:ascii="Arial" w:hAnsi="Arial" w:cs="Arial"/>
          <w:szCs w:val="24"/>
        </w:rPr>
        <w:t>the next day, without a</w:t>
      </w:r>
      <w:r w:rsidR="002E7153">
        <w:rPr>
          <w:rFonts w:ascii="Arial" w:hAnsi="Arial" w:cs="Arial"/>
          <w:szCs w:val="24"/>
        </w:rPr>
        <w:t xml:space="preserve"> printed transcript</w:t>
      </w:r>
      <w:r w:rsidR="002E7153" w:rsidRPr="00074C58">
        <w:rPr>
          <w:rFonts w:ascii="Arial" w:hAnsi="Arial" w:cs="Arial"/>
          <w:szCs w:val="24"/>
        </w:rPr>
        <w:t>.</w:t>
      </w:r>
    </w:p>
    <w:p w14:paraId="1C4E6E5A" w14:textId="77777777" w:rsidR="002E7153" w:rsidRDefault="002E7153" w:rsidP="002E7153">
      <w:pPr>
        <w:pStyle w:val="ListParagraph"/>
        <w:keepLines/>
        <w:widowControl w:val="0"/>
        <w:spacing w:after="120"/>
        <w:ind w:left="1080"/>
        <w:contextualSpacing w:val="0"/>
        <w:rPr>
          <w:rFonts w:ascii="Arial" w:hAnsi="Arial" w:cs="Arial"/>
          <w:szCs w:val="24"/>
        </w:rPr>
      </w:pPr>
    </w:p>
    <w:p w14:paraId="07EC3B01" w14:textId="77777777" w:rsidR="00074C58" w:rsidRPr="00BE255C" w:rsidRDefault="00074C58" w:rsidP="00BE255C">
      <w:pPr>
        <w:pStyle w:val="ListParagraph"/>
        <w:keepLines/>
        <w:widowControl w:val="0"/>
        <w:spacing w:after="120"/>
        <w:ind w:left="0"/>
        <w:contextualSpacing w:val="0"/>
        <w:rPr>
          <w:rFonts w:ascii="Arial" w:hAnsi="Arial" w:cs="Arial"/>
          <w:szCs w:val="24"/>
        </w:rPr>
      </w:pPr>
      <w:r w:rsidRPr="00BE255C">
        <w:rPr>
          <w:rFonts w:ascii="Arial" w:hAnsi="Arial" w:cs="Arial"/>
          <w:szCs w:val="24"/>
        </w:rPr>
        <w:t xml:space="preserve">The </w:t>
      </w:r>
      <w:r w:rsidR="00171A69">
        <w:rPr>
          <w:rFonts w:ascii="Arial" w:hAnsi="Arial" w:cs="Arial"/>
          <w:szCs w:val="24"/>
        </w:rPr>
        <w:t>rate information submitted in the table</w:t>
      </w:r>
      <w:r w:rsidRPr="00BE255C">
        <w:rPr>
          <w:rFonts w:ascii="Arial" w:hAnsi="Arial" w:cs="Arial"/>
          <w:szCs w:val="24"/>
        </w:rPr>
        <w:t xml:space="preserve"> </w:t>
      </w:r>
      <w:r w:rsidR="00590927" w:rsidRPr="00BE255C">
        <w:rPr>
          <w:rFonts w:ascii="Arial" w:hAnsi="Arial" w:cs="Arial"/>
          <w:szCs w:val="24"/>
        </w:rPr>
        <w:t xml:space="preserve">below </w:t>
      </w:r>
      <w:r w:rsidRPr="00BE255C">
        <w:rPr>
          <w:rFonts w:ascii="Arial" w:hAnsi="Arial" w:cs="Arial"/>
          <w:szCs w:val="24"/>
        </w:rPr>
        <w:t xml:space="preserve">will be the rates used in the contract with the winning bidder.  The rates </w:t>
      </w:r>
      <w:r w:rsidR="00171A69">
        <w:rPr>
          <w:rFonts w:ascii="Arial" w:hAnsi="Arial" w:cs="Arial"/>
          <w:szCs w:val="24"/>
        </w:rPr>
        <w:t>below</w:t>
      </w:r>
      <w:r w:rsidRPr="00BE255C">
        <w:rPr>
          <w:rFonts w:ascii="Arial" w:hAnsi="Arial" w:cs="Arial"/>
          <w:szCs w:val="24"/>
        </w:rPr>
        <w:t xml:space="preserve"> will also be used by the Energy Commission to calculate the </w:t>
      </w:r>
      <w:r w:rsidR="00171A69">
        <w:rPr>
          <w:rFonts w:ascii="Arial" w:hAnsi="Arial" w:cs="Arial"/>
          <w:szCs w:val="24"/>
        </w:rPr>
        <w:t>Cost B</w:t>
      </w:r>
      <w:r w:rsidRPr="00BE255C">
        <w:rPr>
          <w:rFonts w:ascii="Arial" w:hAnsi="Arial" w:cs="Arial"/>
          <w:szCs w:val="24"/>
        </w:rPr>
        <w:t>id amount</w:t>
      </w:r>
      <w:r w:rsidR="00171A69">
        <w:rPr>
          <w:rFonts w:ascii="Arial" w:hAnsi="Arial" w:cs="Arial"/>
          <w:szCs w:val="24"/>
        </w:rPr>
        <w:t xml:space="preserve"> to determine the low bid</w:t>
      </w:r>
      <w:r w:rsidRPr="00BE255C">
        <w:rPr>
          <w:rFonts w:ascii="Arial" w:hAnsi="Arial" w:cs="Arial"/>
          <w:szCs w:val="24"/>
        </w:rPr>
        <w:t>. The Energy Commission will calculate the amount the bid</w:t>
      </w:r>
      <w:r w:rsidR="00B40B6D">
        <w:rPr>
          <w:rFonts w:ascii="Arial" w:hAnsi="Arial" w:cs="Arial"/>
          <w:szCs w:val="24"/>
        </w:rPr>
        <w:t>der will charge for item</w:t>
      </w:r>
      <w:r w:rsidR="00171A69">
        <w:rPr>
          <w:rFonts w:ascii="Arial" w:hAnsi="Arial" w:cs="Arial"/>
          <w:szCs w:val="24"/>
        </w:rPr>
        <w:t>s</w:t>
      </w:r>
      <w:r w:rsidR="00B40B6D">
        <w:rPr>
          <w:rFonts w:ascii="Arial" w:hAnsi="Arial" w:cs="Arial"/>
          <w:szCs w:val="24"/>
        </w:rPr>
        <w:t xml:space="preserve"> #1, </w:t>
      </w:r>
      <w:r w:rsidRPr="00BE255C">
        <w:rPr>
          <w:rFonts w:ascii="Arial" w:hAnsi="Arial" w:cs="Arial"/>
          <w:szCs w:val="24"/>
        </w:rPr>
        <w:t>#2</w:t>
      </w:r>
      <w:r w:rsidR="00B40B6D">
        <w:rPr>
          <w:rFonts w:ascii="Arial" w:hAnsi="Arial" w:cs="Arial"/>
          <w:szCs w:val="24"/>
        </w:rPr>
        <w:t xml:space="preserve"> and #3 above, </w:t>
      </w:r>
      <w:r w:rsidR="00171A69">
        <w:rPr>
          <w:rFonts w:ascii="Arial" w:hAnsi="Arial" w:cs="Arial"/>
          <w:szCs w:val="24"/>
        </w:rPr>
        <w:t xml:space="preserve">then </w:t>
      </w:r>
      <w:r w:rsidR="00B40B6D">
        <w:rPr>
          <w:rFonts w:ascii="Arial" w:hAnsi="Arial" w:cs="Arial"/>
          <w:szCs w:val="24"/>
        </w:rPr>
        <w:t>add together the three</w:t>
      </w:r>
      <w:r w:rsidRPr="00BE255C">
        <w:rPr>
          <w:rFonts w:ascii="Arial" w:hAnsi="Arial" w:cs="Arial"/>
          <w:szCs w:val="24"/>
        </w:rPr>
        <w:t xml:space="preserve"> amounts to arrive at the bid amount. The Energy Commission will compare all the bid amounts to determine low bid</w:t>
      </w:r>
      <w:r w:rsidR="002E7153">
        <w:rPr>
          <w:rFonts w:ascii="Arial" w:hAnsi="Arial" w:cs="Arial"/>
          <w:szCs w:val="24"/>
        </w:rPr>
        <w:t>, after any applicable</w:t>
      </w:r>
      <w:r w:rsidR="00674657" w:rsidRPr="00BE255C">
        <w:rPr>
          <w:rFonts w:ascii="Arial" w:hAnsi="Arial" w:cs="Arial"/>
          <w:szCs w:val="24"/>
        </w:rPr>
        <w:t xml:space="preserve"> incentive</w:t>
      </w:r>
      <w:r w:rsidR="002E7153">
        <w:rPr>
          <w:rFonts w:ascii="Arial" w:hAnsi="Arial" w:cs="Arial"/>
          <w:szCs w:val="24"/>
        </w:rPr>
        <w:t xml:space="preserve"> and preference</w:t>
      </w:r>
      <w:r w:rsidRPr="00BE255C">
        <w:rPr>
          <w:rFonts w:ascii="Arial" w:hAnsi="Arial" w:cs="Arial"/>
          <w:szCs w:val="24"/>
        </w:rPr>
        <w:t>.</w:t>
      </w:r>
      <w:r w:rsidR="00171A69">
        <w:rPr>
          <w:rFonts w:ascii="Arial" w:hAnsi="Arial" w:cs="Arial"/>
          <w:szCs w:val="24"/>
        </w:rPr>
        <w:t xml:space="preserve">  The contract will be awarded to the lowest bid.</w:t>
      </w:r>
    </w:p>
    <w:p w14:paraId="0CA053B5" w14:textId="77777777" w:rsidR="00875E78" w:rsidRPr="00B177F2" w:rsidRDefault="00875E78" w:rsidP="00BE255C">
      <w:pPr>
        <w:keepLines/>
        <w:widowControl w:val="0"/>
        <w:spacing w:after="120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4"/>
        <w:gridCol w:w="2048"/>
      </w:tblGrid>
      <w:tr w:rsidR="00875E78" w:rsidRPr="00D32935" w14:paraId="49A50D5A" w14:textId="77777777" w:rsidTr="00BE255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B7FF06" w14:textId="77777777" w:rsidR="00875E78" w:rsidRPr="00D32935" w:rsidRDefault="00875E78" w:rsidP="00BE255C">
            <w:pPr>
              <w:keepLines/>
              <w:widowControl w:val="0"/>
              <w:spacing w:after="12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D32935">
              <w:rPr>
                <w:rFonts w:ascii="Arial" w:hAnsi="Arial" w:cs="Arial"/>
                <w:b/>
                <w:i/>
                <w:szCs w:val="24"/>
              </w:rPr>
              <w:t>Hearings</w:t>
            </w:r>
            <w:r w:rsidR="00744B54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Pr="00D32935">
              <w:rPr>
                <w:rFonts w:ascii="Arial" w:hAnsi="Arial" w:cs="Arial"/>
                <w:b/>
                <w:i/>
                <w:szCs w:val="24"/>
              </w:rPr>
              <w:t>and Workshops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6BF72D5" w14:textId="77777777" w:rsidR="00875E78" w:rsidRPr="00D32935" w:rsidRDefault="00875E78" w:rsidP="00BE255C">
            <w:pPr>
              <w:keepLines/>
              <w:widowControl w:val="0"/>
              <w:spacing w:after="12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D32935">
              <w:rPr>
                <w:rFonts w:ascii="Arial" w:hAnsi="Arial" w:cs="Arial"/>
                <w:b/>
                <w:i/>
                <w:szCs w:val="24"/>
              </w:rPr>
              <w:t>RATE</w:t>
            </w:r>
          </w:p>
        </w:tc>
      </w:tr>
      <w:tr w:rsidR="00875E78" w:rsidRPr="00D32935" w14:paraId="0BB54C0C" w14:textId="77777777" w:rsidTr="00BE255C">
        <w:trPr>
          <w:trHeight w:val="375"/>
        </w:trPr>
        <w:tc>
          <w:tcPr>
            <w:tcW w:w="7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0378" w14:textId="77777777" w:rsidR="00875E78" w:rsidRPr="0005730B" w:rsidRDefault="00875E78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i/>
                <w:szCs w:val="24"/>
              </w:rPr>
            </w:pPr>
            <w:r w:rsidRPr="0005730B">
              <w:rPr>
                <w:rFonts w:ascii="Arial" w:hAnsi="Arial" w:cs="Arial"/>
                <w:b/>
                <w:i/>
                <w:szCs w:val="24"/>
              </w:rPr>
              <w:t>Appearances – Full Day Rate</w:t>
            </w:r>
            <w:r w:rsidR="00ED0D8F" w:rsidRPr="0005730B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="00E1494D" w:rsidRPr="0005730B">
              <w:rPr>
                <w:rFonts w:ascii="Arial" w:hAnsi="Arial" w:cs="Arial"/>
                <w:b/>
                <w:i/>
                <w:szCs w:val="24"/>
              </w:rPr>
              <w:t>5-8 Hours</w:t>
            </w:r>
            <w:r w:rsidR="005B216E">
              <w:rPr>
                <w:rFonts w:ascii="Arial" w:hAnsi="Arial" w:cs="Arial"/>
                <w:b/>
                <w:i/>
                <w:szCs w:val="24"/>
              </w:rPr>
              <w:t xml:space="preserve"> (No appearance fee is allowed where the Contractor prepares a transcript from an audio recording provided by the Energy Commission.)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143" w14:textId="77777777" w:rsidR="00875E78" w:rsidRPr="00D32935" w:rsidRDefault="00875E78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szCs w:val="24"/>
              </w:rPr>
            </w:pPr>
            <w:r w:rsidRPr="00D32935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E1494D" w:rsidRPr="00D32935" w14:paraId="6AC6DEE6" w14:textId="77777777" w:rsidTr="00BE255C">
        <w:trPr>
          <w:trHeight w:val="348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20A1" w14:textId="77777777" w:rsidR="00E1494D" w:rsidRPr="0005730B" w:rsidRDefault="00E1494D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i/>
                <w:szCs w:val="24"/>
              </w:rPr>
            </w:pPr>
            <w:r w:rsidRPr="0005730B">
              <w:rPr>
                <w:rFonts w:ascii="Arial" w:hAnsi="Arial" w:cs="Arial"/>
                <w:b/>
                <w:i/>
                <w:szCs w:val="24"/>
              </w:rPr>
              <w:t>Appearances – Half Day Rate</w:t>
            </w:r>
            <w:r w:rsidR="00ED0D8F" w:rsidRPr="0005730B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Pr="0005730B">
              <w:rPr>
                <w:rFonts w:ascii="Arial" w:hAnsi="Arial" w:cs="Arial"/>
                <w:b/>
                <w:i/>
                <w:szCs w:val="24"/>
              </w:rPr>
              <w:t>1-4 Hours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AA23" w14:textId="77777777" w:rsidR="00E1494D" w:rsidRPr="00D32935" w:rsidRDefault="00E1494D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szCs w:val="24"/>
              </w:rPr>
            </w:pPr>
            <w:r w:rsidRPr="00D32935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875E78" w:rsidRPr="00D32935" w14:paraId="51229C22" w14:textId="77777777" w:rsidTr="00BE255C">
        <w:trPr>
          <w:trHeight w:val="683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03C1" w14:textId="77777777" w:rsidR="00875E78" w:rsidRPr="0005730B" w:rsidRDefault="00875E78" w:rsidP="00B94053">
            <w:pPr>
              <w:keepLines/>
              <w:widowControl w:val="0"/>
              <w:spacing w:after="120"/>
              <w:rPr>
                <w:rFonts w:ascii="Arial" w:hAnsi="Arial" w:cs="Arial"/>
                <w:b/>
                <w:i/>
                <w:szCs w:val="24"/>
              </w:rPr>
            </w:pPr>
            <w:r w:rsidRPr="0005730B">
              <w:rPr>
                <w:rFonts w:ascii="Arial" w:hAnsi="Arial" w:cs="Arial"/>
                <w:b/>
                <w:i/>
                <w:szCs w:val="24"/>
              </w:rPr>
              <w:t xml:space="preserve">Over time Appearances – </w:t>
            </w:r>
            <w:r w:rsidR="00B94053">
              <w:rPr>
                <w:rFonts w:ascii="Arial" w:hAnsi="Arial" w:cs="Arial"/>
                <w:b/>
                <w:i/>
                <w:szCs w:val="24"/>
              </w:rPr>
              <w:t>This is the hourly rate a</w:t>
            </w:r>
            <w:r w:rsidRPr="0005730B">
              <w:rPr>
                <w:rFonts w:ascii="Arial" w:hAnsi="Arial" w:cs="Arial"/>
                <w:b/>
                <w:i/>
                <w:szCs w:val="24"/>
              </w:rPr>
              <w:t xml:space="preserve">fter </w:t>
            </w:r>
            <w:r w:rsidR="00ED0D8F" w:rsidRPr="0005730B">
              <w:rPr>
                <w:rFonts w:ascii="Arial" w:hAnsi="Arial" w:cs="Arial"/>
                <w:b/>
                <w:i/>
                <w:szCs w:val="24"/>
              </w:rPr>
              <w:t xml:space="preserve">an </w:t>
            </w:r>
            <w:proofErr w:type="gramStart"/>
            <w:r w:rsidR="00ED0D8F" w:rsidRPr="0005730B">
              <w:rPr>
                <w:rFonts w:ascii="Arial" w:hAnsi="Arial" w:cs="Arial"/>
                <w:b/>
                <w:i/>
                <w:szCs w:val="24"/>
              </w:rPr>
              <w:t>8 hour</w:t>
            </w:r>
            <w:proofErr w:type="gramEnd"/>
            <w:r w:rsidR="00ED0D8F" w:rsidRPr="0005730B">
              <w:rPr>
                <w:rFonts w:ascii="Arial" w:hAnsi="Arial" w:cs="Arial"/>
                <w:b/>
                <w:i/>
                <w:szCs w:val="24"/>
              </w:rPr>
              <w:t xml:space="preserve"> appearance</w:t>
            </w:r>
            <w:r w:rsidR="00B94053">
              <w:rPr>
                <w:rFonts w:ascii="Arial" w:hAnsi="Arial" w:cs="Arial"/>
                <w:b/>
                <w:i/>
                <w:szCs w:val="24"/>
              </w:rPr>
              <w:t>.</w:t>
            </w:r>
            <w:r w:rsidRPr="0005730B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="00380652">
              <w:rPr>
                <w:rFonts w:ascii="Arial" w:hAnsi="Arial" w:cs="Arial"/>
                <w:b/>
                <w:i/>
                <w:szCs w:val="24"/>
              </w:rPr>
              <w:t xml:space="preserve"> (Overtime does not automatically start after 5 p.m. but rather when 8 hours of work have occurred)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A06" w14:textId="77777777" w:rsidR="00875E78" w:rsidRPr="00D32935" w:rsidRDefault="00875E78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szCs w:val="24"/>
              </w:rPr>
            </w:pPr>
            <w:r w:rsidRPr="00D32935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875E78" w:rsidRPr="00D32935" w14:paraId="0FEC1802" w14:textId="77777777" w:rsidTr="00BE255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AA08" w14:textId="77777777" w:rsidR="00BE255C" w:rsidRDefault="00532ED8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i/>
                <w:szCs w:val="24"/>
              </w:rPr>
            </w:pPr>
            <w:r w:rsidRPr="0005730B">
              <w:rPr>
                <w:rFonts w:ascii="Arial" w:hAnsi="Arial" w:cs="Arial"/>
                <w:b/>
                <w:i/>
                <w:szCs w:val="24"/>
              </w:rPr>
              <w:t xml:space="preserve">Transcript Fee (per page): </w:t>
            </w:r>
          </w:p>
          <w:p w14:paraId="41A3BB0A" w14:textId="77777777" w:rsidR="00875E78" w:rsidRPr="0005730B" w:rsidRDefault="007A367B" w:rsidP="00BE255C">
            <w:pPr>
              <w:keepLines/>
              <w:widowControl w:val="0"/>
              <w:spacing w:after="12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05730B">
              <w:rPr>
                <w:rFonts w:ascii="Arial" w:hAnsi="Arial" w:cs="Arial"/>
                <w:b/>
                <w:i/>
                <w:szCs w:val="24"/>
              </w:rPr>
              <w:t>6-10 day</w:t>
            </w:r>
            <w:r w:rsidR="00B94053">
              <w:rPr>
                <w:rFonts w:ascii="Arial" w:hAnsi="Arial" w:cs="Arial"/>
                <w:b/>
                <w:i/>
                <w:szCs w:val="24"/>
              </w:rPr>
              <w:t>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912" w14:textId="77777777" w:rsidR="00BE255C" w:rsidRDefault="00BE255C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szCs w:val="24"/>
              </w:rPr>
            </w:pPr>
          </w:p>
          <w:p w14:paraId="003F1A99" w14:textId="77777777" w:rsidR="00875E78" w:rsidRPr="00D32935" w:rsidRDefault="00875E78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szCs w:val="24"/>
              </w:rPr>
            </w:pPr>
            <w:r w:rsidRPr="00D32935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875E78" w:rsidRPr="00D32935" w14:paraId="59DE2F7F" w14:textId="77777777" w:rsidTr="00BE255C">
        <w:trPr>
          <w:trHeight w:val="350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AF96" w14:textId="77777777" w:rsidR="00875E78" w:rsidRPr="0005730B" w:rsidRDefault="00875E78" w:rsidP="00BE255C">
            <w:pPr>
              <w:keepLines/>
              <w:widowControl w:val="0"/>
              <w:spacing w:after="12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05730B">
              <w:rPr>
                <w:rFonts w:ascii="Arial" w:hAnsi="Arial" w:cs="Arial"/>
                <w:b/>
                <w:i/>
                <w:szCs w:val="24"/>
              </w:rPr>
              <w:t>3-5 day</w:t>
            </w:r>
            <w:r w:rsidR="00B94053">
              <w:rPr>
                <w:rFonts w:ascii="Arial" w:hAnsi="Arial" w:cs="Arial"/>
                <w:b/>
                <w:i/>
                <w:szCs w:val="24"/>
              </w:rPr>
              <w:t>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F1CE" w14:textId="77777777" w:rsidR="00875E78" w:rsidRPr="00D32935" w:rsidRDefault="00875E78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szCs w:val="24"/>
              </w:rPr>
            </w:pPr>
            <w:r w:rsidRPr="00D32935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875E78" w:rsidRPr="00D32935" w14:paraId="774E03F5" w14:textId="77777777" w:rsidTr="00BE255C">
        <w:trPr>
          <w:trHeight w:val="350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F5CD" w14:textId="77777777" w:rsidR="00875E78" w:rsidRPr="0005730B" w:rsidRDefault="00875E78" w:rsidP="00BE255C">
            <w:pPr>
              <w:keepLines/>
              <w:widowControl w:val="0"/>
              <w:spacing w:after="120"/>
              <w:jc w:val="right"/>
              <w:rPr>
                <w:rFonts w:ascii="Arial" w:hAnsi="Arial" w:cs="Arial"/>
                <w:b/>
                <w:i/>
                <w:szCs w:val="24"/>
              </w:rPr>
            </w:pPr>
            <w:r w:rsidRPr="0005730B">
              <w:rPr>
                <w:rFonts w:ascii="Arial" w:hAnsi="Arial" w:cs="Arial"/>
                <w:b/>
                <w:i/>
                <w:szCs w:val="24"/>
              </w:rPr>
              <w:t>Next 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B11" w14:textId="77777777" w:rsidR="00875E78" w:rsidRPr="00D32935" w:rsidRDefault="00875E78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szCs w:val="24"/>
              </w:rPr>
            </w:pPr>
            <w:r w:rsidRPr="00D32935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875E78" w:rsidRPr="00D32935" w14:paraId="4A0A184B" w14:textId="77777777" w:rsidTr="00BE255C">
        <w:trPr>
          <w:trHeight w:val="350"/>
        </w:trPr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6B8" w14:textId="77777777" w:rsidR="00875E78" w:rsidRPr="00D32935" w:rsidRDefault="00135BCF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 xml:space="preserve">Printed Transcript </w:t>
            </w:r>
            <w:r w:rsidR="00875E78" w:rsidRPr="00D32935">
              <w:rPr>
                <w:rFonts w:ascii="Arial" w:hAnsi="Arial" w:cs="Arial"/>
                <w:b/>
                <w:i/>
                <w:szCs w:val="24"/>
              </w:rPr>
              <w:t>Charge</w:t>
            </w:r>
            <w:r>
              <w:rPr>
                <w:rFonts w:ascii="Arial" w:hAnsi="Arial" w:cs="Arial"/>
                <w:b/>
                <w:i/>
                <w:szCs w:val="24"/>
              </w:rPr>
              <w:t xml:space="preserve"> (including delivery)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5EF" w14:textId="77777777" w:rsidR="00875E78" w:rsidRPr="00D32935" w:rsidRDefault="00875E78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szCs w:val="24"/>
              </w:rPr>
            </w:pPr>
            <w:r w:rsidRPr="00D32935">
              <w:rPr>
                <w:rFonts w:ascii="Arial" w:hAnsi="Arial" w:cs="Arial"/>
                <w:b/>
                <w:szCs w:val="24"/>
              </w:rPr>
              <w:t>$</w:t>
            </w:r>
          </w:p>
        </w:tc>
      </w:tr>
      <w:tr w:rsidR="00875E78" w:rsidRPr="00D32935" w14:paraId="5EB07CCC" w14:textId="77777777" w:rsidTr="00BE255C"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C041" w14:textId="77777777" w:rsidR="00875E78" w:rsidRPr="00D32935" w:rsidRDefault="00875E78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A46" w14:textId="77777777" w:rsidR="00875E78" w:rsidRPr="00D32935" w:rsidRDefault="00875E78" w:rsidP="00BE255C">
            <w:pPr>
              <w:keepLines/>
              <w:widowControl w:val="0"/>
              <w:spacing w:after="120"/>
              <w:rPr>
                <w:rFonts w:ascii="Arial" w:hAnsi="Arial" w:cs="Arial"/>
                <w:b/>
                <w:szCs w:val="24"/>
              </w:rPr>
            </w:pPr>
            <w:r w:rsidRPr="00D32935">
              <w:rPr>
                <w:rFonts w:ascii="Arial" w:hAnsi="Arial" w:cs="Arial"/>
                <w:b/>
                <w:szCs w:val="24"/>
              </w:rPr>
              <w:t>$</w:t>
            </w:r>
            <w:r w:rsidR="00F5539D">
              <w:rPr>
                <w:rFonts w:ascii="Arial" w:hAnsi="Arial" w:cs="Arial"/>
                <w:b/>
                <w:szCs w:val="24"/>
              </w:rPr>
              <w:t>0</w:t>
            </w:r>
          </w:p>
        </w:tc>
      </w:tr>
    </w:tbl>
    <w:p w14:paraId="33B07D42" w14:textId="77777777" w:rsidR="009F5F6D" w:rsidRDefault="00EB55F8" w:rsidP="00BE255C">
      <w:pPr>
        <w:keepLines/>
        <w:widowControl w:val="0"/>
        <w:tabs>
          <w:tab w:val="left" w:pos="7530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2E11F4">
        <w:rPr>
          <w:rFonts w:ascii="Arial" w:hAnsi="Arial" w:cs="Arial"/>
          <w:szCs w:val="24"/>
        </w:rPr>
        <w:t>lease complete the above table with the amounts Bidder will charge.</w:t>
      </w:r>
      <w:r w:rsidR="009F5F6D">
        <w:rPr>
          <w:rFonts w:ascii="Arial" w:hAnsi="Arial" w:cs="Arial"/>
          <w:szCs w:val="24"/>
        </w:rPr>
        <w:t xml:space="preserve"> </w:t>
      </w:r>
      <w:r w:rsidR="009F5F6D" w:rsidRPr="009F5F6D">
        <w:rPr>
          <w:rFonts w:ascii="Arial" w:hAnsi="Arial" w:cs="Arial"/>
          <w:szCs w:val="24"/>
        </w:rPr>
        <w:t>Please enter a $0 if not charging for an item.</w:t>
      </w:r>
    </w:p>
    <w:p w14:paraId="14C20F4B" w14:textId="77777777" w:rsidR="00B177F2" w:rsidRPr="009F5F6D" w:rsidRDefault="00B177F2" w:rsidP="00BE255C">
      <w:pPr>
        <w:keepLines/>
        <w:widowControl w:val="0"/>
        <w:tabs>
          <w:tab w:val="left" w:pos="7530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Do not include any dollars for travel in the bid. The hypothetical scenario assumes the hearings will take place in Sacramento. See below for reimbursement of travel.</w:t>
      </w:r>
    </w:p>
    <w:p w14:paraId="73D15A34" w14:textId="77777777" w:rsidR="00875E78" w:rsidRPr="00BE255C" w:rsidRDefault="00932116" w:rsidP="00BE255C">
      <w:pPr>
        <w:keepLines/>
        <w:widowControl w:val="0"/>
        <w:spacing w:after="120"/>
        <w:rPr>
          <w:rFonts w:ascii="Arial" w:hAnsi="Arial" w:cs="Arial"/>
          <w:color w:val="000000"/>
        </w:rPr>
      </w:pPr>
      <w:r w:rsidRPr="00297991">
        <w:rPr>
          <w:rFonts w:ascii="Arial" w:hAnsi="Arial" w:cs="Arial"/>
          <w:b/>
          <w:szCs w:val="24"/>
        </w:rPr>
        <w:lastRenderedPageBreak/>
        <w:t xml:space="preserve">NOTE: </w:t>
      </w:r>
      <w:r w:rsidR="00BE255C" w:rsidRPr="00297991">
        <w:rPr>
          <w:rFonts w:ascii="Arial" w:hAnsi="Arial" w:cs="Arial"/>
          <w:szCs w:val="22"/>
        </w:rPr>
        <w:t>Travel to or from Energy Commission Headquarters (</w:t>
      </w:r>
      <w:r w:rsidR="009D077D">
        <w:rPr>
          <w:rFonts w:ascii="Arial" w:hAnsi="Arial" w:cs="Arial"/>
          <w:szCs w:val="22"/>
        </w:rPr>
        <w:t>715 P</w:t>
      </w:r>
      <w:r w:rsidR="00BE255C" w:rsidRPr="00297991">
        <w:rPr>
          <w:rFonts w:ascii="Arial" w:hAnsi="Arial" w:cs="Arial"/>
          <w:szCs w:val="22"/>
        </w:rPr>
        <w:t xml:space="preserve"> Street, Sacramento 95814) shall not be reimbursable.</w:t>
      </w:r>
      <w:r w:rsidR="00BE255C">
        <w:rPr>
          <w:rFonts w:ascii="Arial" w:hAnsi="Arial" w:cs="Arial"/>
          <w:szCs w:val="22"/>
        </w:rPr>
        <w:t xml:space="preserve"> </w:t>
      </w:r>
      <w:r w:rsidR="00297991" w:rsidRPr="00297991">
        <w:rPr>
          <w:rFonts w:ascii="Arial" w:hAnsi="Arial" w:cs="Arial"/>
        </w:rPr>
        <w:t>Travel</w:t>
      </w:r>
      <w:r w:rsidR="00297991" w:rsidRPr="00297991">
        <w:rPr>
          <w:rFonts w:ascii="Arial" w:hAnsi="Arial" w:cs="Arial"/>
          <w:szCs w:val="22"/>
        </w:rPr>
        <w:t xml:space="preserve"> to other locations is reimbursable</w:t>
      </w:r>
      <w:r w:rsidR="00FF780C">
        <w:rPr>
          <w:rFonts w:ascii="Arial" w:hAnsi="Arial" w:cs="Arial"/>
          <w:szCs w:val="22"/>
        </w:rPr>
        <w:t>.  All travel is reimbursed</w:t>
      </w:r>
      <w:r w:rsidR="00297991" w:rsidRPr="00297991">
        <w:rPr>
          <w:rFonts w:ascii="Arial" w:hAnsi="Arial" w:cs="Arial"/>
          <w:szCs w:val="22"/>
        </w:rPr>
        <w:t xml:space="preserve"> at State rates and all trips must be pre-approved by the CAM prior to the trip being taken. The Contractor may obtain current rates from the Energy Commission’s Web Site at:</w:t>
      </w:r>
      <w:r w:rsidR="00297991" w:rsidRPr="00297991">
        <w:rPr>
          <w:rFonts w:ascii="Arial" w:hAnsi="Arial" w:cs="Arial"/>
          <w:color w:val="3366FF"/>
          <w:szCs w:val="22"/>
        </w:rPr>
        <w:t xml:space="preserve"> </w:t>
      </w:r>
      <w:hyperlink r:id="rId11" w:history="1">
        <w:r w:rsidR="00297991" w:rsidRPr="00297991">
          <w:rPr>
            <w:rStyle w:val="Hyperlink"/>
            <w:rFonts w:ascii="Arial" w:hAnsi="Arial" w:cs="Arial"/>
            <w:szCs w:val="22"/>
          </w:rPr>
          <w:t>http://www.energy.ca.gov/contracts/TRAVEL_PER_DIEM.PDF</w:t>
        </w:r>
      </w:hyperlink>
      <w:r w:rsidR="00297991" w:rsidRPr="00297991">
        <w:rPr>
          <w:rFonts w:ascii="Arial" w:hAnsi="Arial" w:cs="Arial"/>
          <w:noProof/>
          <w:szCs w:val="22"/>
        </w:rPr>
        <w:t>.</w:t>
      </w:r>
      <w:r w:rsidR="00297991" w:rsidRPr="00297991">
        <w:rPr>
          <w:rFonts w:ascii="Arial" w:hAnsi="Arial" w:cs="Arial"/>
          <w:color w:val="1F497D"/>
          <w:szCs w:val="22"/>
        </w:rPr>
        <w:t xml:space="preserve"> </w:t>
      </w:r>
    </w:p>
    <w:sectPr w:rsidR="00875E78" w:rsidRPr="00BE255C" w:rsidSect="00B177F2">
      <w:headerReference w:type="default" r:id="rId12"/>
      <w:footerReference w:type="default" r:id="rId13"/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DF24" w14:textId="77777777" w:rsidR="008F6C0D" w:rsidRDefault="008F6C0D" w:rsidP="00E627AD">
      <w:r>
        <w:separator/>
      </w:r>
    </w:p>
  </w:endnote>
  <w:endnote w:type="continuationSeparator" w:id="0">
    <w:p w14:paraId="6628047E" w14:textId="77777777" w:rsidR="008F6C0D" w:rsidRDefault="008F6C0D" w:rsidP="00E6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2874" w14:textId="77777777" w:rsidR="009F5F6D" w:rsidRDefault="009F5F6D" w:rsidP="001E4E79">
    <w:pPr>
      <w:pStyle w:val="Footer"/>
      <w:jc w:val="right"/>
      <w:rPr>
        <w:rFonts w:ascii="Arial" w:hAnsi="Arial" w:cs="Arial"/>
        <w:sz w:val="20"/>
      </w:rPr>
    </w:pPr>
  </w:p>
  <w:p w14:paraId="005984B0" w14:textId="77777777" w:rsidR="00BD50AD" w:rsidRPr="00BD50AD" w:rsidRDefault="002B5958" w:rsidP="00BD50AD">
    <w:pPr>
      <w:pStyle w:val="Footer"/>
      <w:jc w:val="right"/>
      <w:rPr>
        <w:rFonts w:ascii="Arial" w:hAnsi="Arial" w:cs="Arial"/>
        <w:bCs/>
        <w:sz w:val="20"/>
      </w:rPr>
    </w:pPr>
    <w:r>
      <w:rPr>
        <w:rFonts w:ascii="Arial" w:hAnsi="Arial" w:cs="Arial"/>
        <w:sz w:val="20"/>
        <w:lang w:val="en-US"/>
      </w:rPr>
      <w:t>September 2023</w:t>
    </w:r>
    <w:r w:rsidR="009F5F6D">
      <w:rPr>
        <w:rFonts w:ascii="Arial" w:hAnsi="Arial" w:cs="Arial"/>
        <w:sz w:val="20"/>
      </w:rPr>
      <w:tab/>
    </w:r>
    <w:r w:rsidR="009F5F6D" w:rsidRPr="00F053C0">
      <w:rPr>
        <w:rFonts w:ascii="Arial" w:hAnsi="Arial" w:cs="Arial"/>
        <w:sz w:val="20"/>
      </w:rPr>
      <w:t xml:space="preserve">Page </w:t>
    </w:r>
    <w:r w:rsidR="009F5F6D" w:rsidRPr="00F053C0">
      <w:rPr>
        <w:rFonts w:ascii="Arial" w:hAnsi="Arial" w:cs="Arial"/>
        <w:sz w:val="20"/>
      </w:rPr>
      <w:fldChar w:fldCharType="begin"/>
    </w:r>
    <w:r w:rsidR="009F5F6D" w:rsidRPr="00F053C0">
      <w:rPr>
        <w:rFonts w:ascii="Arial" w:hAnsi="Arial" w:cs="Arial"/>
        <w:sz w:val="20"/>
      </w:rPr>
      <w:instrText xml:space="preserve"> PAGE </w:instrText>
    </w:r>
    <w:r w:rsidR="009F5F6D" w:rsidRPr="00F053C0">
      <w:rPr>
        <w:rFonts w:ascii="Arial" w:hAnsi="Arial" w:cs="Arial"/>
        <w:sz w:val="20"/>
      </w:rPr>
      <w:fldChar w:fldCharType="separate"/>
    </w:r>
    <w:r w:rsidR="00BB42BF">
      <w:rPr>
        <w:rFonts w:ascii="Arial" w:hAnsi="Arial" w:cs="Arial"/>
        <w:noProof/>
        <w:sz w:val="20"/>
      </w:rPr>
      <w:t>1</w:t>
    </w:r>
    <w:r w:rsidR="009F5F6D" w:rsidRPr="00F053C0">
      <w:rPr>
        <w:rFonts w:ascii="Arial" w:hAnsi="Arial" w:cs="Arial"/>
        <w:sz w:val="20"/>
      </w:rPr>
      <w:fldChar w:fldCharType="end"/>
    </w:r>
    <w:r w:rsidR="009F5F6D" w:rsidRPr="00F053C0">
      <w:rPr>
        <w:rFonts w:ascii="Arial" w:hAnsi="Arial" w:cs="Arial"/>
        <w:sz w:val="20"/>
      </w:rPr>
      <w:t xml:space="preserve"> of </w:t>
    </w:r>
    <w:r w:rsidR="009F5F6D" w:rsidRPr="00F053C0">
      <w:rPr>
        <w:rFonts w:ascii="Arial" w:hAnsi="Arial" w:cs="Arial"/>
        <w:sz w:val="20"/>
      </w:rPr>
      <w:fldChar w:fldCharType="begin"/>
    </w:r>
    <w:r w:rsidR="009F5F6D" w:rsidRPr="00F053C0">
      <w:rPr>
        <w:rFonts w:ascii="Arial" w:hAnsi="Arial" w:cs="Arial"/>
        <w:sz w:val="20"/>
      </w:rPr>
      <w:instrText xml:space="preserve"> NUMPAGES  </w:instrText>
    </w:r>
    <w:r w:rsidR="009F5F6D" w:rsidRPr="00F053C0">
      <w:rPr>
        <w:rFonts w:ascii="Arial" w:hAnsi="Arial" w:cs="Arial"/>
        <w:sz w:val="20"/>
      </w:rPr>
      <w:fldChar w:fldCharType="separate"/>
    </w:r>
    <w:r w:rsidR="00BB42BF">
      <w:rPr>
        <w:rFonts w:ascii="Arial" w:hAnsi="Arial" w:cs="Arial"/>
        <w:noProof/>
        <w:sz w:val="20"/>
      </w:rPr>
      <w:t>2</w:t>
    </w:r>
    <w:r w:rsidR="009F5F6D" w:rsidRPr="00F053C0">
      <w:rPr>
        <w:rFonts w:ascii="Arial" w:hAnsi="Arial" w:cs="Arial"/>
        <w:sz w:val="20"/>
      </w:rPr>
      <w:fldChar w:fldCharType="end"/>
    </w:r>
    <w:r w:rsidR="002A6666">
      <w:rPr>
        <w:rFonts w:ascii="Arial" w:hAnsi="Arial" w:cs="Arial"/>
        <w:b/>
        <w:sz w:val="20"/>
      </w:rPr>
      <w:tab/>
    </w:r>
    <w:r w:rsidR="002A6666" w:rsidRPr="00F053C0">
      <w:rPr>
        <w:rFonts w:ascii="Arial" w:hAnsi="Arial" w:cs="Arial"/>
        <w:sz w:val="20"/>
      </w:rPr>
      <w:t>IFB-</w:t>
    </w:r>
    <w:r>
      <w:rPr>
        <w:rFonts w:ascii="Arial" w:hAnsi="Arial" w:cs="Arial"/>
        <w:sz w:val="20"/>
        <w:lang w:val="en-US"/>
      </w:rPr>
      <w:t>23</w:t>
    </w:r>
    <w:r w:rsidR="00722013">
      <w:rPr>
        <w:rFonts w:ascii="Arial" w:hAnsi="Arial" w:cs="Arial"/>
        <w:sz w:val="20"/>
        <w:lang w:val="en-US"/>
      </w:rPr>
      <w:t>-</w:t>
    </w:r>
    <w:r>
      <w:rPr>
        <w:rFonts w:ascii="Arial" w:hAnsi="Arial" w:cs="Arial"/>
        <w:sz w:val="20"/>
        <w:lang w:val="en-US"/>
      </w:rPr>
      <w:t>142</w:t>
    </w:r>
    <w:r w:rsidR="0032137D">
      <w:rPr>
        <w:rFonts w:ascii="Arial" w:hAnsi="Arial" w:cs="Arial"/>
        <w:sz w:val="20"/>
        <w:lang w:val="en-US"/>
      </w:rPr>
      <w:tab/>
    </w:r>
    <w:r w:rsidR="00FF7083">
      <w:rPr>
        <w:rFonts w:ascii="Arial" w:hAnsi="Arial" w:cs="Arial"/>
        <w:b/>
        <w:sz w:val="16"/>
        <w:szCs w:val="16"/>
      </w:rPr>
      <w:tab/>
    </w:r>
    <w:r w:rsidR="00BD50AD" w:rsidRPr="00BD50AD">
      <w:rPr>
        <w:rFonts w:ascii="Arial" w:hAnsi="Arial" w:cs="Arial"/>
        <w:bCs/>
        <w:sz w:val="20"/>
      </w:rPr>
      <w:t>Hearing Reporter Services for CEC</w:t>
    </w:r>
  </w:p>
  <w:p w14:paraId="335BE681" w14:textId="0543F270" w:rsidR="00FF7083" w:rsidRPr="00BD50AD" w:rsidRDefault="00BD50AD" w:rsidP="00BD50AD">
    <w:pPr>
      <w:pStyle w:val="Footer"/>
      <w:jc w:val="right"/>
      <w:rPr>
        <w:rFonts w:ascii="Arial" w:hAnsi="Arial" w:cs="Arial"/>
        <w:bCs/>
        <w:szCs w:val="24"/>
        <w:lang w:val="en-US"/>
      </w:rPr>
    </w:pPr>
    <w:r w:rsidRPr="00BD50AD">
      <w:rPr>
        <w:rFonts w:ascii="Arial" w:hAnsi="Arial" w:cs="Arial"/>
        <w:bCs/>
        <w:sz w:val="20"/>
      </w:rPr>
      <w:tab/>
    </w:r>
    <w:r w:rsidRPr="00BD50AD">
      <w:rPr>
        <w:rFonts w:ascii="Arial" w:hAnsi="Arial" w:cs="Arial"/>
        <w:bCs/>
        <w:sz w:val="20"/>
      </w:rPr>
      <w:tab/>
    </w:r>
    <w:r w:rsidRPr="00BD50AD">
      <w:rPr>
        <w:rFonts w:ascii="Arial" w:hAnsi="Arial" w:cs="Arial"/>
        <w:bCs/>
        <w:sz w:val="20"/>
      </w:rPr>
      <w:t>Business Meetings, Hearings and Events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4A4C" w14:textId="77777777" w:rsidR="008F6C0D" w:rsidRDefault="008F6C0D" w:rsidP="00E627AD">
      <w:r>
        <w:separator/>
      </w:r>
    </w:p>
  </w:footnote>
  <w:footnote w:type="continuationSeparator" w:id="0">
    <w:p w14:paraId="5319E4D0" w14:textId="77777777" w:rsidR="008F6C0D" w:rsidRDefault="008F6C0D" w:rsidP="00E6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DC3C" w14:textId="77777777" w:rsidR="009F5F6D" w:rsidRPr="00E05C30" w:rsidRDefault="00B94053" w:rsidP="00F5539D">
    <w:pPr>
      <w:keepNext/>
      <w:keepLines/>
      <w:widowControl w:val="0"/>
      <w:spacing w:after="120"/>
      <w:jc w:val="center"/>
      <w:rPr>
        <w:rFonts w:ascii="Arial" w:hAnsi="Arial" w:cs="Arial"/>
        <w:b/>
        <w:spacing w:val="-3"/>
        <w:sz w:val="28"/>
        <w:szCs w:val="28"/>
      </w:rPr>
    </w:pPr>
    <w:r>
      <w:rPr>
        <w:rFonts w:ascii="Arial" w:hAnsi="Arial" w:cs="Arial"/>
        <w:b/>
        <w:spacing w:val="-3"/>
        <w:sz w:val="28"/>
        <w:szCs w:val="28"/>
      </w:rPr>
      <w:t>ATTACHMENT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6E70"/>
    <w:multiLevelType w:val="singleLevel"/>
    <w:tmpl w:val="17EC227A"/>
    <w:lvl w:ilvl="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27C1475A"/>
    <w:multiLevelType w:val="hybridMultilevel"/>
    <w:tmpl w:val="EDE8A49A"/>
    <w:lvl w:ilvl="0" w:tplc="17A8D28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71B65"/>
    <w:multiLevelType w:val="hybridMultilevel"/>
    <w:tmpl w:val="504AB836"/>
    <w:lvl w:ilvl="0" w:tplc="9FD88AD6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45D46"/>
    <w:multiLevelType w:val="hybridMultilevel"/>
    <w:tmpl w:val="05225D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4124581">
    <w:abstractNumId w:val="0"/>
  </w:num>
  <w:num w:numId="2" w16cid:durableId="1741979082">
    <w:abstractNumId w:val="2"/>
  </w:num>
  <w:num w:numId="3" w16cid:durableId="118380721">
    <w:abstractNumId w:val="1"/>
  </w:num>
  <w:num w:numId="4" w16cid:durableId="996304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78"/>
    <w:rsid w:val="00001948"/>
    <w:rsid w:val="00022FF7"/>
    <w:rsid w:val="00054847"/>
    <w:rsid w:val="0005730B"/>
    <w:rsid w:val="00074C58"/>
    <w:rsid w:val="000C328A"/>
    <w:rsid w:val="0011088A"/>
    <w:rsid w:val="00120A23"/>
    <w:rsid w:val="00135BCF"/>
    <w:rsid w:val="00171A69"/>
    <w:rsid w:val="001A712E"/>
    <w:rsid w:val="001B7ABA"/>
    <w:rsid w:val="001D582F"/>
    <w:rsid w:val="001E4E79"/>
    <w:rsid w:val="00211B51"/>
    <w:rsid w:val="00297991"/>
    <w:rsid w:val="002A6666"/>
    <w:rsid w:val="002B5958"/>
    <w:rsid w:val="002C7A0F"/>
    <w:rsid w:val="002D3B56"/>
    <w:rsid w:val="002E11F4"/>
    <w:rsid w:val="002E7153"/>
    <w:rsid w:val="002F7911"/>
    <w:rsid w:val="002F7EFC"/>
    <w:rsid w:val="00316FFC"/>
    <w:rsid w:val="0032137D"/>
    <w:rsid w:val="0033294D"/>
    <w:rsid w:val="0035762D"/>
    <w:rsid w:val="00367338"/>
    <w:rsid w:val="00370327"/>
    <w:rsid w:val="00380652"/>
    <w:rsid w:val="00384585"/>
    <w:rsid w:val="00397A27"/>
    <w:rsid w:val="003B221D"/>
    <w:rsid w:val="00446341"/>
    <w:rsid w:val="0048552C"/>
    <w:rsid w:val="004A60D8"/>
    <w:rsid w:val="004F1190"/>
    <w:rsid w:val="00512525"/>
    <w:rsid w:val="00532ED8"/>
    <w:rsid w:val="0056628F"/>
    <w:rsid w:val="00590927"/>
    <w:rsid w:val="005B216E"/>
    <w:rsid w:val="005F663B"/>
    <w:rsid w:val="006201C8"/>
    <w:rsid w:val="00674657"/>
    <w:rsid w:val="00690DD5"/>
    <w:rsid w:val="006D1423"/>
    <w:rsid w:val="006E62B5"/>
    <w:rsid w:val="006F7AF8"/>
    <w:rsid w:val="007063FB"/>
    <w:rsid w:val="0071591C"/>
    <w:rsid w:val="00722013"/>
    <w:rsid w:val="00744B54"/>
    <w:rsid w:val="007517AD"/>
    <w:rsid w:val="00757A24"/>
    <w:rsid w:val="00770D2D"/>
    <w:rsid w:val="007A367B"/>
    <w:rsid w:val="007A5D10"/>
    <w:rsid w:val="007C74D2"/>
    <w:rsid w:val="007D243F"/>
    <w:rsid w:val="00807DB6"/>
    <w:rsid w:val="00822A02"/>
    <w:rsid w:val="0086788B"/>
    <w:rsid w:val="00875E78"/>
    <w:rsid w:val="00876828"/>
    <w:rsid w:val="00881942"/>
    <w:rsid w:val="008A6AA4"/>
    <w:rsid w:val="008A7BEE"/>
    <w:rsid w:val="008B50C4"/>
    <w:rsid w:val="008F6C0D"/>
    <w:rsid w:val="008F7776"/>
    <w:rsid w:val="00932116"/>
    <w:rsid w:val="00933EF3"/>
    <w:rsid w:val="009467C5"/>
    <w:rsid w:val="00954104"/>
    <w:rsid w:val="00977154"/>
    <w:rsid w:val="00990DB3"/>
    <w:rsid w:val="00993F59"/>
    <w:rsid w:val="009B010A"/>
    <w:rsid w:val="009B353F"/>
    <w:rsid w:val="009D077D"/>
    <w:rsid w:val="009F5F6D"/>
    <w:rsid w:val="00A17E08"/>
    <w:rsid w:val="00A31FA8"/>
    <w:rsid w:val="00A50CE8"/>
    <w:rsid w:val="00A57091"/>
    <w:rsid w:val="00A60873"/>
    <w:rsid w:val="00A91DE9"/>
    <w:rsid w:val="00AF5A38"/>
    <w:rsid w:val="00AF7069"/>
    <w:rsid w:val="00B177F2"/>
    <w:rsid w:val="00B40B6D"/>
    <w:rsid w:val="00B94053"/>
    <w:rsid w:val="00BA2763"/>
    <w:rsid w:val="00BB17DD"/>
    <w:rsid w:val="00BB42BF"/>
    <w:rsid w:val="00BB76B9"/>
    <w:rsid w:val="00BD50AD"/>
    <w:rsid w:val="00BD5318"/>
    <w:rsid w:val="00BE255C"/>
    <w:rsid w:val="00C03234"/>
    <w:rsid w:val="00C34F92"/>
    <w:rsid w:val="00C66EE9"/>
    <w:rsid w:val="00C67A73"/>
    <w:rsid w:val="00C72BC4"/>
    <w:rsid w:val="00C74D00"/>
    <w:rsid w:val="00C94056"/>
    <w:rsid w:val="00CA561F"/>
    <w:rsid w:val="00CC1261"/>
    <w:rsid w:val="00CC2EFF"/>
    <w:rsid w:val="00CF5A09"/>
    <w:rsid w:val="00D0165C"/>
    <w:rsid w:val="00D032FC"/>
    <w:rsid w:val="00D32935"/>
    <w:rsid w:val="00D61DFB"/>
    <w:rsid w:val="00D761B1"/>
    <w:rsid w:val="00D83D63"/>
    <w:rsid w:val="00DB193B"/>
    <w:rsid w:val="00DD05CB"/>
    <w:rsid w:val="00DD22F4"/>
    <w:rsid w:val="00DD35F5"/>
    <w:rsid w:val="00DE126A"/>
    <w:rsid w:val="00DE5AC0"/>
    <w:rsid w:val="00DE7D68"/>
    <w:rsid w:val="00E05C30"/>
    <w:rsid w:val="00E1494D"/>
    <w:rsid w:val="00E2762A"/>
    <w:rsid w:val="00E627AD"/>
    <w:rsid w:val="00E96368"/>
    <w:rsid w:val="00EB03C1"/>
    <w:rsid w:val="00EB55F8"/>
    <w:rsid w:val="00ED0D8F"/>
    <w:rsid w:val="00ED39FA"/>
    <w:rsid w:val="00F053C0"/>
    <w:rsid w:val="00F455DD"/>
    <w:rsid w:val="00F5539D"/>
    <w:rsid w:val="00F57EB2"/>
    <w:rsid w:val="00FB5433"/>
    <w:rsid w:val="00FF377B"/>
    <w:rsid w:val="00FF7083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769FE"/>
  <w15:chartTrackingRefBased/>
  <w15:docId w15:val="{2CEDB57C-B863-46E8-AD0D-F6F72F14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78"/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Heading2"/>
    <w:link w:val="Heading1Char"/>
    <w:qFormat/>
    <w:rsid w:val="000C328A"/>
    <w:pPr>
      <w:keepNext/>
      <w:keepLines/>
      <w:shd w:val="pct15" w:color="000000" w:fill="FFFFFF"/>
      <w:spacing w:before="240" w:after="240"/>
      <w:outlineLvl w:val="0"/>
    </w:pPr>
    <w:rPr>
      <w:rFonts w:ascii="Arial" w:hAnsi="Arial"/>
      <w:b/>
      <w:kern w:val="28"/>
      <w:sz w:val="32"/>
      <w:lang w:val="x-none" w:eastAsia="x-none"/>
    </w:rPr>
  </w:style>
  <w:style w:type="paragraph" w:styleId="Heading2">
    <w:name w:val="heading 2"/>
    <w:aliases w:val="Heading 2 Char1,Heading 2 Char Char"/>
    <w:basedOn w:val="Normal"/>
    <w:next w:val="Normal"/>
    <w:link w:val="Heading2Char"/>
    <w:qFormat/>
    <w:rsid w:val="000C328A"/>
    <w:pPr>
      <w:keepNext/>
      <w:spacing w:before="120" w:after="120"/>
      <w:outlineLvl w:val="1"/>
    </w:pPr>
    <w:rPr>
      <w:rFonts w:ascii="Arial" w:hAnsi="Arial"/>
      <w:b/>
      <w:smallCaps/>
      <w:sz w:val="28"/>
      <w:lang w:val="x-none" w:eastAsia="x-none"/>
    </w:rPr>
  </w:style>
  <w:style w:type="paragraph" w:styleId="Heading3">
    <w:name w:val="heading 3"/>
    <w:aliases w:val="Section"/>
    <w:basedOn w:val="Normal"/>
    <w:link w:val="Heading3Char"/>
    <w:qFormat/>
    <w:rsid w:val="000C328A"/>
    <w:pPr>
      <w:keepNext/>
      <w:keepLines/>
      <w:spacing w:before="60" w:after="60"/>
      <w:jc w:val="both"/>
      <w:outlineLvl w:val="2"/>
    </w:pPr>
    <w:rPr>
      <w:rFonts w:ascii="Arial" w:hAnsi="Arial"/>
      <w:b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C328A"/>
    <w:pPr>
      <w:numPr>
        <w:numId w:val="1"/>
      </w:numPr>
      <w:outlineLvl w:val="3"/>
    </w:pPr>
    <w:rPr>
      <w:rFonts w:ascii="Arial" w:hAnsi="Arial"/>
      <w:b/>
      <w:smallCaps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C328A"/>
    <w:pPr>
      <w:keepNext/>
      <w:shd w:val="pct15" w:color="auto" w:fill="auto"/>
      <w:spacing w:after="240"/>
      <w:outlineLvl w:val="4"/>
    </w:pPr>
    <w:rPr>
      <w:rFonts w:ascii="Arial" w:hAnsi="Arial"/>
      <w:b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C328A"/>
    <w:pPr>
      <w:keepNext/>
      <w:ind w:left="1440"/>
      <w:jc w:val="right"/>
      <w:outlineLvl w:val="5"/>
    </w:pPr>
    <w:rPr>
      <w:rFonts w:ascii="Arial" w:hAnsi="Arial"/>
      <w:i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C328A"/>
    <w:pPr>
      <w:keepNext/>
      <w:ind w:left="882"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C328A"/>
    <w:pPr>
      <w:keepNext/>
      <w:ind w:right="-14"/>
      <w:jc w:val="center"/>
      <w:outlineLvl w:val="7"/>
    </w:pPr>
    <w:rPr>
      <w:rFonts w:ascii="Arial" w:hAnsi="Arial"/>
      <w:b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C328A"/>
    <w:pPr>
      <w:keepNext/>
      <w:outlineLvl w:val="8"/>
    </w:pPr>
    <w:rPr>
      <w:rFonts w:ascii="Arial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C328A"/>
    <w:rPr>
      <w:b/>
      <w:kern w:val="28"/>
      <w:sz w:val="32"/>
      <w:shd w:val="pct15" w:color="000000" w:fill="FFFFFF"/>
    </w:rPr>
  </w:style>
  <w:style w:type="character" w:customStyle="1" w:styleId="Heading2Char">
    <w:name w:val="Heading 2 Char"/>
    <w:aliases w:val="Heading 2 Char1 Char,Heading 2 Char Char Char"/>
    <w:link w:val="Heading2"/>
    <w:rsid w:val="000C328A"/>
    <w:rPr>
      <w:rFonts w:eastAsia="Times New Roman"/>
      <w:b/>
      <w:smallCaps/>
      <w:sz w:val="28"/>
    </w:rPr>
  </w:style>
  <w:style w:type="character" w:customStyle="1" w:styleId="Heading3Char">
    <w:name w:val="Heading 3 Char"/>
    <w:aliases w:val="Section Char"/>
    <w:link w:val="Heading3"/>
    <w:rsid w:val="000C328A"/>
    <w:rPr>
      <w:rFonts w:eastAsia="Times New Roman"/>
      <w:b/>
      <w:sz w:val="24"/>
    </w:rPr>
  </w:style>
  <w:style w:type="character" w:customStyle="1" w:styleId="Heading4Char">
    <w:name w:val="Heading 4 Char"/>
    <w:link w:val="Heading4"/>
    <w:rsid w:val="000C328A"/>
    <w:rPr>
      <w:b/>
      <w:smallCaps/>
      <w:sz w:val="28"/>
    </w:rPr>
  </w:style>
  <w:style w:type="character" w:customStyle="1" w:styleId="Heading5Char">
    <w:name w:val="Heading 5 Char"/>
    <w:link w:val="Heading5"/>
    <w:rsid w:val="000C328A"/>
    <w:rPr>
      <w:b/>
      <w:sz w:val="32"/>
      <w:shd w:val="pct15" w:color="auto" w:fill="auto"/>
    </w:rPr>
  </w:style>
  <w:style w:type="character" w:customStyle="1" w:styleId="Heading6Char">
    <w:name w:val="Heading 6 Char"/>
    <w:link w:val="Heading6"/>
    <w:rsid w:val="000C328A"/>
    <w:rPr>
      <w:i/>
    </w:rPr>
  </w:style>
  <w:style w:type="character" w:customStyle="1" w:styleId="Heading7Char">
    <w:name w:val="Heading 7 Char"/>
    <w:link w:val="Heading7"/>
    <w:rsid w:val="000C328A"/>
    <w:rPr>
      <w:b/>
      <w:sz w:val="24"/>
    </w:rPr>
  </w:style>
  <w:style w:type="character" w:customStyle="1" w:styleId="Heading8Char">
    <w:name w:val="Heading 8 Char"/>
    <w:link w:val="Heading8"/>
    <w:rsid w:val="000C328A"/>
    <w:rPr>
      <w:b/>
      <w:sz w:val="24"/>
    </w:rPr>
  </w:style>
  <w:style w:type="character" w:customStyle="1" w:styleId="Heading9Char">
    <w:name w:val="Heading 9 Char"/>
    <w:link w:val="Heading9"/>
    <w:rsid w:val="000C328A"/>
    <w:rPr>
      <w:sz w:val="24"/>
    </w:rPr>
  </w:style>
  <w:style w:type="paragraph" w:styleId="Title">
    <w:name w:val="Title"/>
    <w:basedOn w:val="Normal"/>
    <w:link w:val="TitleChar"/>
    <w:qFormat/>
    <w:rsid w:val="000C328A"/>
    <w:pPr>
      <w:jc w:val="center"/>
    </w:pPr>
    <w:rPr>
      <w:rFonts w:ascii="Arial" w:hAnsi="Arial"/>
      <w:b/>
      <w:sz w:val="32"/>
      <w:lang w:val="x-none" w:eastAsia="x-none"/>
    </w:rPr>
  </w:style>
  <w:style w:type="character" w:customStyle="1" w:styleId="TitleChar">
    <w:name w:val="Title Char"/>
    <w:link w:val="Title"/>
    <w:rsid w:val="000C328A"/>
    <w:rPr>
      <w:b/>
      <w:sz w:val="32"/>
    </w:rPr>
  </w:style>
  <w:style w:type="character" w:styleId="Strong">
    <w:name w:val="Strong"/>
    <w:uiPriority w:val="22"/>
    <w:qFormat/>
    <w:rsid w:val="000C328A"/>
    <w:rPr>
      <w:b/>
      <w:bCs/>
    </w:rPr>
  </w:style>
  <w:style w:type="character" w:styleId="IntenseEmphasis">
    <w:name w:val="Intense Emphasis"/>
    <w:uiPriority w:val="21"/>
    <w:qFormat/>
    <w:rsid w:val="000C328A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28A"/>
    <w:pPr>
      <w:shd w:val="clear" w:color="auto" w:fill="auto"/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627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627AD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627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27AD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A0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22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C5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E1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11F4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2E11F4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1F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11F4"/>
    <w:rPr>
      <w:rFonts w:ascii="Times New Roman" w:hAnsi="Times New Roman" w:cs="Times New Roman"/>
      <w:b/>
      <w:bCs/>
    </w:rPr>
  </w:style>
  <w:style w:type="character" w:styleId="Hyperlink">
    <w:name w:val="Hyperlink"/>
    <w:uiPriority w:val="99"/>
    <w:rsid w:val="00297991"/>
    <w:rPr>
      <w:color w:val="0000FF"/>
      <w:u w:val="single"/>
    </w:rPr>
  </w:style>
  <w:style w:type="paragraph" w:styleId="Revision">
    <w:name w:val="Revision"/>
    <w:hidden/>
    <w:uiPriority w:val="99"/>
    <w:semiHidden/>
    <w:rsid w:val="002D3B56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gy.ca.gov/contracts/TRAVEL_PER_DIEM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810405-C5DE-4417-B590-E3F29FAB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A45502-EB3A-46BE-8A49-F8A6B8414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2D2B4-CC75-465C-86A2-C57D04794D7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5BCDEAE-2DEF-4300-9860-EE624E01A2CF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2317</CharactersWithSpaces>
  <SharedDoc>false</SharedDoc>
  <HLinks>
    <vt:vector size="6" baseType="variant"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http://www.energy.ca.gov/contracts/TRAVEL_PER_DIEM.PDF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6 Cost Bid</dc:title>
  <dc:subject/>
  <dc:creator>aferrin</dc:creator>
  <cp:keywords/>
  <cp:lastModifiedBy>Cary, Eilene@Energy</cp:lastModifiedBy>
  <cp:revision>8</cp:revision>
  <cp:lastPrinted>2015-09-16T20:34:00Z</cp:lastPrinted>
  <dcterms:created xsi:type="dcterms:W3CDTF">2023-09-11T21:08:00Z</dcterms:created>
  <dcterms:modified xsi:type="dcterms:W3CDTF">2023-09-11T21:12:00Z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dharvey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aferrin</vt:lpwstr>
  </property>
</Properties>
</file>