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5B44" w14:textId="3D36B896" w:rsidR="00550E98" w:rsidRDefault="00550E98" w:rsidP="00550E98">
      <w:pPr>
        <w:pStyle w:val="paragraph"/>
        <w:spacing w:before="0" w:beforeAutospacing="0" w:after="0" w:afterAutospacing="0"/>
        <w:jc w:val="center"/>
        <w:textAlignment w:val="baseline"/>
        <w:rPr>
          <w:rStyle w:val="normaltextrun"/>
          <w:rFonts w:ascii="Tahoma" w:hAnsi="Tahoma" w:cs="Tahoma"/>
          <w:b/>
          <w:bCs/>
          <w:sz w:val="32"/>
          <w:szCs w:val="32"/>
        </w:rPr>
      </w:pPr>
      <w:r>
        <w:rPr>
          <w:rStyle w:val="normaltextrun"/>
          <w:rFonts w:ascii="Tahoma" w:hAnsi="Tahoma" w:cs="Tahoma"/>
          <w:b/>
          <w:bCs/>
          <w:sz w:val="32"/>
          <w:szCs w:val="32"/>
        </w:rPr>
        <w:t>NOTICE OF PROPOSED AWARDS</w:t>
      </w:r>
    </w:p>
    <w:p w14:paraId="409CEEA7" w14:textId="77777777" w:rsidR="00D471C3" w:rsidRDefault="00D471C3" w:rsidP="00550E98">
      <w:pPr>
        <w:pStyle w:val="paragraph"/>
        <w:spacing w:before="0" w:beforeAutospacing="0" w:after="0" w:afterAutospacing="0"/>
        <w:jc w:val="center"/>
        <w:textAlignment w:val="baseline"/>
        <w:rPr>
          <w:rStyle w:val="normaltextrun"/>
          <w:rFonts w:ascii="Tahoma" w:hAnsi="Tahoma" w:cs="Tahoma"/>
          <w:b/>
          <w:bCs/>
          <w:sz w:val="28"/>
          <w:szCs w:val="28"/>
        </w:rPr>
      </w:pPr>
      <w:r>
        <w:rPr>
          <w:rStyle w:val="normaltextrun"/>
          <w:rFonts w:ascii="Tahoma" w:hAnsi="Tahoma" w:cs="Tahoma"/>
          <w:b/>
          <w:bCs/>
          <w:sz w:val="28"/>
          <w:szCs w:val="28"/>
        </w:rPr>
        <w:t>Clean Transportation Program</w:t>
      </w:r>
    </w:p>
    <w:p w14:paraId="00DADC24" w14:textId="2C918EC7" w:rsidR="00550E98" w:rsidRDefault="00550E98" w:rsidP="00550E98">
      <w:pPr>
        <w:pStyle w:val="paragraph"/>
        <w:spacing w:before="0" w:beforeAutospacing="0" w:after="0" w:afterAutospacing="0"/>
        <w:jc w:val="center"/>
        <w:textAlignment w:val="baseline"/>
        <w:rPr>
          <w:rStyle w:val="normaltextrun"/>
          <w:rFonts w:ascii="Tahoma" w:hAnsi="Tahoma" w:cs="Tahoma"/>
          <w:b/>
          <w:bCs/>
          <w:sz w:val="28"/>
          <w:szCs w:val="28"/>
        </w:rPr>
      </w:pPr>
      <w:r>
        <w:rPr>
          <w:rStyle w:val="normaltextrun"/>
          <w:rFonts w:ascii="Tahoma" w:hAnsi="Tahoma" w:cs="Tahoma"/>
          <w:b/>
          <w:bCs/>
          <w:sz w:val="28"/>
          <w:szCs w:val="28"/>
        </w:rPr>
        <w:t>Grant Solicitation</w:t>
      </w:r>
      <w:r w:rsidR="00D471C3">
        <w:rPr>
          <w:rStyle w:val="normaltextrun"/>
          <w:rFonts w:ascii="Tahoma" w:hAnsi="Tahoma" w:cs="Tahoma"/>
          <w:b/>
          <w:bCs/>
          <w:sz w:val="28"/>
          <w:szCs w:val="28"/>
        </w:rPr>
        <w:t xml:space="preserve"> </w:t>
      </w:r>
      <w:r>
        <w:rPr>
          <w:rStyle w:val="normaltextrun"/>
          <w:rFonts w:ascii="Tahoma" w:hAnsi="Tahoma" w:cs="Tahoma"/>
          <w:b/>
          <w:bCs/>
          <w:sz w:val="28"/>
          <w:szCs w:val="28"/>
        </w:rPr>
        <w:t>GFO-</w:t>
      </w:r>
      <w:r w:rsidR="00A877E9">
        <w:rPr>
          <w:rStyle w:val="normaltextrun"/>
          <w:rFonts w:ascii="Tahoma" w:hAnsi="Tahoma" w:cs="Tahoma"/>
          <w:b/>
          <w:bCs/>
          <w:sz w:val="28"/>
          <w:szCs w:val="28"/>
        </w:rPr>
        <w:t>22</w:t>
      </w:r>
      <w:r>
        <w:rPr>
          <w:rStyle w:val="normaltextrun"/>
          <w:rFonts w:ascii="Tahoma" w:hAnsi="Tahoma" w:cs="Tahoma"/>
          <w:b/>
          <w:bCs/>
          <w:sz w:val="28"/>
          <w:szCs w:val="28"/>
        </w:rPr>
        <w:t>-6</w:t>
      </w:r>
      <w:r w:rsidR="00A877E9">
        <w:rPr>
          <w:rStyle w:val="normaltextrun"/>
          <w:rFonts w:ascii="Tahoma" w:hAnsi="Tahoma" w:cs="Tahoma"/>
          <w:b/>
          <w:bCs/>
          <w:sz w:val="28"/>
          <w:szCs w:val="28"/>
        </w:rPr>
        <w:t>12</w:t>
      </w:r>
    </w:p>
    <w:p w14:paraId="0F9B38D7" w14:textId="24FF0261" w:rsidR="00D80526" w:rsidRDefault="00A877E9" w:rsidP="00550E98">
      <w:pPr>
        <w:pStyle w:val="paragraph"/>
        <w:spacing w:before="0" w:beforeAutospacing="0" w:after="0" w:afterAutospacing="0"/>
        <w:jc w:val="center"/>
        <w:textAlignment w:val="baseline"/>
        <w:rPr>
          <w:rStyle w:val="normaltextrun"/>
          <w:rFonts w:ascii="Tahoma" w:hAnsi="Tahoma" w:cs="Tahoma"/>
          <w:b/>
          <w:bCs/>
          <w:sz w:val="28"/>
          <w:szCs w:val="28"/>
        </w:rPr>
      </w:pPr>
      <w:r>
        <w:rPr>
          <w:rStyle w:val="normaltextrun"/>
          <w:rFonts w:ascii="Tahoma" w:hAnsi="Tahoma" w:cs="Tahoma"/>
          <w:b/>
          <w:bCs/>
          <w:sz w:val="28"/>
          <w:szCs w:val="28"/>
        </w:rPr>
        <w:t>Electric School Bus Bi-Directional Infrastructure</w:t>
      </w:r>
    </w:p>
    <w:p w14:paraId="058D217F" w14:textId="38A3A750" w:rsidR="00550E98" w:rsidRPr="00D645B6" w:rsidRDefault="00035C3C" w:rsidP="4C917BD1">
      <w:pPr>
        <w:pStyle w:val="paragraph"/>
        <w:spacing w:before="0" w:beforeAutospacing="0" w:after="0" w:afterAutospacing="0"/>
        <w:jc w:val="center"/>
        <w:textAlignment w:val="baseline"/>
        <w:rPr>
          <w:rStyle w:val="normaltextrun"/>
          <w:rFonts w:ascii="Tahoma" w:hAnsi="Tahoma" w:cs="Tahoma"/>
          <w:b/>
          <w:bCs/>
          <w:sz w:val="28"/>
          <w:szCs w:val="28"/>
        </w:rPr>
      </w:pPr>
      <w:r>
        <w:rPr>
          <w:rStyle w:val="normaltextrun"/>
          <w:rFonts w:ascii="Tahoma" w:hAnsi="Tahoma" w:cs="Tahoma"/>
          <w:b/>
          <w:bCs/>
          <w:sz w:val="28"/>
          <w:szCs w:val="28"/>
        </w:rPr>
        <w:t>September 2</w:t>
      </w:r>
      <w:r w:rsidR="002E56D2">
        <w:rPr>
          <w:rStyle w:val="normaltextrun"/>
          <w:rFonts w:ascii="Tahoma" w:hAnsi="Tahoma" w:cs="Tahoma"/>
          <w:b/>
          <w:bCs/>
          <w:sz w:val="28"/>
          <w:szCs w:val="28"/>
        </w:rPr>
        <w:t>7</w:t>
      </w:r>
      <w:r>
        <w:rPr>
          <w:rStyle w:val="normaltextrun"/>
          <w:rFonts w:ascii="Tahoma" w:hAnsi="Tahoma" w:cs="Tahoma"/>
          <w:b/>
          <w:bCs/>
          <w:sz w:val="28"/>
          <w:szCs w:val="28"/>
        </w:rPr>
        <w:t>, 2023</w:t>
      </w:r>
    </w:p>
    <w:p w14:paraId="4120B805" w14:textId="77777777" w:rsidR="00D645B6" w:rsidRDefault="00D645B6" w:rsidP="004907CA">
      <w:pPr>
        <w:rPr>
          <w:rStyle w:val="normaltextrun"/>
          <w:rFonts w:cs="Tahoma"/>
        </w:rPr>
      </w:pPr>
    </w:p>
    <w:p w14:paraId="1BBEF349" w14:textId="77777777" w:rsidR="005F0C50" w:rsidRDefault="005F0C50" w:rsidP="004907CA">
      <w:pPr>
        <w:rPr>
          <w:rStyle w:val="normaltextrun"/>
          <w:rFonts w:cs="Tahoma"/>
        </w:rPr>
      </w:pPr>
    </w:p>
    <w:p w14:paraId="35EAACDA" w14:textId="78406BEA" w:rsidR="00A46CDB" w:rsidRPr="000C0B0A" w:rsidRDefault="00550E98" w:rsidP="004907CA">
      <w:pPr>
        <w:rPr>
          <w:rStyle w:val="normaltextrun"/>
          <w:rFonts w:cs="Tahoma"/>
        </w:rPr>
      </w:pPr>
      <w:r w:rsidRPr="000C0B0A">
        <w:rPr>
          <w:rStyle w:val="normaltextrun"/>
          <w:rFonts w:cs="Tahoma"/>
        </w:rPr>
        <w:t>On</w:t>
      </w:r>
      <w:r w:rsidR="00FB333C" w:rsidRPr="000C0B0A">
        <w:rPr>
          <w:rStyle w:val="normaltextrun"/>
          <w:rFonts w:cs="Tahoma"/>
        </w:rPr>
        <w:t xml:space="preserve"> </w:t>
      </w:r>
      <w:r w:rsidR="00A877E9" w:rsidRPr="000C0B0A">
        <w:rPr>
          <w:rStyle w:val="normaltextrun"/>
          <w:rFonts w:cs="Tahoma"/>
        </w:rPr>
        <w:t>April 3</w:t>
      </w:r>
      <w:r w:rsidRPr="000C0B0A">
        <w:rPr>
          <w:rStyle w:val="normaltextrun"/>
          <w:rFonts w:cs="Tahoma"/>
        </w:rPr>
        <w:t>, 202</w:t>
      </w:r>
      <w:r w:rsidR="00A877E9" w:rsidRPr="000C0B0A">
        <w:rPr>
          <w:rStyle w:val="normaltextrun"/>
          <w:rFonts w:cs="Tahoma"/>
        </w:rPr>
        <w:t>3</w:t>
      </w:r>
      <w:r w:rsidRPr="000C0B0A">
        <w:rPr>
          <w:rStyle w:val="normaltextrun"/>
          <w:rFonts w:cs="Tahoma"/>
        </w:rPr>
        <w:t>,</w:t>
      </w:r>
      <w:r w:rsidR="00FB333C" w:rsidRPr="000C0B0A">
        <w:rPr>
          <w:rStyle w:val="normaltextrun"/>
          <w:rFonts w:cs="Tahoma"/>
        </w:rPr>
        <w:t xml:space="preserve"> </w:t>
      </w:r>
      <w:r w:rsidRPr="000C0B0A">
        <w:rPr>
          <w:rStyle w:val="normaltextrun"/>
          <w:rFonts w:cs="Tahoma"/>
        </w:rPr>
        <w:t>the California Energy Commission</w:t>
      </w:r>
      <w:r w:rsidR="00037376" w:rsidRPr="000C0B0A">
        <w:rPr>
          <w:rStyle w:val="normaltextrun"/>
          <w:rFonts w:cs="Tahoma"/>
        </w:rPr>
        <w:t xml:space="preserve"> </w:t>
      </w:r>
      <w:r w:rsidRPr="000C0B0A">
        <w:rPr>
          <w:rStyle w:val="normaltextrun"/>
          <w:rFonts w:cs="Tahoma"/>
        </w:rPr>
        <w:t>(CEC)</w:t>
      </w:r>
      <w:r w:rsidR="00037376" w:rsidRPr="000C0B0A">
        <w:rPr>
          <w:rStyle w:val="normaltextrun"/>
          <w:rFonts w:cs="Tahoma"/>
        </w:rPr>
        <w:t xml:space="preserve"> </w:t>
      </w:r>
      <w:r w:rsidRPr="000C0B0A">
        <w:rPr>
          <w:rStyle w:val="normaltextrun"/>
          <w:rFonts w:cs="Tahoma"/>
        </w:rPr>
        <w:t>released a</w:t>
      </w:r>
      <w:r w:rsidR="00037376" w:rsidRPr="000C0B0A">
        <w:rPr>
          <w:rStyle w:val="normaltextrun"/>
          <w:rFonts w:cs="Tahoma"/>
        </w:rPr>
        <w:t xml:space="preserve"> </w:t>
      </w:r>
      <w:r w:rsidRPr="000C0B0A">
        <w:rPr>
          <w:rStyle w:val="normaltextrun"/>
          <w:rFonts w:cs="Tahoma"/>
        </w:rPr>
        <w:t xml:space="preserve">Grant </w:t>
      </w:r>
      <w:r w:rsidR="00D111FA" w:rsidRPr="000C0B0A">
        <w:rPr>
          <w:rStyle w:val="normaltextrun"/>
          <w:rFonts w:cs="Tahoma"/>
        </w:rPr>
        <w:t xml:space="preserve">Funding Opportunity </w:t>
      </w:r>
      <w:r w:rsidRPr="000C0B0A">
        <w:rPr>
          <w:rStyle w:val="normaltextrun"/>
          <w:rFonts w:cs="Tahoma"/>
        </w:rPr>
        <w:t>entitled “</w:t>
      </w:r>
      <w:r w:rsidR="00A877E9" w:rsidRPr="000C0B0A">
        <w:rPr>
          <w:rStyle w:val="normaltextrun"/>
          <w:rFonts w:cs="Tahoma"/>
        </w:rPr>
        <w:t>Electric School Bus Bi-Directional Infrastructure</w:t>
      </w:r>
      <w:r w:rsidR="001C4003" w:rsidRPr="000C0B0A">
        <w:rPr>
          <w:rStyle w:val="normaltextrun"/>
          <w:rFonts w:cs="Tahoma"/>
        </w:rPr>
        <w:t>.</w:t>
      </w:r>
      <w:r w:rsidRPr="000C0B0A">
        <w:rPr>
          <w:rStyle w:val="normaltextrun"/>
          <w:rFonts w:cs="Tahoma"/>
        </w:rPr>
        <w:t>”</w:t>
      </w:r>
      <w:r w:rsidR="004907CA" w:rsidRPr="000C0B0A">
        <w:rPr>
          <w:rStyle w:val="normaltextrun"/>
          <w:rFonts w:cs="Tahoma"/>
        </w:rPr>
        <w:t xml:space="preserve"> </w:t>
      </w:r>
      <w:r w:rsidRPr="000C0B0A">
        <w:rPr>
          <w:rStyle w:val="normaltextrun"/>
          <w:rFonts w:cs="Tahoma"/>
        </w:rPr>
        <w:t xml:space="preserve">This </w:t>
      </w:r>
      <w:r w:rsidR="00A60A32" w:rsidRPr="000C0B0A">
        <w:rPr>
          <w:rStyle w:val="normaltextrun"/>
          <w:rFonts w:cs="Tahoma"/>
        </w:rPr>
        <w:t xml:space="preserve">competitive </w:t>
      </w:r>
      <w:r w:rsidRPr="000C0B0A">
        <w:rPr>
          <w:rStyle w:val="normaltextrun"/>
          <w:rFonts w:cs="Tahoma"/>
        </w:rPr>
        <w:t>grant</w:t>
      </w:r>
      <w:r w:rsidR="004907CA" w:rsidRPr="000C0B0A">
        <w:rPr>
          <w:rStyle w:val="normaltextrun"/>
          <w:rFonts w:cs="Tahoma"/>
        </w:rPr>
        <w:t xml:space="preserve"> </w:t>
      </w:r>
      <w:r w:rsidRPr="000C0B0A">
        <w:rPr>
          <w:rStyle w:val="normaltextrun"/>
          <w:rFonts w:cs="Tahoma"/>
        </w:rPr>
        <w:t xml:space="preserve">solicitation was an offer </w:t>
      </w:r>
      <w:r w:rsidR="00A46CDB" w:rsidRPr="000C0B0A">
        <w:rPr>
          <w:rStyle w:val="normaltextrun"/>
          <w:rFonts w:cs="Tahoma"/>
        </w:rPr>
        <w:t xml:space="preserve">to </w:t>
      </w:r>
      <w:r w:rsidR="00A877E9" w:rsidRPr="000C0B0A">
        <w:rPr>
          <w:rStyle w:val="normaltextrun"/>
          <w:rFonts w:cs="Tahoma"/>
        </w:rPr>
        <w:t>fund projects that will install bi-directional direct current fast charging stations at key building sites throughout California that support school districts.</w:t>
      </w:r>
    </w:p>
    <w:p w14:paraId="29C0CDC7" w14:textId="77777777" w:rsidR="00A46CDB" w:rsidRPr="000C0B0A" w:rsidRDefault="00A46CDB" w:rsidP="004907CA">
      <w:pPr>
        <w:rPr>
          <w:rStyle w:val="normaltextrun"/>
          <w:rFonts w:cs="Tahoma"/>
        </w:rPr>
      </w:pPr>
    </w:p>
    <w:p w14:paraId="6A715F2C" w14:textId="552423D4" w:rsidR="00F27FC0" w:rsidRPr="000C0B0A" w:rsidRDefault="00F27FC0" w:rsidP="00F27FC0">
      <w:pPr>
        <w:rPr>
          <w:rStyle w:val="eop"/>
          <w:rFonts w:cs="Tahoma"/>
        </w:rPr>
      </w:pPr>
      <w:r w:rsidRPr="000C0B0A">
        <w:rPr>
          <w:rStyle w:val="eop"/>
          <w:rFonts w:cs="Tahoma"/>
        </w:rPr>
        <w:t>The grant solicitation announced the availability of up to $15 million to fund agreements resulting from this solicitation and that the CEC, at its sole discretion, reserves the right to increase or reduce the amount of funds available under this solicitation.</w:t>
      </w:r>
    </w:p>
    <w:p w14:paraId="2629824B" w14:textId="77777777" w:rsidR="00D645B6" w:rsidRPr="000C0B0A" w:rsidRDefault="00D645B6" w:rsidP="004907CA">
      <w:pPr>
        <w:rPr>
          <w:rStyle w:val="eop"/>
          <w:rFonts w:cs="Tahoma"/>
        </w:rPr>
      </w:pPr>
    </w:p>
    <w:p w14:paraId="5596A2AE" w14:textId="77777777" w:rsidR="00D645B6" w:rsidRPr="000C0B0A" w:rsidRDefault="00550E98" w:rsidP="004907CA">
      <w:pPr>
        <w:rPr>
          <w:rStyle w:val="normaltextrun"/>
          <w:rFonts w:cs="Tahoma"/>
        </w:rPr>
      </w:pPr>
      <w:r w:rsidRPr="000C0B0A">
        <w:rPr>
          <w:rStyle w:val="normaltextrun"/>
          <w:rFonts w:cs="Tahoma"/>
        </w:rPr>
        <w:t>The attached table, “Notice of Proposed Awards</w:t>
      </w:r>
      <w:r w:rsidR="00D645B6" w:rsidRPr="000C0B0A">
        <w:rPr>
          <w:rStyle w:val="normaltextrun"/>
          <w:rFonts w:cs="Tahoma"/>
        </w:rPr>
        <w:t>,</w:t>
      </w:r>
      <w:r w:rsidRPr="000C0B0A">
        <w:rPr>
          <w:rStyle w:val="normaltextrun"/>
          <w:rFonts w:cs="Tahoma"/>
        </w:rPr>
        <w:t>” identifies each applicant selected and recommended for funding by</w:t>
      </w:r>
      <w:r w:rsidR="00D645B6" w:rsidRPr="000C0B0A">
        <w:rPr>
          <w:rStyle w:val="normaltextrun"/>
          <w:rFonts w:cs="Tahoma"/>
        </w:rPr>
        <w:t xml:space="preserve"> </w:t>
      </w:r>
      <w:r w:rsidRPr="000C0B0A">
        <w:rPr>
          <w:rStyle w:val="normaltextrun"/>
          <w:rFonts w:cs="Tahoma"/>
        </w:rPr>
        <w:t>CEC</w:t>
      </w:r>
      <w:r w:rsidR="00D645B6" w:rsidRPr="000C0B0A">
        <w:rPr>
          <w:rStyle w:val="normaltextrun"/>
          <w:rFonts w:cs="Tahoma"/>
        </w:rPr>
        <w:t xml:space="preserve"> </w:t>
      </w:r>
      <w:r w:rsidRPr="000C0B0A">
        <w:rPr>
          <w:rStyle w:val="normaltextrun"/>
          <w:rFonts w:cs="Tahoma"/>
        </w:rPr>
        <w:t>staff and</w:t>
      </w:r>
      <w:r w:rsidR="00D645B6" w:rsidRPr="000C0B0A">
        <w:rPr>
          <w:rStyle w:val="normaltextrun"/>
          <w:rFonts w:cs="Tahoma"/>
        </w:rPr>
        <w:t xml:space="preserve"> </w:t>
      </w:r>
      <w:r w:rsidRPr="000C0B0A">
        <w:rPr>
          <w:rStyle w:val="normaltextrun"/>
          <w:rFonts w:cs="Tahoma"/>
        </w:rPr>
        <w:t>includes the amount of recommended funding and score.</w:t>
      </w:r>
    </w:p>
    <w:p w14:paraId="080EDA94" w14:textId="77777777" w:rsidR="00D645B6" w:rsidRPr="000C0B0A" w:rsidRDefault="00D645B6" w:rsidP="004907CA">
      <w:pPr>
        <w:rPr>
          <w:rStyle w:val="normaltextrun"/>
          <w:rFonts w:cs="Tahoma"/>
        </w:rPr>
      </w:pPr>
    </w:p>
    <w:p w14:paraId="419F70A9" w14:textId="25FC1CA7" w:rsidR="005F3C72" w:rsidRPr="000C0B0A" w:rsidRDefault="00550E98" w:rsidP="004907CA">
      <w:pPr>
        <w:rPr>
          <w:rStyle w:val="normaltextrun"/>
          <w:rFonts w:cs="Tahoma"/>
        </w:rPr>
      </w:pPr>
      <w:r w:rsidRPr="000C0B0A">
        <w:rPr>
          <w:rStyle w:val="normaltextrun"/>
          <w:rFonts w:cs="Tahoma"/>
        </w:rPr>
        <w:t>Funding of proposed projects resulting from this solicitation is contingent upon</w:t>
      </w:r>
      <w:r w:rsidR="00D645B6" w:rsidRPr="000C0B0A">
        <w:rPr>
          <w:rStyle w:val="normaltextrun"/>
          <w:rFonts w:cs="Tahoma"/>
        </w:rPr>
        <w:t xml:space="preserve"> </w:t>
      </w:r>
      <w:r w:rsidRPr="000C0B0A">
        <w:rPr>
          <w:rStyle w:val="normaltextrun"/>
          <w:rFonts w:cs="Tahoma"/>
        </w:rPr>
        <w:t>the approval</w:t>
      </w:r>
      <w:r w:rsidR="00D645B6" w:rsidRPr="000C0B0A">
        <w:rPr>
          <w:rStyle w:val="normaltextrun"/>
          <w:rFonts w:cs="Tahoma"/>
        </w:rPr>
        <w:t xml:space="preserve"> </w:t>
      </w:r>
      <w:r w:rsidRPr="000C0B0A">
        <w:rPr>
          <w:rStyle w:val="normaltextrun"/>
          <w:rFonts w:cs="Tahoma"/>
        </w:rPr>
        <w:t>of these projects</w:t>
      </w:r>
      <w:r w:rsidR="00D645B6" w:rsidRPr="000C0B0A">
        <w:rPr>
          <w:rStyle w:val="normaltextrun"/>
          <w:rFonts w:cs="Tahoma"/>
        </w:rPr>
        <w:t xml:space="preserve"> </w:t>
      </w:r>
      <w:r w:rsidRPr="000C0B0A">
        <w:rPr>
          <w:rStyle w:val="normaltextrun"/>
          <w:rFonts w:cs="Tahoma"/>
        </w:rPr>
        <w:t>at a publicly noticed</w:t>
      </w:r>
      <w:r w:rsidR="00D645B6" w:rsidRPr="000C0B0A">
        <w:rPr>
          <w:rStyle w:val="normaltextrun"/>
          <w:rFonts w:cs="Tahoma"/>
        </w:rPr>
        <w:t xml:space="preserve"> </w:t>
      </w:r>
      <w:r w:rsidRPr="000C0B0A">
        <w:rPr>
          <w:rStyle w:val="normaltextrun"/>
          <w:rFonts w:cs="Tahoma"/>
        </w:rPr>
        <w:t>CEC</w:t>
      </w:r>
      <w:r w:rsidR="00D645B6" w:rsidRPr="000C0B0A">
        <w:rPr>
          <w:rStyle w:val="normaltextrun"/>
          <w:rFonts w:cs="Tahoma"/>
        </w:rPr>
        <w:t xml:space="preserve"> </w:t>
      </w:r>
      <w:r w:rsidRPr="000C0B0A">
        <w:rPr>
          <w:rStyle w:val="normaltextrun"/>
          <w:rFonts w:cs="Tahoma"/>
        </w:rPr>
        <w:t>Business Meeting and execution of a grant agreement.</w:t>
      </w:r>
      <w:r w:rsidR="0006238E" w:rsidRPr="000C0B0A">
        <w:rPr>
          <w:rStyle w:val="normaltextrun"/>
          <w:rFonts w:cs="Tahoma"/>
        </w:rPr>
        <w:t xml:space="preserve"> </w:t>
      </w:r>
      <w:r w:rsidRPr="000C0B0A">
        <w:rPr>
          <w:rStyle w:val="normaltextrun"/>
          <w:rFonts w:cs="Tahoma"/>
        </w:rPr>
        <w:t xml:space="preserve">This notice is posted on the CEC’s website at: </w:t>
      </w:r>
      <w:hyperlink r:id="rId11" w:history="1">
        <w:r w:rsidR="005F3C72" w:rsidRPr="000C0B0A">
          <w:rPr>
            <w:rStyle w:val="Hyperlink"/>
            <w:rFonts w:cs="Tahoma"/>
          </w:rPr>
          <w:t>https://www.energy.ca.gov/funding-opportunities/awards</w:t>
        </w:r>
      </w:hyperlink>
      <w:r w:rsidRPr="000C0B0A">
        <w:rPr>
          <w:rStyle w:val="normaltextrun"/>
          <w:rFonts w:cs="Tahoma"/>
        </w:rPr>
        <w:t>.</w:t>
      </w:r>
    </w:p>
    <w:p w14:paraId="50C29F27" w14:textId="0A32A47D" w:rsidR="00550E98" w:rsidRPr="000C0B0A" w:rsidRDefault="00550E98" w:rsidP="004907CA">
      <w:pPr>
        <w:rPr>
          <w:rStyle w:val="eop"/>
          <w:rFonts w:cs="Tahoma"/>
        </w:rPr>
      </w:pPr>
    </w:p>
    <w:p w14:paraId="2339709F" w14:textId="77777777" w:rsidR="007926E1" w:rsidRPr="000C0B0A" w:rsidRDefault="007926E1" w:rsidP="004907CA">
      <w:pPr>
        <w:rPr>
          <w:rStyle w:val="normaltextrun"/>
          <w:rFonts w:cs="Tahoma"/>
        </w:rPr>
      </w:pPr>
    </w:p>
    <w:p w14:paraId="1071457C" w14:textId="46D98E6B" w:rsidR="005F3C72" w:rsidRPr="000C0B0A" w:rsidRDefault="00550E98" w:rsidP="004907CA">
      <w:pPr>
        <w:rPr>
          <w:rStyle w:val="normaltextrun"/>
          <w:rFonts w:cs="Tahoma"/>
        </w:rPr>
      </w:pPr>
      <w:r w:rsidRPr="000C0B0A">
        <w:rPr>
          <w:rStyle w:val="normaltextrun"/>
          <w:rFonts w:cs="Tahoma"/>
        </w:rPr>
        <w:t>Questions</w:t>
      </w:r>
      <w:r w:rsidR="005F3C72" w:rsidRPr="000C0B0A">
        <w:rPr>
          <w:rStyle w:val="normaltextrun"/>
          <w:rFonts w:cs="Tahoma"/>
        </w:rPr>
        <w:t xml:space="preserve"> </w:t>
      </w:r>
      <w:r w:rsidRPr="000C0B0A">
        <w:rPr>
          <w:rStyle w:val="normaltextrun"/>
          <w:rFonts w:cs="Tahoma"/>
        </w:rPr>
        <w:t>and debriefing requests</w:t>
      </w:r>
      <w:r w:rsidR="005F3C72" w:rsidRPr="000C0B0A">
        <w:rPr>
          <w:rStyle w:val="normaltextrun"/>
          <w:rFonts w:cs="Tahoma"/>
        </w:rPr>
        <w:t xml:space="preserve"> </w:t>
      </w:r>
      <w:r w:rsidRPr="000C0B0A">
        <w:rPr>
          <w:rStyle w:val="normaltextrun"/>
          <w:rFonts w:cs="Tahoma"/>
        </w:rPr>
        <w:t>should be directed to:</w:t>
      </w:r>
    </w:p>
    <w:p w14:paraId="21E26F41" w14:textId="77777777" w:rsidR="005F3C72" w:rsidRPr="000C0B0A" w:rsidRDefault="005F3C72" w:rsidP="004907CA">
      <w:pPr>
        <w:rPr>
          <w:rStyle w:val="normaltextrun"/>
          <w:rFonts w:cs="Tahoma"/>
        </w:rPr>
      </w:pPr>
    </w:p>
    <w:p w14:paraId="520DE317" w14:textId="77777777" w:rsidR="00A877E9" w:rsidRPr="000C0B0A" w:rsidRDefault="00A877E9" w:rsidP="00A877E9">
      <w:pPr>
        <w:jc w:val="center"/>
        <w:rPr>
          <w:rFonts w:eastAsia="Tahoma" w:cs="Tahoma"/>
        </w:rPr>
      </w:pPr>
      <w:r w:rsidRPr="000C0B0A">
        <w:rPr>
          <w:rFonts w:eastAsia="Tahoma" w:cs="Tahoma"/>
        </w:rPr>
        <w:t>Crystal Willis, Commission Agreement Officer</w:t>
      </w:r>
    </w:p>
    <w:p w14:paraId="79CDBD0C" w14:textId="77777777" w:rsidR="00A877E9" w:rsidRPr="000C0B0A" w:rsidRDefault="00A877E9" w:rsidP="00A877E9">
      <w:pPr>
        <w:jc w:val="center"/>
        <w:rPr>
          <w:rFonts w:eastAsia="Tahoma" w:cs="Tahoma"/>
        </w:rPr>
      </w:pPr>
      <w:r w:rsidRPr="000C0B0A">
        <w:rPr>
          <w:rFonts w:eastAsia="Tahoma" w:cs="Tahoma"/>
        </w:rPr>
        <w:t>California Energy Commission</w:t>
      </w:r>
    </w:p>
    <w:p w14:paraId="64DA7170" w14:textId="77777777" w:rsidR="00A877E9" w:rsidRPr="000C0B0A" w:rsidRDefault="00A877E9" w:rsidP="00A877E9">
      <w:pPr>
        <w:jc w:val="center"/>
        <w:rPr>
          <w:rFonts w:eastAsia="Tahoma" w:cs="Tahoma"/>
        </w:rPr>
      </w:pPr>
      <w:r w:rsidRPr="000C0B0A">
        <w:rPr>
          <w:rFonts w:eastAsia="Tahoma" w:cs="Tahoma"/>
        </w:rPr>
        <w:t>715 P Street, MS-18</w:t>
      </w:r>
    </w:p>
    <w:p w14:paraId="2B3ECE19" w14:textId="77777777" w:rsidR="00A877E9" w:rsidRPr="000C0B0A" w:rsidRDefault="00A877E9" w:rsidP="00A877E9">
      <w:pPr>
        <w:jc w:val="center"/>
        <w:rPr>
          <w:rFonts w:eastAsia="Tahoma" w:cs="Tahoma"/>
        </w:rPr>
      </w:pPr>
      <w:r w:rsidRPr="000C0B0A">
        <w:rPr>
          <w:rFonts w:eastAsia="Tahoma" w:cs="Tahoma"/>
        </w:rPr>
        <w:t>Sacramento, California 95814</w:t>
      </w:r>
    </w:p>
    <w:p w14:paraId="5296604F" w14:textId="195BB62B" w:rsidR="00A877E9" w:rsidRPr="000C0B0A" w:rsidRDefault="00A877E9" w:rsidP="00A877E9">
      <w:pPr>
        <w:jc w:val="center"/>
        <w:rPr>
          <w:rFonts w:eastAsia="Tahoma" w:cs="Tahoma"/>
          <w:lang w:val="de-DE"/>
        </w:rPr>
      </w:pPr>
      <w:r w:rsidRPr="000C0B0A">
        <w:rPr>
          <w:rFonts w:eastAsia="Tahoma" w:cs="Tahoma"/>
          <w:lang w:val="de-DE"/>
        </w:rPr>
        <w:t xml:space="preserve">E-mail: </w:t>
      </w:r>
      <w:hyperlink r:id="rId12" w:history="1">
        <w:r w:rsidRPr="000C0B0A">
          <w:rPr>
            <w:rStyle w:val="Hyperlink"/>
            <w:rFonts w:eastAsia="Tahoma" w:cs="Tahoma"/>
            <w:lang w:val="de-DE"/>
          </w:rPr>
          <w:t>crystal.willis@energy.ca.gov</w:t>
        </w:r>
      </w:hyperlink>
    </w:p>
    <w:p w14:paraId="6DF989A4" w14:textId="77777777" w:rsidR="00A877E9" w:rsidRDefault="00A877E9" w:rsidP="00A877E9">
      <w:pPr>
        <w:rPr>
          <w:rFonts w:eastAsia="Tahoma" w:cs="Tahoma"/>
          <w:lang w:val="de-DE"/>
        </w:rPr>
      </w:pPr>
    </w:p>
    <w:p w14:paraId="1A811777" w14:textId="656DF52A" w:rsidR="0030108A" w:rsidRDefault="0030108A" w:rsidP="004907CA">
      <w:pPr>
        <w:rPr>
          <w:rStyle w:val="normaltextrun"/>
          <w:rFonts w:cs="Tahoma"/>
        </w:rPr>
      </w:pPr>
    </w:p>
    <w:sectPr w:rsidR="0030108A" w:rsidSect="00E851F0">
      <w:headerReference w:type="even" r:id="rId13"/>
      <w:headerReference w:type="default" r:id="rId14"/>
      <w:footerReference w:type="even" r:id="rId15"/>
      <w:footerReference w:type="default" r:id="rId16"/>
      <w:headerReference w:type="first" r:id="rId17"/>
      <w:footerReference w:type="first" r:id="rId18"/>
      <w:pgSz w:w="12240" w:h="15840"/>
      <w:pgMar w:top="2246" w:right="1440" w:bottom="1440" w:left="1440" w:header="43"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F241" w14:textId="77777777" w:rsidR="00A6265F" w:rsidRDefault="00A6265F" w:rsidP="00F86D2B">
      <w:r>
        <w:separator/>
      </w:r>
    </w:p>
  </w:endnote>
  <w:endnote w:type="continuationSeparator" w:id="0">
    <w:p w14:paraId="17A6A0E8" w14:textId="77777777" w:rsidR="00A6265F" w:rsidRDefault="00A6265F" w:rsidP="00F86D2B">
      <w:r>
        <w:continuationSeparator/>
      </w:r>
    </w:p>
  </w:endnote>
  <w:endnote w:type="continuationNotice" w:id="1">
    <w:p w14:paraId="017AEBCF" w14:textId="77777777" w:rsidR="00A6265F" w:rsidRDefault="00A62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0971" w14:textId="77777777" w:rsidR="00193AF6" w:rsidRDefault="00193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7E8BC6" w14:paraId="1568E5CE" w14:textId="77777777" w:rsidTr="517E8BC6">
      <w:tc>
        <w:tcPr>
          <w:tcW w:w="3120" w:type="dxa"/>
        </w:tcPr>
        <w:p w14:paraId="1E2EA95C" w14:textId="505168B6" w:rsidR="517E8BC6" w:rsidRDefault="517E8BC6" w:rsidP="517E8BC6">
          <w:pPr>
            <w:pStyle w:val="Header"/>
            <w:ind w:left="-115"/>
            <w:rPr>
              <w:rFonts w:eastAsia="MS Mincho"/>
            </w:rPr>
          </w:pPr>
        </w:p>
      </w:tc>
      <w:tc>
        <w:tcPr>
          <w:tcW w:w="3120" w:type="dxa"/>
        </w:tcPr>
        <w:p w14:paraId="24A340C9" w14:textId="7F6E0E96" w:rsidR="517E8BC6" w:rsidRDefault="517E8BC6" w:rsidP="517E8BC6">
          <w:pPr>
            <w:pStyle w:val="Header"/>
            <w:jc w:val="center"/>
            <w:rPr>
              <w:rFonts w:eastAsia="MS Mincho"/>
            </w:rPr>
          </w:pPr>
        </w:p>
      </w:tc>
      <w:tc>
        <w:tcPr>
          <w:tcW w:w="3120" w:type="dxa"/>
        </w:tcPr>
        <w:p w14:paraId="24BA23E4" w14:textId="17C4BC36" w:rsidR="517E8BC6" w:rsidRDefault="517E8BC6" w:rsidP="517E8BC6">
          <w:pPr>
            <w:pStyle w:val="Header"/>
            <w:ind w:right="-115"/>
            <w:jc w:val="right"/>
            <w:rPr>
              <w:rFonts w:eastAsia="MS Mincho"/>
            </w:rPr>
          </w:pPr>
        </w:p>
      </w:tc>
    </w:tr>
  </w:tbl>
  <w:p w14:paraId="37B9E178" w14:textId="790796A5" w:rsidR="00240824" w:rsidRDefault="00240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0F341CC7" w:rsidR="002D11A5" w:rsidRPr="00892680" w:rsidRDefault="002D11A5" w:rsidP="00892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0AB6D" w14:textId="77777777" w:rsidR="00A6265F" w:rsidRDefault="00A6265F" w:rsidP="00F86D2B">
      <w:r>
        <w:separator/>
      </w:r>
    </w:p>
  </w:footnote>
  <w:footnote w:type="continuationSeparator" w:id="0">
    <w:p w14:paraId="40313B05" w14:textId="77777777" w:rsidR="00A6265F" w:rsidRDefault="00A6265F" w:rsidP="00F86D2B">
      <w:r>
        <w:continuationSeparator/>
      </w:r>
    </w:p>
  </w:footnote>
  <w:footnote w:type="continuationNotice" w:id="1">
    <w:p w14:paraId="3986F53F" w14:textId="77777777" w:rsidR="00A6265F" w:rsidRDefault="00A62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3ADD" w14:textId="77777777" w:rsidR="00193AF6" w:rsidRDefault="00193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16BB3220" w14:textId="3CDE8D1E" w:rsidR="00E210F6" w:rsidRDefault="003A5D9B" w:rsidP="005568CA">
    <w:pPr>
      <w:spacing w:before="600"/>
      <w:rPr>
        <w:rFonts w:ascii="Arial" w:hAnsi="Arial" w:cs="Arial"/>
      </w:rPr>
    </w:pPr>
    <w:r>
      <w:rPr>
        <w:rFonts w:ascii="Arial" w:hAnsi="Arial" w:cs="Arial"/>
      </w:rPr>
      <w:t>Notice of Proposed Awards – GFO-</w:t>
    </w:r>
    <w:r w:rsidR="00A877E9">
      <w:rPr>
        <w:rFonts w:ascii="Arial" w:hAnsi="Arial" w:cs="Arial"/>
      </w:rPr>
      <w:t>22</w:t>
    </w:r>
    <w:r>
      <w:rPr>
        <w:rFonts w:ascii="Arial" w:hAnsi="Arial" w:cs="Arial"/>
      </w:rPr>
      <w:t>-6</w:t>
    </w:r>
    <w:r w:rsidR="00A877E9">
      <w:rPr>
        <w:rFonts w:ascii="Arial" w:hAnsi="Arial" w:cs="Arial"/>
      </w:rPr>
      <w:t>12</w:t>
    </w:r>
  </w:p>
  <w:p w14:paraId="267EBF48" w14:textId="6FF46E30" w:rsidR="00E210F6" w:rsidRDefault="00A877E9" w:rsidP="00E210F6">
    <w:pPr>
      <w:rPr>
        <w:rFonts w:ascii="Arial" w:hAnsi="Arial" w:cs="Arial"/>
      </w:rPr>
    </w:pPr>
    <w:r>
      <w:rPr>
        <w:rFonts w:ascii="Arial" w:hAnsi="Arial" w:cs="Arial"/>
      </w:rPr>
      <w:t>August 2023</w:t>
    </w:r>
  </w:p>
  <w:p w14:paraId="677CF5D6" w14:textId="77777777" w:rsidR="00E210F6" w:rsidRDefault="00E210F6" w:rsidP="00E210F6">
    <w:pPr>
      <w:rPr>
        <w:rFonts w:ascii="Arial" w:hAnsi="Arial" w:cs="Arial"/>
      </w:rPr>
    </w:pPr>
    <w:r>
      <w:rPr>
        <w:rFonts w:ascii="Arial" w:hAnsi="Arial" w:cs="Arial"/>
      </w:rPr>
      <w:t xml:space="preserve">Page </w:t>
    </w:r>
    <w:r w:rsidR="003E0D2D" w:rsidRPr="003E0D2D">
      <w:rPr>
        <w:rFonts w:ascii="Arial" w:hAnsi="Arial" w:cs="Arial"/>
      </w:rPr>
      <w:fldChar w:fldCharType="begin"/>
    </w:r>
    <w:r w:rsidR="003E0D2D" w:rsidRPr="003E0D2D">
      <w:rPr>
        <w:rFonts w:ascii="Arial" w:hAnsi="Arial" w:cs="Arial"/>
      </w:rPr>
      <w:instrText xml:space="preserve"> PAGE   \* MERGEFORMAT </w:instrText>
    </w:r>
    <w:r w:rsidR="003E0D2D" w:rsidRPr="003E0D2D">
      <w:rPr>
        <w:rFonts w:ascii="Arial" w:hAnsi="Arial" w:cs="Arial"/>
      </w:rPr>
      <w:fldChar w:fldCharType="separate"/>
    </w:r>
    <w:r w:rsidR="00C03527">
      <w:rPr>
        <w:rFonts w:ascii="Arial" w:hAnsi="Arial" w:cs="Arial"/>
        <w:noProof/>
      </w:rPr>
      <w:t>2</w:t>
    </w:r>
    <w:r w:rsidR="003E0D2D" w:rsidRPr="003E0D2D">
      <w:rPr>
        <w:rFonts w:ascii="Arial" w:hAnsi="Arial" w:cs="Arial"/>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A77" w14:textId="0A4518F0" w:rsidR="00E210F6" w:rsidRDefault="4C917BD1" w:rsidP="00F96D58">
    <w:pPr>
      <w:pStyle w:val="Header"/>
      <w:ind w:hanging="1440"/>
    </w:pPr>
    <w:r>
      <w:rPr>
        <w:noProof/>
      </w:rPr>
      <w:drawing>
        <wp:inline distT="0" distB="0" distL="0" distR="0" wp14:anchorId="17DA7459" wp14:editId="4C917BD1">
          <wp:extent cx="7801020" cy="1257300"/>
          <wp:effectExtent l="0" t="0" r="0" b="0"/>
          <wp:docPr id="1" name="Picture 1" descr="California Energy Commission" title="California Energ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01020"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08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11C5"/>
    <w:rsid w:val="00027125"/>
    <w:rsid w:val="00030386"/>
    <w:rsid w:val="00035C3C"/>
    <w:rsid w:val="00037376"/>
    <w:rsid w:val="00052DE0"/>
    <w:rsid w:val="000557AC"/>
    <w:rsid w:val="0006238E"/>
    <w:rsid w:val="00067DE9"/>
    <w:rsid w:val="00095665"/>
    <w:rsid w:val="000B2FC9"/>
    <w:rsid w:val="000C0B0A"/>
    <w:rsid w:val="000C329E"/>
    <w:rsid w:val="000D7D82"/>
    <w:rsid w:val="000D7EC7"/>
    <w:rsid w:val="000E27CE"/>
    <w:rsid w:val="000F7CA0"/>
    <w:rsid w:val="00112B94"/>
    <w:rsid w:val="00133E4B"/>
    <w:rsid w:val="0014731B"/>
    <w:rsid w:val="00193AF6"/>
    <w:rsid w:val="001C4003"/>
    <w:rsid w:val="001D3AB8"/>
    <w:rsid w:val="001F62F3"/>
    <w:rsid w:val="0022258F"/>
    <w:rsid w:val="00240824"/>
    <w:rsid w:val="002466FF"/>
    <w:rsid w:val="0026288F"/>
    <w:rsid w:val="002A5F7A"/>
    <w:rsid w:val="002D11A5"/>
    <w:rsid w:val="002E56D2"/>
    <w:rsid w:val="003007A4"/>
    <w:rsid w:val="00300FB1"/>
    <w:rsid w:val="0030108A"/>
    <w:rsid w:val="00307982"/>
    <w:rsid w:val="00361F57"/>
    <w:rsid w:val="00387B5A"/>
    <w:rsid w:val="003A5D9B"/>
    <w:rsid w:val="003A660E"/>
    <w:rsid w:val="003B51E5"/>
    <w:rsid w:val="003C1492"/>
    <w:rsid w:val="003E0D2D"/>
    <w:rsid w:val="0040619B"/>
    <w:rsid w:val="00415DE9"/>
    <w:rsid w:val="00430859"/>
    <w:rsid w:val="00432102"/>
    <w:rsid w:val="00437D5F"/>
    <w:rsid w:val="004504D5"/>
    <w:rsid w:val="00453ABC"/>
    <w:rsid w:val="004907CA"/>
    <w:rsid w:val="00496132"/>
    <w:rsid w:val="004A4C18"/>
    <w:rsid w:val="004D7146"/>
    <w:rsid w:val="004D757A"/>
    <w:rsid w:val="004E6EA3"/>
    <w:rsid w:val="005137E6"/>
    <w:rsid w:val="00516051"/>
    <w:rsid w:val="0052489C"/>
    <w:rsid w:val="00524EA9"/>
    <w:rsid w:val="00527817"/>
    <w:rsid w:val="005363B4"/>
    <w:rsid w:val="00550E98"/>
    <w:rsid w:val="005568CA"/>
    <w:rsid w:val="00577D95"/>
    <w:rsid w:val="005A2A84"/>
    <w:rsid w:val="005B6E37"/>
    <w:rsid w:val="005E26D7"/>
    <w:rsid w:val="005F0C50"/>
    <w:rsid w:val="005F3C72"/>
    <w:rsid w:val="00611101"/>
    <w:rsid w:val="0063745E"/>
    <w:rsid w:val="006511D6"/>
    <w:rsid w:val="006A57AF"/>
    <w:rsid w:val="006C3A9F"/>
    <w:rsid w:val="006D3827"/>
    <w:rsid w:val="006E146A"/>
    <w:rsid w:val="006E3DEB"/>
    <w:rsid w:val="00710160"/>
    <w:rsid w:val="007134AE"/>
    <w:rsid w:val="007211FC"/>
    <w:rsid w:val="007233F8"/>
    <w:rsid w:val="00751C0F"/>
    <w:rsid w:val="007629D7"/>
    <w:rsid w:val="0076751B"/>
    <w:rsid w:val="0077265A"/>
    <w:rsid w:val="00777798"/>
    <w:rsid w:val="0078154A"/>
    <w:rsid w:val="00783717"/>
    <w:rsid w:val="00784194"/>
    <w:rsid w:val="007926E1"/>
    <w:rsid w:val="007956CF"/>
    <w:rsid w:val="007A0439"/>
    <w:rsid w:val="007B6BDE"/>
    <w:rsid w:val="007C2CAA"/>
    <w:rsid w:val="007F303F"/>
    <w:rsid w:val="007F7BDA"/>
    <w:rsid w:val="0081533B"/>
    <w:rsid w:val="00823916"/>
    <w:rsid w:val="0082759F"/>
    <w:rsid w:val="008350AA"/>
    <w:rsid w:val="0084030D"/>
    <w:rsid w:val="00891290"/>
    <w:rsid w:val="00892680"/>
    <w:rsid w:val="008952F3"/>
    <w:rsid w:val="008A3BCD"/>
    <w:rsid w:val="008C33DE"/>
    <w:rsid w:val="008E1433"/>
    <w:rsid w:val="008E3926"/>
    <w:rsid w:val="008E7852"/>
    <w:rsid w:val="00910710"/>
    <w:rsid w:val="009407F5"/>
    <w:rsid w:val="00943925"/>
    <w:rsid w:val="009455C0"/>
    <w:rsid w:val="009717D5"/>
    <w:rsid w:val="00976DB4"/>
    <w:rsid w:val="009774E4"/>
    <w:rsid w:val="009A0CBA"/>
    <w:rsid w:val="009B0671"/>
    <w:rsid w:val="009D4AF6"/>
    <w:rsid w:val="009E359D"/>
    <w:rsid w:val="009E42DB"/>
    <w:rsid w:val="009E6C35"/>
    <w:rsid w:val="009E754B"/>
    <w:rsid w:val="00A01F3C"/>
    <w:rsid w:val="00A03895"/>
    <w:rsid w:val="00A04D43"/>
    <w:rsid w:val="00A07852"/>
    <w:rsid w:val="00A15FA8"/>
    <w:rsid w:val="00A17202"/>
    <w:rsid w:val="00A21792"/>
    <w:rsid w:val="00A3384C"/>
    <w:rsid w:val="00A36CF5"/>
    <w:rsid w:val="00A44DF0"/>
    <w:rsid w:val="00A46CDB"/>
    <w:rsid w:val="00A5549B"/>
    <w:rsid w:val="00A60A32"/>
    <w:rsid w:val="00A6265F"/>
    <w:rsid w:val="00A73089"/>
    <w:rsid w:val="00A80433"/>
    <w:rsid w:val="00A877E9"/>
    <w:rsid w:val="00A87F0D"/>
    <w:rsid w:val="00AA3E16"/>
    <w:rsid w:val="00AC3E88"/>
    <w:rsid w:val="00AD21FC"/>
    <w:rsid w:val="00AE05B9"/>
    <w:rsid w:val="00AE1C73"/>
    <w:rsid w:val="00B02BCB"/>
    <w:rsid w:val="00B44D74"/>
    <w:rsid w:val="00B51FA7"/>
    <w:rsid w:val="00B63F58"/>
    <w:rsid w:val="00B80E72"/>
    <w:rsid w:val="00B84D31"/>
    <w:rsid w:val="00B90A3A"/>
    <w:rsid w:val="00BA02BD"/>
    <w:rsid w:val="00BA1317"/>
    <w:rsid w:val="00BB5DCD"/>
    <w:rsid w:val="00BE000A"/>
    <w:rsid w:val="00BF240C"/>
    <w:rsid w:val="00C03527"/>
    <w:rsid w:val="00C33524"/>
    <w:rsid w:val="00C40617"/>
    <w:rsid w:val="00C435B2"/>
    <w:rsid w:val="00C51D27"/>
    <w:rsid w:val="00C67037"/>
    <w:rsid w:val="00C765B5"/>
    <w:rsid w:val="00C96BDD"/>
    <w:rsid w:val="00CA13BD"/>
    <w:rsid w:val="00CC3780"/>
    <w:rsid w:val="00CD2064"/>
    <w:rsid w:val="00CD37C0"/>
    <w:rsid w:val="00CE6EEB"/>
    <w:rsid w:val="00D03CE0"/>
    <w:rsid w:val="00D111FA"/>
    <w:rsid w:val="00D32C3D"/>
    <w:rsid w:val="00D431C2"/>
    <w:rsid w:val="00D43B83"/>
    <w:rsid w:val="00D471C3"/>
    <w:rsid w:val="00D57305"/>
    <w:rsid w:val="00D645B6"/>
    <w:rsid w:val="00D71ED5"/>
    <w:rsid w:val="00D80526"/>
    <w:rsid w:val="00DC682B"/>
    <w:rsid w:val="00DE0259"/>
    <w:rsid w:val="00DE57B0"/>
    <w:rsid w:val="00DF0CDF"/>
    <w:rsid w:val="00DF26E1"/>
    <w:rsid w:val="00DF7A3A"/>
    <w:rsid w:val="00E05187"/>
    <w:rsid w:val="00E07EC4"/>
    <w:rsid w:val="00E134D5"/>
    <w:rsid w:val="00E210F6"/>
    <w:rsid w:val="00E31D79"/>
    <w:rsid w:val="00E41626"/>
    <w:rsid w:val="00E851F0"/>
    <w:rsid w:val="00EA7BDE"/>
    <w:rsid w:val="00F02F9D"/>
    <w:rsid w:val="00F10DFF"/>
    <w:rsid w:val="00F14B36"/>
    <w:rsid w:val="00F27FC0"/>
    <w:rsid w:val="00F41CB1"/>
    <w:rsid w:val="00F46F50"/>
    <w:rsid w:val="00F64899"/>
    <w:rsid w:val="00F669A0"/>
    <w:rsid w:val="00F84073"/>
    <w:rsid w:val="00F86D2B"/>
    <w:rsid w:val="00F90F6B"/>
    <w:rsid w:val="00F947AC"/>
    <w:rsid w:val="00F95D8D"/>
    <w:rsid w:val="00F967DF"/>
    <w:rsid w:val="00F96D58"/>
    <w:rsid w:val="00FA34CF"/>
    <w:rsid w:val="00FB333C"/>
    <w:rsid w:val="00FC424D"/>
    <w:rsid w:val="00FE2C67"/>
    <w:rsid w:val="00FF26E4"/>
    <w:rsid w:val="00FF6C7F"/>
    <w:rsid w:val="012715F7"/>
    <w:rsid w:val="02C2E658"/>
    <w:rsid w:val="03A02123"/>
    <w:rsid w:val="05CA5F05"/>
    <w:rsid w:val="07FBCBDA"/>
    <w:rsid w:val="09287BAD"/>
    <w:rsid w:val="0A783102"/>
    <w:rsid w:val="0CDE3617"/>
    <w:rsid w:val="1048EE7C"/>
    <w:rsid w:val="14C55021"/>
    <w:rsid w:val="15689D76"/>
    <w:rsid w:val="1640C588"/>
    <w:rsid w:val="16DD3857"/>
    <w:rsid w:val="1722C4B4"/>
    <w:rsid w:val="179496A6"/>
    <w:rsid w:val="17AC72B6"/>
    <w:rsid w:val="1A14D919"/>
    <w:rsid w:val="1AE6DA75"/>
    <w:rsid w:val="1AEC098D"/>
    <w:rsid w:val="1B69371B"/>
    <w:rsid w:val="1B93AC30"/>
    <w:rsid w:val="1D274BFA"/>
    <w:rsid w:val="1D5A86FE"/>
    <w:rsid w:val="204C3CF3"/>
    <w:rsid w:val="2107EDDB"/>
    <w:rsid w:val="21257C60"/>
    <w:rsid w:val="2495E030"/>
    <w:rsid w:val="26A057FC"/>
    <w:rsid w:val="270715D6"/>
    <w:rsid w:val="2F4B6D36"/>
    <w:rsid w:val="32F9455F"/>
    <w:rsid w:val="33CE8C54"/>
    <w:rsid w:val="3492C12E"/>
    <w:rsid w:val="35EB59C4"/>
    <w:rsid w:val="36FF7A53"/>
    <w:rsid w:val="393A4E65"/>
    <w:rsid w:val="3C634C91"/>
    <w:rsid w:val="3D313D6F"/>
    <w:rsid w:val="3D37784E"/>
    <w:rsid w:val="3EEA2E9C"/>
    <w:rsid w:val="3F2591AD"/>
    <w:rsid w:val="4557DE09"/>
    <w:rsid w:val="47A53B75"/>
    <w:rsid w:val="4C3C1A21"/>
    <w:rsid w:val="4C917BD1"/>
    <w:rsid w:val="517E8BC6"/>
    <w:rsid w:val="52F98282"/>
    <w:rsid w:val="53240301"/>
    <w:rsid w:val="54738C89"/>
    <w:rsid w:val="56D124B3"/>
    <w:rsid w:val="5780A997"/>
    <w:rsid w:val="585411C3"/>
    <w:rsid w:val="5B9F82CC"/>
    <w:rsid w:val="5CD32953"/>
    <w:rsid w:val="5E822277"/>
    <w:rsid w:val="6024A70A"/>
    <w:rsid w:val="64A248E9"/>
    <w:rsid w:val="6718343E"/>
    <w:rsid w:val="69CE08AC"/>
    <w:rsid w:val="6DC71ADC"/>
    <w:rsid w:val="6F8C09BD"/>
    <w:rsid w:val="70365796"/>
    <w:rsid w:val="70D1E254"/>
    <w:rsid w:val="7127D995"/>
    <w:rsid w:val="71938E78"/>
    <w:rsid w:val="71D494ED"/>
    <w:rsid w:val="724CA4E7"/>
    <w:rsid w:val="76AB45AC"/>
    <w:rsid w:val="76D16E32"/>
    <w:rsid w:val="792B3BFE"/>
    <w:rsid w:val="794D8FED"/>
    <w:rsid w:val="79E2E66E"/>
    <w:rsid w:val="7A7AD02F"/>
    <w:rsid w:val="7D1A091E"/>
    <w:rsid w:val="7DD14BC3"/>
    <w:rsid w:val="7E8C5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D7E1477C-83D5-4981-8701-F3A7F6C9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7CA"/>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87B5A"/>
    <w:rPr>
      <w:color w:val="605E5C"/>
      <w:shd w:val="clear" w:color="auto" w:fill="E1DFDD"/>
    </w:rPr>
  </w:style>
  <w:style w:type="character" w:styleId="CommentReference">
    <w:name w:val="annotation reference"/>
    <w:basedOn w:val="DefaultParagraphFont"/>
    <w:uiPriority w:val="99"/>
    <w:semiHidden/>
    <w:unhideWhenUsed/>
    <w:rsid w:val="00112B94"/>
    <w:rPr>
      <w:sz w:val="16"/>
      <w:szCs w:val="16"/>
    </w:rPr>
  </w:style>
  <w:style w:type="paragraph" w:styleId="CommentText">
    <w:name w:val="annotation text"/>
    <w:basedOn w:val="Normal"/>
    <w:link w:val="CommentTextChar"/>
    <w:uiPriority w:val="99"/>
    <w:semiHidden/>
    <w:unhideWhenUsed/>
    <w:rsid w:val="00112B94"/>
    <w:rPr>
      <w:sz w:val="20"/>
      <w:szCs w:val="20"/>
    </w:rPr>
  </w:style>
  <w:style w:type="character" w:customStyle="1" w:styleId="CommentTextChar">
    <w:name w:val="Comment Text Char"/>
    <w:basedOn w:val="DefaultParagraphFont"/>
    <w:link w:val="CommentText"/>
    <w:uiPriority w:val="99"/>
    <w:semiHidden/>
    <w:rsid w:val="00112B94"/>
    <w:rPr>
      <w:sz w:val="20"/>
      <w:szCs w:val="20"/>
    </w:rPr>
  </w:style>
  <w:style w:type="paragraph" w:styleId="CommentSubject">
    <w:name w:val="annotation subject"/>
    <w:basedOn w:val="CommentText"/>
    <w:next w:val="CommentText"/>
    <w:link w:val="CommentSubjectChar"/>
    <w:uiPriority w:val="99"/>
    <w:semiHidden/>
    <w:unhideWhenUsed/>
    <w:rsid w:val="00112B94"/>
    <w:rPr>
      <w:b/>
      <w:bCs/>
    </w:rPr>
  </w:style>
  <w:style w:type="character" w:customStyle="1" w:styleId="CommentSubjectChar">
    <w:name w:val="Comment Subject Char"/>
    <w:basedOn w:val="CommentTextChar"/>
    <w:link w:val="CommentSubject"/>
    <w:uiPriority w:val="99"/>
    <w:semiHidden/>
    <w:rsid w:val="00112B94"/>
    <w:rPr>
      <w:b/>
      <w:bCs/>
      <w:sz w:val="20"/>
      <w:szCs w:val="20"/>
    </w:rPr>
  </w:style>
  <w:style w:type="paragraph" w:customStyle="1" w:styleId="paragraph">
    <w:name w:val="paragraph"/>
    <w:basedOn w:val="Normal"/>
    <w:rsid w:val="00550E9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50E98"/>
  </w:style>
  <w:style w:type="character" w:customStyle="1" w:styleId="eop">
    <w:name w:val="eop"/>
    <w:basedOn w:val="DefaultParagraphFont"/>
    <w:rsid w:val="00550E98"/>
  </w:style>
  <w:style w:type="character" w:customStyle="1" w:styleId="tabchar">
    <w:name w:val="tabchar"/>
    <w:basedOn w:val="DefaultParagraphFont"/>
    <w:rsid w:val="00550E98"/>
  </w:style>
  <w:style w:type="character" w:styleId="FollowedHyperlink">
    <w:name w:val="FollowedHyperlink"/>
    <w:basedOn w:val="DefaultParagraphFont"/>
    <w:uiPriority w:val="99"/>
    <w:semiHidden/>
    <w:unhideWhenUsed/>
    <w:rsid w:val="00BE000A"/>
    <w:rPr>
      <w:color w:val="800080" w:themeColor="followedHyperlink"/>
      <w:u w:val="single"/>
    </w:rPr>
  </w:style>
  <w:style w:type="paragraph" w:styleId="Revision">
    <w:name w:val="Revision"/>
    <w:hidden/>
    <w:uiPriority w:val="99"/>
    <w:semiHidden/>
    <w:rsid w:val="00A07852"/>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908492473">
      <w:bodyDiv w:val="1"/>
      <w:marLeft w:val="0"/>
      <w:marRight w:val="0"/>
      <w:marTop w:val="0"/>
      <w:marBottom w:val="0"/>
      <w:divBdr>
        <w:top w:val="none" w:sz="0" w:space="0" w:color="auto"/>
        <w:left w:val="none" w:sz="0" w:space="0" w:color="auto"/>
        <w:bottom w:val="none" w:sz="0" w:space="0" w:color="auto"/>
        <w:right w:val="none" w:sz="0" w:space="0" w:color="auto"/>
      </w:divBdr>
      <w:divsChild>
        <w:div w:id="1380857789">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386607965">
          <w:marLeft w:val="0"/>
          <w:marRight w:val="0"/>
          <w:marTop w:val="0"/>
          <w:marBottom w:val="0"/>
          <w:divBdr>
            <w:top w:val="none" w:sz="0" w:space="0" w:color="auto"/>
            <w:left w:val="none" w:sz="0" w:space="0" w:color="auto"/>
            <w:bottom w:val="none" w:sz="0" w:space="0" w:color="auto"/>
            <w:right w:val="none" w:sz="0" w:space="0" w:color="auto"/>
          </w:divBdr>
        </w:div>
        <w:div w:id="693116676">
          <w:marLeft w:val="0"/>
          <w:marRight w:val="0"/>
          <w:marTop w:val="0"/>
          <w:marBottom w:val="0"/>
          <w:divBdr>
            <w:top w:val="none" w:sz="0" w:space="0" w:color="auto"/>
            <w:left w:val="none" w:sz="0" w:space="0" w:color="auto"/>
            <w:bottom w:val="none" w:sz="0" w:space="0" w:color="auto"/>
            <w:right w:val="none" w:sz="0" w:space="0" w:color="auto"/>
          </w:divBdr>
        </w:div>
        <w:div w:id="1600065704">
          <w:marLeft w:val="0"/>
          <w:marRight w:val="0"/>
          <w:marTop w:val="0"/>
          <w:marBottom w:val="0"/>
          <w:divBdr>
            <w:top w:val="none" w:sz="0" w:space="0" w:color="auto"/>
            <w:left w:val="none" w:sz="0" w:space="0" w:color="auto"/>
            <w:bottom w:val="none" w:sz="0" w:space="0" w:color="auto"/>
            <w:right w:val="none" w:sz="0" w:space="0" w:color="auto"/>
          </w:divBdr>
        </w:div>
        <w:div w:id="486484759">
          <w:marLeft w:val="0"/>
          <w:marRight w:val="0"/>
          <w:marTop w:val="0"/>
          <w:marBottom w:val="0"/>
          <w:divBdr>
            <w:top w:val="none" w:sz="0" w:space="0" w:color="auto"/>
            <w:left w:val="none" w:sz="0" w:space="0" w:color="auto"/>
            <w:bottom w:val="none" w:sz="0" w:space="0" w:color="auto"/>
            <w:right w:val="none" w:sz="0" w:space="0" w:color="auto"/>
          </w:divBdr>
        </w:div>
        <w:div w:id="595750808">
          <w:marLeft w:val="0"/>
          <w:marRight w:val="0"/>
          <w:marTop w:val="0"/>
          <w:marBottom w:val="0"/>
          <w:divBdr>
            <w:top w:val="none" w:sz="0" w:space="0" w:color="auto"/>
            <w:left w:val="none" w:sz="0" w:space="0" w:color="auto"/>
            <w:bottom w:val="none" w:sz="0" w:space="0" w:color="auto"/>
            <w:right w:val="none" w:sz="0" w:space="0" w:color="auto"/>
          </w:divBdr>
        </w:div>
        <w:div w:id="981353450">
          <w:marLeft w:val="0"/>
          <w:marRight w:val="0"/>
          <w:marTop w:val="0"/>
          <w:marBottom w:val="0"/>
          <w:divBdr>
            <w:top w:val="none" w:sz="0" w:space="0" w:color="auto"/>
            <w:left w:val="none" w:sz="0" w:space="0" w:color="auto"/>
            <w:bottom w:val="none" w:sz="0" w:space="0" w:color="auto"/>
            <w:right w:val="none" w:sz="0" w:space="0" w:color="auto"/>
          </w:divBdr>
        </w:div>
        <w:div w:id="1921258534">
          <w:marLeft w:val="0"/>
          <w:marRight w:val="0"/>
          <w:marTop w:val="0"/>
          <w:marBottom w:val="0"/>
          <w:divBdr>
            <w:top w:val="none" w:sz="0" w:space="0" w:color="auto"/>
            <w:left w:val="none" w:sz="0" w:space="0" w:color="auto"/>
            <w:bottom w:val="none" w:sz="0" w:space="0" w:color="auto"/>
            <w:right w:val="none" w:sz="0" w:space="0" w:color="auto"/>
          </w:divBdr>
        </w:div>
        <w:div w:id="364604374">
          <w:marLeft w:val="0"/>
          <w:marRight w:val="0"/>
          <w:marTop w:val="0"/>
          <w:marBottom w:val="0"/>
          <w:divBdr>
            <w:top w:val="none" w:sz="0" w:space="0" w:color="auto"/>
            <w:left w:val="none" w:sz="0" w:space="0" w:color="auto"/>
            <w:bottom w:val="none" w:sz="0" w:space="0" w:color="auto"/>
            <w:right w:val="none" w:sz="0" w:space="0" w:color="auto"/>
          </w:divBdr>
        </w:div>
        <w:div w:id="479542891">
          <w:marLeft w:val="0"/>
          <w:marRight w:val="0"/>
          <w:marTop w:val="0"/>
          <w:marBottom w:val="0"/>
          <w:divBdr>
            <w:top w:val="none" w:sz="0" w:space="0" w:color="auto"/>
            <w:left w:val="none" w:sz="0" w:space="0" w:color="auto"/>
            <w:bottom w:val="none" w:sz="0" w:space="0" w:color="auto"/>
            <w:right w:val="none" w:sz="0" w:space="0" w:color="auto"/>
          </w:divBdr>
        </w:div>
        <w:div w:id="831916894">
          <w:marLeft w:val="0"/>
          <w:marRight w:val="0"/>
          <w:marTop w:val="0"/>
          <w:marBottom w:val="0"/>
          <w:divBdr>
            <w:top w:val="none" w:sz="0" w:space="0" w:color="auto"/>
            <w:left w:val="none" w:sz="0" w:space="0" w:color="auto"/>
            <w:bottom w:val="none" w:sz="0" w:space="0" w:color="auto"/>
            <w:right w:val="none" w:sz="0" w:space="0" w:color="auto"/>
          </w:divBdr>
        </w:div>
        <w:div w:id="807553365">
          <w:marLeft w:val="0"/>
          <w:marRight w:val="0"/>
          <w:marTop w:val="0"/>
          <w:marBottom w:val="0"/>
          <w:divBdr>
            <w:top w:val="none" w:sz="0" w:space="0" w:color="auto"/>
            <w:left w:val="none" w:sz="0" w:space="0" w:color="auto"/>
            <w:bottom w:val="none" w:sz="0" w:space="0" w:color="auto"/>
            <w:right w:val="none" w:sz="0" w:space="0" w:color="auto"/>
          </w:divBdr>
        </w:div>
        <w:div w:id="1316646169">
          <w:marLeft w:val="0"/>
          <w:marRight w:val="0"/>
          <w:marTop w:val="0"/>
          <w:marBottom w:val="0"/>
          <w:divBdr>
            <w:top w:val="none" w:sz="0" w:space="0" w:color="auto"/>
            <w:left w:val="none" w:sz="0" w:space="0" w:color="auto"/>
            <w:bottom w:val="none" w:sz="0" w:space="0" w:color="auto"/>
            <w:right w:val="none" w:sz="0" w:space="0" w:color="auto"/>
          </w:divBdr>
        </w:div>
        <w:div w:id="165941990">
          <w:marLeft w:val="0"/>
          <w:marRight w:val="0"/>
          <w:marTop w:val="0"/>
          <w:marBottom w:val="0"/>
          <w:divBdr>
            <w:top w:val="none" w:sz="0" w:space="0" w:color="auto"/>
            <w:left w:val="none" w:sz="0" w:space="0" w:color="auto"/>
            <w:bottom w:val="none" w:sz="0" w:space="0" w:color="auto"/>
            <w:right w:val="none" w:sz="0" w:space="0" w:color="auto"/>
          </w:divBdr>
        </w:div>
        <w:div w:id="144208472">
          <w:marLeft w:val="0"/>
          <w:marRight w:val="0"/>
          <w:marTop w:val="0"/>
          <w:marBottom w:val="0"/>
          <w:divBdr>
            <w:top w:val="none" w:sz="0" w:space="0" w:color="auto"/>
            <w:left w:val="none" w:sz="0" w:space="0" w:color="auto"/>
            <w:bottom w:val="none" w:sz="0" w:space="0" w:color="auto"/>
            <w:right w:val="none" w:sz="0" w:space="0" w:color="auto"/>
          </w:divBdr>
        </w:div>
        <w:div w:id="1345669263">
          <w:marLeft w:val="0"/>
          <w:marRight w:val="0"/>
          <w:marTop w:val="0"/>
          <w:marBottom w:val="0"/>
          <w:divBdr>
            <w:top w:val="none" w:sz="0" w:space="0" w:color="auto"/>
            <w:left w:val="none" w:sz="0" w:space="0" w:color="auto"/>
            <w:bottom w:val="none" w:sz="0" w:space="0" w:color="auto"/>
            <w:right w:val="none" w:sz="0" w:space="0" w:color="auto"/>
          </w:divBdr>
        </w:div>
        <w:div w:id="866722606">
          <w:marLeft w:val="0"/>
          <w:marRight w:val="0"/>
          <w:marTop w:val="0"/>
          <w:marBottom w:val="0"/>
          <w:divBdr>
            <w:top w:val="none" w:sz="0" w:space="0" w:color="auto"/>
            <w:left w:val="none" w:sz="0" w:space="0" w:color="auto"/>
            <w:bottom w:val="none" w:sz="0" w:space="0" w:color="auto"/>
            <w:right w:val="none" w:sz="0" w:space="0" w:color="auto"/>
          </w:divBdr>
        </w:div>
        <w:div w:id="453721195">
          <w:marLeft w:val="0"/>
          <w:marRight w:val="0"/>
          <w:marTop w:val="0"/>
          <w:marBottom w:val="0"/>
          <w:divBdr>
            <w:top w:val="none" w:sz="0" w:space="0" w:color="auto"/>
            <w:left w:val="none" w:sz="0" w:space="0" w:color="auto"/>
            <w:bottom w:val="none" w:sz="0" w:space="0" w:color="auto"/>
            <w:right w:val="none" w:sz="0" w:space="0" w:color="auto"/>
          </w:divBdr>
        </w:div>
        <w:div w:id="1976988040">
          <w:marLeft w:val="0"/>
          <w:marRight w:val="0"/>
          <w:marTop w:val="0"/>
          <w:marBottom w:val="0"/>
          <w:divBdr>
            <w:top w:val="none" w:sz="0" w:space="0" w:color="auto"/>
            <w:left w:val="none" w:sz="0" w:space="0" w:color="auto"/>
            <w:bottom w:val="none" w:sz="0" w:space="0" w:color="auto"/>
            <w:right w:val="none" w:sz="0" w:space="0" w:color="auto"/>
          </w:divBdr>
        </w:div>
        <w:div w:id="180095190">
          <w:marLeft w:val="0"/>
          <w:marRight w:val="0"/>
          <w:marTop w:val="0"/>
          <w:marBottom w:val="0"/>
          <w:divBdr>
            <w:top w:val="none" w:sz="0" w:space="0" w:color="auto"/>
            <w:left w:val="none" w:sz="0" w:space="0" w:color="auto"/>
            <w:bottom w:val="none" w:sz="0" w:space="0" w:color="auto"/>
            <w:right w:val="none" w:sz="0" w:space="0" w:color="auto"/>
          </w:divBdr>
        </w:div>
        <w:div w:id="378407002">
          <w:marLeft w:val="0"/>
          <w:marRight w:val="0"/>
          <w:marTop w:val="0"/>
          <w:marBottom w:val="0"/>
          <w:divBdr>
            <w:top w:val="none" w:sz="0" w:space="0" w:color="auto"/>
            <w:left w:val="none" w:sz="0" w:space="0" w:color="auto"/>
            <w:bottom w:val="none" w:sz="0" w:space="0" w:color="auto"/>
            <w:right w:val="none" w:sz="0" w:space="0" w:color="auto"/>
          </w:divBdr>
        </w:div>
        <w:div w:id="1999767092">
          <w:marLeft w:val="0"/>
          <w:marRight w:val="0"/>
          <w:marTop w:val="0"/>
          <w:marBottom w:val="0"/>
          <w:divBdr>
            <w:top w:val="none" w:sz="0" w:space="0" w:color="auto"/>
            <w:left w:val="none" w:sz="0" w:space="0" w:color="auto"/>
            <w:bottom w:val="none" w:sz="0" w:space="0" w:color="auto"/>
            <w:right w:val="none" w:sz="0" w:space="0" w:color="auto"/>
          </w:divBdr>
        </w:div>
        <w:div w:id="136729794">
          <w:marLeft w:val="0"/>
          <w:marRight w:val="0"/>
          <w:marTop w:val="0"/>
          <w:marBottom w:val="0"/>
          <w:divBdr>
            <w:top w:val="none" w:sz="0" w:space="0" w:color="auto"/>
            <w:left w:val="none" w:sz="0" w:space="0" w:color="auto"/>
            <w:bottom w:val="none" w:sz="0" w:space="0" w:color="auto"/>
            <w:right w:val="none" w:sz="0" w:space="0" w:color="auto"/>
          </w:divBdr>
        </w:div>
        <w:div w:id="642589818">
          <w:marLeft w:val="0"/>
          <w:marRight w:val="0"/>
          <w:marTop w:val="0"/>
          <w:marBottom w:val="0"/>
          <w:divBdr>
            <w:top w:val="none" w:sz="0" w:space="0" w:color="auto"/>
            <w:left w:val="none" w:sz="0" w:space="0" w:color="auto"/>
            <w:bottom w:val="none" w:sz="0" w:space="0" w:color="auto"/>
            <w:right w:val="none" w:sz="0" w:space="0" w:color="auto"/>
          </w:divBdr>
        </w:div>
        <w:div w:id="1615558800">
          <w:marLeft w:val="0"/>
          <w:marRight w:val="0"/>
          <w:marTop w:val="0"/>
          <w:marBottom w:val="0"/>
          <w:divBdr>
            <w:top w:val="none" w:sz="0" w:space="0" w:color="auto"/>
            <w:left w:val="none" w:sz="0" w:space="0" w:color="auto"/>
            <w:bottom w:val="none" w:sz="0" w:space="0" w:color="auto"/>
            <w:right w:val="none" w:sz="0" w:space="0" w:color="auto"/>
          </w:divBdr>
        </w:div>
        <w:div w:id="1294945095">
          <w:marLeft w:val="0"/>
          <w:marRight w:val="0"/>
          <w:marTop w:val="0"/>
          <w:marBottom w:val="0"/>
          <w:divBdr>
            <w:top w:val="none" w:sz="0" w:space="0" w:color="auto"/>
            <w:left w:val="none" w:sz="0" w:space="0" w:color="auto"/>
            <w:bottom w:val="none" w:sz="0" w:space="0" w:color="auto"/>
            <w:right w:val="none" w:sz="0" w:space="0" w:color="auto"/>
          </w:divBdr>
        </w:div>
        <w:div w:id="2042854783">
          <w:marLeft w:val="0"/>
          <w:marRight w:val="0"/>
          <w:marTop w:val="0"/>
          <w:marBottom w:val="0"/>
          <w:divBdr>
            <w:top w:val="none" w:sz="0" w:space="0" w:color="auto"/>
            <w:left w:val="none" w:sz="0" w:space="0" w:color="auto"/>
            <w:bottom w:val="none" w:sz="0" w:space="0" w:color="auto"/>
            <w:right w:val="none" w:sz="0" w:space="0" w:color="auto"/>
          </w:divBdr>
        </w:div>
        <w:div w:id="227769082">
          <w:marLeft w:val="0"/>
          <w:marRight w:val="0"/>
          <w:marTop w:val="0"/>
          <w:marBottom w:val="0"/>
          <w:divBdr>
            <w:top w:val="none" w:sz="0" w:space="0" w:color="auto"/>
            <w:left w:val="none" w:sz="0" w:space="0" w:color="auto"/>
            <w:bottom w:val="none" w:sz="0" w:space="0" w:color="auto"/>
            <w:right w:val="none" w:sz="0" w:space="0" w:color="auto"/>
          </w:divBdr>
        </w:div>
        <w:div w:id="18148353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ystal.willis@energy.c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aw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a3b740af6b7728da293039d35936088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1e29bf98bc4514591bc37b401a68190"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Hockaday, Angela@Energy</DisplayName>
        <AccountId>848</AccountId>
        <AccountType/>
      </UserInfo>
      <UserInfo>
        <DisplayName>Irish, Cory@Energy</DisplayName>
        <AccountId>142</AccountId>
        <AccountType/>
      </UserInfo>
      <UserInfo>
        <DisplayName>Monahan, Patricia@Energy</DisplayName>
        <AccountId>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CB1099CC-7486-4873-B0D4-311247F39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4D7B963A-0001-42A2-886D-EA81ABF0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NOPA GFO-20-603</vt:lpstr>
    </vt:vector>
  </TitlesOfParts>
  <Company>Wobschall Design</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GFO-21-603 NOPA Cover Letter</dc:title>
  <dc:subject/>
  <dc:creator>CaliforniaEnergyCommission1@caenergy.onmicrosoft.com</dc:creator>
  <cp:keywords/>
  <dc:description/>
  <cp:lastModifiedBy>Worster, Brad@Energy</cp:lastModifiedBy>
  <cp:revision>18</cp:revision>
  <cp:lastPrinted>2019-04-08T16:38:00Z</cp:lastPrinted>
  <dcterms:created xsi:type="dcterms:W3CDTF">2023-08-10T23:30:00Z</dcterms:created>
  <dcterms:modified xsi:type="dcterms:W3CDTF">2023-09-27T17:30:00Z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