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00AF9C8" w:rsidR="009E6C35" w:rsidRPr="003D5F92" w:rsidRDefault="00353981" w:rsidP="00B33F69">
      <w:pPr>
        <w:pStyle w:val="paragraph"/>
        <w:ind w:left="4320"/>
        <w:jc w:val="right"/>
        <w:textAlignment w:val="baseline"/>
        <w:rPr>
          <w:rStyle w:val="normaltextrun"/>
          <w:rFonts w:ascii="Tahoma" w:hAnsi="Tahoma" w:cs="Tahoma"/>
        </w:rPr>
      </w:pPr>
      <w:r w:rsidRPr="0D9DC20C">
        <w:rPr>
          <w:rStyle w:val="normaltextrun"/>
          <w:rFonts w:ascii="Tahoma" w:hAnsi="Tahoma" w:cs="Tahoma"/>
        </w:rPr>
        <w:t>October</w:t>
      </w:r>
      <w:r w:rsidR="00C315CE" w:rsidRPr="0D9DC20C">
        <w:rPr>
          <w:rStyle w:val="normaltextrun"/>
          <w:rFonts w:ascii="Tahoma" w:hAnsi="Tahoma" w:cs="Tahoma"/>
        </w:rPr>
        <w:t xml:space="preserve"> </w:t>
      </w:r>
      <w:r w:rsidR="693E293C" w:rsidRPr="0050582B">
        <w:rPr>
          <w:rStyle w:val="normaltextrun"/>
          <w:rFonts w:ascii="Tahoma" w:hAnsi="Tahoma" w:cs="Tahoma"/>
        </w:rPr>
        <w:t>27</w:t>
      </w:r>
      <w:r w:rsidR="0079120A" w:rsidRPr="0D9DC20C">
        <w:rPr>
          <w:rStyle w:val="normaltextrun"/>
          <w:rFonts w:ascii="Tahoma" w:hAnsi="Tahoma" w:cs="Tahoma"/>
        </w:rPr>
        <w:t>, 2023</w:t>
      </w:r>
    </w:p>
    <w:p w14:paraId="3049D69B" w14:textId="7F41EBA7"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3-603</w:t>
      </w:r>
    </w:p>
    <w:p w14:paraId="42942324" w14:textId="77777777" w:rsidR="0045786A" w:rsidRPr="003D5F92" w:rsidRDefault="0045786A" w:rsidP="0045786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rPr>
        <w:t xml:space="preserve">Implementation of Medium- and Heavy-Duty </w:t>
      </w:r>
    </w:p>
    <w:p w14:paraId="48150308" w14:textId="77777777" w:rsidR="0045786A" w:rsidRPr="003D5F92" w:rsidRDefault="0045786A" w:rsidP="0045786A">
      <w:pPr>
        <w:autoSpaceDE w:val="0"/>
        <w:autoSpaceDN w:val="0"/>
        <w:adjustRightInd w:val="0"/>
        <w:jc w:val="center"/>
        <w:rPr>
          <w:rFonts w:ascii="Tahoma" w:eastAsia="Calibri" w:hAnsi="Tahoma" w:cs="Tahoma"/>
          <w:b/>
          <w:bCs/>
          <w:color w:val="000000"/>
        </w:rPr>
      </w:pPr>
      <w:r w:rsidRPr="003D5F92">
        <w:rPr>
          <w:rFonts w:ascii="Tahoma" w:eastAsia="Calibri" w:hAnsi="Tahoma" w:cs="Tahoma"/>
          <w:b/>
          <w:bCs/>
          <w:color w:val="000000"/>
        </w:rPr>
        <w:t>Zero-Emission Vehicle Infrastructure Blueprints</w:t>
      </w:r>
    </w:p>
    <w:p w14:paraId="04F4E8D0" w14:textId="77777777" w:rsidR="0045786A" w:rsidRPr="003D5F92" w:rsidRDefault="0045786A" w:rsidP="00B1122A">
      <w:pPr>
        <w:autoSpaceDE w:val="0"/>
        <w:autoSpaceDN w:val="0"/>
        <w:adjustRightInd w:val="0"/>
        <w:jc w:val="center"/>
        <w:rPr>
          <w:rFonts w:ascii="Tahoma" w:eastAsia="Calibri" w:hAnsi="Tahoma" w:cs="Tahoma"/>
          <w:b/>
          <w:bCs/>
          <w:color w:val="000000"/>
        </w:rPr>
      </w:pPr>
    </w:p>
    <w:p w14:paraId="6587D6BB" w14:textId="7ACC3566"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50582B">
        <w:rPr>
          <w:rFonts w:ascii="Tahoma" w:eastAsia="Calibri" w:hAnsi="Tahoma" w:cs="Tahoma"/>
          <w:b/>
          <w:bCs/>
          <w:color w:val="000000" w:themeColor="text1"/>
        </w:rPr>
        <w:t>0</w:t>
      </w:r>
      <w:r w:rsidR="7E5AC5E6" w:rsidRPr="0D9DC20C">
        <w:rPr>
          <w:rFonts w:ascii="Tahoma" w:eastAsia="Calibri" w:hAnsi="Tahoma" w:cs="Tahoma"/>
          <w:b/>
          <w:bCs/>
          <w:color w:val="000000" w:themeColor="text1"/>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72787A67"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3-603</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64F1707E"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the following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42B2FCAF" w14:textId="006DB537" w:rsidR="00B1122A" w:rsidRPr="003D5F92" w:rsidRDefault="00B1122A" w:rsidP="00B1122A">
      <w:pPr>
        <w:keepNext/>
        <w:keepLines/>
        <w:spacing w:after="240"/>
        <w:outlineLvl w:val="1"/>
        <w:rPr>
          <w:rFonts w:ascii="Tahoma" w:eastAsiaTheme="majorEastAsia" w:hAnsi="Tahoma" w:cs="Tahoma"/>
          <w:b/>
        </w:rPr>
      </w:pPr>
      <w:r w:rsidRPr="003D5F92">
        <w:rPr>
          <w:rFonts w:ascii="Tahoma" w:eastAsiaTheme="majorEastAsia" w:hAnsi="Tahoma" w:cs="Tahoma"/>
          <w:b/>
        </w:rPr>
        <w:t xml:space="preserve">Solicitation Manual </w:t>
      </w:r>
    </w:p>
    <w:p w14:paraId="48AA6D7C" w14:textId="77777777" w:rsidR="00F25347" w:rsidRPr="00F25347" w:rsidRDefault="00546779" w:rsidP="003077B7">
      <w:pPr>
        <w:keepNext/>
        <w:keepLines/>
        <w:numPr>
          <w:ilvl w:val="0"/>
          <w:numId w:val="4"/>
        </w:numPr>
        <w:spacing w:before="40"/>
        <w:ind w:left="360"/>
        <w:outlineLvl w:val="2"/>
        <w:rPr>
          <w:rStyle w:val="normaltextrun"/>
          <w:rFonts w:ascii="Tahoma" w:eastAsiaTheme="majorEastAsia" w:hAnsi="Tahoma" w:cs="Tahoma"/>
          <w:b/>
          <w:bCs/>
        </w:rPr>
      </w:pPr>
      <w:r>
        <w:rPr>
          <w:rFonts w:ascii="Tahoma" w:eastAsiaTheme="majorEastAsia" w:hAnsi="Tahoma" w:cs="Tahoma"/>
          <w:b/>
          <w:bCs/>
        </w:rPr>
        <w:t>Section I.H MAXIMUM NUMBER OF APPLICATIONS</w:t>
      </w:r>
      <w:r w:rsidR="007B3CC9">
        <w:rPr>
          <w:rFonts w:ascii="Tahoma" w:eastAsiaTheme="majorEastAsia" w:hAnsi="Tahoma" w:cs="Tahoma"/>
          <w:b/>
          <w:bCs/>
        </w:rPr>
        <w:t>, page 7</w:t>
      </w:r>
      <w:r w:rsidR="007B3CC9">
        <w:rPr>
          <w:rFonts w:ascii="Tahoma" w:eastAsiaTheme="majorEastAsia" w:hAnsi="Tahoma" w:cs="Tahoma"/>
          <w:b/>
          <w:bCs/>
        </w:rPr>
        <w:br/>
      </w:r>
      <w:r w:rsidR="007B3CC9">
        <w:rPr>
          <w:rFonts w:ascii="Tahoma" w:eastAsiaTheme="majorEastAsia" w:hAnsi="Tahoma" w:cs="Tahoma"/>
          <w:b/>
          <w:bCs/>
        </w:rPr>
        <w:br/>
      </w:r>
      <w:r w:rsidR="003077B7" w:rsidRPr="003077B7">
        <w:rPr>
          <w:rStyle w:val="normaltextrun"/>
          <w:rFonts w:ascii="Tahoma" w:hAnsi="Tahoma" w:cs="Tahoma"/>
        </w:rPr>
        <w:t>Applicants may submit multiple applications under this solicitation. [</w:t>
      </w:r>
      <w:r w:rsidR="003077B7" w:rsidRPr="003077B7">
        <w:rPr>
          <w:rStyle w:val="normaltextrun"/>
          <w:rFonts w:ascii="Tahoma" w:hAnsi="Tahoma" w:cs="Tahoma"/>
          <w:strike/>
        </w:rPr>
        <w:t>Each application must address a separate site and the proposed project must be distinct and adhere to all requirements contained in this solicitation.</w:t>
      </w:r>
      <w:r w:rsidR="003077B7" w:rsidRPr="003077B7">
        <w:rPr>
          <w:rStyle w:val="normaltextrun"/>
          <w:rFonts w:ascii="Tahoma" w:hAnsi="Tahoma" w:cs="Tahoma"/>
        </w:rPr>
        <w:t>]</w:t>
      </w:r>
    </w:p>
    <w:p w14:paraId="08F9BC3F" w14:textId="77777777" w:rsidR="00F25347" w:rsidRDefault="00F25347" w:rsidP="00F25347">
      <w:pPr>
        <w:rPr>
          <w:rFonts w:ascii="Tahoma" w:hAnsi="Tahoma" w:cs="Tahoma"/>
        </w:rPr>
      </w:pPr>
    </w:p>
    <w:p w14:paraId="4D371AD8" w14:textId="606E77E0" w:rsidR="00F25347" w:rsidRPr="00F25347" w:rsidRDefault="00F25347" w:rsidP="00F25347">
      <w:pPr>
        <w:ind w:left="360"/>
        <w:rPr>
          <w:rFonts w:ascii="Tahoma" w:hAnsi="Tahoma" w:cs="Tahoma"/>
        </w:rPr>
      </w:pPr>
      <w:r w:rsidRPr="00F25347">
        <w:rPr>
          <w:rFonts w:ascii="Tahoma" w:hAnsi="Tahoma" w:cs="Tahoma"/>
        </w:rPr>
        <w:t>Applicants must identify only one Project Group per the table in Section I.G that the proposed project in their application principally addresses. Each proposed project must be separate and distinct. A separate and distinct application means there is no overlap with respect to the tasks described in the Scope of Work (Attachment 01) of the application.</w:t>
      </w:r>
    </w:p>
    <w:p w14:paraId="560DA06B" w14:textId="77777777" w:rsidR="00F25347" w:rsidRPr="00F25347" w:rsidRDefault="00F25347" w:rsidP="00F25347">
      <w:pPr>
        <w:pStyle w:val="ListParagraph"/>
        <w:rPr>
          <w:rFonts w:ascii="Tahoma" w:hAnsi="Tahoma" w:cs="Tahoma"/>
        </w:rPr>
      </w:pPr>
    </w:p>
    <w:p w14:paraId="63CFFB71" w14:textId="77777777" w:rsidR="00F25347" w:rsidRPr="00F25347" w:rsidRDefault="00F25347" w:rsidP="00F25347">
      <w:pPr>
        <w:ind w:left="360"/>
        <w:rPr>
          <w:rFonts w:ascii="Tahoma" w:hAnsi="Tahoma" w:cs="Tahoma"/>
          <w:highlight w:val="yellow"/>
        </w:rPr>
      </w:pPr>
      <w:r w:rsidRPr="00F25347">
        <w:rPr>
          <w:rFonts w:ascii="Tahoma" w:hAnsi="Tahoma" w:cs="Tahoma"/>
        </w:rPr>
        <w:t>The CEC reserves the right to reject an application and/or cancel an award if at any time an Applicant’s proposed project overlaps with another proposed project by the same Applicant. Thus, if two or more applications, by the same Applicant, overlap in project scope, the application(s) with the lower score(s) may be disqualified from award.</w:t>
      </w:r>
    </w:p>
    <w:p w14:paraId="566EAAAD" w14:textId="3360D498" w:rsidR="00546779" w:rsidRPr="003077B7" w:rsidRDefault="003077B7" w:rsidP="00F25347">
      <w:pPr>
        <w:keepNext/>
        <w:keepLines/>
        <w:spacing w:before="40"/>
        <w:ind w:left="360"/>
        <w:outlineLvl w:val="2"/>
        <w:rPr>
          <w:rFonts w:ascii="Tahoma" w:eastAsiaTheme="majorEastAsia" w:hAnsi="Tahoma" w:cs="Tahoma"/>
          <w:b/>
          <w:bCs/>
        </w:rPr>
      </w:pPr>
      <w:r w:rsidRPr="003077B7">
        <w:rPr>
          <w:rStyle w:val="eop"/>
          <w:rFonts w:ascii="Tahoma" w:hAnsi="Tahoma" w:cs="Tahoma"/>
          <w:shd w:val="clear" w:color="auto" w:fill="FFFFFF"/>
        </w:rPr>
        <w:t> </w:t>
      </w:r>
    </w:p>
    <w:p w14:paraId="751649D6" w14:textId="50E8F3D4" w:rsidR="001261BE" w:rsidRPr="00A76860" w:rsidRDefault="001261BE" w:rsidP="0D9DC20C">
      <w:pPr>
        <w:keepNext/>
        <w:keepLines/>
        <w:numPr>
          <w:ilvl w:val="0"/>
          <w:numId w:val="4"/>
        </w:numPr>
        <w:spacing w:before="40"/>
        <w:ind w:left="360"/>
        <w:outlineLvl w:val="2"/>
        <w:rPr>
          <w:rFonts w:ascii="Tahoma" w:eastAsiaTheme="majorEastAsia" w:hAnsi="Tahoma" w:cs="Tahoma"/>
          <w:b/>
          <w:bCs/>
        </w:rPr>
      </w:pPr>
      <w:r w:rsidRPr="00A76860">
        <w:rPr>
          <w:rFonts w:ascii="Tahoma" w:eastAsiaTheme="majorEastAsia" w:hAnsi="Tahoma" w:cs="Tahoma"/>
          <w:b/>
          <w:bCs/>
        </w:rPr>
        <w:t xml:space="preserve">Section </w:t>
      </w:r>
      <w:r w:rsidR="2C538143" w:rsidRPr="00A76860">
        <w:rPr>
          <w:rFonts w:ascii="Tahoma" w:eastAsiaTheme="majorEastAsia" w:hAnsi="Tahoma" w:cs="Tahoma"/>
          <w:b/>
          <w:bCs/>
        </w:rPr>
        <w:t>I</w:t>
      </w:r>
      <w:r w:rsidR="00B2160E" w:rsidRPr="00A76860">
        <w:rPr>
          <w:rFonts w:ascii="Tahoma" w:eastAsiaTheme="majorEastAsia" w:hAnsi="Tahoma" w:cs="Tahoma"/>
          <w:b/>
          <w:bCs/>
        </w:rPr>
        <w:t>I</w:t>
      </w:r>
      <w:r w:rsidR="00256C04" w:rsidRPr="00A76860">
        <w:rPr>
          <w:rFonts w:ascii="Tahoma" w:eastAsiaTheme="majorEastAsia" w:hAnsi="Tahoma" w:cs="Tahoma"/>
          <w:b/>
          <w:bCs/>
        </w:rPr>
        <w:t>.</w:t>
      </w:r>
      <w:r w:rsidR="00B2160E" w:rsidRPr="00A76860">
        <w:rPr>
          <w:rFonts w:ascii="Tahoma" w:eastAsiaTheme="majorEastAsia" w:hAnsi="Tahoma" w:cs="Tahoma"/>
          <w:b/>
          <w:bCs/>
        </w:rPr>
        <w:t>C</w:t>
      </w:r>
      <w:r w:rsidRPr="00A76860">
        <w:rPr>
          <w:rFonts w:ascii="Tahoma" w:eastAsiaTheme="majorEastAsia" w:hAnsi="Tahoma" w:cs="Tahoma"/>
          <w:b/>
          <w:bCs/>
        </w:rPr>
        <w:t xml:space="preserve"> </w:t>
      </w:r>
      <w:r w:rsidR="00926DAF" w:rsidRPr="00A76860">
        <w:rPr>
          <w:rFonts w:ascii="Tahoma" w:eastAsiaTheme="majorEastAsia" w:hAnsi="Tahoma" w:cs="Tahoma"/>
          <w:b/>
          <w:bCs/>
        </w:rPr>
        <w:t>ELIGIBLE PROJECT COSTS</w:t>
      </w:r>
      <w:r w:rsidR="007E1C46">
        <w:rPr>
          <w:rFonts w:ascii="Tahoma" w:eastAsiaTheme="majorEastAsia" w:hAnsi="Tahoma" w:cs="Tahoma"/>
          <w:b/>
          <w:bCs/>
        </w:rPr>
        <w:t>, p</w:t>
      </w:r>
      <w:r w:rsidR="007E1C46" w:rsidRPr="00A76860">
        <w:rPr>
          <w:rFonts w:ascii="Tahoma" w:eastAsiaTheme="majorEastAsia" w:hAnsi="Tahoma" w:cs="Tahoma"/>
          <w:b/>
          <w:bCs/>
        </w:rPr>
        <w:t>ages 20 &amp; 21</w:t>
      </w:r>
    </w:p>
    <w:p w14:paraId="39E0F5C8" w14:textId="77777777" w:rsidR="00353981" w:rsidRDefault="00353981" w:rsidP="002829DB">
      <w:pPr>
        <w:ind w:left="360"/>
      </w:pPr>
    </w:p>
    <w:p w14:paraId="58327941" w14:textId="77777777" w:rsidR="002829DB" w:rsidRPr="00CE3D6A" w:rsidRDefault="002829DB" w:rsidP="002829DB">
      <w:pPr>
        <w:pStyle w:val="ListParagraph"/>
        <w:numPr>
          <w:ilvl w:val="0"/>
          <w:numId w:val="16"/>
        </w:numPr>
        <w:ind w:left="1440" w:hanging="720"/>
        <w:contextualSpacing w:val="0"/>
        <w:rPr>
          <w:rFonts w:ascii="Tahoma" w:hAnsi="Tahoma" w:cs="Tahoma"/>
          <w:shd w:val="clear" w:color="auto" w:fill="FFFFFF"/>
        </w:rPr>
      </w:pPr>
      <w:r w:rsidRPr="00CE3D6A">
        <w:rPr>
          <w:rFonts w:ascii="Tahoma" w:hAnsi="Tahoma" w:cs="Tahoma"/>
          <w:shd w:val="clear" w:color="auto" w:fill="FFFFFF"/>
        </w:rPr>
        <w:t xml:space="preserve">For Electric Vehicle Charging Infrastructure: </w:t>
      </w:r>
    </w:p>
    <w:p w14:paraId="23628B41" w14:textId="77777777" w:rsidR="002829DB" w:rsidRPr="00CE3D6A" w:rsidRDefault="002829DB" w:rsidP="002829DB">
      <w:pPr>
        <w:ind w:left="720"/>
        <w:jc w:val="both"/>
        <w:rPr>
          <w:rFonts w:ascii="Tahoma" w:hAnsi="Tahoma" w:cs="Tahoma"/>
          <w:shd w:val="clear" w:color="auto" w:fill="FFFFFF"/>
        </w:rPr>
      </w:pPr>
    </w:p>
    <w:p w14:paraId="168511E2" w14:textId="77777777" w:rsidR="002829DB" w:rsidRPr="00CE3D6A" w:rsidRDefault="002829DB" w:rsidP="002829DB">
      <w:pPr>
        <w:numPr>
          <w:ilvl w:val="0"/>
          <w:numId w:val="14"/>
        </w:numPr>
        <w:spacing w:after="120"/>
        <w:ind w:left="2160" w:hanging="720"/>
        <w:textAlignment w:val="baseline"/>
        <w:rPr>
          <w:rFonts w:ascii="Tahoma" w:hAnsi="Tahoma" w:cs="Tahoma"/>
        </w:rPr>
      </w:pPr>
      <w:r w:rsidRPr="00CE3D6A">
        <w:rPr>
          <w:rFonts w:ascii="Tahoma" w:hAnsi="Tahoma" w:cs="Tahoma"/>
        </w:rPr>
        <w:t>Electric vehicle supply equipment</w:t>
      </w:r>
    </w:p>
    <w:p w14:paraId="0A0BD9B4" w14:textId="77777777" w:rsidR="002829DB" w:rsidRPr="00CE3D6A" w:rsidRDefault="002829DB" w:rsidP="002829DB">
      <w:pPr>
        <w:numPr>
          <w:ilvl w:val="0"/>
          <w:numId w:val="14"/>
        </w:numPr>
        <w:spacing w:after="120"/>
        <w:ind w:left="2160" w:hanging="720"/>
        <w:textAlignment w:val="baseline"/>
        <w:rPr>
          <w:rFonts w:ascii="Tahoma" w:hAnsi="Tahoma" w:cs="Tahoma"/>
        </w:rPr>
      </w:pPr>
      <w:r w:rsidRPr="00CE3D6A">
        <w:rPr>
          <w:rFonts w:ascii="Tahoma" w:hAnsi="Tahoma" w:cs="Tahoma"/>
        </w:rPr>
        <w:lastRenderedPageBreak/>
        <w:t>Transformers </w:t>
      </w:r>
    </w:p>
    <w:p w14:paraId="03AB96A0" w14:textId="77777777" w:rsidR="002829DB" w:rsidRPr="00CE3D6A" w:rsidRDefault="002829DB" w:rsidP="002829DB">
      <w:pPr>
        <w:numPr>
          <w:ilvl w:val="0"/>
          <w:numId w:val="14"/>
        </w:numPr>
        <w:spacing w:after="120"/>
        <w:ind w:left="2160" w:hanging="720"/>
        <w:textAlignment w:val="baseline"/>
        <w:rPr>
          <w:rFonts w:ascii="Tahoma" w:hAnsi="Tahoma" w:cs="Tahoma"/>
        </w:rPr>
      </w:pPr>
      <w:r w:rsidRPr="00CE3D6A">
        <w:rPr>
          <w:rFonts w:ascii="Tahoma" w:hAnsi="Tahoma" w:cs="Tahoma"/>
        </w:rPr>
        <w:t>Electric panels </w:t>
      </w:r>
    </w:p>
    <w:p w14:paraId="68BE2F7F" w14:textId="77777777" w:rsidR="002829DB" w:rsidRPr="00CE3D6A" w:rsidRDefault="002829DB" w:rsidP="002829DB">
      <w:pPr>
        <w:numPr>
          <w:ilvl w:val="0"/>
          <w:numId w:val="14"/>
        </w:numPr>
        <w:spacing w:after="120"/>
        <w:ind w:left="2160" w:hanging="720"/>
        <w:textAlignment w:val="baseline"/>
        <w:rPr>
          <w:rFonts w:ascii="Tahoma" w:hAnsi="Tahoma" w:cs="Tahoma"/>
        </w:rPr>
      </w:pPr>
      <w:r w:rsidRPr="00CE3D6A">
        <w:rPr>
          <w:rFonts w:ascii="Tahoma" w:hAnsi="Tahoma" w:cs="Tahoma"/>
        </w:rPr>
        <w:t>Conduit </w:t>
      </w:r>
    </w:p>
    <w:p w14:paraId="6330FDE4" w14:textId="77777777" w:rsidR="002829DB" w:rsidRPr="00CE3D6A" w:rsidRDefault="002829DB" w:rsidP="002829DB">
      <w:pPr>
        <w:numPr>
          <w:ilvl w:val="0"/>
          <w:numId w:val="14"/>
        </w:numPr>
        <w:spacing w:after="120"/>
        <w:ind w:left="2160" w:hanging="720"/>
        <w:textAlignment w:val="baseline"/>
        <w:rPr>
          <w:rFonts w:ascii="Tahoma" w:hAnsi="Tahoma" w:cs="Tahoma"/>
        </w:rPr>
      </w:pPr>
      <w:r w:rsidRPr="00CE3D6A">
        <w:rPr>
          <w:rFonts w:ascii="Tahoma" w:hAnsi="Tahoma" w:cs="Tahoma"/>
        </w:rPr>
        <w:t>Wiring </w:t>
      </w:r>
    </w:p>
    <w:p w14:paraId="6988FD1A" w14:textId="77777777" w:rsidR="002829DB" w:rsidRPr="00CE3D6A" w:rsidRDefault="002829DB" w:rsidP="002829DB">
      <w:pPr>
        <w:numPr>
          <w:ilvl w:val="0"/>
          <w:numId w:val="12"/>
        </w:numPr>
        <w:spacing w:after="120"/>
        <w:ind w:left="2160" w:hanging="720"/>
        <w:textAlignment w:val="baseline"/>
        <w:rPr>
          <w:rFonts w:ascii="Tahoma" w:hAnsi="Tahoma" w:cs="Tahoma"/>
        </w:rPr>
      </w:pPr>
      <w:r w:rsidRPr="00CE3D6A">
        <w:rPr>
          <w:rFonts w:ascii="Tahoma" w:hAnsi="Tahoma" w:cs="Tahoma"/>
        </w:rPr>
        <w:t>Photovoltaic solar panels separately metered for electric charging </w:t>
      </w:r>
    </w:p>
    <w:p w14:paraId="4762B027" w14:textId="77777777" w:rsidR="002829DB" w:rsidRPr="00CE3D6A" w:rsidRDefault="002829DB" w:rsidP="002829DB">
      <w:pPr>
        <w:pStyle w:val="ListParagraph"/>
        <w:numPr>
          <w:ilvl w:val="0"/>
          <w:numId w:val="12"/>
        </w:numPr>
        <w:spacing w:after="120"/>
        <w:ind w:left="2160" w:hanging="720"/>
        <w:contextualSpacing w:val="0"/>
        <w:rPr>
          <w:rFonts w:ascii="Tahoma" w:hAnsi="Tahoma" w:cs="Tahoma"/>
          <w:shd w:val="clear" w:color="auto" w:fill="FFFFFF"/>
        </w:rPr>
      </w:pPr>
      <w:r w:rsidRPr="00CE3D6A">
        <w:rPr>
          <w:rFonts w:ascii="Tahoma" w:hAnsi="Tahoma" w:cs="Tahoma"/>
          <w:shd w:val="clear" w:color="auto" w:fill="FFFFFF"/>
        </w:rPr>
        <w:t>Commercially available renewable distributed energy resource (DER) equipment for supplying power to EV chargers for vehicle charging</w:t>
      </w:r>
    </w:p>
    <w:p w14:paraId="300C9C9D" w14:textId="77777777" w:rsidR="002829DB" w:rsidRPr="00CE3D6A" w:rsidRDefault="002829DB" w:rsidP="002829DB">
      <w:pPr>
        <w:pStyle w:val="ListParagraph"/>
        <w:numPr>
          <w:ilvl w:val="0"/>
          <w:numId w:val="12"/>
        </w:numPr>
        <w:spacing w:after="120"/>
        <w:ind w:left="2160" w:hanging="720"/>
        <w:contextualSpacing w:val="0"/>
        <w:rPr>
          <w:rFonts w:ascii="Tahoma" w:hAnsi="Tahoma" w:cs="Tahoma"/>
          <w:shd w:val="clear" w:color="auto" w:fill="FFFFFF"/>
        </w:rPr>
      </w:pPr>
      <w:r w:rsidRPr="00CE3D6A">
        <w:rPr>
          <w:rFonts w:ascii="Tahoma" w:hAnsi="Tahoma" w:cs="Tahoma"/>
          <w:shd w:val="clear" w:color="auto" w:fill="FFFFFF"/>
        </w:rPr>
        <w:t xml:space="preserve">Commercially available battery energy system storage equipment </w:t>
      </w:r>
    </w:p>
    <w:p w14:paraId="6EE101B5" w14:textId="77777777" w:rsidR="002829DB" w:rsidRPr="00CE3D6A" w:rsidRDefault="002829DB" w:rsidP="002829DB">
      <w:pPr>
        <w:numPr>
          <w:ilvl w:val="0"/>
          <w:numId w:val="13"/>
        </w:numPr>
        <w:spacing w:after="120"/>
        <w:ind w:left="2160" w:hanging="720"/>
        <w:textAlignment w:val="baseline"/>
        <w:rPr>
          <w:rFonts w:ascii="Tahoma" w:hAnsi="Tahoma" w:cs="Tahoma"/>
        </w:rPr>
      </w:pPr>
      <w:r w:rsidRPr="00CE3D6A">
        <w:rPr>
          <w:rFonts w:ascii="Tahoma" w:hAnsi="Tahoma" w:cs="Tahoma"/>
        </w:rPr>
        <w:t>Meters </w:t>
      </w:r>
    </w:p>
    <w:p w14:paraId="490B7251" w14:textId="77777777" w:rsidR="002829DB" w:rsidRPr="00CE3D6A" w:rsidRDefault="002829DB" w:rsidP="002829DB">
      <w:pPr>
        <w:pStyle w:val="ListParagraph"/>
        <w:numPr>
          <w:ilvl w:val="0"/>
          <w:numId w:val="13"/>
        </w:numPr>
        <w:tabs>
          <w:tab w:val="clear" w:pos="720"/>
        </w:tabs>
        <w:spacing w:after="120"/>
        <w:ind w:left="2160" w:hanging="720"/>
        <w:contextualSpacing w:val="0"/>
        <w:textAlignment w:val="baseline"/>
        <w:rPr>
          <w:rFonts w:ascii="Tahoma" w:hAnsi="Tahoma" w:cs="Tahoma"/>
        </w:rPr>
      </w:pPr>
      <w:r w:rsidRPr="00CE3D6A">
        <w:rPr>
          <w:rFonts w:ascii="Tahoma" w:hAnsi="Tahoma" w:cs="Tahoma"/>
        </w:rPr>
        <w:t>Point of Sale Systems</w:t>
      </w:r>
    </w:p>
    <w:p w14:paraId="572D671D" w14:textId="77777777" w:rsidR="002829DB" w:rsidRPr="00CE3D6A" w:rsidRDefault="002829DB" w:rsidP="002829DB">
      <w:pPr>
        <w:numPr>
          <w:ilvl w:val="0"/>
          <w:numId w:val="13"/>
        </w:numPr>
        <w:spacing w:after="120"/>
        <w:ind w:left="2160" w:hanging="720"/>
        <w:textAlignment w:val="baseline"/>
        <w:rPr>
          <w:rFonts w:ascii="Tahoma" w:hAnsi="Tahoma" w:cs="Tahoma"/>
        </w:rPr>
      </w:pPr>
      <w:r w:rsidRPr="00CE3D6A">
        <w:rPr>
          <w:rFonts w:ascii="Tahoma" w:hAnsi="Tahoma" w:cs="Tahoma"/>
        </w:rPr>
        <w:t>Stub-outs</w:t>
      </w:r>
    </w:p>
    <w:p w14:paraId="03D9ADA3" w14:textId="77777777" w:rsidR="002829DB" w:rsidRPr="00CE3D6A" w:rsidRDefault="002829DB" w:rsidP="002829DB">
      <w:pPr>
        <w:numPr>
          <w:ilvl w:val="0"/>
          <w:numId w:val="13"/>
        </w:numPr>
        <w:spacing w:after="120"/>
        <w:ind w:left="2160" w:hanging="720"/>
        <w:textAlignment w:val="baseline"/>
        <w:rPr>
          <w:rFonts w:ascii="Tahoma" w:hAnsi="Tahoma" w:cs="Tahoma"/>
        </w:rPr>
      </w:pPr>
      <w:r w:rsidRPr="00CE3D6A">
        <w:rPr>
          <w:rFonts w:ascii="Tahoma" w:hAnsi="Tahoma" w:cs="Tahoma"/>
        </w:rPr>
        <w:t>Installation costs </w:t>
      </w:r>
    </w:p>
    <w:p w14:paraId="50E7017B" w14:textId="77777777" w:rsidR="002829DB" w:rsidRPr="00CE3D6A" w:rsidRDefault="002829DB" w:rsidP="002829DB">
      <w:pPr>
        <w:numPr>
          <w:ilvl w:val="0"/>
          <w:numId w:val="15"/>
        </w:numPr>
        <w:spacing w:after="120"/>
        <w:ind w:left="2160" w:hanging="720"/>
        <w:textAlignment w:val="baseline"/>
        <w:rPr>
          <w:rFonts w:ascii="Tahoma" w:hAnsi="Tahoma" w:cs="Tahoma"/>
        </w:rPr>
      </w:pPr>
      <w:r w:rsidRPr="00CE3D6A">
        <w:rPr>
          <w:rFonts w:ascii="Tahoma" w:hAnsi="Tahoma" w:cs="Tahoma"/>
        </w:rPr>
        <w:t>Demand management equipment </w:t>
      </w:r>
    </w:p>
    <w:p w14:paraId="4930BF86" w14:textId="77777777" w:rsidR="002829DB" w:rsidRPr="00CE3D6A" w:rsidRDefault="002829DB" w:rsidP="002829DB">
      <w:pPr>
        <w:numPr>
          <w:ilvl w:val="0"/>
          <w:numId w:val="15"/>
        </w:numPr>
        <w:spacing w:after="120"/>
        <w:ind w:left="2160" w:hanging="720"/>
        <w:textAlignment w:val="baseline"/>
        <w:rPr>
          <w:rFonts w:ascii="Tahoma" w:hAnsi="Tahoma" w:cs="Tahoma"/>
        </w:rPr>
      </w:pPr>
      <w:r w:rsidRPr="00CE3D6A">
        <w:rPr>
          <w:rFonts w:ascii="Tahoma" w:hAnsi="Tahoma" w:cs="Tahoma"/>
        </w:rPr>
        <w:t>Planning and engineering design</w:t>
      </w:r>
    </w:p>
    <w:p w14:paraId="6E304A79" w14:textId="77777777" w:rsidR="002829DB" w:rsidRPr="00CE3D6A" w:rsidRDefault="002829DB" w:rsidP="002829DB">
      <w:pPr>
        <w:numPr>
          <w:ilvl w:val="0"/>
          <w:numId w:val="15"/>
        </w:numPr>
        <w:spacing w:after="120"/>
        <w:ind w:left="2160" w:hanging="720"/>
        <w:textAlignment w:val="baseline"/>
        <w:rPr>
          <w:rFonts w:ascii="Tahoma" w:hAnsi="Tahoma" w:cs="Tahoma"/>
        </w:rPr>
      </w:pPr>
      <w:r w:rsidRPr="00CE3D6A">
        <w:rPr>
          <w:rFonts w:ascii="Tahoma" w:hAnsi="Tahoma" w:cs="Tahoma"/>
        </w:rPr>
        <w:t>Network agreement with network provider</w:t>
      </w:r>
    </w:p>
    <w:p w14:paraId="4DA5F925" w14:textId="77777777" w:rsidR="002829DB" w:rsidRPr="00CE3D6A" w:rsidRDefault="002829DB" w:rsidP="002829DB">
      <w:pPr>
        <w:numPr>
          <w:ilvl w:val="0"/>
          <w:numId w:val="15"/>
        </w:numPr>
        <w:spacing w:after="120"/>
        <w:ind w:left="2160" w:hanging="720"/>
        <w:textAlignment w:val="baseline"/>
        <w:rPr>
          <w:rFonts w:ascii="Tahoma" w:hAnsi="Tahoma" w:cs="Tahoma"/>
        </w:rPr>
      </w:pPr>
      <w:r w:rsidRPr="00CE3D6A">
        <w:rPr>
          <w:rFonts w:ascii="Tahoma" w:hAnsi="Tahoma" w:cs="Tahoma"/>
        </w:rPr>
        <w:t>Commissioning</w:t>
      </w:r>
    </w:p>
    <w:p w14:paraId="7353DD93" w14:textId="77777777" w:rsidR="002829DB" w:rsidRDefault="002829DB" w:rsidP="002829DB">
      <w:pPr>
        <w:numPr>
          <w:ilvl w:val="0"/>
          <w:numId w:val="15"/>
        </w:numPr>
        <w:spacing w:after="120"/>
        <w:ind w:left="2160" w:hanging="720"/>
        <w:textAlignment w:val="baseline"/>
        <w:rPr>
          <w:rFonts w:ascii="Tahoma" w:hAnsi="Tahoma" w:cs="Tahoma"/>
        </w:rPr>
      </w:pPr>
      <w:r w:rsidRPr="00CE3D6A">
        <w:rPr>
          <w:rFonts w:ascii="Tahoma" w:hAnsi="Tahoma" w:cs="Tahoma"/>
        </w:rPr>
        <w:t>Utility service upgrades</w:t>
      </w:r>
    </w:p>
    <w:p w14:paraId="73684823" w14:textId="77777777" w:rsidR="002829DB" w:rsidRPr="000C3692" w:rsidRDefault="002829DB" w:rsidP="002829DB">
      <w:pPr>
        <w:numPr>
          <w:ilvl w:val="0"/>
          <w:numId w:val="15"/>
        </w:numPr>
        <w:spacing w:after="120"/>
        <w:ind w:left="2160" w:hanging="720"/>
        <w:textAlignment w:val="baseline"/>
        <w:rPr>
          <w:rFonts w:ascii="Tahoma" w:hAnsi="Tahoma" w:cs="Tahoma"/>
          <w:b/>
          <w:bCs/>
          <w:u w:val="single"/>
        </w:rPr>
      </w:pPr>
      <w:r w:rsidRPr="000C3692">
        <w:rPr>
          <w:rFonts w:ascii="Tahoma" w:hAnsi="Tahoma" w:cs="Tahoma"/>
          <w:b/>
          <w:bCs/>
          <w:u w:val="single"/>
        </w:rPr>
        <w:t>Project management</w:t>
      </w:r>
    </w:p>
    <w:p w14:paraId="02A44AC0" w14:textId="737B8247" w:rsidR="002829DB" w:rsidRPr="00013145" w:rsidRDefault="002829DB" w:rsidP="002829DB">
      <w:pPr>
        <w:numPr>
          <w:ilvl w:val="0"/>
          <w:numId w:val="15"/>
        </w:numPr>
        <w:spacing w:after="120"/>
        <w:ind w:left="2160" w:hanging="720"/>
        <w:textAlignment w:val="baseline"/>
        <w:rPr>
          <w:rFonts w:ascii="Tahoma" w:hAnsi="Tahoma" w:cs="Tahoma"/>
          <w:b/>
          <w:bCs/>
          <w:u w:val="single"/>
        </w:rPr>
      </w:pPr>
      <w:r w:rsidRPr="00013145">
        <w:rPr>
          <w:rFonts w:ascii="Tahoma" w:hAnsi="Tahoma" w:cs="Tahoma"/>
          <w:b/>
          <w:bCs/>
          <w:u w:val="single"/>
        </w:rPr>
        <w:t>Engagement and outreach</w:t>
      </w:r>
      <w:r w:rsidR="3F7416C0" w:rsidRPr="35E65CD7">
        <w:rPr>
          <w:rFonts w:ascii="Tahoma" w:hAnsi="Tahoma" w:cs="Tahoma"/>
          <w:b/>
          <w:bCs/>
          <w:u w:val="single"/>
        </w:rPr>
        <w:t xml:space="preserve"> </w:t>
      </w:r>
    </w:p>
    <w:p w14:paraId="0BBC87E5" w14:textId="38A94D8F" w:rsidR="00B404CE" w:rsidRDefault="002829DB" w:rsidP="00B404CE">
      <w:pPr>
        <w:numPr>
          <w:ilvl w:val="0"/>
          <w:numId w:val="15"/>
        </w:numPr>
        <w:spacing w:after="120"/>
        <w:ind w:left="2160" w:hanging="720"/>
        <w:textAlignment w:val="baseline"/>
        <w:rPr>
          <w:rFonts w:ascii="Tahoma" w:hAnsi="Tahoma" w:cs="Tahoma"/>
          <w:b/>
          <w:bCs/>
          <w:u w:val="single"/>
        </w:rPr>
      </w:pPr>
      <w:r w:rsidRPr="754BC4FD">
        <w:rPr>
          <w:rFonts w:ascii="Tahoma" w:hAnsi="Tahoma" w:cs="Tahoma"/>
          <w:b/>
          <w:bCs/>
          <w:u w:val="single"/>
        </w:rPr>
        <w:t>Electric vehicle infrastructure workforce development and training</w:t>
      </w:r>
      <w:r w:rsidR="37E61136" w:rsidRPr="35E65CD7">
        <w:rPr>
          <w:rFonts w:ascii="Tahoma" w:hAnsi="Tahoma" w:cs="Tahoma"/>
          <w:b/>
          <w:bCs/>
          <w:u w:val="single"/>
        </w:rPr>
        <w:t xml:space="preserve"> </w:t>
      </w:r>
    </w:p>
    <w:p w14:paraId="098065D9" w14:textId="67D89471" w:rsidR="0026385E" w:rsidRPr="0026385E" w:rsidRDefault="00BA56CE" w:rsidP="0026385E">
      <w:pPr>
        <w:spacing w:after="120"/>
        <w:ind w:left="1440"/>
        <w:textAlignment w:val="baseline"/>
        <w:rPr>
          <w:rFonts w:ascii="Tahoma" w:hAnsi="Tahoma" w:cs="Tahoma"/>
          <w:b/>
          <w:bCs/>
          <w:i/>
          <w:iCs/>
          <w:u w:val="single"/>
        </w:rPr>
      </w:pPr>
      <w:r>
        <w:rPr>
          <w:rFonts w:ascii="Tahoma" w:hAnsi="Tahoma" w:cs="Tahoma"/>
          <w:b/>
          <w:bCs/>
          <w:i/>
          <w:iCs/>
          <w:u w:val="single"/>
        </w:rPr>
        <w:t>Eligible reimbursable costs</w:t>
      </w:r>
      <w:r w:rsidR="00E9387A">
        <w:rPr>
          <w:rFonts w:ascii="Tahoma" w:hAnsi="Tahoma" w:cs="Tahoma"/>
          <w:b/>
          <w:bCs/>
          <w:i/>
          <w:iCs/>
          <w:u w:val="single"/>
        </w:rPr>
        <w:t xml:space="preserve"> for p</w:t>
      </w:r>
      <w:r w:rsidR="0026385E">
        <w:rPr>
          <w:rFonts w:ascii="Tahoma" w:hAnsi="Tahoma" w:cs="Tahoma"/>
          <w:b/>
          <w:bCs/>
          <w:i/>
          <w:iCs/>
          <w:u w:val="single"/>
        </w:rPr>
        <w:t>roject manag</w:t>
      </w:r>
      <w:r w:rsidR="00F35480">
        <w:rPr>
          <w:rFonts w:ascii="Tahoma" w:hAnsi="Tahoma" w:cs="Tahoma"/>
          <w:b/>
          <w:bCs/>
          <w:i/>
          <w:iCs/>
          <w:u w:val="single"/>
        </w:rPr>
        <w:t>ement, engagement and outreach</w:t>
      </w:r>
      <w:r w:rsidR="007E47D3">
        <w:rPr>
          <w:rFonts w:ascii="Tahoma" w:hAnsi="Tahoma" w:cs="Tahoma"/>
          <w:b/>
          <w:bCs/>
          <w:i/>
          <w:iCs/>
          <w:u w:val="single"/>
        </w:rPr>
        <w:t>,</w:t>
      </w:r>
      <w:r w:rsidR="00F35480">
        <w:rPr>
          <w:rFonts w:ascii="Tahoma" w:hAnsi="Tahoma" w:cs="Tahoma"/>
          <w:b/>
          <w:bCs/>
          <w:i/>
          <w:iCs/>
          <w:u w:val="single"/>
        </w:rPr>
        <w:t xml:space="preserve"> and electric vehicle infrastructure workforce development and training </w:t>
      </w:r>
      <w:r w:rsidR="00E9387A">
        <w:rPr>
          <w:rFonts w:ascii="Tahoma" w:hAnsi="Tahoma" w:cs="Tahoma"/>
          <w:b/>
          <w:bCs/>
          <w:i/>
          <w:iCs/>
          <w:u w:val="single"/>
        </w:rPr>
        <w:t xml:space="preserve">may not exceed 5% of total </w:t>
      </w:r>
      <w:r w:rsidR="00DF133F">
        <w:rPr>
          <w:rFonts w:ascii="Tahoma" w:hAnsi="Tahoma" w:cs="Tahoma"/>
          <w:b/>
          <w:bCs/>
          <w:i/>
          <w:iCs/>
          <w:u w:val="single"/>
        </w:rPr>
        <w:t xml:space="preserve">CEC </w:t>
      </w:r>
      <w:r w:rsidR="00E9387A">
        <w:rPr>
          <w:rFonts w:ascii="Tahoma" w:hAnsi="Tahoma" w:cs="Tahoma"/>
          <w:b/>
          <w:bCs/>
          <w:i/>
          <w:iCs/>
          <w:u w:val="single"/>
        </w:rPr>
        <w:t xml:space="preserve">grant funds. </w:t>
      </w:r>
      <w:r w:rsidR="00E9387A">
        <w:rPr>
          <w:rFonts w:ascii="Tahoma" w:hAnsi="Tahoma" w:cs="Tahoma"/>
          <w:b/>
          <w:bCs/>
          <w:i/>
          <w:iCs/>
          <w:u w:val="single"/>
        </w:rPr>
        <w:br/>
      </w:r>
    </w:p>
    <w:p w14:paraId="0013B18F" w14:textId="77777777" w:rsidR="00B404CE" w:rsidRPr="00CE3D6A" w:rsidRDefault="00B404CE" w:rsidP="00B404CE">
      <w:pPr>
        <w:pStyle w:val="ListParagraph"/>
        <w:keepNext/>
        <w:numPr>
          <w:ilvl w:val="0"/>
          <w:numId w:val="16"/>
        </w:numPr>
        <w:spacing w:after="120"/>
        <w:ind w:left="1440" w:hanging="720"/>
        <w:contextualSpacing w:val="0"/>
        <w:textAlignment w:val="baseline"/>
        <w:rPr>
          <w:rFonts w:ascii="Tahoma" w:hAnsi="Tahoma" w:cs="Tahoma"/>
        </w:rPr>
      </w:pPr>
      <w:r w:rsidRPr="00CE3D6A">
        <w:rPr>
          <w:rFonts w:ascii="Tahoma" w:hAnsi="Tahoma" w:cs="Tahoma"/>
        </w:rPr>
        <w:t xml:space="preserve">For Hydrogen Refueling Infrastructure: </w:t>
      </w:r>
    </w:p>
    <w:p w14:paraId="0E8F5B06" w14:textId="77777777" w:rsidR="00B404CE" w:rsidRPr="00CE3D6A" w:rsidRDefault="00B404CE" w:rsidP="00B404CE">
      <w:pPr>
        <w:pStyle w:val="ListParagraph"/>
        <w:keepNext/>
        <w:numPr>
          <w:ilvl w:val="0"/>
          <w:numId w:val="18"/>
        </w:numPr>
        <w:spacing w:after="120"/>
        <w:ind w:hanging="720"/>
        <w:contextualSpacing w:val="0"/>
        <w:textAlignment w:val="baseline"/>
        <w:rPr>
          <w:rFonts w:ascii="Tahoma" w:hAnsi="Tahoma" w:cs="Tahoma"/>
        </w:rPr>
      </w:pPr>
      <w:r w:rsidRPr="00CE3D6A">
        <w:rPr>
          <w:rFonts w:ascii="Tahoma" w:hAnsi="Tahoma" w:cs="Tahoma"/>
        </w:rPr>
        <w:t>Compressors</w:t>
      </w:r>
    </w:p>
    <w:p w14:paraId="2CA39EC5" w14:textId="77777777" w:rsidR="00B404CE" w:rsidRPr="00CE3D6A"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t>Cryogenic pumps</w:t>
      </w:r>
    </w:p>
    <w:p w14:paraId="1C0EA56F" w14:textId="77777777" w:rsidR="00B404CE" w:rsidRPr="00CE3D6A"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lastRenderedPageBreak/>
        <w:t>Point of Sale systems</w:t>
      </w:r>
    </w:p>
    <w:p w14:paraId="78ED479F" w14:textId="77777777" w:rsidR="00B404CE" w:rsidRPr="00CE3D6A"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t>Dispenser with hose and nozzles</w:t>
      </w:r>
    </w:p>
    <w:p w14:paraId="41E196B9" w14:textId="77777777" w:rsidR="00B404CE" w:rsidRPr="00CE3D6A"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t>High pressure hydrogen storage tubes</w:t>
      </w:r>
    </w:p>
    <w:p w14:paraId="066009B5" w14:textId="77777777" w:rsidR="00B404CE" w:rsidRPr="00CE3D6A"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t>Installation costs</w:t>
      </w:r>
    </w:p>
    <w:p w14:paraId="2D6117B5" w14:textId="77777777" w:rsidR="00B404CE" w:rsidRPr="00CE3D6A"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t>Planning and engineering design</w:t>
      </w:r>
    </w:p>
    <w:p w14:paraId="00D74204" w14:textId="77777777" w:rsidR="00B404CE" w:rsidRDefault="00B404CE" w:rsidP="00B404CE">
      <w:pPr>
        <w:pStyle w:val="ListParagraph"/>
        <w:numPr>
          <w:ilvl w:val="0"/>
          <w:numId w:val="18"/>
        </w:numPr>
        <w:spacing w:after="120"/>
        <w:ind w:hanging="720"/>
        <w:contextualSpacing w:val="0"/>
        <w:textAlignment w:val="baseline"/>
        <w:rPr>
          <w:rFonts w:ascii="Tahoma" w:hAnsi="Tahoma" w:cs="Tahoma"/>
        </w:rPr>
      </w:pPr>
      <w:r w:rsidRPr="00CE3D6A">
        <w:rPr>
          <w:rFonts w:ascii="Tahoma" w:hAnsi="Tahoma" w:cs="Tahoma"/>
        </w:rPr>
        <w:t>Commissioning</w:t>
      </w:r>
    </w:p>
    <w:p w14:paraId="5D0C3CF6" w14:textId="6F29D357" w:rsidR="00B404CE" w:rsidRDefault="00B404CE" w:rsidP="00C634F1">
      <w:pPr>
        <w:pStyle w:val="ListParagraph"/>
        <w:numPr>
          <w:ilvl w:val="0"/>
          <w:numId w:val="18"/>
        </w:numPr>
        <w:spacing w:after="120"/>
        <w:ind w:hanging="720"/>
        <w:contextualSpacing w:val="0"/>
        <w:rPr>
          <w:rFonts w:ascii="Tahoma" w:hAnsi="Tahoma" w:cs="Tahoma"/>
          <w:szCs w:val="22"/>
          <w:u w:val="single"/>
        </w:rPr>
      </w:pPr>
      <w:r w:rsidRPr="754BC4FD">
        <w:rPr>
          <w:rFonts w:ascii="Tahoma" w:hAnsi="Tahoma" w:cs="Tahoma"/>
          <w:b/>
          <w:bCs/>
          <w:u w:val="single"/>
        </w:rPr>
        <w:t>Liquid hydrogen storage tanks</w:t>
      </w:r>
      <w:r w:rsidR="0065465F">
        <w:rPr>
          <w:rFonts w:ascii="Tahoma" w:hAnsi="Tahoma" w:cs="Tahoma"/>
          <w:b/>
          <w:bCs/>
          <w:u w:val="single"/>
        </w:rPr>
        <w:t xml:space="preserve"> </w:t>
      </w:r>
      <w:r w:rsidRPr="754BC4FD">
        <w:rPr>
          <w:rFonts w:ascii="Tahoma" w:hAnsi="Tahoma" w:cs="Tahoma"/>
          <w:b/>
          <w:bCs/>
          <w:u w:val="single"/>
        </w:rPr>
        <w:t>/ cryogenic tanks</w:t>
      </w:r>
    </w:p>
    <w:p w14:paraId="398B9B56" w14:textId="77777777" w:rsidR="00B404CE" w:rsidRPr="00231522" w:rsidRDefault="00B404CE" w:rsidP="00C634F1">
      <w:pPr>
        <w:pStyle w:val="ListParagraph"/>
        <w:numPr>
          <w:ilvl w:val="0"/>
          <w:numId w:val="18"/>
        </w:numPr>
        <w:spacing w:after="120"/>
        <w:ind w:hanging="720"/>
        <w:contextualSpacing w:val="0"/>
        <w:textAlignment w:val="baseline"/>
        <w:rPr>
          <w:rFonts w:ascii="Tahoma" w:hAnsi="Tahoma" w:cs="Tahoma"/>
          <w:b/>
          <w:bCs/>
          <w:u w:val="single"/>
        </w:rPr>
      </w:pPr>
      <w:r w:rsidRPr="00231522">
        <w:rPr>
          <w:rFonts w:ascii="Tahoma" w:hAnsi="Tahoma" w:cs="Tahoma"/>
          <w:b/>
          <w:bCs/>
          <w:u w:val="single"/>
        </w:rPr>
        <w:t>Project management</w:t>
      </w:r>
    </w:p>
    <w:p w14:paraId="3BD2FBBF" w14:textId="7083BC47" w:rsidR="00B404CE" w:rsidRPr="00231522" w:rsidRDefault="00B404CE" w:rsidP="00DF133F">
      <w:pPr>
        <w:pStyle w:val="ListParagraph"/>
        <w:numPr>
          <w:ilvl w:val="0"/>
          <w:numId w:val="18"/>
        </w:numPr>
        <w:spacing w:after="120"/>
        <w:ind w:hanging="720"/>
        <w:contextualSpacing w:val="0"/>
        <w:rPr>
          <w:rFonts w:ascii="Tahoma" w:hAnsi="Tahoma" w:cs="Tahoma"/>
          <w:b/>
          <w:bCs/>
          <w:u w:val="single"/>
        </w:rPr>
      </w:pPr>
      <w:r w:rsidRPr="00231522">
        <w:rPr>
          <w:rFonts w:ascii="Tahoma" w:hAnsi="Tahoma" w:cs="Tahoma"/>
          <w:b/>
          <w:bCs/>
          <w:u w:val="single"/>
        </w:rPr>
        <w:t>Engagement and outreach</w:t>
      </w:r>
      <w:r w:rsidR="0DFB8102" w:rsidRPr="35E65CD7">
        <w:rPr>
          <w:rFonts w:ascii="Tahoma" w:hAnsi="Tahoma" w:cs="Tahoma"/>
          <w:b/>
          <w:bCs/>
          <w:u w:val="single"/>
        </w:rPr>
        <w:t xml:space="preserve"> </w:t>
      </w:r>
    </w:p>
    <w:p w14:paraId="2810AF7F" w14:textId="5294B70A" w:rsidR="00B404CE" w:rsidRPr="00231522" w:rsidRDefault="00B404CE" w:rsidP="00DF133F">
      <w:pPr>
        <w:pStyle w:val="ListParagraph"/>
        <w:numPr>
          <w:ilvl w:val="0"/>
          <w:numId w:val="18"/>
        </w:numPr>
        <w:spacing w:after="120"/>
        <w:ind w:hanging="720"/>
        <w:contextualSpacing w:val="0"/>
        <w:rPr>
          <w:rFonts w:ascii="Tahoma" w:hAnsi="Tahoma" w:cs="Tahoma"/>
          <w:b/>
          <w:bCs/>
          <w:u w:val="single"/>
        </w:rPr>
      </w:pPr>
      <w:r w:rsidRPr="754BC4FD">
        <w:rPr>
          <w:rFonts w:ascii="Tahoma" w:hAnsi="Tahoma" w:cs="Tahoma"/>
          <w:b/>
          <w:bCs/>
          <w:u w:val="single"/>
        </w:rPr>
        <w:t xml:space="preserve">Hydrogen </w:t>
      </w:r>
      <w:r w:rsidR="00806195" w:rsidRPr="35E65CD7">
        <w:rPr>
          <w:rFonts w:ascii="Tahoma" w:hAnsi="Tahoma" w:cs="Tahoma"/>
          <w:b/>
          <w:bCs/>
          <w:u w:val="single"/>
        </w:rPr>
        <w:t xml:space="preserve">refueling </w:t>
      </w:r>
      <w:r w:rsidRPr="754BC4FD">
        <w:rPr>
          <w:rFonts w:ascii="Tahoma" w:hAnsi="Tahoma" w:cs="Tahoma"/>
          <w:b/>
          <w:bCs/>
          <w:u w:val="single"/>
        </w:rPr>
        <w:t>infrastructure workforce</w:t>
      </w:r>
      <w:r w:rsidRPr="00231522">
        <w:rPr>
          <w:rFonts w:ascii="Tahoma" w:hAnsi="Tahoma" w:cs="Tahoma"/>
          <w:b/>
          <w:bCs/>
          <w:u w:val="single"/>
        </w:rPr>
        <w:t xml:space="preserve"> development and training</w:t>
      </w:r>
      <w:r w:rsidR="5A20D253" w:rsidRPr="35E65CD7">
        <w:rPr>
          <w:rFonts w:ascii="Tahoma" w:hAnsi="Tahoma" w:cs="Tahoma"/>
          <w:b/>
          <w:bCs/>
          <w:u w:val="single"/>
        </w:rPr>
        <w:t xml:space="preserve"> </w:t>
      </w:r>
    </w:p>
    <w:p w14:paraId="23295E33" w14:textId="62F6859A" w:rsidR="00B404CE" w:rsidRPr="00CE3D6A" w:rsidRDefault="00DF133F" w:rsidP="00B404CE">
      <w:pPr>
        <w:ind w:left="720"/>
        <w:rPr>
          <w:rFonts w:ascii="Tahoma" w:hAnsi="Tahoma" w:cs="Tahoma"/>
        </w:rPr>
      </w:pPr>
      <w:r>
        <w:rPr>
          <w:rFonts w:ascii="Tahoma" w:hAnsi="Tahoma" w:cs="Tahoma"/>
          <w:b/>
          <w:bCs/>
          <w:i/>
          <w:iCs/>
          <w:u w:val="single"/>
        </w:rPr>
        <w:t>Eligible reimbursable costs for project management, engagement and outreach, and hydrogen refueling infrastructure workforce development and training may not exceed 5% of total CEC grant funds.</w:t>
      </w:r>
      <w:r>
        <w:rPr>
          <w:rFonts w:ascii="Tahoma" w:hAnsi="Tahoma" w:cs="Tahoma"/>
          <w:b/>
          <w:bCs/>
          <w:i/>
          <w:iCs/>
          <w:u w:val="single"/>
        </w:rPr>
        <w:br/>
      </w:r>
    </w:p>
    <w:p w14:paraId="050F93D0" w14:textId="77777777" w:rsidR="00B404CE" w:rsidRPr="00CE3D6A" w:rsidRDefault="00B404CE" w:rsidP="00B404CE">
      <w:pPr>
        <w:ind w:left="720"/>
        <w:rPr>
          <w:rFonts w:ascii="Tahoma" w:hAnsi="Tahoma" w:cs="Tahoma"/>
        </w:rPr>
      </w:pPr>
      <w:r w:rsidRPr="00CE3D6A">
        <w:rPr>
          <w:rFonts w:ascii="Tahoma" w:hAnsi="Tahoma" w:cs="Tahoma"/>
        </w:rPr>
        <w:t>The following are not eligible for CEC reimbursement but may be included as an Applicant’s match share.</w:t>
      </w:r>
    </w:p>
    <w:p w14:paraId="41A63867" w14:textId="77777777" w:rsidR="00B404CE" w:rsidRPr="00CE3D6A" w:rsidRDefault="00B404CE" w:rsidP="00B404CE">
      <w:pPr>
        <w:ind w:left="720"/>
        <w:rPr>
          <w:rFonts w:ascii="Tahoma" w:hAnsi="Tahoma" w:cs="Tahoma"/>
        </w:rPr>
      </w:pPr>
    </w:p>
    <w:p w14:paraId="20CE96D8" w14:textId="77777777" w:rsidR="00B404CE" w:rsidRPr="00CE3D6A" w:rsidRDefault="00B404CE" w:rsidP="00B404CE">
      <w:pPr>
        <w:pStyle w:val="ListParagraph"/>
        <w:numPr>
          <w:ilvl w:val="0"/>
          <w:numId w:val="17"/>
        </w:numPr>
        <w:spacing w:after="120"/>
        <w:ind w:left="2160" w:hanging="720"/>
        <w:contextualSpacing w:val="0"/>
        <w:rPr>
          <w:rFonts w:ascii="Tahoma" w:hAnsi="Tahoma" w:cs="Tahoma"/>
        </w:rPr>
      </w:pPr>
      <w:r w:rsidRPr="00CE3D6A">
        <w:rPr>
          <w:rFonts w:ascii="Tahoma" w:hAnsi="Tahoma" w:cs="Tahoma"/>
        </w:rPr>
        <w:t>Processes to comply with otherwise applicable legal requirements (e.g., permits from AHJ’s and compliance with the Americans with Disabilities Act (ADA))</w:t>
      </w:r>
    </w:p>
    <w:p w14:paraId="307DA4A0" w14:textId="77777777" w:rsidR="00B404CE" w:rsidRPr="00CE3D6A" w:rsidRDefault="00B404CE" w:rsidP="00B404CE">
      <w:pPr>
        <w:pStyle w:val="ListParagraph"/>
        <w:numPr>
          <w:ilvl w:val="3"/>
          <w:numId w:val="17"/>
        </w:numPr>
        <w:spacing w:after="120"/>
        <w:ind w:left="2160" w:hanging="720"/>
        <w:contextualSpacing w:val="0"/>
        <w:rPr>
          <w:rFonts w:ascii="Tahoma" w:hAnsi="Tahoma" w:cs="Tahoma"/>
          <w:bCs/>
          <w:iCs/>
          <w:szCs w:val="22"/>
        </w:rPr>
      </w:pPr>
      <w:r w:rsidRPr="00CE3D6A">
        <w:rPr>
          <w:rFonts w:ascii="Tahoma" w:hAnsi="Tahoma" w:cs="Tahoma"/>
          <w:bCs/>
          <w:iCs/>
          <w:szCs w:val="22"/>
        </w:rPr>
        <w:t xml:space="preserve">Insurance, land purchases, or land leases </w:t>
      </w:r>
    </w:p>
    <w:p w14:paraId="5F2164E4" w14:textId="77777777" w:rsidR="00B404CE" w:rsidRPr="00CE3D6A" w:rsidRDefault="00B404CE" w:rsidP="00B404CE">
      <w:pPr>
        <w:numPr>
          <w:ilvl w:val="0"/>
          <w:numId w:val="19"/>
        </w:numPr>
        <w:spacing w:after="120"/>
        <w:ind w:hanging="720"/>
        <w:textAlignment w:val="baseline"/>
        <w:rPr>
          <w:rFonts w:ascii="Tahoma" w:hAnsi="Tahoma" w:cs="Tahoma"/>
        </w:rPr>
      </w:pPr>
      <w:r>
        <w:rPr>
          <w:rFonts w:ascii="Tahoma" w:hAnsi="Tahoma" w:cs="Tahoma"/>
        </w:rPr>
        <w:t>[</w:t>
      </w:r>
      <w:r w:rsidRPr="00013145">
        <w:rPr>
          <w:rFonts w:ascii="Tahoma" w:hAnsi="Tahoma" w:cs="Tahoma"/>
          <w:strike/>
        </w:rPr>
        <w:t>Project management</w:t>
      </w:r>
      <w:r>
        <w:rPr>
          <w:rFonts w:ascii="Tahoma" w:hAnsi="Tahoma" w:cs="Tahoma"/>
        </w:rPr>
        <w:t>]</w:t>
      </w:r>
    </w:p>
    <w:p w14:paraId="1F2865B5" w14:textId="77777777" w:rsidR="00B404CE" w:rsidRPr="00CE3D6A" w:rsidRDefault="00B404CE" w:rsidP="00B404CE">
      <w:pPr>
        <w:numPr>
          <w:ilvl w:val="0"/>
          <w:numId w:val="19"/>
        </w:numPr>
        <w:spacing w:after="120"/>
        <w:ind w:hanging="720"/>
        <w:textAlignment w:val="baseline"/>
        <w:rPr>
          <w:rFonts w:ascii="Tahoma" w:hAnsi="Tahoma" w:cs="Tahoma"/>
        </w:rPr>
      </w:pPr>
      <w:r>
        <w:rPr>
          <w:rFonts w:ascii="Tahoma" w:hAnsi="Tahoma" w:cs="Tahoma"/>
        </w:rPr>
        <w:t>[</w:t>
      </w:r>
      <w:r w:rsidRPr="00013145">
        <w:rPr>
          <w:rFonts w:ascii="Tahoma" w:hAnsi="Tahoma" w:cs="Tahoma"/>
          <w:strike/>
        </w:rPr>
        <w:t>Engagement and outreach</w:t>
      </w:r>
      <w:r>
        <w:rPr>
          <w:rFonts w:ascii="Tahoma" w:hAnsi="Tahoma" w:cs="Tahoma"/>
        </w:rPr>
        <w:t>]</w:t>
      </w:r>
    </w:p>
    <w:p w14:paraId="6BD2934A" w14:textId="77777777" w:rsidR="00B404CE" w:rsidRPr="00CE3D6A" w:rsidRDefault="00B404CE" w:rsidP="00B404CE">
      <w:pPr>
        <w:numPr>
          <w:ilvl w:val="0"/>
          <w:numId w:val="19"/>
        </w:numPr>
        <w:spacing w:after="120"/>
        <w:ind w:hanging="720"/>
        <w:textAlignment w:val="baseline"/>
        <w:rPr>
          <w:rFonts w:ascii="Tahoma" w:hAnsi="Tahoma" w:cs="Tahoma"/>
        </w:rPr>
      </w:pPr>
      <w:r>
        <w:rPr>
          <w:rFonts w:ascii="Tahoma" w:hAnsi="Tahoma" w:cs="Tahoma"/>
        </w:rPr>
        <w:t>[</w:t>
      </w:r>
      <w:r w:rsidRPr="00013145">
        <w:rPr>
          <w:rFonts w:ascii="Tahoma" w:hAnsi="Tahoma" w:cs="Tahoma"/>
          <w:strike/>
        </w:rPr>
        <w:t>Workforce development and training</w:t>
      </w:r>
      <w:r>
        <w:rPr>
          <w:rFonts w:ascii="Tahoma" w:hAnsi="Tahoma" w:cs="Tahoma"/>
        </w:rPr>
        <w:t>]</w:t>
      </w:r>
    </w:p>
    <w:p w14:paraId="0869631D" w14:textId="77777777" w:rsidR="00B404CE" w:rsidRPr="00CE3D6A" w:rsidRDefault="00B404CE" w:rsidP="00B404CE">
      <w:pPr>
        <w:pStyle w:val="ListParagraph"/>
        <w:numPr>
          <w:ilvl w:val="3"/>
          <w:numId w:val="19"/>
        </w:numPr>
        <w:spacing w:after="120"/>
        <w:ind w:left="2160" w:hanging="720"/>
        <w:contextualSpacing w:val="0"/>
        <w:jc w:val="both"/>
        <w:rPr>
          <w:rFonts w:ascii="Tahoma" w:hAnsi="Tahoma" w:cs="Tahoma"/>
        </w:rPr>
      </w:pPr>
      <w:r w:rsidRPr="00CE3D6A">
        <w:rPr>
          <w:rFonts w:ascii="Tahoma" w:hAnsi="Tahoma" w:cs="Tahoma"/>
        </w:rPr>
        <w:t>Onsite hydrogen production equipment</w:t>
      </w:r>
    </w:p>
    <w:p w14:paraId="4E0C124C" w14:textId="77777777" w:rsidR="00B404CE" w:rsidRPr="00CE3D6A" w:rsidRDefault="00B404CE" w:rsidP="00B404CE">
      <w:pPr>
        <w:pStyle w:val="ListParagraph"/>
        <w:numPr>
          <w:ilvl w:val="3"/>
          <w:numId w:val="19"/>
        </w:numPr>
        <w:spacing w:after="120"/>
        <w:ind w:left="2160" w:hanging="720"/>
        <w:contextualSpacing w:val="0"/>
        <w:jc w:val="both"/>
        <w:rPr>
          <w:rFonts w:ascii="Tahoma" w:hAnsi="Tahoma" w:cs="Tahoma"/>
        </w:rPr>
      </w:pPr>
      <w:r w:rsidRPr="00CE3D6A">
        <w:rPr>
          <w:rFonts w:ascii="Tahoma" w:hAnsi="Tahoma" w:cs="Tahoma"/>
        </w:rPr>
        <w:t>Extended warranties to cover term of the agreement</w:t>
      </w:r>
    </w:p>
    <w:p w14:paraId="4026C161" w14:textId="77777777" w:rsidR="00B404CE" w:rsidRPr="00CE3D6A" w:rsidRDefault="00B404CE" w:rsidP="00B404CE">
      <w:pPr>
        <w:pStyle w:val="ListParagraph"/>
        <w:numPr>
          <w:ilvl w:val="3"/>
          <w:numId w:val="19"/>
        </w:numPr>
        <w:spacing w:after="120"/>
        <w:ind w:left="2160" w:hanging="720"/>
        <w:contextualSpacing w:val="0"/>
        <w:jc w:val="both"/>
        <w:rPr>
          <w:rFonts w:ascii="Tahoma" w:hAnsi="Tahoma" w:cs="Tahoma"/>
        </w:rPr>
      </w:pPr>
      <w:r w:rsidRPr="00CE3D6A">
        <w:rPr>
          <w:rFonts w:ascii="Tahoma" w:hAnsi="Tahoma" w:cs="Tahoma"/>
        </w:rPr>
        <w:t>Equipment maintenance for term of the agreement</w:t>
      </w:r>
    </w:p>
    <w:p w14:paraId="40069943" w14:textId="29D582ED" w:rsidR="002829DB" w:rsidRPr="003D5F92" w:rsidRDefault="00B404CE" w:rsidP="00B404CE">
      <w:pPr>
        <w:ind w:left="360"/>
      </w:pPr>
      <w:r w:rsidRPr="00CE3D6A">
        <w:rPr>
          <w:rFonts w:ascii="Tahoma" w:hAnsi="Tahoma" w:cs="Tahoma"/>
          <w:shd w:val="clear" w:color="auto" w:fill="FFFFFF"/>
        </w:rPr>
        <w:t>Vehicle modifications to support charging, i.e., pantograph and wireless/inductive charging applications</w:t>
      </w:r>
    </w:p>
    <w:p w14:paraId="6075BD79" w14:textId="34ACE0E9" w:rsidR="001261BE" w:rsidRPr="003D5F92" w:rsidRDefault="001261BE" w:rsidP="00860A6B">
      <w:pPr>
        <w:keepNext/>
        <w:keepLines/>
        <w:spacing w:before="40"/>
        <w:outlineLvl w:val="2"/>
      </w:pPr>
    </w:p>
    <w:p w14:paraId="5303F674" w14:textId="665BC42E" w:rsidR="00B1122A" w:rsidRPr="003D5F92" w:rsidRDefault="00353981" w:rsidP="00B1122A">
      <w:pPr>
        <w:rPr>
          <w:rFonts w:ascii="Tahoma" w:hAnsi="Tahoma" w:cs="Tahoma"/>
          <w:b/>
          <w:bCs/>
        </w:rPr>
      </w:pPr>
      <w:r w:rsidRPr="003D5F92">
        <w:rPr>
          <w:rFonts w:ascii="Tahoma" w:hAnsi="Tahoma" w:cs="Tahoma"/>
          <w:b/>
          <w:bCs/>
        </w:rPr>
        <w:t>Kevyn Piper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20EC" w14:textId="77777777" w:rsidR="00217DAE" w:rsidRDefault="00217DAE" w:rsidP="00F86D2B">
      <w:r>
        <w:separator/>
      </w:r>
    </w:p>
  </w:endnote>
  <w:endnote w:type="continuationSeparator" w:id="0">
    <w:p w14:paraId="1F9A5028" w14:textId="77777777" w:rsidR="00217DAE" w:rsidRDefault="00217DAE" w:rsidP="00F86D2B">
      <w:r>
        <w:continuationSeparator/>
      </w:r>
    </w:p>
  </w:endnote>
  <w:endnote w:type="continuationNotice" w:id="1">
    <w:p w14:paraId="2734391A" w14:textId="77777777" w:rsidR="00217DAE" w:rsidRDefault="00217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C65E" w14:textId="77777777" w:rsidR="00217DAE" w:rsidRDefault="00217DAE" w:rsidP="00F86D2B">
      <w:r>
        <w:separator/>
      </w:r>
    </w:p>
  </w:footnote>
  <w:footnote w:type="continuationSeparator" w:id="0">
    <w:p w14:paraId="19263D9A" w14:textId="77777777" w:rsidR="00217DAE" w:rsidRDefault="00217DAE" w:rsidP="00F86D2B">
      <w:r>
        <w:continuationSeparator/>
      </w:r>
    </w:p>
  </w:footnote>
  <w:footnote w:type="continuationNotice" w:id="1">
    <w:p w14:paraId="44C9247E" w14:textId="77777777" w:rsidR="00217DAE" w:rsidRDefault="00217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8"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17"/>
  </w:num>
  <w:num w:numId="2" w16cid:durableId="2114937146">
    <w:abstractNumId w:val="18"/>
  </w:num>
  <w:num w:numId="3" w16cid:durableId="280697836">
    <w:abstractNumId w:val="1"/>
  </w:num>
  <w:num w:numId="4" w16cid:durableId="413355859">
    <w:abstractNumId w:val="16"/>
  </w:num>
  <w:num w:numId="5" w16cid:durableId="788089280">
    <w:abstractNumId w:val="8"/>
  </w:num>
  <w:num w:numId="6" w16cid:durableId="117572321">
    <w:abstractNumId w:val="10"/>
  </w:num>
  <w:num w:numId="7" w16cid:durableId="1873495320">
    <w:abstractNumId w:val="7"/>
  </w:num>
  <w:num w:numId="8" w16cid:durableId="1962953226">
    <w:abstractNumId w:val="3"/>
  </w:num>
  <w:num w:numId="9" w16cid:durableId="864296668">
    <w:abstractNumId w:val="0"/>
  </w:num>
  <w:num w:numId="10" w16cid:durableId="131096484">
    <w:abstractNumId w:val="15"/>
  </w:num>
  <w:num w:numId="11" w16cid:durableId="891769305">
    <w:abstractNumId w:val="12"/>
  </w:num>
  <w:num w:numId="12" w16cid:durableId="70592467">
    <w:abstractNumId w:val="9"/>
  </w:num>
  <w:num w:numId="13" w16cid:durableId="390495430">
    <w:abstractNumId w:val="14"/>
    <w:lvlOverride w:ilvl="0"/>
    <w:lvlOverride w:ilvl="1">
      <w:startOverride w:val="6"/>
    </w:lvlOverride>
    <w:lvlOverride w:ilvl="2"/>
    <w:lvlOverride w:ilvl="3"/>
    <w:lvlOverride w:ilvl="4"/>
    <w:lvlOverride w:ilvl="5"/>
    <w:lvlOverride w:ilvl="6"/>
    <w:lvlOverride w:ilvl="7"/>
    <w:lvlOverride w:ilvl="8"/>
  </w:num>
  <w:num w:numId="14" w16cid:durableId="1050418423">
    <w:abstractNumId w:val="4"/>
  </w:num>
  <w:num w:numId="15" w16cid:durableId="481119243">
    <w:abstractNumId w:val="13"/>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6"/>
  </w:num>
  <w:num w:numId="17" w16cid:durableId="1830561889">
    <w:abstractNumId w:val="11"/>
  </w:num>
  <w:num w:numId="18" w16cid:durableId="1295209087">
    <w:abstractNumId w:val="5"/>
  </w:num>
  <w:num w:numId="19" w16cid:durableId="60859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E31D6"/>
    <w:rsid w:val="000F0D5B"/>
    <w:rsid w:val="000F5BE1"/>
    <w:rsid w:val="00103791"/>
    <w:rsid w:val="00106C10"/>
    <w:rsid w:val="00122045"/>
    <w:rsid w:val="00123E80"/>
    <w:rsid w:val="0012428F"/>
    <w:rsid w:val="001261BE"/>
    <w:rsid w:val="0014043C"/>
    <w:rsid w:val="00146C62"/>
    <w:rsid w:val="0014731B"/>
    <w:rsid w:val="001477A0"/>
    <w:rsid w:val="00162611"/>
    <w:rsid w:val="001665C7"/>
    <w:rsid w:val="00167654"/>
    <w:rsid w:val="00190B05"/>
    <w:rsid w:val="001B2889"/>
    <w:rsid w:val="001C3CDA"/>
    <w:rsid w:val="001C6A3B"/>
    <w:rsid w:val="001F2E2E"/>
    <w:rsid w:val="001F3152"/>
    <w:rsid w:val="001F62F3"/>
    <w:rsid w:val="00203587"/>
    <w:rsid w:val="00204718"/>
    <w:rsid w:val="00210F3E"/>
    <w:rsid w:val="00217DAE"/>
    <w:rsid w:val="00235167"/>
    <w:rsid w:val="00256C04"/>
    <w:rsid w:val="002572D4"/>
    <w:rsid w:val="0026385E"/>
    <w:rsid w:val="002747CF"/>
    <w:rsid w:val="002829DB"/>
    <w:rsid w:val="002A2C80"/>
    <w:rsid w:val="002A5F7A"/>
    <w:rsid w:val="002C3A9E"/>
    <w:rsid w:val="002D0ACB"/>
    <w:rsid w:val="002D11A5"/>
    <w:rsid w:val="002F2B94"/>
    <w:rsid w:val="00300FB1"/>
    <w:rsid w:val="00306AA9"/>
    <w:rsid w:val="00306C82"/>
    <w:rsid w:val="003077B7"/>
    <w:rsid w:val="00315EC9"/>
    <w:rsid w:val="00340ABF"/>
    <w:rsid w:val="00344417"/>
    <w:rsid w:val="00353981"/>
    <w:rsid w:val="00356F9C"/>
    <w:rsid w:val="00360BE0"/>
    <w:rsid w:val="00391FC2"/>
    <w:rsid w:val="003B43AF"/>
    <w:rsid w:val="003C47B8"/>
    <w:rsid w:val="003C55A4"/>
    <w:rsid w:val="003D0C68"/>
    <w:rsid w:val="003D5F92"/>
    <w:rsid w:val="003E0AD6"/>
    <w:rsid w:val="003E0D2D"/>
    <w:rsid w:val="003E404F"/>
    <w:rsid w:val="003F1FDC"/>
    <w:rsid w:val="004076CF"/>
    <w:rsid w:val="00410AC7"/>
    <w:rsid w:val="00415DE9"/>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D0158"/>
    <w:rsid w:val="004D128F"/>
    <w:rsid w:val="004E72B5"/>
    <w:rsid w:val="0050279B"/>
    <w:rsid w:val="0050582B"/>
    <w:rsid w:val="005100D5"/>
    <w:rsid w:val="00524EA9"/>
    <w:rsid w:val="00525E2C"/>
    <w:rsid w:val="00527817"/>
    <w:rsid w:val="00534797"/>
    <w:rsid w:val="00541330"/>
    <w:rsid w:val="00544461"/>
    <w:rsid w:val="00546779"/>
    <w:rsid w:val="00552BB9"/>
    <w:rsid w:val="005568CA"/>
    <w:rsid w:val="00561990"/>
    <w:rsid w:val="00566D9C"/>
    <w:rsid w:val="00577D95"/>
    <w:rsid w:val="005879A0"/>
    <w:rsid w:val="0059609D"/>
    <w:rsid w:val="005E6FA2"/>
    <w:rsid w:val="00601F17"/>
    <w:rsid w:val="00603E43"/>
    <w:rsid w:val="006157EC"/>
    <w:rsid w:val="00615E32"/>
    <w:rsid w:val="00640BB6"/>
    <w:rsid w:val="0064527B"/>
    <w:rsid w:val="006511D6"/>
    <w:rsid w:val="0065465F"/>
    <w:rsid w:val="00654BE4"/>
    <w:rsid w:val="00661706"/>
    <w:rsid w:val="00663283"/>
    <w:rsid w:val="00674D7D"/>
    <w:rsid w:val="00693454"/>
    <w:rsid w:val="006A57AF"/>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CC9"/>
    <w:rsid w:val="007B3F87"/>
    <w:rsid w:val="007C5894"/>
    <w:rsid w:val="007C6C8A"/>
    <w:rsid w:val="007C795F"/>
    <w:rsid w:val="007D05C8"/>
    <w:rsid w:val="007D545A"/>
    <w:rsid w:val="007E1C46"/>
    <w:rsid w:val="007E47D3"/>
    <w:rsid w:val="007F6063"/>
    <w:rsid w:val="00803E15"/>
    <w:rsid w:val="0080408D"/>
    <w:rsid w:val="0080478D"/>
    <w:rsid w:val="00805AD3"/>
    <w:rsid w:val="00806195"/>
    <w:rsid w:val="0081533B"/>
    <w:rsid w:val="0081551E"/>
    <w:rsid w:val="00835AFC"/>
    <w:rsid w:val="00841D92"/>
    <w:rsid w:val="00846985"/>
    <w:rsid w:val="008604AC"/>
    <w:rsid w:val="00860A6B"/>
    <w:rsid w:val="00874988"/>
    <w:rsid w:val="00891290"/>
    <w:rsid w:val="00891410"/>
    <w:rsid w:val="008C45EF"/>
    <w:rsid w:val="008D421C"/>
    <w:rsid w:val="008D7686"/>
    <w:rsid w:val="008E1433"/>
    <w:rsid w:val="008E3926"/>
    <w:rsid w:val="008E4794"/>
    <w:rsid w:val="008E7852"/>
    <w:rsid w:val="008F4EE9"/>
    <w:rsid w:val="008F5B28"/>
    <w:rsid w:val="008F7BB2"/>
    <w:rsid w:val="0090646F"/>
    <w:rsid w:val="00910710"/>
    <w:rsid w:val="009208E6"/>
    <w:rsid w:val="00923C09"/>
    <w:rsid w:val="00923C0F"/>
    <w:rsid w:val="009245F9"/>
    <w:rsid w:val="00925908"/>
    <w:rsid w:val="00926356"/>
    <w:rsid w:val="00926DAF"/>
    <w:rsid w:val="00934FF9"/>
    <w:rsid w:val="009407F5"/>
    <w:rsid w:val="00950AF4"/>
    <w:rsid w:val="00962BB3"/>
    <w:rsid w:val="0097247B"/>
    <w:rsid w:val="00974BB8"/>
    <w:rsid w:val="00983FF2"/>
    <w:rsid w:val="00993CAB"/>
    <w:rsid w:val="009A0B3E"/>
    <w:rsid w:val="009B3212"/>
    <w:rsid w:val="009E11DE"/>
    <w:rsid w:val="009E6C35"/>
    <w:rsid w:val="009E754B"/>
    <w:rsid w:val="00A07BCC"/>
    <w:rsid w:val="00A15FA8"/>
    <w:rsid w:val="00A17202"/>
    <w:rsid w:val="00A24C47"/>
    <w:rsid w:val="00A27654"/>
    <w:rsid w:val="00A309EB"/>
    <w:rsid w:val="00A3384C"/>
    <w:rsid w:val="00A36CF5"/>
    <w:rsid w:val="00A568D1"/>
    <w:rsid w:val="00A71CE9"/>
    <w:rsid w:val="00A73089"/>
    <w:rsid w:val="00A74376"/>
    <w:rsid w:val="00A76860"/>
    <w:rsid w:val="00A90DC6"/>
    <w:rsid w:val="00A96E09"/>
    <w:rsid w:val="00AD21FC"/>
    <w:rsid w:val="00AD383D"/>
    <w:rsid w:val="00AD5870"/>
    <w:rsid w:val="00AE05B9"/>
    <w:rsid w:val="00AE3D3E"/>
    <w:rsid w:val="00AE4413"/>
    <w:rsid w:val="00AE5C20"/>
    <w:rsid w:val="00AF2371"/>
    <w:rsid w:val="00B03AD3"/>
    <w:rsid w:val="00B100D6"/>
    <w:rsid w:val="00B10F20"/>
    <w:rsid w:val="00B1122A"/>
    <w:rsid w:val="00B11AE4"/>
    <w:rsid w:val="00B2160E"/>
    <w:rsid w:val="00B30EFA"/>
    <w:rsid w:val="00B33F69"/>
    <w:rsid w:val="00B404CE"/>
    <w:rsid w:val="00B51D4C"/>
    <w:rsid w:val="00B55552"/>
    <w:rsid w:val="00B564F9"/>
    <w:rsid w:val="00B5781C"/>
    <w:rsid w:val="00B672EF"/>
    <w:rsid w:val="00B80E72"/>
    <w:rsid w:val="00B84D31"/>
    <w:rsid w:val="00B906E9"/>
    <w:rsid w:val="00B965DF"/>
    <w:rsid w:val="00BA1317"/>
    <w:rsid w:val="00BA3F4C"/>
    <w:rsid w:val="00BA55D6"/>
    <w:rsid w:val="00BA56CE"/>
    <w:rsid w:val="00BB2CCD"/>
    <w:rsid w:val="00BB3B50"/>
    <w:rsid w:val="00BB5DCD"/>
    <w:rsid w:val="00BD77BE"/>
    <w:rsid w:val="00BE76D7"/>
    <w:rsid w:val="00BE7A05"/>
    <w:rsid w:val="00BF0705"/>
    <w:rsid w:val="00C01C97"/>
    <w:rsid w:val="00C03527"/>
    <w:rsid w:val="00C043A7"/>
    <w:rsid w:val="00C0572D"/>
    <w:rsid w:val="00C2336E"/>
    <w:rsid w:val="00C23390"/>
    <w:rsid w:val="00C314AB"/>
    <w:rsid w:val="00C315CE"/>
    <w:rsid w:val="00C33FE7"/>
    <w:rsid w:val="00C634F1"/>
    <w:rsid w:val="00C65B9A"/>
    <w:rsid w:val="00C67037"/>
    <w:rsid w:val="00C73A1F"/>
    <w:rsid w:val="00C83639"/>
    <w:rsid w:val="00C85257"/>
    <w:rsid w:val="00C95D7F"/>
    <w:rsid w:val="00C96BDD"/>
    <w:rsid w:val="00CA6B2B"/>
    <w:rsid w:val="00CC3518"/>
    <w:rsid w:val="00CD354D"/>
    <w:rsid w:val="00CD7A1A"/>
    <w:rsid w:val="00CF7FA5"/>
    <w:rsid w:val="00D17966"/>
    <w:rsid w:val="00D22FF9"/>
    <w:rsid w:val="00D2465B"/>
    <w:rsid w:val="00D32C3D"/>
    <w:rsid w:val="00D33013"/>
    <w:rsid w:val="00D3336B"/>
    <w:rsid w:val="00D431C2"/>
    <w:rsid w:val="00D43B83"/>
    <w:rsid w:val="00D44167"/>
    <w:rsid w:val="00D57D7A"/>
    <w:rsid w:val="00D87C37"/>
    <w:rsid w:val="00D903C5"/>
    <w:rsid w:val="00DB53FE"/>
    <w:rsid w:val="00DC3194"/>
    <w:rsid w:val="00DF0CE3"/>
    <w:rsid w:val="00DF126D"/>
    <w:rsid w:val="00DF133F"/>
    <w:rsid w:val="00E04ADE"/>
    <w:rsid w:val="00E1306D"/>
    <w:rsid w:val="00E210F6"/>
    <w:rsid w:val="00E420B6"/>
    <w:rsid w:val="00E46C5F"/>
    <w:rsid w:val="00E62715"/>
    <w:rsid w:val="00E72BA9"/>
    <w:rsid w:val="00E74FF1"/>
    <w:rsid w:val="00E75EF5"/>
    <w:rsid w:val="00E84A4D"/>
    <w:rsid w:val="00E9387A"/>
    <w:rsid w:val="00E95AA9"/>
    <w:rsid w:val="00EA7BDE"/>
    <w:rsid w:val="00ED18F1"/>
    <w:rsid w:val="00ED316B"/>
    <w:rsid w:val="00EE6CEC"/>
    <w:rsid w:val="00EE7957"/>
    <w:rsid w:val="00F053EC"/>
    <w:rsid w:val="00F061A1"/>
    <w:rsid w:val="00F10DFF"/>
    <w:rsid w:val="00F1429D"/>
    <w:rsid w:val="00F20EAE"/>
    <w:rsid w:val="00F220FC"/>
    <w:rsid w:val="00F22AD4"/>
    <w:rsid w:val="00F25347"/>
    <w:rsid w:val="00F329E8"/>
    <w:rsid w:val="00F35480"/>
    <w:rsid w:val="00F37E83"/>
    <w:rsid w:val="00F515AE"/>
    <w:rsid w:val="00F7696E"/>
    <w:rsid w:val="00F85C38"/>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6CEB1BF"/>
    <w:rsid w:val="0CDE3617"/>
    <w:rsid w:val="0D9DC20C"/>
    <w:rsid w:val="0DFB8102"/>
    <w:rsid w:val="16FBF3B6"/>
    <w:rsid w:val="1A7A3CCD"/>
    <w:rsid w:val="1C1F3A18"/>
    <w:rsid w:val="23DAF934"/>
    <w:rsid w:val="2407BBC1"/>
    <w:rsid w:val="25ECEADF"/>
    <w:rsid w:val="274C0677"/>
    <w:rsid w:val="2A7A4F8E"/>
    <w:rsid w:val="2C538143"/>
    <w:rsid w:val="2E114FE2"/>
    <w:rsid w:val="30D2BE5B"/>
    <w:rsid w:val="3340129D"/>
    <w:rsid w:val="35E65CD7"/>
    <w:rsid w:val="37E61136"/>
    <w:rsid w:val="3842A9E7"/>
    <w:rsid w:val="390F0A72"/>
    <w:rsid w:val="3D5294F7"/>
    <w:rsid w:val="3F7416C0"/>
    <w:rsid w:val="413A14A1"/>
    <w:rsid w:val="4152C8D3"/>
    <w:rsid w:val="44230373"/>
    <w:rsid w:val="45CB42D3"/>
    <w:rsid w:val="4B9F3047"/>
    <w:rsid w:val="4D7C6706"/>
    <w:rsid w:val="509E1228"/>
    <w:rsid w:val="52521B09"/>
    <w:rsid w:val="5770E9BA"/>
    <w:rsid w:val="5A20D253"/>
    <w:rsid w:val="65B14D97"/>
    <w:rsid w:val="693E293C"/>
    <w:rsid w:val="6DF39696"/>
    <w:rsid w:val="6E28BA75"/>
    <w:rsid w:val="71ADE2AF"/>
    <w:rsid w:val="73241326"/>
    <w:rsid w:val="7562B63C"/>
    <w:rsid w:val="7E5AC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5DE9C2D-72F8-4186-BE8F-C8CC5144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E029853D-1A50-4650-AD90-D2E896B2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542</Words>
  <Characters>3094</Characters>
  <Application>Microsoft Office Word</Application>
  <DocSecurity>0</DocSecurity>
  <Lines>25</Lines>
  <Paragraphs>7</Paragraphs>
  <ScaleCrop>false</ScaleCrop>
  <Company>Wobschall Design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Piper, Kevyn@Energy</cp:lastModifiedBy>
  <cp:revision>43</cp:revision>
  <cp:lastPrinted>2019-04-08T16:38:00Z</cp:lastPrinted>
  <dcterms:created xsi:type="dcterms:W3CDTF">2023-10-03T16:50:00Z</dcterms:created>
  <dcterms:modified xsi:type="dcterms:W3CDTF">2023-10-27T13:20:00Z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