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116D37">
        <w:rPr>
          <w:rFonts w:ascii="Arial" w:hAnsi="Arial" w:cs="Arial"/>
          <w:b/>
          <w:i w:val="0"/>
          <w:color w:val="17365D" w:themeColor="text2" w:themeShade="BF"/>
          <w:sz w:val="22"/>
          <w:szCs w:val="22"/>
        </w:rPr>
        <w:t>Instructions for co</w:t>
      </w:r>
      <w:r w:rsidR="00721505" w:rsidRPr="00116D37">
        <w:rPr>
          <w:rFonts w:ascii="Arial" w:hAnsi="Arial" w:cs="Arial"/>
          <w:b/>
          <w:i w:val="0"/>
          <w:color w:val="17365D" w:themeColor="text2" w:themeShade="BF"/>
          <w:sz w:val="22"/>
          <w:szCs w:val="22"/>
        </w:rPr>
        <w:t>mpleting</w:t>
      </w:r>
      <w:r w:rsidRPr="00116D37">
        <w:rPr>
          <w:rFonts w:ascii="Arial" w:hAnsi="Arial" w:cs="Arial"/>
          <w:b/>
          <w:i w:val="0"/>
          <w:color w:val="17365D" w:themeColor="text2" w:themeShade="BF"/>
          <w:sz w:val="22"/>
          <w:szCs w:val="22"/>
        </w:rPr>
        <w:t xml:space="preserve"> this Scope of Work appear in blue.  </w:t>
      </w:r>
      <w:r w:rsidRPr="00116D37">
        <w:rPr>
          <w:rFonts w:ascii="Arial" w:hAnsi="Arial" w:cs="Arial"/>
          <w:b/>
          <w:i w:val="0"/>
          <w:color w:val="17365D" w:themeColor="text2" w:themeShade="BF"/>
          <w:sz w:val="22"/>
          <w:szCs w:val="22"/>
          <w:u w:val="single"/>
        </w:rPr>
        <w:t>Carefully read</w:t>
      </w:r>
      <w:r w:rsidRPr="00116D37">
        <w:rPr>
          <w:rFonts w:ascii="Arial" w:hAnsi="Arial" w:cs="Arial"/>
          <w:b/>
          <w:i w:val="0"/>
          <w:color w:val="17365D" w:themeColor="text2" w:themeShade="BF"/>
          <w:sz w:val="22"/>
          <w:szCs w:val="22"/>
        </w:rPr>
        <w:t xml:space="preserve"> the instructions before completing each section</w:t>
      </w:r>
      <w:r w:rsidR="004E08B0" w:rsidRPr="00116D37">
        <w:rPr>
          <w:rFonts w:ascii="Arial" w:hAnsi="Arial" w:cs="Arial"/>
          <w:b/>
          <w:i w:val="0"/>
          <w:color w:val="17365D" w:themeColor="text2" w:themeShade="BF"/>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116D37">
        <w:rPr>
          <w:rFonts w:ascii="Arial" w:hAnsi="Arial" w:cs="Arial"/>
          <w:b/>
          <w:i w:val="0"/>
          <w:color w:val="17365D" w:themeColor="text2" w:themeShade="BF"/>
          <w:sz w:val="22"/>
          <w:szCs w:val="22"/>
          <w:u w:val="single"/>
        </w:rPr>
        <w:t>D</w:t>
      </w:r>
      <w:r w:rsidRPr="00116D37">
        <w:rPr>
          <w:rFonts w:ascii="Arial" w:hAnsi="Arial" w:cs="Arial"/>
          <w:b/>
          <w:i w:val="0"/>
          <w:color w:val="17365D" w:themeColor="text2" w:themeShade="BF"/>
          <w:sz w:val="22"/>
          <w:szCs w:val="22"/>
          <w:u w:val="single"/>
        </w:rPr>
        <w:t>elete</w:t>
      </w:r>
      <w:r w:rsidRPr="002B474F">
        <w:rPr>
          <w:rFonts w:ascii="Arial" w:hAnsi="Arial" w:cs="Arial"/>
          <w:b/>
          <w:i w:val="0"/>
          <w:color w:val="0070C0"/>
          <w:sz w:val="22"/>
          <w:szCs w:val="22"/>
        </w:rPr>
        <w:t xml:space="preserve"> </w:t>
      </w:r>
      <w:r w:rsidR="000752AD" w:rsidRPr="00116D37">
        <w:rPr>
          <w:rFonts w:ascii="Arial" w:hAnsi="Arial" w:cs="Arial"/>
          <w:b/>
          <w:i w:val="0"/>
          <w:color w:val="17365D" w:themeColor="text2" w:themeShade="BF"/>
          <w:sz w:val="22"/>
          <w:szCs w:val="22"/>
        </w:rPr>
        <w:t xml:space="preserve">the instructions </w:t>
      </w:r>
      <w:r w:rsidRPr="00116D37">
        <w:rPr>
          <w:rFonts w:ascii="Arial" w:hAnsi="Arial" w:cs="Arial"/>
          <w:b/>
          <w:i w:val="0"/>
          <w:color w:val="17365D" w:themeColor="text2" w:themeShade="BF"/>
          <w:sz w:val="22"/>
          <w:szCs w:val="22"/>
        </w:rPr>
        <w:t>after completing each section.</w:t>
      </w:r>
      <w:r w:rsidR="00F51AE6" w:rsidRPr="002B474F">
        <w:rPr>
          <w:rFonts w:ascii="Arial" w:hAnsi="Arial" w:cs="Arial"/>
          <w:b/>
          <w:i w:val="0"/>
          <w:color w:val="0070C0"/>
          <w:sz w:val="22"/>
          <w:szCs w:val="22"/>
        </w:rPr>
        <w:t xml:space="preserve">  </w:t>
      </w:r>
      <w:r w:rsidR="00F51AE6" w:rsidRPr="00116D37">
        <w:rPr>
          <w:rFonts w:ascii="Arial" w:hAnsi="Arial" w:cs="Arial"/>
          <w:b/>
          <w:i w:val="0"/>
          <w:color w:val="17365D" w:themeColor="text2" w:themeShade="BF"/>
          <w:sz w:val="22"/>
          <w:szCs w:val="22"/>
          <w:u w:val="single"/>
        </w:rPr>
        <w:t>Insert</w:t>
      </w:r>
      <w:r w:rsidR="00F51AE6" w:rsidRPr="00116D37">
        <w:rPr>
          <w:rFonts w:ascii="Arial" w:hAnsi="Arial" w:cs="Arial"/>
          <w:b/>
          <w:i w:val="0"/>
          <w:color w:val="17365D" w:themeColor="text2" w:themeShade="BF"/>
          <w:sz w:val="22"/>
          <w:szCs w:val="22"/>
        </w:rPr>
        <w:t xml:space="preserve"> the name of the </w:t>
      </w:r>
      <w:r w:rsidR="008E4CD2" w:rsidRPr="00116D37">
        <w:rPr>
          <w:rFonts w:ascii="Arial" w:hAnsi="Arial" w:cs="Arial"/>
          <w:b/>
          <w:i w:val="0"/>
          <w:color w:val="17365D" w:themeColor="text2" w:themeShade="BF"/>
          <w:sz w:val="22"/>
          <w:szCs w:val="22"/>
        </w:rPr>
        <w:t>applicant/</w:t>
      </w:r>
      <w:r w:rsidR="00F51AE6" w:rsidRPr="00116D37">
        <w:rPr>
          <w:rFonts w:ascii="Arial" w:hAnsi="Arial" w:cs="Arial"/>
          <w:b/>
          <w:i w:val="0"/>
          <w:color w:val="17365D" w:themeColor="text2" w:themeShade="BF"/>
          <w:sz w:val="22"/>
          <w:szCs w:val="22"/>
        </w:rPr>
        <w:t xml:space="preserve">recipient </w:t>
      </w:r>
      <w:proofErr w:type="gramStart"/>
      <w:r w:rsidR="00F51AE6" w:rsidRPr="00116D37">
        <w:rPr>
          <w:rFonts w:ascii="Arial" w:hAnsi="Arial" w:cs="Arial"/>
          <w:b/>
          <w:i w:val="0"/>
          <w:color w:val="17365D" w:themeColor="text2" w:themeShade="BF"/>
          <w:sz w:val="22"/>
          <w:szCs w:val="22"/>
        </w:rPr>
        <w:t>where</w:t>
      </w:r>
      <w:proofErr w:type="gramEnd"/>
      <w:r w:rsidR="00F51AE6" w:rsidRPr="00116D37">
        <w:rPr>
          <w:rFonts w:ascii="Arial" w:hAnsi="Arial" w:cs="Arial"/>
          <w:b/>
          <w:i w:val="0"/>
          <w:color w:val="17365D" w:themeColor="text2" w:themeShade="BF"/>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Style w:val="TableGridLight"/>
        <w:tblW w:w="9517" w:type="dxa"/>
        <w:tblLayout w:type="fixed"/>
        <w:tblLook w:val="0020" w:firstRow="1" w:lastRow="0" w:firstColumn="0" w:lastColumn="0" w:noHBand="0" w:noVBand="0"/>
      </w:tblPr>
      <w:tblGrid>
        <w:gridCol w:w="985"/>
        <w:gridCol w:w="807"/>
        <w:gridCol w:w="7725"/>
      </w:tblGrid>
      <w:tr w:rsidR="002C01CB" w:rsidRPr="002B474F" w14:paraId="4FD96A56" w14:textId="77777777" w:rsidTr="00116D37">
        <w:tc>
          <w:tcPr>
            <w:tcW w:w="980" w:type="dxa"/>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116D37">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116D37">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116D37">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116D37">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Style w:val="TableGridLight"/>
        <w:tblW w:w="0" w:type="auto"/>
        <w:tblLayout w:type="fixed"/>
        <w:tblLook w:val="0020" w:firstRow="1" w:lastRow="0" w:firstColumn="0" w:lastColumn="0" w:noHBand="0" w:noVBand="0"/>
      </w:tblPr>
      <w:tblGrid>
        <w:gridCol w:w="1890"/>
        <w:gridCol w:w="7560"/>
      </w:tblGrid>
      <w:tr w:rsidR="002B474F" w:rsidRPr="002B474F" w14:paraId="127A6138" w14:textId="77777777" w:rsidTr="00116D37">
        <w:tc>
          <w:tcPr>
            <w:tcW w:w="1890" w:type="dxa"/>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116D37">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116D37">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116D37">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116D37">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116D37">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116D37">
        <w:rPr>
          <w:rFonts w:ascii="Arial" w:hAnsi="Arial" w:cs="Arial"/>
          <w:b/>
          <w:i w:val="0"/>
          <w:color w:val="17365D" w:themeColor="text2" w:themeShade="BF"/>
          <w:sz w:val="22"/>
          <w:szCs w:val="22"/>
          <w:u w:val="single"/>
          <w:shd w:val="clear" w:color="auto" w:fill="D9D9D9"/>
        </w:rPr>
        <w:t>Example</w:t>
      </w:r>
      <w:r w:rsidRPr="00116D37">
        <w:rPr>
          <w:rFonts w:ascii="Arial" w:hAnsi="Arial" w:cs="Arial"/>
          <w:b/>
          <w:i w:val="0"/>
          <w:color w:val="17365D" w:themeColor="text2" w:themeShade="BF"/>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116D37">
        <w:rPr>
          <w:rFonts w:ascii="Arial" w:hAnsi="Arial" w:cs="Arial"/>
          <w:b/>
          <w:color w:val="17365D" w:themeColor="text2" w:themeShade="BF"/>
          <w:sz w:val="22"/>
          <w:szCs w:val="22"/>
          <w:u w:val="single"/>
          <w:shd w:val="clear" w:color="auto" w:fill="D9D9D9"/>
        </w:rPr>
        <w:t>Example</w:t>
      </w:r>
      <w:r w:rsidRPr="00116D37">
        <w:rPr>
          <w:rFonts w:ascii="Arial" w:hAnsi="Arial" w:cs="Arial"/>
          <w:b/>
          <w:color w:val="17365D" w:themeColor="text2" w:themeShade="BF"/>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116D37">
        <w:rPr>
          <w:rFonts w:ascii="Arial" w:hAnsi="Arial" w:cs="Arial"/>
          <w:b/>
          <w:color w:val="17365D" w:themeColor="text2" w:themeShade="BF"/>
          <w:sz w:val="22"/>
          <w:szCs w:val="22"/>
          <w:u w:val="single"/>
          <w:shd w:val="clear" w:color="auto" w:fill="D9D9D9"/>
        </w:rPr>
        <w:t>Example</w:t>
      </w:r>
      <w:r w:rsidRPr="00116D37">
        <w:rPr>
          <w:rFonts w:ascii="Arial" w:hAnsi="Arial" w:cs="Arial"/>
          <w:b/>
          <w:color w:val="17365D" w:themeColor="text2" w:themeShade="BF"/>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116D37">
        <w:rPr>
          <w:rFonts w:ascii="Arial" w:hAnsi="Arial" w:cs="Arial"/>
          <w:b/>
          <w:i w:val="0"/>
          <w:color w:val="17365D" w:themeColor="text2" w:themeShade="BF"/>
          <w:sz w:val="22"/>
          <w:szCs w:val="22"/>
          <w:u w:val="single"/>
          <w:shd w:val="clear" w:color="auto" w:fill="D9D9D9"/>
        </w:rPr>
        <w:t>Examples</w:t>
      </w:r>
      <w:r w:rsidRPr="00116D37">
        <w:rPr>
          <w:rFonts w:ascii="Arial" w:hAnsi="Arial" w:cs="Arial"/>
          <w:b/>
          <w:i w:val="0"/>
          <w:color w:val="17365D" w:themeColor="text2" w:themeShade="BF"/>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116D37">
        <w:rPr>
          <w:rFonts w:ascii="Arial" w:hAnsi="Arial" w:cs="Arial"/>
          <w:b/>
          <w:i w:val="0"/>
          <w:color w:val="17365D" w:themeColor="text2" w:themeShade="BF"/>
          <w:sz w:val="22"/>
          <w:szCs w:val="22"/>
          <w:u w:val="single"/>
          <w:shd w:val="clear" w:color="auto" w:fill="D9D9D9"/>
        </w:rPr>
        <w:t>Examples</w:t>
      </w:r>
      <w:r w:rsidRPr="00116D37">
        <w:rPr>
          <w:rFonts w:ascii="Arial" w:hAnsi="Arial" w:cs="Arial"/>
          <w:b/>
          <w:i w:val="0"/>
          <w:color w:val="17365D" w:themeColor="text2" w:themeShade="BF"/>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P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735DCFC2"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96786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roofErr w:type="gramStart"/>
      <w:r w:rsidRPr="002B474F">
        <w:rPr>
          <w:rFonts w:ascii="Arial" w:hAnsi="Arial" w:cs="Arial"/>
          <w:i w:val="0"/>
          <w:sz w:val="22"/>
          <w:szCs w:val="22"/>
        </w:rPr>
        <w:t>);</w:t>
      </w:r>
      <w:proofErr w:type="gramEnd"/>
    </w:p>
    <w:p w14:paraId="339647C3"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1.8</w:t>
      </w:r>
      <w:proofErr w:type="gramStart"/>
      <w:r w:rsidRPr="002B474F">
        <w:rPr>
          <w:rFonts w:ascii="Arial" w:hAnsi="Arial" w:cs="Arial"/>
          <w:i w:val="0"/>
          <w:sz w:val="22"/>
          <w:szCs w:val="22"/>
        </w:rPr>
        <w:t>);</w:t>
      </w:r>
      <w:proofErr w:type="gramEnd"/>
    </w:p>
    <w:p w14:paraId="274BC1C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1B0EBDF9"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1F9AB4BA"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0D14110D" w14:textId="34AF5239"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r w:rsidR="0055681F">
        <w:rPr>
          <w:rFonts w:ascii="Arial" w:hAnsi="Arial" w:cs="Arial"/>
          <w:i w:val="0"/>
          <w:sz w:val="22"/>
          <w:szCs w:val="22"/>
        </w:rPr>
        <w:t>;</w:t>
      </w:r>
      <w:proofErr w:type="gramEnd"/>
    </w:p>
    <w:p w14:paraId="55DECC27"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5F4AE95B"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6"/>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Researchers knowledgeable about the project subject </w:t>
      </w:r>
      <w:proofErr w:type="gramStart"/>
      <w:r w:rsidRPr="65FDBB94">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roofErr w:type="gramStart"/>
      <w:r w:rsidRPr="65FDBB94">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market transformation </w:t>
      </w:r>
      <w:proofErr w:type="gramStart"/>
      <w:r w:rsidRPr="65FDBB94">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Product developers relevant to the </w:t>
      </w:r>
      <w:proofErr w:type="gramStart"/>
      <w:r w:rsidRPr="65FDBB94">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U.S. Department of Energy research managers, or experts from other federal or state agencies relevant to the </w:t>
      </w:r>
      <w:proofErr w:type="gramStart"/>
      <w:r w:rsidRPr="65FDBB94">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environmental </w:t>
      </w:r>
      <w:proofErr w:type="gramStart"/>
      <w:r w:rsidRPr="65FDBB94">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Utility </w:t>
      </w:r>
      <w:proofErr w:type="gramStart"/>
      <w:r w:rsidRPr="65FDBB94">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116D37">
        <w:rPr>
          <w:rFonts w:ascii="Arial" w:hAnsi="Arial" w:cs="Arial"/>
          <w:b/>
          <w:color w:val="17365D" w:themeColor="text2" w:themeShade="BF"/>
          <w:sz w:val="22"/>
          <w:szCs w:val="22"/>
          <w:u w:val="single"/>
          <w:shd w:val="clear" w:color="auto" w:fill="D9D9D9"/>
        </w:rPr>
        <w:t>Examples</w:t>
      </w:r>
      <w:r w:rsidRPr="00116D37">
        <w:rPr>
          <w:rFonts w:ascii="Arial" w:hAnsi="Arial" w:cs="Arial"/>
          <w:b/>
          <w:color w:val="17365D" w:themeColor="text2" w:themeShade="BF"/>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67570E69" w14:textId="39FD09C6" w:rsidR="00052E63" w:rsidRPr="009F3B7C" w:rsidRDefault="00052E63" w:rsidP="00052E63">
      <w:pPr>
        <w:spacing w:after="160" w:line="259" w:lineRule="auto"/>
        <w:contextualSpacing/>
        <w:rPr>
          <w:rFonts w:ascii="Arial" w:eastAsia="Calibri" w:hAnsi="Arial" w:cs="Arial"/>
          <w:color w:val="0070C0"/>
          <w:sz w:val="22"/>
          <w:szCs w:val="22"/>
        </w:rPr>
      </w:pP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00CA095F"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recipient will conduct to ensure the tools and results from this project </w:t>
      </w:r>
      <w:r w:rsidR="40E0F028" w:rsidRPr="5354C64B">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4"/>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recipient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TAC comments the recipient does not propose to incorporate with and explanation why.</w:t>
      </w:r>
    </w:p>
    <w:p w14:paraId="10349E4E" w14:textId="77777777" w:rsidR="00052E63" w:rsidRPr="00A72685" w:rsidRDefault="00052E63" w:rsidP="00052E63">
      <w:pPr>
        <w:numPr>
          <w:ilvl w:val="0"/>
          <w:numId w:val="54"/>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4"/>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3FA2B0EB" w14:textId="6535162D" w:rsidR="002B474F" w:rsidRPr="00D102E6" w:rsidRDefault="00052E63" w:rsidP="00D102E6">
      <w:pPr>
        <w:numPr>
          <w:ilvl w:val="0"/>
          <w:numId w:val="55"/>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6B93" w14:textId="77777777" w:rsidR="001F3210" w:rsidRDefault="001F3210" w:rsidP="00245BC9">
      <w:r>
        <w:separator/>
      </w:r>
    </w:p>
  </w:endnote>
  <w:endnote w:type="continuationSeparator" w:id="0">
    <w:p w14:paraId="6C432AE1" w14:textId="77777777" w:rsidR="001F3210" w:rsidRDefault="001F3210" w:rsidP="00245BC9">
      <w:r>
        <w:continuationSeparator/>
      </w:r>
    </w:p>
  </w:endnote>
  <w:endnote w:type="continuationNotice" w:id="1">
    <w:p w14:paraId="55BB539D" w14:textId="77777777" w:rsidR="001F3210" w:rsidRDefault="001F3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2A4E" w14:textId="77777777" w:rsidR="00A03FBE" w:rsidRPr="00A03FBE" w:rsidRDefault="00A03FBE" w:rsidP="00A03FBE">
    <w:pPr>
      <w:pStyle w:val="Footer"/>
      <w:rPr>
        <w:rFonts w:ascii="Arial" w:hAnsi="Arial" w:cs="Arial"/>
        <w:color w:val="000000" w:themeColor="text1"/>
        <w:sz w:val="20"/>
      </w:rPr>
    </w:pPr>
    <w:r w:rsidRPr="00A03FBE">
      <w:rPr>
        <w:rFonts w:ascii="Arial" w:hAnsi="Arial" w:cs="Arial"/>
        <w:color w:val="000000" w:themeColor="text1"/>
        <w:sz w:val="20"/>
      </w:rPr>
      <w:t>October 2023</w:t>
    </w:r>
    <w:r w:rsidRPr="00A03FBE">
      <w:rPr>
        <w:rFonts w:ascii="Arial" w:hAnsi="Arial" w:cs="Arial"/>
        <w:color w:val="000000" w:themeColor="text1"/>
        <w:sz w:val="20"/>
      </w:rPr>
      <w:tab/>
      <w:t>Page 1 of 4</w:t>
    </w:r>
    <w:r w:rsidRPr="00A03FBE">
      <w:rPr>
        <w:rFonts w:ascii="Arial" w:hAnsi="Arial" w:cs="Arial"/>
        <w:color w:val="000000" w:themeColor="text1"/>
        <w:sz w:val="20"/>
      </w:rPr>
      <w:tab/>
      <w:t>GFO-23-501</w:t>
    </w:r>
  </w:p>
  <w:p w14:paraId="491FDC97" w14:textId="0583EE6C" w:rsidR="005625AE" w:rsidRPr="00A03FBE" w:rsidRDefault="00A03FBE" w:rsidP="00A03FBE">
    <w:pPr>
      <w:pStyle w:val="Footer"/>
      <w:rPr>
        <w:color w:val="000000" w:themeColor="text1"/>
        <w:sz w:val="20"/>
      </w:rPr>
    </w:pPr>
    <w:r w:rsidRPr="00A03FBE">
      <w:rPr>
        <w:rFonts w:ascii="Arial" w:hAnsi="Arial" w:cs="Arial"/>
        <w:color w:val="000000" w:themeColor="text1"/>
        <w:sz w:val="20"/>
      </w:rPr>
      <w:tab/>
    </w:r>
    <w:r w:rsidRPr="00A03FBE">
      <w:rPr>
        <w:rFonts w:ascii="Arial" w:hAnsi="Arial" w:cs="Arial"/>
        <w:color w:val="000000" w:themeColor="text1"/>
        <w:sz w:val="20"/>
      </w:rPr>
      <w:tab/>
      <w:t>Quantifying Exposures to Indoor Air Pollutants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E511" w14:textId="77777777" w:rsidR="001F3210" w:rsidRDefault="001F3210" w:rsidP="00245BC9">
      <w:r>
        <w:separator/>
      </w:r>
    </w:p>
  </w:footnote>
  <w:footnote w:type="continuationSeparator" w:id="0">
    <w:p w14:paraId="4CA142F7" w14:textId="77777777" w:rsidR="001F3210" w:rsidRDefault="001F3210" w:rsidP="00245BC9">
      <w:r>
        <w:continuationSeparator/>
      </w:r>
    </w:p>
  </w:footnote>
  <w:footnote w:type="continuationNotice" w:id="1">
    <w:p w14:paraId="59117176" w14:textId="77777777" w:rsidR="001F3210" w:rsidRDefault="001F3210"/>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F51A3"/>
    <w:multiLevelType w:val="hybridMultilevel"/>
    <w:tmpl w:val="E356D87A"/>
    <w:lvl w:ilvl="0" w:tplc="5DC23216">
      <w:start w:val="1"/>
      <w:numFmt w:val="bullet"/>
      <w:lvlText w:val="o"/>
      <w:lvlJc w:val="left"/>
      <w:pPr>
        <w:ind w:left="1080" w:hanging="360"/>
      </w:pPr>
      <w:rPr>
        <w:rFonts w:ascii="Courier New" w:hAnsi="Courier New" w:hint="default"/>
      </w:rPr>
    </w:lvl>
    <w:lvl w:ilvl="1" w:tplc="F080046A">
      <w:start w:val="1"/>
      <w:numFmt w:val="bullet"/>
      <w:lvlText w:val="o"/>
      <w:lvlJc w:val="left"/>
      <w:pPr>
        <w:ind w:left="1800" w:hanging="360"/>
      </w:pPr>
      <w:rPr>
        <w:rFonts w:ascii="Courier New" w:hAnsi="Courier New" w:hint="default"/>
      </w:rPr>
    </w:lvl>
    <w:lvl w:ilvl="2" w:tplc="98B25F86">
      <w:start w:val="1"/>
      <w:numFmt w:val="bullet"/>
      <w:lvlText w:val=""/>
      <w:lvlJc w:val="left"/>
      <w:pPr>
        <w:ind w:left="2520" w:hanging="360"/>
      </w:pPr>
      <w:rPr>
        <w:rFonts w:ascii="Wingdings" w:hAnsi="Wingdings" w:hint="default"/>
      </w:rPr>
    </w:lvl>
    <w:lvl w:ilvl="3" w:tplc="F0662726">
      <w:start w:val="1"/>
      <w:numFmt w:val="bullet"/>
      <w:lvlText w:val=""/>
      <w:lvlJc w:val="left"/>
      <w:pPr>
        <w:ind w:left="3240" w:hanging="360"/>
      </w:pPr>
      <w:rPr>
        <w:rFonts w:ascii="Symbol" w:hAnsi="Symbol" w:hint="default"/>
      </w:rPr>
    </w:lvl>
    <w:lvl w:ilvl="4" w:tplc="58341EC0">
      <w:start w:val="1"/>
      <w:numFmt w:val="bullet"/>
      <w:lvlText w:val="o"/>
      <w:lvlJc w:val="left"/>
      <w:pPr>
        <w:ind w:left="3960" w:hanging="360"/>
      </w:pPr>
      <w:rPr>
        <w:rFonts w:ascii="Courier New" w:hAnsi="Courier New" w:hint="default"/>
      </w:rPr>
    </w:lvl>
    <w:lvl w:ilvl="5" w:tplc="1666BC16">
      <w:start w:val="1"/>
      <w:numFmt w:val="bullet"/>
      <w:lvlText w:val=""/>
      <w:lvlJc w:val="left"/>
      <w:pPr>
        <w:ind w:left="4680" w:hanging="360"/>
      </w:pPr>
      <w:rPr>
        <w:rFonts w:ascii="Wingdings" w:hAnsi="Wingdings" w:hint="default"/>
      </w:rPr>
    </w:lvl>
    <w:lvl w:ilvl="6" w:tplc="39B2F1E6">
      <w:start w:val="1"/>
      <w:numFmt w:val="bullet"/>
      <w:lvlText w:val=""/>
      <w:lvlJc w:val="left"/>
      <w:pPr>
        <w:ind w:left="5400" w:hanging="360"/>
      </w:pPr>
      <w:rPr>
        <w:rFonts w:ascii="Symbol" w:hAnsi="Symbol" w:hint="default"/>
      </w:rPr>
    </w:lvl>
    <w:lvl w:ilvl="7" w:tplc="AA062536">
      <w:start w:val="1"/>
      <w:numFmt w:val="bullet"/>
      <w:lvlText w:val="o"/>
      <w:lvlJc w:val="left"/>
      <w:pPr>
        <w:ind w:left="6120" w:hanging="360"/>
      </w:pPr>
      <w:rPr>
        <w:rFonts w:ascii="Courier New" w:hAnsi="Courier New" w:hint="default"/>
      </w:rPr>
    </w:lvl>
    <w:lvl w:ilvl="8" w:tplc="F4BEB99E">
      <w:start w:val="1"/>
      <w:numFmt w:val="bullet"/>
      <w:lvlText w:val=""/>
      <w:lvlJc w:val="left"/>
      <w:pPr>
        <w:ind w:left="6840" w:hanging="360"/>
      </w:pPr>
      <w:rPr>
        <w:rFonts w:ascii="Wingdings" w:hAnsi="Wingdings" w:hint="default"/>
      </w:rPr>
    </w:lvl>
  </w:abstractNum>
  <w:abstractNum w:abstractNumId="3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0"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2"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5"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6"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7"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9"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1"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2"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4"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5"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6"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9"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0"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1"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3"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5"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1509417">
    <w:abstractNumId w:val="36"/>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29"/>
  </w:num>
  <w:num w:numId="5" w16cid:durableId="1235704903">
    <w:abstractNumId w:val="45"/>
  </w:num>
  <w:num w:numId="6" w16cid:durableId="934358799">
    <w:abstractNumId w:val="58"/>
  </w:num>
  <w:num w:numId="7" w16cid:durableId="1934124898">
    <w:abstractNumId w:val="10"/>
  </w:num>
  <w:num w:numId="8" w16cid:durableId="1750543429">
    <w:abstractNumId w:val="41"/>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4"/>
  </w:num>
  <w:num w:numId="14" w16cid:durableId="887449639">
    <w:abstractNumId w:val="53"/>
  </w:num>
  <w:num w:numId="15" w16cid:durableId="1778717488">
    <w:abstractNumId w:val="7"/>
  </w:num>
  <w:num w:numId="16" w16cid:durableId="1206217841">
    <w:abstractNumId w:val="59"/>
  </w:num>
  <w:num w:numId="17" w16cid:durableId="1487890744">
    <w:abstractNumId w:val="64"/>
  </w:num>
  <w:num w:numId="18" w16cid:durableId="53817091">
    <w:abstractNumId w:val="46"/>
  </w:num>
  <w:num w:numId="19" w16cid:durableId="187916187">
    <w:abstractNumId w:val="55"/>
  </w:num>
  <w:num w:numId="20" w16cid:durableId="2139567102">
    <w:abstractNumId w:val="51"/>
  </w:num>
  <w:num w:numId="21" w16cid:durableId="1203831519">
    <w:abstractNumId w:val="39"/>
  </w:num>
  <w:num w:numId="22" w16cid:durableId="2048795293">
    <w:abstractNumId w:val="9"/>
  </w:num>
  <w:num w:numId="23" w16cid:durableId="1973051658">
    <w:abstractNumId w:val="14"/>
  </w:num>
  <w:num w:numId="24" w16cid:durableId="2078017374">
    <w:abstractNumId w:val="27"/>
  </w:num>
  <w:num w:numId="25" w16cid:durableId="1229804521">
    <w:abstractNumId w:val="62"/>
  </w:num>
  <w:num w:numId="26" w16cid:durableId="234123909">
    <w:abstractNumId w:val="5"/>
  </w:num>
  <w:num w:numId="27" w16cid:durableId="13070728">
    <w:abstractNumId w:val="44"/>
  </w:num>
  <w:num w:numId="28" w16cid:durableId="1910455318">
    <w:abstractNumId w:val="28"/>
  </w:num>
  <w:num w:numId="29" w16cid:durableId="1951932508">
    <w:abstractNumId w:val="1"/>
  </w:num>
  <w:num w:numId="30" w16cid:durableId="1696689823">
    <w:abstractNumId w:val="24"/>
  </w:num>
  <w:num w:numId="31" w16cid:durableId="2073506530">
    <w:abstractNumId w:val="65"/>
  </w:num>
  <w:num w:numId="32" w16cid:durableId="850603248">
    <w:abstractNumId w:val="11"/>
  </w:num>
  <w:num w:numId="33" w16cid:durableId="1664165613">
    <w:abstractNumId w:val="43"/>
  </w:num>
  <w:num w:numId="34" w16cid:durableId="165487806">
    <w:abstractNumId w:val="37"/>
  </w:num>
  <w:num w:numId="35" w16cid:durableId="204753367">
    <w:abstractNumId w:val="33"/>
  </w:num>
  <w:num w:numId="36" w16cid:durableId="2113086496">
    <w:abstractNumId w:val="60"/>
  </w:num>
  <w:num w:numId="37" w16cid:durableId="445854735">
    <w:abstractNumId w:val="40"/>
  </w:num>
  <w:num w:numId="38" w16cid:durableId="1038355909">
    <w:abstractNumId w:val="3"/>
  </w:num>
  <w:num w:numId="39" w16cid:durableId="206379752">
    <w:abstractNumId w:val="19"/>
  </w:num>
  <w:num w:numId="40" w16cid:durableId="127286221">
    <w:abstractNumId w:val="21"/>
  </w:num>
  <w:num w:numId="41" w16cid:durableId="1609462329">
    <w:abstractNumId w:val="35"/>
  </w:num>
  <w:num w:numId="42" w16cid:durableId="379014099">
    <w:abstractNumId w:val="47"/>
  </w:num>
  <w:num w:numId="43" w16cid:durableId="1137138434">
    <w:abstractNumId w:val="25"/>
  </w:num>
  <w:num w:numId="44" w16cid:durableId="371267308">
    <w:abstractNumId w:val="49"/>
  </w:num>
  <w:num w:numId="45" w16cid:durableId="1048723164">
    <w:abstractNumId w:val="63"/>
  </w:num>
  <w:num w:numId="46" w16cid:durableId="742141193">
    <w:abstractNumId w:val="42"/>
  </w:num>
  <w:num w:numId="47" w16cid:durableId="173151607">
    <w:abstractNumId w:val="61"/>
  </w:num>
  <w:num w:numId="48" w16cid:durableId="819925771">
    <w:abstractNumId w:val="32"/>
  </w:num>
  <w:num w:numId="49" w16cid:durableId="357005506">
    <w:abstractNumId w:val="26"/>
  </w:num>
  <w:num w:numId="50" w16cid:durableId="154879757">
    <w:abstractNumId w:val="38"/>
  </w:num>
  <w:num w:numId="51" w16cid:durableId="1870100970">
    <w:abstractNumId w:val="16"/>
  </w:num>
  <w:num w:numId="52" w16cid:durableId="1918513904">
    <w:abstractNumId w:val="12"/>
  </w:num>
  <w:num w:numId="53" w16cid:durableId="544174244">
    <w:abstractNumId w:val="4"/>
  </w:num>
  <w:num w:numId="54" w16cid:durableId="375201264">
    <w:abstractNumId w:val="56"/>
  </w:num>
  <w:num w:numId="55" w16cid:durableId="1109011239">
    <w:abstractNumId w:val="34"/>
  </w:num>
  <w:num w:numId="56" w16cid:durableId="936451573">
    <w:abstractNumId w:val="48"/>
  </w:num>
  <w:num w:numId="57" w16cid:durableId="227688856">
    <w:abstractNumId w:val="57"/>
  </w:num>
  <w:num w:numId="58" w16cid:durableId="1613055934">
    <w:abstractNumId w:val="31"/>
  </w:num>
  <w:num w:numId="59" w16cid:durableId="1208562787">
    <w:abstractNumId w:val="45"/>
  </w:num>
  <w:num w:numId="60" w16cid:durableId="1159269058">
    <w:abstractNumId w:val="8"/>
  </w:num>
  <w:num w:numId="61" w16cid:durableId="626088813">
    <w:abstractNumId w:val="6"/>
  </w:num>
  <w:num w:numId="62" w16cid:durableId="102117896">
    <w:abstractNumId w:val="22"/>
  </w:num>
  <w:num w:numId="63" w16cid:durableId="336663622">
    <w:abstractNumId w:val="13"/>
  </w:num>
  <w:num w:numId="64" w16cid:durableId="1232420892">
    <w:abstractNumId w:val="23"/>
  </w:num>
  <w:num w:numId="65" w16cid:durableId="1544630271">
    <w:abstractNumId w:val="50"/>
  </w:num>
  <w:num w:numId="66" w16cid:durableId="2057924897">
    <w:abstractNumId w:val="30"/>
  </w:num>
  <w:num w:numId="67" w16cid:durableId="1245339409">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47423"/>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16D37"/>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59F1"/>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21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01D"/>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2C44"/>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442D"/>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546"/>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2429"/>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5F9D"/>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5EC5"/>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1988"/>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3FBE"/>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26C3"/>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02E6"/>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E64"/>
    <w:rsid w:val="00DA6FFB"/>
    <w:rsid w:val="00DB4F34"/>
    <w:rsid w:val="00DB4F78"/>
    <w:rsid w:val="00DB6313"/>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table" w:styleId="PlainTable1">
    <w:name w:val="Plain Table 1"/>
    <w:basedOn w:val="TableNormal"/>
    <w:uiPriority w:val="41"/>
    <w:rsid w:val="00116D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6D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4" ma:contentTypeDescription="Create a new document." ma:contentTypeScope="" ma:versionID="16f164efc345062098e71a85c39b50d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fcec3687ac7965fe5b997d0041001a0b"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5067c814-4b34-462c-a21d-c185ff6548d2"/>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785685f2-c2e1-4352-89aa-3faca8eaba52"/>
    <ds:schemaRef ds:uri="http://purl.org/dc/terms/"/>
    <ds:schemaRef ds:uri="92ecc987-d12b-42b1-abee-10b37485ad0a"/>
  </ds:schemaRefs>
</ds:datastoreItem>
</file>

<file path=customXml/itemProps3.xml><?xml version="1.0" encoding="utf-8"?>
<ds:datastoreItem xmlns:ds="http://schemas.openxmlformats.org/officeDocument/2006/customXml" ds:itemID="{0B239369-BE28-4ECA-A22C-D7B7D965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6138</Words>
  <Characters>34294</Characters>
  <Application>Microsoft Office Word</Application>
  <DocSecurity>0</DocSecurity>
  <Lines>285</Lines>
  <Paragraphs>80</Paragraphs>
  <ScaleCrop>false</ScaleCrop>
  <Company>California Energy Commission</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Washington, Pierre@Energy</cp:lastModifiedBy>
  <cp:revision>3</cp:revision>
  <cp:lastPrinted>2017-11-09T20:18:00Z</cp:lastPrinted>
  <dcterms:created xsi:type="dcterms:W3CDTF">2023-11-06T20:14:00Z</dcterms:created>
  <dcterms:modified xsi:type="dcterms:W3CDTF">2023-11-06T21:37:00Z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dc206f5b947507c6641f661bca812f140af3b6535003246f2d583a9945770171</vt:lpwstr>
  </property>
</Properties>
</file>