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Pr="00DB4A49" w:rsidRDefault="00C769DC">
      <w:pPr>
        <w:rPr>
          <w:color w:val="000000" w:themeColor="text1"/>
        </w:rPr>
      </w:pPr>
    </w:p>
    <w:p w14:paraId="5CD98743" w14:textId="269EDFD9" w:rsidR="00E1755A" w:rsidRPr="00DB4A49" w:rsidRDefault="00E1755A" w:rsidP="00E1755A">
      <w:pPr>
        <w:rPr>
          <w:rFonts w:ascii="Arial" w:hAnsi="Arial" w:cs="Arial"/>
          <w:color w:val="000000" w:themeColor="text1"/>
        </w:rPr>
      </w:pPr>
      <w:r w:rsidRPr="00DB4A49">
        <w:rPr>
          <w:rFonts w:ascii="Arial" w:hAnsi="Arial" w:cs="Arial"/>
          <w:color w:val="000000" w:themeColor="text1"/>
        </w:rPr>
        <w:t xml:space="preserve">Applicant Name: </w:t>
      </w:r>
      <w:sdt>
        <w:sdtPr>
          <w:rPr>
            <w:rFonts w:ascii="Arial" w:hAnsi="Arial" w:cs="Arial"/>
            <w:color w:val="000000" w:themeColor="text1"/>
          </w:rPr>
          <w:id w:val="1948806519"/>
          <w:placeholder>
            <w:docPart w:val="55CA4DFC9DBC40C78590B33C83345B95"/>
          </w:placeholder>
          <w:showingPlcHdr/>
          <w:text/>
        </w:sdtPr>
        <w:sdtEndPr/>
        <w:sdtContent>
          <w:r w:rsidRPr="00DB4A49">
            <w:rPr>
              <w:rStyle w:val="PlaceholderText"/>
              <w:rFonts w:ascii="Arial" w:hAnsi="Arial" w:cs="Arial"/>
              <w:color w:val="000000" w:themeColor="text1"/>
            </w:rPr>
            <w:t>Click or tap here to enter text.</w:t>
          </w:r>
        </w:sdtContent>
      </w:sdt>
    </w:p>
    <w:p w14:paraId="540DDB41" w14:textId="72FF10D3" w:rsidR="001950CA" w:rsidRPr="00DB4A49" w:rsidRDefault="00E1755A" w:rsidP="00E1755A">
      <w:pPr>
        <w:rPr>
          <w:rFonts w:ascii="Arial" w:hAnsi="Arial" w:cs="Arial"/>
          <w:color w:val="000000" w:themeColor="text1"/>
        </w:rPr>
      </w:pPr>
      <w:r w:rsidRPr="00DB4A49">
        <w:rPr>
          <w:rFonts w:ascii="Arial" w:hAnsi="Arial" w:cs="Arial"/>
          <w:color w:val="000000" w:themeColor="text1"/>
        </w:rPr>
        <w:t xml:space="preserve"> </w:t>
      </w:r>
      <w:r w:rsidR="001950CA" w:rsidRPr="00DB4A49">
        <w:rPr>
          <w:rFonts w:ascii="Arial" w:hAnsi="Arial" w:cs="Arial"/>
          <w:color w:val="000000" w:themeColor="text1"/>
        </w:rPr>
        <w:t>Project Name:</w:t>
      </w:r>
      <w:r w:rsidR="004A2DD3" w:rsidRPr="00DB4A49">
        <w:rPr>
          <w:rFonts w:ascii="Arial" w:hAnsi="Arial" w:cs="Arial"/>
          <w:color w:val="000000" w:themeColor="text1"/>
        </w:rPr>
        <w:t xml:space="preserve"> </w:t>
      </w:r>
      <w:sdt>
        <w:sdtPr>
          <w:rPr>
            <w:rFonts w:ascii="Arial" w:hAnsi="Arial" w:cs="Arial"/>
            <w:color w:val="000000" w:themeColor="text1"/>
          </w:rPr>
          <w:id w:val="-548610993"/>
          <w:placeholder>
            <w:docPart w:val="DefaultPlaceholder_-1854013440"/>
          </w:placeholder>
          <w:showingPlcHdr/>
          <w:text/>
        </w:sdtPr>
        <w:sdtEndPr/>
        <w:sdtContent>
          <w:r w:rsidR="004A2DD3" w:rsidRPr="00DB4A49">
            <w:rPr>
              <w:rStyle w:val="PlaceholderText"/>
              <w:rFonts w:ascii="Arial" w:hAnsi="Arial" w:cs="Arial"/>
              <w:color w:val="000000" w:themeColor="text1"/>
            </w:rPr>
            <w:t>Click or tap here to enter text.</w:t>
          </w:r>
        </w:sdtContent>
      </w:sdt>
    </w:p>
    <w:p w14:paraId="451FB6E1" w14:textId="77777777" w:rsidR="00625867" w:rsidRPr="00DB4A49" w:rsidRDefault="00625867">
      <w:pPr>
        <w:rPr>
          <w:color w:val="000000" w:themeColor="text1"/>
        </w:rPr>
      </w:pPr>
      <w:r w:rsidRPr="00DB4A49">
        <w:rPr>
          <w:color w:val="000000" w:themeColor="text1"/>
        </w:rPr>
        <w:t>_____________________________________________________________________________________</w:t>
      </w:r>
    </w:p>
    <w:p w14:paraId="6CB79CB1" w14:textId="77777777" w:rsidR="00625867" w:rsidRPr="00DB4A49" w:rsidRDefault="00B0452E">
      <w:pPr>
        <w:rPr>
          <w:rFonts w:ascii="Arial" w:hAnsi="Arial" w:cs="Arial"/>
          <w:b/>
          <w:color w:val="000000" w:themeColor="text1"/>
        </w:rPr>
      </w:pPr>
      <w:r w:rsidRPr="00DB4A49">
        <w:rPr>
          <w:rFonts w:ascii="Arial" w:hAnsi="Arial" w:cs="Arial"/>
          <w:b/>
          <w:color w:val="000000" w:themeColor="text1"/>
        </w:rPr>
        <w:t>Deliverable</w:t>
      </w:r>
      <w:r w:rsidR="00625867" w:rsidRPr="00DB4A49">
        <w:rPr>
          <w:rFonts w:ascii="Arial" w:hAnsi="Arial" w:cs="Arial"/>
          <w:b/>
          <w:color w:val="000000" w:themeColor="text1"/>
        </w:rPr>
        <w:t xml:space="preserve"> Intent:</w:t>
      </w:r>
    </w:p>
    <w:p w14:paraId="08DC76BC" w14:textId="77777777" w:rsidR="00E1755A" w:rsidRPr="00DB4A49" w:rsidRDefault="00E1755A">
      <w:pPr>
        <w:rPr>
          <w:rFonts w:ascii="Arial" w:hAnsi="Arial" w:cs="Arial"/>
          <w:color w:val="000000" w:themeColor="text1"/>
        </w:rPr>
      </w:pPr>
      <w:r w:rsidRPr="00DB4A49">
        <w:rPr>
          <w:rFonts w:ascii="Arial" w:hAnsi="Arial" w:cs="Arial"/>
          <w:color w:val="000000" w:themeColor="text1"/>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B4A49" w:rsidRDefault="00AF79BC" w:rsidP="00C769DC">
      <w:pPr>
        <w:rPr>
          <w:rFonts w:ascii="Arial" w:hAnsi="Arial" w:cs="Arial"/>
          <w:b/>
          <w:color w:val="000000" w:themeColor="text1"/>
        </w:rPr>
      </w:pPr>
      <w:r w:rsidRPr="00DB4A49">
        <w:rPr>
          <w:rFonts w:ascii="Arial" w:hAnsi="Arial" w:cs="Arial"/>
          <w:b/>
          <w:color w:val="000000" w:themeColor="text1"/>
        </w:rPr>
        <w:t xml:space="preserve">Performance </w:t>
      </w:r>
      <w:r w:rsidR="00A30251" w:rsidRPr="00DB4A49">
        <w:rPr>
          <w:rFonts w:ascii="Arial" w:hAnsi="Arial" w:cs="Arial"/>
          <w:b/>
          <w:color w:val="000000" w:themeColor="text1"/>
        </w:rPr>
        <w:t>Metric Content:</w:t>
      </w:r>
    </w:p>
    <w:p w14:paraId="14E0F501" w14:textId="349ADBBF" w:rsidR="007141B6" w:rsidRPr="00DB4A49" w:rsidRDefault="007141B6" w:rsidP="007141B6">
      <w:pPr>
        <w:rPr>
          <w:rFonts w:ascii="Arial" w:hAnsi="Arial" w:cs="Arial"/>
          <w:color w:val="000000" w:themeColor="text1"/>
        </w:rPr>
      </w:pPr>
      <w:r w:rsidRPr="00DB4A49">
        <w:rPr>
          <w:rFonts w:ascii="Arial" w:hAnsi="Arial" w:cs="Arial"/>
          <w:color w:val="000000" w:themeColor="text1"/>
        </w:rPr>
        <w:t xml:space="preserve">For each performance metric, the </w:t>
      </w:r>
      <w:r w:rsidR="00E1755A" w:rsidRPr="00DB4A49">
        <w:rPr>
          <w:rFonts w:ascii="Arial" w:hAnsi="Arial" w:cs="Arial"/>
          <w:color w:val="000000" w:themeColor="text1"/>
        </w:rPr>
        <w:t xml:space="preserve">applicant </w:t>
      </w:r>
      <w:r w:rsidRPr="00DB4A49">
        <w:rPr>
          <w:rFonts w:ascii="Arial" w:hAnsi="Arial" w:cs="Arial"/>
          <w:color w:val="000000" w:themeColor="text1"/>
        </w:rPr>
        <w:t xml:space="preserve">should provide the following information: </w:t>
      </w:r>
    </w:p>
    <w:p w14:paraId="1523F584" w14:textId="77777777" w:rsidR="007141B6" w:rsidRPr="00DB4A49" w:rsidRDefault="007141B6" w:rsidP="007141B6">
      <w:pPr>
        <w:numPr>
          <w:ilvl w:val="0"/>
          <w:numId w:val="2"/>
        </w:numPr>
        <w:contextualSpacing/>
        <w:rPr>
          <w:rFonts w:ascii="Arial" w:hAnsi="Arial" w:cs="Arial"/>
          <w:color w:val="000000" w:themeColor="text1"/>
        </w:rPr>
      </w:pPr>
      <w:r w:rsidRPr="00DB4A49">
        <w:rPr>
          <w:rFonts w:ascii="Arial" w:hAnsi="Arial" w:cs="Arial"/>
          <w:color w:val="000000" w:themeColor="text1"/>
        </w:rPr>
        <w:t>A short descri</w:t>
      </w:r>
      <w:r w:rsidR="0073357F" w:rsidRPr="00DB4A49">
        <w:rPr>
          <w:rFonts w:ascii="Arial" w:hAnsi="Arial" w:cs="Arial"/>
          <w:color w:val="000000" w:themeColor="text1"/>
        </w:rPr>
        <w:t xml:space="preserve">ption of the </w:t>
      </w:r>
      <w:r w:rsidR="0073357F" w:rsidRPr="00DB4A49">
        <w:rPr>
          <w:rFonts w:ascii="Arial" w:hAnsi="Arial" w:cs="Arial"/>
          <w:i/>
          <w:color w:val="000000" w:themeColor="text1"/>
        </w:rPr>
        <w:t>performance metric</w:t>
      </w:r>
      <w:r w:rsidR="008D2C48" w:rsidRPr="00DB4A49">
        <w:rPr>
          <w:rFonts w:ascii="Arial" w:hAnsi="Arial" w:cs="Arial"/>
          <w:color w:val="000000" w:themeColor="text1"/>
        </w:rPr>
        <w:t>.</w:t>
      </w:r>
    </w:p>
    <w:p w14:paraId="1F8E8DBD" w14:textId="77777777" w:rsidR="00F05A01" w:rsidRPr="00DB4A49" w:rsidRDefault="00F05A01" w:rsidP="007141B6">
      <w:pPr>
        <w:numPr>
          <w:ilvl w:val="0"/>
          <w:numId w:val="2"/>
        </w:numPr>
        <w:contextualSpacing/>
        <w:rPr>
          <w:rFonts w:ascii="Arial" w:hAnsi="Arial" w:cs="Arial"/>
          <w:color w:val="000000" w:themeColor="text1"/>
        </w:rPr>
      </w:pPr>
      <w:r w:rsidRPr="00DB4A49">
        <w:rPr>
          <w:rFonts w:ascii="Arial" w:hAnsi="Arial" w:cs="Arial"/>
          <w:color w:val="000000" w:themeColor="text1"/>
        </w:rPr>
        <w:t>Performance Metrics:</w:t>
      </w:r>
    </w:p>
    <w:p w14:paraId="3AE05BC2" w14:textId="600E7840" w:rsidR="00F05A01" w:rsidRPr="00DB4A49" w:rsidRDefault="00F05A01" w:rsidP="00F05A01">
      <w:pPr>
        <w:numPr>
          <w:ilvl w:val="1"/>
          <w:numId w:val="2"/>
        </w:numPr>
        <w:contextualSpacing/>
        <w:rPr>
          <w:rFonts w:ascii="Arial" w:hAnsi="Arial" w:cs="Arial"/>
          <w:color w:val="000000" w:themeColor="text1"/>
        </w:rPr>
      </w:pPr>
      <w:r w:rsidRPr="00DB4A49">
        <w:rPr>
          <w:rFonts w:ascii="Arial" w:hAnsi="Arial" w:cs="Arial"/>
          <w:color w:val="000000" w:themeColor="text1"/>
        </w:rPr>
        <w:t>Benchmark – Current industry standard or status</w:t>
      </w:r>
      <w:r w:rsidR="007A7E2C" w:rsidRPr="00DB4A49">
        <w:rPr>
          <w:rFonts w:ascii="Arial" w:hAnsi="Arial" w:cs="Arial"/>
          <w:color w:val="000000" w:themeColor="text1"/>
        </w:rPr>
        <w:t xml:space="preserve"> (If applicable)</w:t>
      </w:r>
    </w:p>
    <w:p w14:paraId="4C2D01FC" w14:textId="7A1CB1DD" w:rsidR="00F05A01" w:rsidRPr="00DB4A49" w:rsidRDefault="007A7E2C" w:rsidP="00F05A01">
      <w:pPr>
        <w:numPr>
          <w:ilvl w:val="1"/>
          <w:numId w:val="2"/>
        </w:numPr>
        <w:contextualSpacing/>
        <w:rPr>
          <w:rFonts w:ascii="Arial" w:hAnsi="Arial" w:cs="Arial"/>
          <w:color w:val="000000" w:themeColor="text1"/>
        </w:rPr>
      </w:pPr>
      <w:r w:rsidRPr="00DB4A49">
        <w:rPr>
          <w:rFonts w:ascii="Arial" w:hAnsi="Arial" w:cs="Arial"/>
          <w:color w:val="000000" w:themeColor="text1"/>
        </w:rPr>
        <w:t>Current</w:t>
      </w:r>
      <w:r w:rsidR="00F05A01" w:rsidRPr="00DB4A49">
        <w:rPr>
          <w:rFonts w:ascii="Arial" w:hAnsi="Arial" w:cs="Arial"/>
          <w:color w:val="000000" w:themeColor="text1"/>
        </w:rPr>
        <w:t xml:space="preserve"> – Performance demonstrated to date</w:t>
      </w:r>
      <w:r w:rsidRPr="00DB4A49">
        <w:rPr>
          <w:rFonts w:ascii="Arial" w:hAnsi="Arial" w:cs="Arial"/>
          <w:color w:val="000000" w:themeColor="text1"/>
        </w:rPr>
        <w:t xml:space="preserve"> (If applicable)</w:t>
      </w:r>
    </w:p>
    <w:p w14:paraId="75B1F896" w14:textId="77777777" w:rsidR="00F05A01" w:rsidRPr="00DB4A49" w:rsidRDefault="00F05A01" w:rsidP="00F05A01">
      <w:pPr>
        <w:numPr>
          <w:ilvl w:val="1"/>
          <w:numId w:val="2"/>
        </w:numPr>
        <w:contextualSpacing/>
        <w:rPr>
          <w:rFonts w:ascii="Arial" w:hAnsi="Arial" w:cs="Arial"/>
          <w:color w:val="000000" w:themeColor="text1"/>
        </w:rPr>
      </w:pPr>
      <w:r w:rsidRPr="00DB4A49">
        <w:rPr>
          <w:rFonts w:ascii="Arial" w:hAnsi="Arial" w:cs="Arial"/>
          <w:color w:val="000000" w:themeColor="text1"/>
        </w:rPr>
        <w:t>Low Target – Low goal for successful results</w:t>
      </w:r>
    </w:p>
    <w:p w14:paraId="479A7CBE" w14:textId="77777777" w:rsidR="00F05A01" w:rsidRPr="00DB4A49" w:rsidRDefault="00F05A01" w:rsidP="00F05A01">
      <w:pPr>
        <w:numPr>
          <w:ilvl w:val="1"/>
          <w:numId w:val="2"/>
        </w:numPr>
        <w:contextualSpacing/>
        <w:rPr>
          <w:rFonts w:ascii="Arial" w:hAnsi="Arial" w:cs="Arial"/>
          <w:color w:val="000000" w:themeColor="text1"/>
        </w:rPr>
      </w:pPr>
      <w:r w:rsidRPr="00DB4A49">
        <w:rPr>
          <w:rFonts w:ascii="Arial" w:hAnsi="Arial" w:cs="Arial"/>
          <w:color w:val="000000" w:themeColor="text1"/>
        </w:rPr>
        <w:t>High Target – High goal for successful results</w:t>
      </w:r>
    </w:p>
    <w:p w14:paraId="7BD4C242" w14:textId="77777777" w:rsidR="00E1755A" w:rsidRPr="00DB4A49" w:rsidRDefault="00E1755A" w:rsidP="00E1755A">
      <w:pPr>
        <w:numPr>
          <w:ilvl w:val="0"/>
          <w:numId w:val="2"/>
        </w:numPr>
        <w:contextualSpacing/>
        <w:rPr>
          <w:rFonts w:ascii="Arial" w:hAnsi="Arial" w:cs="Arial"/>
          <w:color w:val="000000" w:themeColor="text1"/>
        </w:rPr>
      </w:pPr>
      <w:r w:rsidRPr="00DB4A49">
        <w:rPr>
          <w:rFonts w:ascii="Arial" w:hAnsi="Arial" w:cs="Arial"/>
          <w:color w:val="000000" w:themeColor="text1"/>
        </w:rPr>
        <w:t xml:space="preserve">The </w:t>
      </w:r>
      <w:r w:rsidRPr="00DB4A49">
        <w:rPr>
          <w:rFonts w:ascii="Arial" w:hAnsi="Arial" w:cs="Arial"/>
          <w:i/>
          <w:color w:val="000000" w:themeColor="text1"/>
        </w:rPr>
        <w:t>target performance</w:t>
      </w:r>
      <w:r w:rsidRPr="00DB4A49">
        <w:rPr>
          <w:rFonts w:ascii="Arial" w:hAnsi="Arial" w:cs="Arial"/>
          <w:color w:val="000000" w:themeColor="text1"/>
        </w:rPr>
        <w:t xml:space="preserve"> that is the high expectation that can be achieved beyond the baseline. This is the ultimate goal for the specific </w:t>
      </w:r>
      <w:proofErr w:type="gramStart"/>
      <w:r w:rsidRPr="00DB4A49">
        <w:rPr>
          <w:rFonts w:ascii="Arial" w:hAnsi="Arial" w:cs="Arial"/>
          <w:color w:val="000000" w:themeColor="text1"/>
        </w:rPr>
        <w:t>project’s</w:t>
      </w:r>
      <w:proofErr w:type="gramEnd"/>
      <w:r w:rsidRPr="00DB4A49">
        <w:rPr>
          <w:rFonts w:ascii="Arial" w:hAnsi="Arial" w:cs="Arial"/>
          <w:color w:val="000000" w:themeColor="text1"/>
        </w:rPr>
        <w:t xml:space="preserve"> or technology’s metric to achieve by the end of the project.</w:t>
      </w:r>
    </w:p>
    <w:p w14:paraId="2C2D62FA" w14:textId="77777777" w:rsidR="00E1755A" w:rsidRPr="00DB4A49" w:rsidRDefault="00E1755A" w:rsidP="00E1755A">
      <w:pPr>
        <w:numPr>
          <w:ilvl w:val="0"/>
          <w:numId w:val="2"/>
        </w:numPr>
        <w:contextualSpacing/>
        <w:rPr>
          <w:rFonts w:ascii="Arial" w:hAnsi="Arial" w:cs="Arial"/>
          <w:color w:val="000000" w:themeColor="text1"/>
        </w:rPr>
      </w:pPr>
      <w:r w:rsidRPr="00DB4A49">
        <w:rPr>
          <w:rFonts w:ascii="Arial" w:hAnsi="Arial" w:cs="Arial"/>
          <w:color w:val="000000" w:themeColor="text1"/>
        </w:rPr>
        <w:t xml:space="preserve">The </w:t>
      </w:r>
      <w:r w:rsidRPr="00DB4A49">
        <w:rPr>
          <w:rFonts w:ascii="Arial" w:hAnsi="Arial" w:cs="Arial"/>
          <w:i/>
          <w:color w:val="000000" w:themeColor="text1"/>
        </w:rPr>
        <w:t>evaluation method</w:t>
      </w:r>
      <w:r w:rsidRPr="00DB4A49">
        <w:rPr>
          <w:rFonts w:ascii="Arial" w:hAnsi="Arial" w:cs="Arial"/>
          <w:color w:val="000000" w:themeColor="text1"/>
        </w:rPr>
        <w:t xml:space="preserve"> that will be used to assess or measure the metric or target. If not evaluated during final analysis a date of measure may be useful in this section.</w:t>
      </w:r>
    </w:p>
    <w:p w14:paraId="643AD42E" w14:textId="77777777" w:rsidR="00E1755A" w:rsidRPr="00DB4A49" w:rsidRDefault="00E1755A" w:rsidP="00E1755A">
      <w:pPr>
        <w:numPr>
          <w:ilvl w:val="0"/>
          <w:numId w:val="2"/>
        </w:numPr>
        <w:contextualSpacing/>
        <w:rPr>
          <w:rFonts w:ascii="Arial" w:hAnsi="Arial" w:cs="Arial"/>
          <w:color w:val="000000" w:themeColor="text1"/>
        </w:rPr>
        <w:sectPr w:rsidR="00E1755A" w:rsidRPr="00DB4A49"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DB4A49">
        <w:rPr>
          <w:rFonts w:ascii="Arial" w:hAnsi="Arial" w:cs="Arial"/>
          <w:color w:val="000000" w:themeColor="text1"/>
        </w:rPr>
        <w:t xml:space="preserve">The </w:t>
      </w:r>
      <w:r w:rsidRPr="00DB4A49">
        <w:rPr>
          <w:rFonts w:ascii="Arial" w:hAnsi="Arial" w:cs="Arial"/>
          <w:i/>
          <w:color w:val="000000" w:themeColor="text1"/>
        </w:rPr>
        <w:t>significance of the metric</w:t>
      </w:r>
      <w:r w:rsidRPr="00DB4A49">
        <w:rPr>
          <w:rFonts w:ascii="Arial" w:hAnsi="Arial" w:cs="Arial"/>
          <w:color w:val="000000" w:themeColor="text1"/>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w:t>
            </w:r>
            <w:proofErr w:type="gramStart"/>
            <w:r w:rsidR="005E7FEC" w:rsidRPr="00E1755A">
              <w:rPr>
                <w:rFonts w:ascii="Arial" w:hAnsi="Arial" w:cs="Arial"/>
                <w:color w:val="0070C0"/>
              </w:rPr>
              <w:t>be must meet</w:t>
            </w:r>
            <w:proofErr w:type="gramEnd"/>
            <w:r w:rsidR="005E7FEC" w:rsidRPr="00E1755A">
              <w:rPr>
                <w:rFonts w:ascii="Arial" w:hAnsi="Arial" w:cs="Arial"/>
                <w:color w:val="0070C0"/>
              </w:rPr>
              <w:t xml:space="preserve">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88BE" w14:textId="77777777" w:rsidR="00DA6308" w:rsidRDefault="00DA6308" w:rsidP="001B5489">
      <w:pPr>
        <w:spacing w:after="0" w:line="240" w:lineRule="auto"/>
      </w:pPr>
      <w:r>
        <w:separator/>
      </w:r>
    </w:p>
  </w:endnote>
  <w:endnote w:type="continuationSeparator" w:id="0">
    <w:p w14:paraId="7F8C0AB1" w14:textId="77777777" w:rsidR="00DA6308" w:rsidRDefault="00DA6308"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5B11" w14:textId="77777777" w:rsidR="007450C9" w:rsidRPr="007450C9" w:rsidRDefault="007450C9" w:rsidP="007450C9">
    <w:pPr>
      <w:tabs>
        <w:tab w:val="center" w:pos="4680"/>
        <w:tab w:val="right" w:pos="9360"/>
      </w:tabs>
      <w:spacing w:after="0" w:line="240" w:lineRule="auto"/>
      <w:jc w:val="right"/>
      <w:rPr>
        <w:rFonts w:ascii="Arial" w:eastAsia="Times New Roman" w:hAnsi="Arial" w:cs="Arial"/>
        <w:color w:val="000000"/>
        <w:sz w:val="20"/>
        <w:szCs w:val="20"/>
      </w:rPr>
    </w:pPr>
    <w:r w:rsidRPr="007450C9">
      <w:rPr>
        <w:rFonts w:ascii="Arial" w:eastAsia="Times New Roman" w:hAnsi="Arial" w:cs="Arial"/>
        <w:color w:val="000000"/>
        <w:sz w:val="20"/>
        <w:szCs w:val="20"/>
      </w:rPr>
      <w:t>October 2023</w:t>
    </w:r>
    <w:r w:rsidRPr="007450C9">
      <w:rPr>
        <w:rFonts w:ascii="Arial" w:eastAsia="Times New Roman" w:hAnsi="Arial" w:cs="Arial"/>
        <w:color w:val="000000"/>
        <w:sz w:val="20"/>
        <w:szCs w:val="20"/>
      </w:rPr>
      <w:tab/>
      <w:t xml:space="preserve">Page </w:t>
    </w:r>
    <w:r w:rsidRPr="007450C9">
      <w:rPr>
        <w:rFonts w:ascii="Arial" w:eastAsia="Times New Roman" w:hAnsi="Arial" w:cs="Arial"/>
        <w:color w:val="000000"/>
        <w:sz w:val="20"/>
        <w:szCs w:val="20"/>
      </w:rPr>
      <w:fldChar w:fldCharType="begin"/>
    </w:r>
    <w:r w:rsidRPr="007450C9">
      <w:rPr>
        <w:rFonts w:ascii="Arial" w:eastAsia="Times New Roman" w:hAnsi="Arial" w:cs="Arial"/>
        <w:color w:val="000000"/>
        <w:sz w:val="20"/>
        <w:szCs w:val="20"/>
      </w:rPr>
      <w:instrText xml:space="preserve"> PAGE </w:instrText>
    </w:r>
    <w:r w:rsidRPr="007450C9">
      <w:rPr>
        <w:rFonts w:ascii="Arial" w:eastAsia="Times New Roman" w:hAnsi="Arial" w:cs="Arial"/>
        <w:color w:val="000000"/>
        <w:sz w:val="20"/>
        <w:szCs w:val="20"/>
      </w:rPr>
      <w:fldChar w:fldCharType="separate"/>
    </w:r>
    <w:r w:rsidRPr="007450C9">
      <w:rPr>
        <w:rFonts w:ascii="Arial" w:eastAsia="Times New Roman" w:hAnsi="Arial" w:cs="Arial"/>
        <w:color w:val="000000"/>
        <w:sz w:val="20"/>
        <w:szCs w:val="20"/>
      </w:rPr>
      <w:t>1</w:t>
    </w:r>
    <w:r w:rsidRPr="007450C9">
      <w:rPr>
        <w:rFonts w:ascii="Arial" w:eastAsia="Times New Roman" w:hAnsi="Arial" w:cs="Arial"/>
        <w:color w:val="000000"/>
        <w:sz w:val="20"/>
        <w:szCs w:val="20"/>
      </w:rPr>
      <w:fldChar w:fldCharType="end"/>
    </w:r>
    <w:r w:rsidRPr="007450C9">
      <w:rPr>
        <w:rFonts w:ascii="Arial" w:eastAsia="Times New Roman" w:hAnsi="Arial" w:cs="Arial"/>
        <w:color w:val="000000"/>
        <w:sz w:val="20"/>
        <w:szCs w:val="20"/>
      </w:rPr>
      <w:t xml:space="preserve"> of </w:t>
    </w:r>
    <w:r w:rsidRPr="007450C9">
      <w:rPr>
        <w:rFonts w:ascii="Arial" w:eastAsia="Times New Roman" w:hAnsi="Arial" w:cs="Arial"/>
        <w:color w:val="000000"/>
        <w:sz w:val="20"/>
        <w:szCs w:val="20"/>
      </w:rPr>
      <w:fldChar w:fldCharType="begin"/>
    </w:r>
    <w:r w:rsidRPr="007450C9">
      <w:rPr>
        <w:rFonts w:ascii="Arial" w:eastAsia="Times New Roman" w:hAnsi="Arial" w:cs="Arial"/>
        <w:color w:val="000000"/>
        <w:sz w:val="20"/>
        <w:szCs w:val="20"/>
      </w:rPr>
      <w:instrText xml:space="preserve"> NUMPAGES  </w:instrText>
    </w:r>
    <w:r w:rsidRPr="007450C9">
      <w:rPr>
        <w:rFonts w:ascii="Arial" w:eastAsia="Times New Roman" w:hAnsi="Arial" w:cs="Arial"/>
        <w:color w:val="000000"/>
        <w:sz w:val="20"/>
        <w:szCs w:val="20"/>
      </w:rPr>
      <w:fldChar w:fldCharType="separate"/>
    </w:r>
    <w:r w:rsidRPr="007450C9">
      <w:rPr>
        <w:rFonts w:ascii="Arial" w:eastAsia="Times New Roman" w:hAnsi="Arial" w:cs="Arial"/>
        <w:color w:val="000000"/>
        <w:sz w:val="20"/>
        <w:szCs w:val="20"/>
      </w:rPr>
      <w:t>4</w:t>
    </w:r>
    <w:r w:rsidRPr="007450C9">
      <w:rPr>
        <w:rFonts w:ascii="Arial" w:eastAsia="Times New Roman" w:hAnsi="Arial" w:cs="Arial"/>
        <w:color w:val="000000"/>
        <w:sz w:val="20"/>
        <w:szCs w:val="20"/>
      </w:rPr>
      <w:fldChar w:fldCharType="end"/>
    </w:r>
    <w:r w:rsidRPr="007450C9">
      <w:rPr>
        <w:rFonts w:ascii="Arial" w:eastAsia="Times New Roman" w:hAnsi="Arial" w:cs="Arial"/>
        <w:color w:val="000000"/>
        <w:sz w:val="20"/>
        <w:szCs w:val="20"/>
      </w:rPr>
      <w:tab/>
      <w:t>GFO-23-501</w:t>
    </w:r>
  </w:p>
  <w:p w14:paraId="76E2783C" w14:textId="77777777" w:rsidR="007450C9" w:rsidRPr="007450C9" w:rsidRDefault="007450C9" w:rsidP="007450C9">
    <w:pPr>
      <w:tabs>
        <w:tab w:val="center" w:pos="4680"/>
        <w:tab w:val="right" w:pos="9360"/>
      </w:tabs>
      <w:spacing w:after="0" w:line="240" w:lineRule="auto"/>
      <w:rPr>
        <w:rFonts w:ascii="Arial" w:eastAsia="Times New Roman" w:hAnsi="Arial" w:cs="Arial"/>
        <w:color w:val="000000"/>
        <w:sz w:val="20"/>
        <w:szCs w:val="20"/>
      </w:rPr>
    </w:pPr>
    <w:r w:rsidRPr="007450C9">
      <w:rPr>
        <w:rFonts w:ascii="Arial" w:eastAsia="Times New Roman" w:hAnsi="Arial" w:cs="Arial"/>
        <w:color w:val="000000"/>
        <w:sz w:val="20"/>
        <w:szCs w:val="20"/>
      </w:rPr>
      <w:tab/>
    </w:r>
    <w:r w:rsidRPr="007450C9">
      <w:rPr>
        <w:rFonts w:ascii="Arial" w:eastAsia="Times New Roman" w:hAnsi="Arial" w:cs="Arial"/>
        <w:color w:val="000000"/>
        <w:sz w:val="20"/>
        <w:szCs w:val="20"/>
      </w:rPr>
      <w:tab/>
      <w:t>Quantifying Exposures to Indoor Air Pollutants</w:t>
    </w:r>
  </w:p>
  <w:p w14:paraId="081715EA" w14:textId="4B2ACC67" w:rsidR="00AC3DCF" w:rsidRPr="007450C9" w:rsidRDefault="00AC3DCF" w:rsidP="00745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6C2A" w14:textId="0DFE7234" w:rsidR="005511EA" w:rsidRPr="005511EA" w:rsidRDefault="005511EA" w:rsidP="005511EA">
    <w:pPr>
      <w:pStyle w:val="Footer"/>
      <w:rPr>
        <w:rFonts w:ascii="Arial" w:hAnsi="Arial" w:cs="Arial"/>
        <w:color w:val="000000" w:themeColor="text1"/>
        <w:sz w:val="20"/>
        <w:szCs w:val="20"/>
      </w:rPr>
    </w:pPr>
    <w:r w:rsidRPr="005511EA">
      <w:rPr>
        <w:rFonts w:ascii="Arial" w:hAnsi="Arial" w:cs="Arial"/>
        <w:color w:val="000000" w:themeColor="text1"/>
        <w:sz w:val="20"/>
        <w:szCs w:val="20"/>
      </w:rPr>
      <w:t>October 2023</w:t>
    </w:r>
    <w:r w:rsidRPr="005511EA">
      <w:rPr>
        <w:rFonts w:ascii="Arial" w:hAnsi="Arial" w:cs="Arial"/>
        <w:color w:val="000000" w:themeColor="text1"/>
        <w:sz w:val="20"/>
        <w:szCs w:val="20"/>
      </w:rPr>
      <w:tab/>
      <w:t xml:space="preserve">                                                        Page 1 of </w:t>
    </w:r>
    <w:r w:rsidR="004F14A8">
      <w:rPr>
        <w:rFonts w:ascii="Arial" w:hAnsi="Arial" w:cs="Arial"/>
        <w:color w:val="000000" w:themeColor="text1"/>
        <w:sz w:val="20"/>
        <w:szCs w:val="20"/>
      </w:rPr>
      <w:t>2</w:t>
    </w:r>
    <w:r w:rsidRPr="005511EA">
      <w:rPr>
        <w:rFonts w:ascii="Arial" w:hAnsi="Arial" w:cs="Arial"/>
        <w:color w:val="000000" w:themeColor="text1"/>
        <w:sz w:val="20"/>
        <w:szCs w:val="20"/>
      </w:rPr>
      <w:tab/>
    </w:r>
    <w:r w:rsidRPr="005511EA">
      <w:rPr>
        <w:rFonts w:ascii="Arial" w:hAnsi="Arial" w:cs="Arial"/>
        <w:color w:val="000000" w:themeColor="text1"/>
        <w:sz w:val="20"/>
        <w:szCs w:val="20"/>
      </w:rPr>
      <w:tab/>
    </w:r>
    <w:r w:rsidRPr="005511EA">
      <w:rPr>
        <w:rFonts w:ascii="Arial" w:hAnsi="Arial" w:cs="Arial"/>
        <w:color w:val="000000" w:themeColor="text1"/>
        <w:sz w:val="20"/>
        <w:szCs w:val="20"/>
      </w:rPr>
      <w:tab/>
      <w:t xml:space="preserve">                  GFO-23-501</w:t>
    </w:r>
  </w:p>
  <w:p w14:paraId="491FF81F" w14:textId="29B16D03" w:rsidR="00AC3DCF" w:rsidRPr="005511EA" w:rsidRDefault="005511EA" w:rsidP="005511EA">
    <w:pPr>
      <w:pStyle w:val="Footer"/>
      <w:jc w:val="right"/>
      <w:rPr>
        <w:color w:val="000000" w:themeColor="text1"/>
      </w:rPr>
    </w:pPr>
    <w:r w:rsidRPr="005511EA">
      <w:rPr>
        <w:rFonts w:ascii="Arial" w:hAnsi="Arial" w:cs="Arial"/>
        <w:color w:val="000000" w:themeColor="text1"/>
        <w:sz w:val="20"/>
        <w:szCs w:val="20"/>
      </w:rPr>
      <w:tab/>
    </w:r>
    <w:r w:rsidRPr="005511EA">
      <w:rPr>
        <w:rFonts w:ascii="Arial" w:hAnsi="Arial" w:cs="Arial"/>
        <w:color w:val="000000" w:themeColor="text1"/>
        <w:sz w:val="20"/>
        <w:szCs w:val="20"/>
      </w:rPr>
      <w:tab/>
      <w:t>Quantifying Exposures to Indoor Air Pollutants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BF7D" w14:textId="77777777" w:rsidR="00DA6308" w:rsidRDefault="00DA6308" w:rsidP="001B5489">
      <w:pPr>
        <w:spacing w:after="0" w:line="240" w:lineRule="auto"/>
      </w:pPr>
      <w:r>
        <w:separator/>
      </w:r>
    </w:p>
  </w:footnote>
  <w:footnote w:type="continuationSeparator" w:id="0">
    <w:p w14:paraId="3F544A08" w14:textId="77777777" w:rsidR="00DA6308" w:rsidRDefault="00DA6308"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467083">
    <w:abstractNumId w:val="0"/>
  </w:num>
  <w:num w:numId="2" w16cid:durableId="1428232835">
    <w:abstractNumId w:val="1"/>
  </w:num>
  <w:num w:numId="3" w16cid:durableId="1180510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B6A23"/>
    <w:rsid w:val="001E4D61"/>
    <w:rsid w:val="001E77AB"/>
    <w:rsid w:val="0020162A"/>
    <w:rsid w:val="00207E48"/>
    <w:rsid w:val="002C0A8E"/>
    <w:rsid w:val="002F4685"/>
    <w:rsid w:val="00316210"/>
    <w:rsid w:val="003645D6"/>
    <w:rsid w:val="00380DC2"/>
    <w:rsid w:val="003913E8"/>
    <w:rsid w:val="0039552C"/>
    <w:rsid w:val="003A4BA3"/>
    <w:rsid w:val="003F371C"/>
    <w:rsid w:val="0045296B"/>
    <w:rsid w:val="004A2DD3"/>
    <w:rsid w:val="004A4E05"/>
    <w:rsid w:val="004B60EC"/>
    <w:rsid w:val="004F14A8"/>
    <w:rsid w:val="005019B3"/>
    <w:rsid w:val="00506326"/>
    <w:rsid w:val="00527DDB"/>
    <w:rsid w:val="00543A70"/>
    <w:rsid w:val="005511EA"/>
    <w:rsid w:val="0056685E"/>
    <w:rsid w:val="00592ECB"/>
    <w:rsid w:val="005A57B8"/>
    <w:rsid w:val="005E7FEC"/>
    <w:rsid w:val="00625867"/>
    <w:rsid w:val="00636FC0"/>
    <w:rsid w:val="006A247F"/>
    <w:rsid w:val="006E21E9"/>
    <w:rsid w:val="007104EB"/>
    <w:rsid w:val="007141B6"/>
    <w:rsid w:val="0073357F"/>
    <w:rsid w:val="007450C9"/>
    <w:rsid w:val="00787ED8"/>
    <w:rsid w:val="00790850"/>
    <w:rsid w:val="007A7E2C"/>
    <w:rsid w:val="007D6D9B"/>
    <w:rsid w:val="008740BD"/>
    <w:rsid w:val="008D2C48"/>
    <w:rsid w:val="009245A1"/>
    <w:rsid w:val="00926A62"/>
    <w:rsid w:val="00941685"/>
    <w:rsid w:val="00945AC3"/>
    <w:rsid w:val="0094724D"/>
    <w:rsid w:val="009B4256"/>
    <w:rsid w:val="009D1A88"/>
    <w:rsid w:val="00A30251"/>
    <w:rsid w:val="00A46222"/>
    <w:rsid w:val="00A81FDD"/>
    <w:rsid w:val="00AA12D0"/>
    <w:rsid w:val="00AC3DCF"/>
    <w:rsid w:val="00AC6C2C"/>
    <w:rsid w:val="00AF164F"/>
    <w:rsid w:val="00AF79BC"/>
    <w:rsid w:val="00B0452E"/>
    <w:rsid w:val="00B12DD4"/>
    <w:rsid w:val="00B66E9F"/>
    <w:rsid w:val="00B9062D"/>
    <w:rsid w:val="00BA024D"/>
    <w:rsid w:val="00BB5E3A"/>
    <w:rsid w:val="00BD5317"/>
    <w:rsid w:val="00BE57E9"/>
    <w:rsid w:val="00C077B8"/>
    <w:rsid w:val="00C20036"/>
    <w:rsid w:val="00C52062"/>
    <w:rsid w:val="00C65B4E"/>
    <w:rsid w:val="00C769DC"/>
    <w:rsid w:val="00CC78A0"/>
    <w:rsid w:val="00D32F87"/>
    <w:rsid w:val="00D626A8"/>
    <w:rsid w:val="00D87365"/>
    <w:rsid w:val="00DA6308"/>
    <w:rsid w:val="00DB4A49"/>
    <w:rsid w:val="00DB5C93"/>
    <w:rsid w:val="00DD5B45"/>
    <w:rsid w:val="00E1755A"/>
    <w:rsid w:val="00E2144C"/>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b4180f15-fbd5-4f1c-a958-ef9266d90db7"/>
    <ds:schemaRef ds:uri="http://schemas.microsoft.com/office/infopath/2007/PartnerControls"/>
    <ds:schemaRef ds:uri="5067c814-4b34-462c-a21d-c185ff6548d2"/>
    <ds:schemaRef ds:uri="http://purl.org/dc/dcmitype/"/>
    <ds:schemaRef ds:uri="92ecc987-d12b-42b1-abee-10b37485ad0a"/>
    <ds:schemaRef ds:uri="785685f2-c2e1-4352-89aa-3faca8eaba52"/>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CFE1EF87-CB08-42D4-BDBA-6E5339422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Washington, Pierre@Energy</cp:lastModifiedBy>
  <cp:revision>11</cp:revision>
  <cp:lastPrinted>2019-08-23T16:51:00Z</cp:lastPrinted>
  <dcterms:created xsi:type="dcterms:W3CDTF">2020-08-26T21:15:00Z</dcterms:created>
  <dcterms:modified xsi:type="dcterms:W3CDTF">2023-11-06T17:34:00Z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183df3f8c2d74181b8d9d89e18ffb9fdc00e7af279823844f3b6ddf8e0dfe11d</vt:lpwstr>
  </property>
</Properties>
</file>