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7F5244FD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5253DA">
        <w:rPr>
          <w:rFonts w:ascii="Arial" w:hAnsi="Arial" w:cs="Arial"/>
          <w:b/>
          <w:bCs/>
        </w:rPr>
        <w:t>1</w:t>
      </w:r>
    </w:p>
    <w:p w14:paraId="0D851CD1" w14:textId="5C605AB6" w:rsidR="00620F92" w:rsidRPr="00E118E0" w:rsidRDefault="00B768B2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</w:t>
      </w:r>
      <w:r w:rsidR="0073204F">
        <w:rPr>
          <w:rFonts w:ascii="Arial" w:hAnsi="Arial" w:cs="Arial"/>
          <w:b/>
          <w:bCs/>
        </w:rPr>
        <w:t xml:space="preserve"> </w:t>
      </w:r>
      <w:r w:rsidR="005253DA">
        <w:rPr>
          <w:rFonts w:ascii="Arial" w:hAnsi="Arial" w:cs="Arial"/>
          <w:b/>
          <w:bCs/>
        </w:rPr>
        <w:t>16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184E7F2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31</w:t>
      </w:r>
      <w:r w:rsidR="005253DA">
        <w:t>58</w:t>
      </w:r>
      <w:r w:rsidR="00826E03">
        <w:t>, Topics 1, 2, and 3</w:t>
      </w:r>
      <w:r w:rsidRPr="00992F60">
        <w:t xml:space="preserve"> added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B3208A" w:rsidRPr="008C0101" w14:paraId="3E9FA74F" w14:textId="77777777" w:rsidTr="00833D8D">
        <w:tc>
          <w:tcPr>
            <w:tcW w:w="953" w:type="pct"/>
            <w:shd w:val="clear" w:color="auto" w:fill="D9D9D9" w:themeFill="background1" w:themeFillShade="D9"/>
          </w:tcPr>
          <w:p w14:paraId="26B87304" w14:textId="77777777" w:rsidR="00B3208A" w:rsidRPr="008C0101" w:rsidRDefault="00B3208A" w:rsidP="00833D8D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D211A27" w14:textId="77777777" w:rsidR="00B3208A" w:rsidRPr="008C0101" w:rsidRDefault="00B3208A" w:rsidP="00833D8D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49F4F866" w14:textId="77777777" w:rsidR="00B3208A" w:rsidRPr="008C0101" w:rsidRDefault="00B3208A" w:rsidP="00833D8D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55EA3DAA" w14:textId="77777777" w:rsidR="00B3208A" w:rsidRPr="008C0101" w:rsidRDefault="00B3208A" w:rsidP="00833D8D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64C9015" w14:textId="77777777" w:rsidR="00B3208A" w:rsidRPr="008C0101" w:rsidRDefault="00B3208A" w:rsidP="00833D8D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24029A2" w14:textId="77777777" w:rsidR="00B3208A" w:rsidRPr="008C0101" w:rsidRDefault="00B3208A" w:rsidP="00833D8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4289E193" w14:textId="77777777" w:rsidR="00B3208A" w:rsidRPr="008C0101" w:rsidRDefault="00B3208A" w:rsidP="00833D8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B3208A" w:rsidRPr="00D2544D" w14:paraId="387F4EB8" w14:textId="77777777" w:rsidTr="00833D8D">
        <w:tc>
          <w:tcPr>
            <w:tcW w:w="953" w:type="pct"/>
          </w:tcPr>
          <w:p w14:paraId="0DE2528D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B3208A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FOA-0003158</w:t>
            </w:r>
          </w:p>
          <w:p w14:paraId="3E859E53" w14:textId="77777777" w:rsidR="00B3208A" w:rsidRPr="00B3208A" w:rsidRDefault="00B3208A" w:rsidP="00833D8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B3208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Buildings Energy Efficiency Frontiers &amp; Innovation Technologies (BENEFIT) – 2024</w:t>
            </w:r>
          </w:p>
        </w:tc>
        <w:tc>
          <w:tcPr>
            <w:tcW w:w="728" w:type="pct"/>
          </w:tcPr>
          <w:p w14:paraId="2717AB59" w14:textId="77777777" w:rsidR="00B3208A" w:rsidRPr="00B3208A" w:rsidRDefault="00B3208A" w:rsidP="00833D8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B3208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January 8, 2024</w:t>
            </w:r>
          </w:p>
        </w:tc>
        <w:tc>
          <w:tcPr>
            <w:tcW w:w="682" w:type="pct"/>
          </w:tcPr>
          <w:p w14:paraId="52153CF6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B3208A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Topic 1: $100,000</w:t>
            </w:r>
          </w:p>
          <w:p w14:paraId="13D09C16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4500AEFD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B3208A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Topic 2: $75,000</w:t>
            </w:r>
          </w:p>
          <w:p w14:paraId="46460630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076836F5" w14:textId="77777777" w:rsidR="00B3208A" w:rsidRPr="00B3208A" w:rsidRDefault="00B3208A" w:rsidP="00833D8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B3208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3: $75,000</w:t>
            </w:r>
          </w:p>
        </w:tc>
        <w:tc>
          <w:tcPr>
            <w:tcW w:w="682" w:type="pct"/>
          </w:tcPr>
          <w:p w14:paraId="44110E79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B3208A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Topic 1: $200,000</w:t>
            </w:r>
          </w:p>
          <w:p w14:paraId="5D651E02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0B3D1BB4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B3208A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Topic 2: $150,000</w:t>
            </w:r>
          </w:p>
          <w:p w14:paraId="425C8E39" w14:textId="77777777" w:rsidR="00B3208A" w:rsidRPr="00B3208A" w:rsidRDefault="00B3208A" w:rsidP="00833D8D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73C905A2" w14:textId="77777777" w:rsidR="00B3208A" w:rsidRPr="00B3208A" w:rsidRDefault="00B3208A" w:rsidP="00833D8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B3208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3: $150,000</w:t>
            </w:r>
          </w:p>
        </w:tc>
        <w:tc>
          <w:tcPr>
            <w:tcW w:w="728" w:type="pct"/>
          </w:tcPr>
          <w:p w14:paraId="01EA0B65" w14:textId="77777777" w:rsidR="00B3208A" w:rsidRPr="00B3208A" w:rsidRDefault="00B3208A" w:rsidP="00833D8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B3208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$500,000</w:t>
            </w:r>
          </w:p>
        </w:tc>
        <w:tc>
          <w:tcPr>
            <w:tcW w:w="1227" w:type="pct"/>
          </w:tcPr>
          <w:p w14:paraId="0AC3D8C4" w14:textId="77777777" w:rsidR="00B3208A" w:rsidRPr="00B3208A" w:rsidRDefault="00B3208A" w:rsidP="00833D8D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B3208A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>Topic 1: Heating, Ventilation, and Air Conditioning and Water Heating</w:t>
            </w:r>
          </w:p>
          <w:p w14:paraId="165F9E17" w14:textId="77777777" w:rsidR="00B3208A" w:rsidRPr="00B3208A" w:rsidRDefault="00B3208A" w:rsidP="00833D8D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6D409C61" w14:textId="77777777" w:rsidR="00B3208A" w:rsidRPr="00B3208A" w:rsidRDefault="00B3208A" w:rsidP="00833D8D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B3208A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>Topic 2: Innovative, Replicable, and Low-Cost Roof and Attic Retrofits</w:t>
            </w:r>
          </w:p>
          <w:p w14:paraId="62BC237E" w14:textId="77777777" w:rsidR="00B3208A" w:rsidRPr="00B3208A" w:rsidRDefault="00B3208A" w:rsidP="00833D8D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66AA90BB" w14:textId="77777777" w:rsidR="00B3208A" w:rsidRPr="00B3208A" w:rsidRDefault="00B3208A" w:rsidP="00833D8D">
            <w:pPr>
              <w:rPr>
                <w:rFonts w:eastAsia="Arial"/>
                <w:b/>
                <w:bCs/>
                <w:iCs/>
                <w:u w:val="single"/>
              </w:rPr>
            </w:pPr>
            <w:r w:rsidRPr="00B3208A">
              <w:rPr>
                <w:rFonts w:eastAsia="Arial"/>
                <w:b/>
                <w:bCs/>
                <w:iCs/>
                <w:u w:val="single"/>
              </w:rPr>
              <w:t>Topic 3: Building Resilience and Capacity Constraints</w:t>
            </w:r>
          </w:p>
        </w:tc>
      </w:tr>
      <w:tr w:rsidR="00B3208A" w:rsidRPr="00A61606" w14:paraId="1E8FC8B4" w14:textId="77777777" w:rsidTr="00833D8D">
        <w:tc>
          <w:tcPr>
            <w:tcW w:w="953" w:type="pct"/>
          </w:tcPr>
          <w:p w14:paraId="06FBBB32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 xml:space="preserve">DE-FOA-0003139  </w:t>
            </w:r>
          </w:p>
          <w:p w14:paraId="0249122F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Distributed Energy Systems Demonstrations</w:t>
            </w:r>
          </w:p>
        </w:tc>
        <w:tc>
          <w:tcPr>
            <w:tcW w:w="728" w:type="pct"/>
          </w:tcPr>
          <w:p w14:paraId="484B3E36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February 29, 2024</w:t>
            </w:r>
          </w:p>
        </w:tc>
        <w:tc>
          <w:tcPr>
            <w:tcW w:w="682" w:type="pct"/>
          </w:tcPr>
          <w:p w14:paraId="099E6CBF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$2,500,000</w:t>
            </w:r>
          </w:p>
        </w:tc>
        <w:tc>
          <w:tcPr>
            <w:tcW w:w="682" w:type="pct"/>
          </w:tcPr>
          <w:p w14:paraId="1DBE9EAD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$6,250,000</w:t>
            </w:r>
          </w:p>
        </w:tc>
        <w:tc>
          <w:tcPr>
            <w:tcW w:w="728" w:type="pct"/>
          </w:tcPr>
          <w:p w14:paraId="34DA0AAC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$12,500,000</w:t>
            </w:r>
          </w:p>
        </w:tc>
        <w:tc>
          <w:tcPr>
            <w:tcW w:w="1227" w:type="pct"/>
          </w:tcPr>
          <w:p w14:paraId="2BD82853" w14:textId="77777777" w:rsidR="00B3208A" w:rsidRPr="00B3208A" w:rsidRDefault="00B3208A" w:rsidP="00833D8D">
            <w:pPr>
              <w:rPr>
                <w:rFonts w:eastAsia="Arial"/>
                <w:iCs/>
              </w:rPr>
            </w:pPr>
            <w:r w:rsidRPr="00B3208A">
              <w:rPr>
                <w:rFonts w:eastAsia="Arial"/>
                <w:iCs/>
              </w:rPr>
              <w:t>Distributed Energy Systems Demonstrations</w:t>
            </w:r>
          </w:p>
        </w:tc>
      </w:tr>
      <w:tr w:rsidR="00B3208A" w:rsidRPr="00372196" w14:paraId="75FDB61A" w14:textId="77777777" w:rsidTr="00833D8D">
        <w:tc>
          <w:tcPr>
            <w:tcW w:w="953" w:type="pct"/>
          </w:tcPr>
          <w:p w14:paraId="0D135EFC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 xml:space="preserve">DE-FOA-0003121  </w:t>
            </w:r>
          </w:p>
          <w:p w14:paraId="3B2FA8DD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Installation Noise Reduction and Reliable Moorings for Offshore Wind and Marine Energy</w:t>
            </w:r>
          </w:p>
        </w:tc>
        <w:tc>
          <w:tcPr>
            <w:tcW w:w="728" w:type="pct"/>
          </w:tcPr>
          <w:p w14:paraId="2E6DEC6B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January 18, 2024</w:t>
            </w:r>
          </w:p>
        </w:tc>
        <w:tc>
          <w:tcPr>
            <w:tcW w:w="682" w:type="pct"/>
          </w:tcPr>
          <w:p w14:paraId="4A139F4F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Topic 1: $50,000</w:t>
            </w:r>
          </w:p>
        </w:tc>
        <w:tc>
          <w:tcPr>
            <w:tcW w:w="682" w:type="pct"/>
          </w:tcPr>
          <w:p w14:paraId="6DD37CC0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Topic 1: $100,000</w:t>
            </w:r>
          </w:p>
        </w:tc>
        <w:tc>
          <w:tcPr>
            <w:tcW w:w="728" w:type="pct"/>
          </w:tcPr>
          <w:p w14:paraId="6565D6E5" w14:textId="77777777" w:rsidR="00B3208A" w:rsidRPr="00B3208A" w:rsidRDefault="00B3208A" w:rsidP="00833D8D">
            <w:pPr>
              <w:rPr>
                <w:color w:val="201F1E"/>
                <w:bdr w:val="none" w:sz="0" w:space="0" w:color="auto" w:frame="1"/>
              </w:rPr>
            </w:pPr>
            <w:r w:rsidRPr="00B3208A">
              <w:rPr>
                <w:color w:val="201F1E"/>
                <w:bdr w:val="none" w:sz="0" w:space="0" w:color="auto" w:frame="1"/>
              </w:rPr>
              <w:t>Topic 1: $600,000</w:t>
            </w:r>
          </w:p>
        </w:tc>
        <w:tc>
          <w:tcPr>
            <w:tcW w:w="1227" w:type="pct"/>
          </w:tcPr>
          <w:p w14:paraId="0EF206DB" w14:textId="77777777" w:rsidR="00B3208A" w:rsidRPr="00B3208A" w:rsidRDefault="00B3208A" w:rsidP="00833D8D">
            <w:pPr>
              <w:rPr>
                <w:rFonts w:eastAsia="Arial"/>
                <w:iCs/>
              </w:rPr>
            </w:pPr>
            <w:r w:rsidRPr="00B3208A">
              <w:rPr>
                <w:rFonts w:eastAsia="Arial"/>
                <w:iCs/>
              </w:rPr>
              <w:t>Topic 1: Reliable Moorings for Floating Offshore Wind and Marine Energy Systems (only projects that address floating offshore wind will be considered)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74ECA9AE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035F4D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06939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92F60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5AA9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274</Words>
  <Characters>1567</Characters>
  <Application>Microsoft Office Word</Application>
  <DocSecurity>0</DocSecurity>
  <Lines>13</Lines>
  <Paragraphs>3</Paragraphs>
  <ScaleCrop>false</ScaleCrop>
  <Company>Wobschall Design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 Croft</cp:lastModifiedBy>
  <cp:revision>56</cp:revision>
  <cp:lastPrinted>2019-04-08T16:38:00Z</cp:lastPrinted>
  <dcterms:created xsi:type="dcterms:W3CDTF">2022-10-18T15:46:00Z</dcterms:created>
  <dcterms:modified xsi:type="dcterms:W3CDTF">2023-11-15T22:40:00Z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