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280502DA" w:rsidR="009E6C35" w:rsidRPr="003D5F92" w:rsidRDefault="00D23A43" w:rsidP="00B33F69">
      <w:pPr>
        <w:pStyle w:val="paragraph"/>
        <w:ind w:left="4320"/>
        <w:jc w:val="right"/>
        <w:textAlignment w:val="baseline"/>
        <w:rPr>
          <w:rStyle w:val="normaltextrun"/>
          <w:rFonts w:ascii="Tahoma" w:hAnsi="Tahoma" w:cs="Tahoma"/>
        </w:rPr>
      </w:pPr>
      <w:r w:rsidRPr="34C67D2A">
        <w:rPr>
          <w:rStyle w:val="normaltextrun"/>
          <w:rFonts w:ascii="Tahoma" w:hAnsi="Tahoma" w:cs="Tahoma"/>
        </w:rPr>
        <w:t>November</w:t>
      </w:r>
      <w:r w:rsidR="00C315CE" w:rsidRPr="34C67D2A">
        <w:rPr>
          <w:rStyle w:val="normaltextrun"/>
          <w:rFonts w:ascii="Tahoma" w:hAnsi="Tahoma" w:cs="Tahoma"/>
        </w:rPr>
        <w:t xml:space="preserve"> </w:t>
      </w:r>
      <w:r w:rsidR="005C03EA">
        <w:rPr>
          <w:rStyle w:val="normaltextrun"/>
          <w:rFonts w:ascii="Tahoma" w:hAnsi="Tahoma" w:cs="Tahoma"/>
        </w:rPr>
        <w:t>7</w:t>
      </w:r>
      <w:r w:rsidR="0079120A" w:rsidRPr="34C67D2A">
        <w:rPr>
          <w:rStyle w:val="normaltextrun"/>
          <w:rFonts w:ascii="Tahoma" w:hAnsi="Tahoma" w:cs="Tahoma"/>
        </w:rPr>
        <w:t>, 2023</w:t>
      </w:r>
    </w:p>
    <w:p w14:paraId="3049D69B" w14:textId="62D2DCB2" w:rsidR="00B1122A" w:rsidRPr="003D5F92" w:rsidRDefault="00B1122A" w:rsidP="00B1122A">
      <w:pPr>
        <w:jc w:val="center"/>
        <w:rPr>
          <w:rFonts w:ascii="Tahoma" w:hAnsi="Tahoma" w:cs="Tahoma"/>
          <w:b/>
          <w:bCs/>
        </w:rPr>
      </w:pPr>
      <w:r w:rsidRPr="003D5F92">
        <w:rPr>
          <w:rFonts w:ascii="Tahoma" w:hAnsi="Tahoma" w:cs="Tahoma"/>
          <w:b/>
          <w:bCs/>
        </w:rPr>
        <w:t>GFO-2</w:t>
      </w:r>
      <w:r w:rsidR="00353981" w:rsidRPr="003D5F92">
        <w:rPr>
          <w:rFonts w:ascii="Tahoma" w:hAnsi="Tahoma" w:cs="Tahoma"/>
          <w:b/>
          <w:bCs/>
        </w:rPr>
        <w:t>3-60</w:t>
      </w:r>
      <w:r w:rsidR="00D23A43">
        <w:rPr>
          <w:rFonts w:ascii="Tahoma" w:hAnsi="Tahoma" w:cs="Tahoma"/>
          <w:b/>
          <w:bCs/>
        </w:rPr>
        <w:t>2</w:t>
      </w:r>
    </w:p>
    <w:p w14:paraId="04F4E8D0" w14:textId="28EF6445" w:rsidR="0045786A" w:rsidRPr="003D5F92" w:rsidRDefault="00D23A43" w:rsidP="00B1122A">
      <w:pPr>
        <w:autoSpaceDE w:val="0"/>
        <w:autoSpaceDN w:val="0"/>
        <w:adjustRightInd w:val="0"/>
        <w:jc w:val="center"/>
        <w:rPr>
          <w:rFonts w:ascii="Tahoma" w:eastAsia="Calibri" w:hAnsi="Tahoma" w:cs="Tahoma"/>
          <w:b/>
          <w:bCs/>
          <w:color w:val="000000"/>
        </w:rPr>
      </w:pPr>
      <w:r w:rsidRPr="00D23A43">
        <w:rPr>
          <w:rFonts w:ascii="Tahoma" w:eastAsia="Calibri" w:hAnsi="Tahoma" w:cs="Tahoma"/>
          <w:b/>
          <w:bCs/>
          <w:color w:val="000000"/>
        </w:rPr>
        <w:t>Charging and Refueling Infrastructure for Transport in CALifornia Provided Along Targeted Highway Segments (CRITICAL PATHS)</w:t>
      </w:r>
    </w:p>
    <w:p w14:paraId="6587D6BB" w14:textId="5E52234D" w:rsidR="00B1122A" w:rsidRPr="003D5F92" w:rsidRDefault="00B1122A" w:rsidP="00B1122A">
      <w:pPr>
        <w:autoSpaceDE w:val="0"/>
        <w:autoSpaceDN w:val="0"/>
        <w:adjustRightInd w:val="0"/>
        <w:jc w:val="center"/>
        <w:rPr>
          <w:rFonts w:ascii="Tahoma" w:eastAsia="Calibri" w:hAnsi="Tahoma" w:cs="Tahoma"/>
          <w:b/>
          <w:bCs/>
          <w:color w:val="000000"/>
        </w:rPr>
      </w:pPr>
      <w:r w:rsidRPr="0D9DC20C">
        <w:rPr>
          <w:rFonts w:ascii="Tahoma" w:eastAsia="Calibri" w:hAnsi="Tahoma" w:cs="Tahoma"/>
          <w:b/>
          <w:bCs/>
          <w:color w:val="000000" w:themeColor="text1"/>
        </w:rPr>
        <w:t xml:space="preserve">Addendum </w:t>
      </w:r>
      <w:r w:rsidR="00D23A43">
        <w:rPr>
          <w:rFonts w:ascii="Tahoma" w:eastAsia="Calibri" w:hAnsi="Tahoma" w:cs="Tahoma"/>
          <w:b/>
          <w:bCs/>
          <w:color w:val="000000" w:themeColor="text1"/>
        </w:rPr>
        <w:t>1</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8220DB1" w14:textId="2CBA1E2E" w:rsidR="00FD441B" w:rsidRPr="003D5F92" w:rsidRDefault="00B1122A" w:rsidP="00B1122A">
      <w:pPr>
        <w:autoSpaceDE w:val="0"/>
        <w:autoSpaceDN w:val="0"/>
        <w:adjustRightInd w:val="0"/>
        <w:rPr>
          <w:rFonts w:ascii="Tahoma" w:eastAsia="Calibri" w:hAnsi="Tahoma" w:cs="Tahoma"/>
          <w:color w:val="000000"/>
        </w:rPr>
      </w:pPr>
      <w:r w:rsidRPr="003D5F92">
        <w:rPr>
          <w:rFonts w:ascii="Tahoma" w:eastAsia="Calibri" w:hAnsi="Tahoma" w:cs="Tahoma"/>
          <w:color w:val="000000" w:themeColor="text1"/>
        </w:rPr>
        <w:t>The purpose of this addendum is to notify potential applicants of changes that have been made to GFO-2</w:t>
      </w:r>
      <w:r w:rsidR="00353981" w:rsidRPr="003D5F92">
        <w:rPr>
          <w:rFonts w:ascii="Tahoma" w:eastAsia="Calibri" w:hAnsi="Tahoma" w:cs="Tahoma"/>
          <w:color w:val="000000" w:themeColor="text1"/>
        </w:rPr>
        <w:t>3-60</w:t>
      </w:r>
      <w:r w:rsidR="00D23A43">
        <w:rPr>
          <w:rFonts w:ascii="Tahoma" w:eastAsia="Calibri" w:hAnsi="Tahoma" w:cs="Tahoma"/>
          <w:color w:val="000000" w:themeColor="text1"/>
        </w:rPr>
        <w:t>2</w:t>
      </w:r>
      <w:r w:rsidRPr="003D5F92">
        <w:rPr>
          <w:rFonts w:ascii="Tahoma" w:eastAsia="Calibri" w:hAnsi="Tahoma" w:cs="Tahoma"/>
          <w:color w:val="000000" w:themeColor="text1"/>
        </w:rPr>
        <w:t xml:space="preserve">. </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000B0B09" w14:textId="64F1707E" w:rsidR="00B1122A" w:rsidRDefault="00B1122A" w:rsidP="0000028A">
      <w:pPr>
        <w:autoSpaceDE w:val="0"/>
        <w:autoSpaceDN w:val="0"/>
        <w:adjustRightInd w:val="0"/>
        <w:rPr>
          <w:rFonts w:ascii="Tahoma" w:eastAsia="Calibri" w:hAnsi="Tahoma" w:cs="Tahoma"/>
          <w:color w:val="000000"/>
        </w:rPr>
      </w:pPr>
      <w:r w:rsidRPr="003D5F92">
        <w:rPr>
          <w:rFonts w:ascii="Tahoma" w:eastAsia="Calibri" w:hAnsi="Tahoma" w:cs="Tahoma"/>
          <w:color w:val="000000"/>
        </w:rPr>
        <w:t xml:space="preserve">The addendum includes the following revisions to the Solicitation Manual. Added language appears in </w:t>
      </w:r>
      <w:r w:rsidRPr="003D5F92">
        <w:rPr>
          <w:rFonts w:ascii="Tahoma" w:eastAsia="Calibri" w:hAnsi="Tahoma" w:cs="Tahoma"/>
          <w:b/>
          <w:bCs/>
          <w:color w:val="000000"/>
          <w:u w:val="single"/>
        </w:rPr>
        <w:t>bold underline</w:t>
      </w:r>
      <w:r w:rsidRPr="003D5F92">
        <w:rPr>
          <w:rFonts w:ascii="Tahoma" w:eastAsia="Calibri" w:hAnsi="Tahoma" w:cs="Tahoma"/>
          <w:color w:val="000000"/>
        </w:rPr>
        <w:t>, and deleted language appears in [</w:t>
      </w:r>
      <w:r w:rsidRPr="003D5F92">
        <w:rPr>
          <w:rFonts w:ascii="Tahoma" w:eastAsia="Calibri" w:hAnsi="Tahoma" w:cs="Tahoma"/>
          <w:strike/>
          <w:color w:val="000000"/>
        </w:rPr>
        <w:t>strikethrough</w:t>
      </w:r>
      <w:r w:rsidRPr="003D5F92">
        <w:rPr>
          <w:rFonts w:ascii="Tahoma" w:eastAsia="Calibri" w:hAnsi="Tahoma" w:cs="Tahoma"/>
          <w:color w:val="000000"/>
        </w:rPr>
        <w:t>] and within square brackets.</w:t>
      </w:r>
    </w:p>
    <w:p w14:paraId="75680E49" w14:textId="77777777" w:rsidR="008F4EE9" w:rsidRPr="003D5F92" w:rsidRDefault="008F4EE9" w:rsidP="0000028A">
      <w:pPr>
        <w:autoSpaceDE w:val="0"/>
        <w:autoSpaceDN w:val="0"/>
        <w:adjustRightInd w:val="0"/>
        <w:rPr>
          <w:rFonts w:ascii="Tahoma" w:eastAsia="Calibri" w:hAnsi="Tahoma" w:cs="Tahoma"/>
          <w:color w:val="000000"/>
        </w:rPr>
      </w:pPr>
    </w:p>
    <w:p w14:paraId="42B2FCAF" w14:textId="006DB537" w:rsidR="00B1122A" w:rsidRPr="003D5F92" w:rsidRDefault="00B1122A" w:rsidP="00B1122A">
      <w:pPr>
        <w:keepNext/>
        <w:keepLines/>
        <w:spacing w:after="240"/>
        <w:outlineLvl w:val="1"/>
        <w:rPr>
          <w:rFonts w:ascii="Tahoma" w:eastAsiaTheme="majorEastAsia" w:hAnsi="Tahoma" w:cs="Tahoma"/>
          <w:b/>
        </w:rPr>
      </w:pPr>
      <w:r w:rsidRPr="003D5F92">
        <w:rPr>
          <w:rFonts w:ascii="Tahoma" w:eastAsiaTheme="majorEastAsia" w:hAnsi="Tahoma" w:cs="Tahoma"/>
          <w:b/>
        </w:rPr>
        <w:t xml:space="preserve">Solicitation Manual </w:t>
      </w:r>
    </w:p>
    <w:p w14:paraId="46D8B0CD" w14:textId="2378889E" w:rsidR="00D23A43" w:rsidRPr="00D23A43" w:rsidRDefault="00546779" w:rsidP="00D23A43">
      <w:pPr>
        <w:pStyle w:val="ListParagraph"/>
        <w:numPr>
          <w:ilvl w:val="0"/>
          <w:numId w:val="21"/>
        </w:numPr>
        <w:rPr>
          <w:rFonts w:ascii="Tahoma" w:hAnsi="Tahoma" w:cs="Tahoma"/>
        </w:rPr>
      </w:pPr>
      <w:r w:rsidRPr="00D23A43">
        <w:rPr>
          <w:rFonts w:ascii="Tahoma" w:eastAsiaTheme="majorEastAsia" w:hAnsi="Tahoma" w:cs="Tahoma"/>
          <w:b/>
          <w:bCs/>
        </w:rPr>
        <w:t>Section I.</w:t>
      </w:r>
      <w:r w:rsidR="00D23A43" w:rsidRPr="00D23A43">
        <w:rPr>
          <w:rFonts w:ascii="Tahoma" w:eastAsiaTheme="majorEastAsia" w:hAnsi="Tahoma" w:cs="Tahoma"/>
          <w:b/>
          <w:bCs/>
        </w:rPr>
        <w:t>D</w:t>
      </w:r>
      <w:r w:rsidRPr="00D23A43">
        <w:rPr>
          <w:rFonts w:ascii="Tahoma" w:eastAsiaTheme="majorEastAsia" w:hAnsi="Tahoma" w:cs="Tahoma"/>
          <w:b/>
          <w:bCs/>
        </w:rPr>
        <w:t xml:space="preserve"> </w:t>
      </w:r>
      <w:r w:rsidR="00D23A43" w:rsidRPr="00D23A43">
        <w:rPr>
          <w:rFonts w:ascii="Tahoma" w:eastAsiaTheme="majorEastAsia" w:hAnsi="Tahoma" w:cs="Tahoma"/>
          <w:b/>
          <w:bCs/>
        </w:rPr>
        <w:t>KEY ACTIVITIES AND DATES</w:t>
      </w:r>
      <w:r w:rsidR="007B3CC9" w:rsidRPr="00D23A43">
        <w:rPr>
          <w:rFonts w:ascii="Tahoma" w:eastAsiaTheme="majorEastAsia" w:hAnsi="Tahoma" w:cs="Tahoma"/>
          <w:b/>
          <w:bCs/>
        </w:rPr>
        <w:br/>
      </w:r>
      <w:r w:rsidR="00D23A43" w:rsidRPr="00D23A43">
        <w:rPr>
          <w:rFonts w:ascii="Tahoma" w:hAnsi="Tahoma" w:cs="Tahoma"/>
        </w:rPr>
        <w:t>Key activities including dates and times for this solicitation are presented below.  An addendum will be released if the dates change for the asterisked (*) activities. Times listed are Pacific Standard Time or Pacific Daylight Time, whichever is being observed.</w:t>
      </w:r>
    </w:p>
    <w:p w14:paraId="3705EC43" w14:textId="02037727" w:rsidR="00D23A43" w:rsidRPr="003077B7" w:rsidRDefault="00D23A43" w:rsidP="00D23A43">
      <w:pPr>
        <w:pStyle w:val="ListParagraph"/>
        <w:rPr>
          <w:rStyle w:val="eop"/>
          <w:rFonts w:ascii="Tahoma" w:hAnsi="Tahoma" w:cs="Tahoma"/>
          <w:shd w:val="clear" w:color="auto" w:fill="FFFFFF"/>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activities and dates"/>
        <w:tblDescription w:val="dates of key activities in solicitation"/>
      </w:tblPr>
      <w:tblGrid>
        <w:gridCol w:w="6007"/>
        <w:gridCol w:w="3600"/>
      </w:tblGrid>
      <w:tr w:rsidR="00D23A43" w:rsidRPr="00D23A43" w14:paraId="1FCE800F" w14:textId="77777777" w:rsidTr="34C67D2A">
        <w:trPr>
          <w:cantSplit/>
          <w:trHeight w:hRule="exact" w:val="288"/>
        </w:trPr>
        <w:tc>
          <w:tcPr>
            <w:tcW w:w="6007" w:type="dxa"/>
            <w:shd w:val="clear" w:color="auto" w:fill="D9D9D9" w:themeFill="background1" w:themeFillShade="D9"/>
          </w:tcPr>
          <w:p w14:paraId="7945A918" w14:textId="77777777" w:rsidR="00D23A43" w:rsidRPr="00D23A43" w:rsidRDefault="00D23A43" w:rsidP="00D23A43">
            <w:pPr>
              <w:jc w:val="center"/>
              <w:rPr>
                <w:rFonts w:ascii="Tahoma" w:eastAsia="Times New Roman" w:hAnsi="Tahoma" w:cs="Tahoma"/>
                <w:b/>
                <w:szCs w:val="22"/>
              </w:rPr>
            </w:pPr>
            <w:r w:rsidRPr="00D23A43">
              <w:rPr>
                <w:rFonts w:ascii="Tahoma" w:eastAsia="Times New Roman" w:hAnsi="Tahoma" w:cs="Tahoma"/>
                <w:b/>
                <w:szCs w:val="22"/>
              </w:rPr>
              <w:t>ACTIVITY</w:t>
            </w:r>
          </w:p>
        </w:tc>
        <w:tc>
          <w:tcPr>
            <w:tcW w:w="3600" w:type="dxa"/>
            <w:shd w:val="clear" w:color="auto" w:fill="D9D9D9" w:themeFill="background1" w:themeFillShade="D9"/>
          </w:tcPr>
          <w:p w14:paraId="0074E6FF" w14:textId="77777777" w:rsidR="00D23A43" w:rsidRPr="00D23A43" w:rsidRDefault="00D23A43" w:rsidP="00D23A43">
            <w:pPr>
              <w:jc w:val="center"/>
              <w:rPr>
                <w:rFonts w:ascii="Tahoma" w:eastAsia="Times New Roman" w:hAnsi="Tahoma" w:cs="Tahoma"/>
                <w:b/>
                <w:szCs w:val="22"/>
              </w:rPr>
            </w:pPr>
            <w:r w:rsidRPr="00D23A43">
              <w:rPr>
                <w:rFonts w:ascii="Tahoma" w:eastAsia="Times New Roman" w:hAnsi="Tahoma" w:cs="Tahoma"/>
                <w:b/>
                <w:szCs w:val="22"/>
              </w:rPr>
              <w:t>ACTION DATE</w:t>
            </w:r>
          </w:p>
        </w:tc>
      </w:tr>
      <w:tr w:rsidR="00D23A43" w:rsidRPr="00D23A43" w14:paraId="7E45ADD8" w14:textId="77777777" w:rsidTr="34C67D2A">
        <w:trPr>
          <w:cantSplit/>
          <w:trHeight w:hRule="exact" w:val="288"/>
        </w:trPr>
        <w:tc>
          <w:tcPr>
            <w:tcW w:w="6007" w:type="dxa"/>
            <w:vAlign w:val="center"/>
          </w:tcPr>
          <w:p w14:paraId="50137480" w14:textId="77777777" w:rsidR="00D23A43" w:rsidRPr="00D23A43" w:rsidRDefault="00D23A43" w:rsidP="00D23A43">
            <w:pPr>
              <w:rPr>
                <w:rFonts w:ascii="Tahoma" w:eastAsia="Times New Roman" w:hAnsi="Tahoma" w:cs="Tahoma"/>
                <w:szCs w:val="22"/>
              </w:rPr>
            </w:pPr>
            <w:r w:rsidRPr="00D23A43">
              <w:rPr>
                <w:rFonts w:ascii="Tahoma" w:eastAsia="Times New Roman" w:hAnsi="Tahoma" w:cs="Tahoma"/>
                <w:szCs w:val="22"/>
              </w:rPr>
              <w:t>Solicitation Release</w:t>
            </w:r>
          </w:p>
        </w:tc>
        <w:tc>
          <w:tcPr>
            <w:tcW w:w="3600" w:type="dxa"/>
            <w:vAlign w:val="center"/>
          </w:tcPr>
          <w:p w14:paraId="1569288F" w14:textId="77777777" w:rsidR="00D23A43" w:rsidRPr="00D23A43" w:rsidRDefault="00D23A43" w:rsidP="00D23A43">
            <w:pPr>
              <w:rPr>
                <w:rFonts w:ascii="Tahoma" w:eastAsia="Times New Roman" w:hAnsi="Tahoma" w:cs="Tahoma"/>
                <w:highlight w:val="yellow"/>
              </w:rPr>
            </w:pPr>
            <w:r w:rsidRPr="00D23A43">
              <w:rPr>
                <w:rFonts w:ascii="Tahoma" w:eastAsia="Times New Roman" w:hAnsi="Tahoma" w:cs="Tahoma"/>
              </w:rPr>
              <w:t>September 26, 2023</w:t>
            </w:r>
          </w:p>
        </w:tc>
      </w:tr>
      <w:tr w:rsidR="00D23A43" w:rsidRPr="00D23A43" w14:paraId="3D570E90" w14:textId="77777777" w:rsidTr="34C67D2A">
        <w:trPr>
          <w:cantSplit/>
          <w:trHeight w:hRule="exact" w:val="723"/>
        </w:trPr>
        <w:tc>
          <w:tcPr>
            <w:tcW w:w="6007" w:type="dxa"/>
            <w:vAlign w:val="center"/>
          </w:tcPr>
          <w:p w14:paraId="522B24A3" w14:textId="77777777" w:rsidR="00D23A43" w:rsidRPr="00D23A43" w:rsidRDefault="00D23A43" w:rsidP="00D23A43">
            <w:pPr>
              <w:rPr>
                <w:rFonts w:ascii="Tahoma" w:eastAsia="Times New Roman" w:hAnsi="Tahoma" w:cs="Tahoma"/>
              </w:rPr>
            </w:pPr>
            <w:r w:rsidRPr="00D23A43">
              <w:rPr>
                <w:rFonts w:ascii="Tahoma" w:eastAsia="Times New Roman" w:hAnsi="Tahoma" w:cs="Tahoma"/>
              </w:rPr>
              <w:t xml:space="preserve">Pre-Application Workshop* </w:t>
            </w:r>
          </w:p>
        </w:tc>
        <w:tc>
          <w:tcPr>
            <w:tcW w:w="3600" w:type="dxa"/>
            <w:vAlign w:val="center"/>
          </w:tcPr>
          <w:p w14:paraId="5C297414" w14:textId="77777777" w:rsidR="00D23A43" w:rsidRPr="00D23A43" w:rsidRDefault="00D23A43" w:rsidP="00D23A43">
            <w:pPr>
              <w:rPr>
                <w:rFonts w:ascii="Tahoma" w:eastAsia="Times New Roman" w:hAnsi="Tahoma" w:cs="Tahoma"/>
              </w:rPr>
            </w:pPr>
            <w:r w:rsidRPr="00D23A43">
              <w:rPr>
                <w:rFonts w:ascii="Tahoma" w:eastAsia="Times New Roman" w:hAnsi="Tahoma" w:cs="Tahoma"/>
              </w:rPr>
              <w:t>October 10, 2023</w:t>
            </w:r>
          </w:p>
        </w:tc>
      </w:tr>
      <w:tr w:rsidR="00D23A43" w:rsidRPr="00D23A43" w14:paraId="6053445F" w14:textId="77777777" w:rsidTr="34C67D2A">
        <w:trPr>
          <w:cantSplit/>
          <w:trHeight w:hRule="exact" w:val="288"/>
        </w:trPr>
        <w:tc>
          <w:tcPr>
            <w:tcW w:w="6007" w:type="dxa"/>
            <w:vAlign w:val="center"/>
          </w:tcPr>
          <w:p w14:paraId="4FD68859" w14:textId="77777777" w:rsidR="00D23A43" w:rsidRPr="00D23A43" w:rsidRDefault="00D23A43" w:rsidP="00D23A43">
            <w:pPr>
              <w:rPr>
                <w:rFonts w:ascii="Tahoma" w:eastAsia="Times New Roman" w:hAnsi="Tahoma" w:cs="Tahoma"/>
                <w:szCs w:val="22"/>
              </w:rPr>
            </w:pPr>
            <w:r w:rsidRPr="00D23A43">
              <w:rPr>
                <w:rFonts w:ascii="Tahoma" w:eastAsia="Times New Roman" w:hAnsi="Tahoma" w:cs="Tahoma"/>
                <w:szCs w:val="22"/>
              </w:rPr>
              <w:t>Deadline for Written Questions by 5:00 p.m.*</w:t>
            </w:r>
          </w:p>
        </w:tc>
        <w:tc>
          <w:tcPr>
            <w:tcW w:w="3600" w:type="dxa"/>
            <w:vAlign w:val="center"/>
          </w:tcPr>
          <w:p w14:paraId="74399698" w14:textId="77777777" w:rsidR="00D23A43" w:rsidRPr="00D23A43" w:rsidRDefault="00D23A43" w:rsidP="00D23A43">
            <w:pPr>
              <w:rPr>
                <w:rFonts w:ascii="Tahoma" w:eastAsia="Times New Roman" w:hAnsi="Tahoma" w:cs="Tahoma"/>
              </w:rPr>
            </w:pPr>
            <w:r w:rsidRPr="00D23A43">
              <w:rPr>
                <w:rFonts w:ascii="Tahoma" w:eastAsia="Times New Roman" w:hAnsi="Tahoma" w:cs="Tahoma"/>
              </w:rPr>
              <w:t>October 13, 2023</w:t>
            </w:r>
          </w:p>
        </w:tc>
      </w:tr>
      <w:tr w:rsidR="00D23A43" w:rsidRPr="00D23A43" w14:paraId="4E27FDC3" w14:textId="77777777" w:rsidTr="34C67D2A">
        <w:trPr>
          <w:cantSplit/>
          <w:trHeight w:hRule="exact" w:val="399"/>
        </w:trPr>
        <w:tc>
          <w:tcPr>
            <w:tcW w:w="6007" w:type="dxa"/>
            <w:vAlign w:val="center"/>
          </w:tcPr>
          <w:p w14:paraId="7572D3CA" w14:textId="77777777" w:rsidR="00D23A43" w:rsidRPr="00D23A43" w:rsidRDefault="00D23A43" w:rsidP="00D23A43">
            <w:pPr>
              <w:rPr>
                <w:rFonts w:ascii="Tahoma" w:eastAsia="Times New Roman" w:hAnsi="Tahoma" w:cs="Tahoma"/>
                <w:szCs w:val="22"/>
              </w:rPr>
            </w:pPr>
            <w:r w:rsidRPr="00D23A43">
              <w:rPr>
                <w:rFonts w:ascii="Tahoma" w:eastAsia="Times New Roman" w:hAnsi="Tahoma" w:cs="Tahoma"/>
                <w:szCs w:val="22"/>
              </w:rPr>
              <w:t>Anticipated Distribution of Questions/Answers</w:t>
            </w:r>
          </w:p>
        </w:tc>
        <w:tc>
          <w:tcPr>
            <w:tcW w:w="3600" w:type="dxa"/>
            <w:vAlign w:val="center"/>
          </w:tcPr>
          <w:p w14:paraId="5133E012" w14:textId="1F3DC4C6" w:rsidR="00D23A43" w:rsidRPr="00D23A43" w:rsidRDefault="00D23A43" w:rsidP="00D23A43">
            <w:pPr>
              <w:rPr>
                <w:rFonts w:ascii="Tahoma" w:eastAsia="Times New Roman" w:hAnsi="Tahoma" w:cs="Tahoma"/>
              </w:rPr>
            </w:pPr>
            <w:r w:rsidRPr="003C4419">
              <w:rPr>
                <w:rFonts w:ascii="Tahoma" w:eastAsia="Times New Roman" w:hAnsi="Tahoma" w:cs="Tahoma"/>
              </w:rPr>
              <w:t xml:space="preserve">November </w:t>
            </w:r>
            <w:r w:rsidR="00CB3D8B" w:rsidRPr="003C4419">
              <w:rPr>
                <w:rFonts w:ascii="Tahoma" w:eastAsia="Times New Roman" w:hAnsi="Tahoma" w:cs="Tahoma"/>
              </w:rPr>
              <w:t>[</w:t>
            </w:r>
            <w:r w:rsidRPr="003C4419">
              <w:rPr>
                <w:rFonts w:ascii="Tahoma" w:eastAsia="Times New Roman" w:hAnsi="Tahoma" w:cs="Tahoma"/>
                <w:strike/>
              </w:rPr>
              <w:t>7</w:t>
            </w:r>
            <w:r w:rsidR="00CB3D8B" w:rsidRPr="003C4419">
              <w:rPr>
                <w:rFonts w:ascii="Tahoma" w:eastAsia="Times New Roman" w:hAnsi="Tahoma" w:cs="Tahoma"/>
              </w:rPr>
              <w:t>]</w:t>
            </w:r>
            <w:r w:rsidR="00034890">
              <w:rPr>
                <w:rFonts w:ascii="Tahoma" w:eastAsia="Times New Roman" w:hAnsi="Tahoma" w:cs="Tahoma"/>
                <w:b/>
                <w:bCs/>
                <w:u w:val="single"/>
              </w:rPr>
              <w:t>9</w:t>
            </w:r>
            <w:r w:rsidRPr="003C4419">
              <w:rPr>
                <w:rFonts w:ascii="Tahoma" w:eastAsia="Times New Roman" w:hAnsi="Tahoma" w:cs="Tahoma"/>
              </w:rPr>
              <w:t>, 2023</w:t>
            </w:r>
          </w:p>
        </w:tc>
      </w:tr>
      <w:tr w:rsidR="00D23A43" w:rsidRPr="00D23A43" w14:paraId="6ABC509C" w14:textId="77777777" w:rsidTr="34C67D2A">
        <w:trPr>
          <w:cantSplit/>
          <w:trHeight w:hRule="exact" w:val="1047"/>
        </w:trPr>
        <w:tc>
          <w:tcPr>
            <w:tcW w:w="6007" w:type="dxa"/>
            <w:vAlign w:val="center"/>
          </w:tcPr>
          <w:p w14:paraId="6F3EF8E7" w14:textId="77777777" w:rsidR="00D23A43" w:rsidRPr="00D23A43" w:rsidRDefault="00D23A43" w:rsidP="00D23A43">
            <w:pPr>
              <w:rPr>
                <w:rFonts w:ascii="Tahoma" w:eastAsia="Times New Roman" w:hAnsi="Tahoma" w:cs="Tahoma"/>
                <w:bCs/>
                <w:szCs w:val="22"/>
              </w:rPr>
            </w:pPr>
            <w:r w:rsidRPr="00D23A43">
              <w:rPr>
                <w:rFonts w:ascii="Tahoma" w:eastAsia="Times New Roman" w:hAnsi="Tahoma" w:cs="Tahoma"/>
                <w:bCs/>
                <w:szCs w:val="22"/>
              </w:rPr>
              <w:t xml:space="preserve">Support for Application Submission in the Energy Commission Agreement Management System (ECAMS) until 5:00 p.m. </w:t>
            </w:r>
          </w:p>
        </w:tc>
        <w:tc>
          <w:tcPr>
            <w:tcW w:w="3600" w:type="dxa"/>
            <w:vAlign w:val="center"/>
          </w:tcPr>
          <w:p w14:paraId="5DDFB8AB" w14:textId="0C5AFC08" w:rsidR="00D23A43" w:rsidRPr="00511F4E" w:rsidRDefault="00D23A43" w:rsidP="00D23A43">
            <w:pPr>
              <w:rPr>
                <w:rFonts w:ascii="Tahoma" w:eastAsia="Times New Roman" w:hAnsi="Tahoma" w:cs="Tahoma"/>
                <w:b/>
                <w:strike/>
              </w:rPr>
            </w:pPr>
            <w:r w:rsidRPr="00D23A43">
              <w:rPr>
                <w:rFonts w:ascii="Tahoma" w:eastAsia="Times New Roman" w:hAnsi="Tahoma" w:cs="Tahoma"/>
                <w:b/>
                <w:bCs/>
              </w:rPr>
              <w:t xml:space="preserve">Ongoing until </w:t>
            </w:r>
            <w:r w:rsidR="00DA7551">
              <w:rPr>
                <w:rFonts w:ascii="Tahoma" w:eastAsia="Times New Roman" w:hAnsi="Tahoma" w:cs="Tahoma"/>
              </w:rPr>
              <w:t>[</w:t>
            </w:r>
            <w:r w:rsidRPr="00511F4E">
              <w:rPr>
                <w:rFonts w:ascii="Tahoma" w:eastAsia="Times New Roman" w:hAnsi="Tahoma" w:cs="Tahoma"/>
                <w:b/>
                <w:strike/>
              </w:rPr>
              <w:t xml:space="preserve">November 17, </w:t>
            </w:r>
            <w:r w:rsidRPr="00744EE3">
              <w:rPr>
                <w:rFonts w:ascii="Tahoma" w:eastAsia="Times New Roman" w:hAnsi="Tahoma" w:cs="Tahoma"/>
                <w:b/>
                <w:strike/>
              </w:rPr>
              <w:t>2023</w:t>
            </w:r>
            <w:r w:rsidR="00DA7551">
              <w:rPr>
                <w:rFonts w:ascii="Tahoma" w:eastAsia="Times New Roman" w:hAnsi="Tahoma" w:cs="Tahoma"/>
              </w:rPr>
              <w:t>]</w:t>
            </w:r>
            <w:r w:rsidR="00F96F53">
              <w:rPr>
                <w:rFonts w:ascii="Tahoma" w:eastAsia="Times New Roman" w:hAnsi="Tahoma" w:cs="Tahoma"/>
              </w:rPr>
              <w:t xml:space="preserve"> </w:t>
            </w:r>
            <w:r w:rsidR="00F96F53" w:rsidRPr="00DA7551">
              <w:rPr>
                <w:rFonts w:ascii="Tahoma" w:eastAsia="Times New Roman" w:hAnsi="Tahoma" w:cs="Tahoma"/>
                <w:b/>
                <w:u w:val="single"/>
              </w:rPr>
              <w:t>November 29, 2023</w:t>
            </w:r>
          </w:p>
        </w:tc>
      </w:tr>
      <w:tr w:rsidR="00D23A43" w:rsidRPr="00D23A43" w14:paraId="664761C1" w14:textId="77777777" w:rsidTr="34C67D2A">
        <w:trPr>
          <w:cantSplit/>
          <w:trHeight w:hRule="exact" w:val="678"/>
        </w:trPr>
        <w:tc>
          <w:tcPr>
            <w:tcW w:w="6007" w:type="dxa"/>
            <w:vAlign w:val="center"/>
          </w:tcPr>
          <w:p w14:paraId="556D5E5E" w14:textId="77777777" w:rsidR="00D23A43" w:rsidRPr="00D23A43" w:rsidRDefault="00D23A43" w:rsidP="00D23A43">
            <w:pPr>
              <w:rPr>
                <w:rFonts w:ascii="Tahoma" w:eastAsia="Times New Roman" w:hAnsi="Tahoma" w:cs="Tahoma"/>
                <w:b/>
                <w:szCs w:val="22"/>
              </w:rPr>
            </w:pPr>
            <w:r w:rsidRPr="00D23A43">
              <w:rPr>
                <w:rFonts w:ascii="Tahoma" w:eastAsia="Times New Roman" w:hAnsi="Tahoma" w:cs="Tahoma"/>
                <w:b/>
                <w:szCs w:val="22"/>
              </w:rPr>
              <w:t>Deadline to Submit Applications by 11:59 p.m.*</w:t>
            </w:r>
          </w:p>
        </w:tc>
        <w:tc>
          <w:tcPr>
            <w:tcW w:w="3600" w:type="dxa"/>
            <w:vAlign w:val="center"/>
          </w:tcPr>
          <w:p w14:paraId="5FCA12FD" w14:textId="28457594" w:rsidR="00D23A43" w:rsidRPr="00511F4E" w:rsidRDefault="00EA044B" w:rsidP="00D23A43">
            <w:pPr>
              <w:rPr>
                <w:rFonts w:ascii="Tahoma" w:eastAsia="Times New Roman" w:hAnsi="Tahoma" w:cs="Tahoma"/>
                <w:b/>
                <w:u w:val="single"/>
              </w:rPr>
            </w:pPr>
            <w:r w:rsidRPr="00EA044B">
              <w:rPr>
                <w:rFonts w:ascii="Tahoma" w:eastAsia="Times New Roman" w:hAnsi="Tahoma" w:cs="Tahoma"/>
                <w:bCs/>
              </w:rPr>
              <w:t>[</w:t>
            </w:r>
            <w:r w:rsidR="00D23A43" w:rsidRPr="00511F4E">
              <w:rPr>
                <w:rFonts w:ascii="Tahoma" w:eastAsia="Times New Roman" w:hAnsi="Tahoma" w:cs="Tahoma"/>
                <w:b/>
                <w:strike/>
              </w:rPr>
              <w:t>November 17, 2023</w:t>
            </w:r>
            <w:r w:rsidRPr="00EA044B">
              <w:rPr>
                <w:rFonts w:ascii="Tahoma" w:eastAsia="Times New Roman" w:hAnsi="Tahoma" w:cs="Tahoma"/>
                <w:bCs/>
              </w:rPr>
              <w:t>]</w:t>
            </w:r>
            <w:r w:rsidR="00F96F53">
              <w:rPr>
                <w:rFonts w:ascii="Tahoma" w:eastAsia="Times New Roman" w:hAnsi="Tahoma" w:cs="Tahoma"/>
                <w:b/>
                <w:bCs/>
                <w:u w:val="single"/>
              </w:rPr>
              <w:t xml:space="preserve"> November 29, 2023</w:t>
            </w:r>
          </w:p>
        </w:tc>
      </w:tr>
      <w:tr w:rsidR="00D23A43" w:rsidRPr="00D23A43" w14:paraId="1027667E" w14:textId="77777777" w:rsidTr="34C67D2A">
        <w:trPr>
          <w:cantSplit/>
          <w:trHeight w:hRule="exact" w:val="678"/>
        </w:trPr>
        <w:tc>
          <w:tcPr>
            <w:tcW w:w="6007" w:type="dxa"/>
            <w:vAlign w:val="center"/>
          </w:tcPr>
          <w:p w14:paraId="5B7E0DE4" w14:textId="77777777" w:rsidR="00D23A43" w:rsidRPr="00D23A43" w:rsidRDefault="00D23A43" w:rsidP="00D23A43">
            <w:pPr>
              <w:rPr>
                <w:rFonts w:ascii="Tahoma" w:eastAsia="Times New Roman" w:hAnsi="Tahoma" w:cs="Tahoma"/>
                <w:szCs w:val="22"/>
              </w:rPr>
            </w:pPr>
            <w:r w:rsidRPr="00D23A43">
              <w:rPr>
                <w:rFonts w:ascii="Tahoma" w:eastAsia="Times New Roman" w:hAnsi="Tahoma" w:cs="Tahoma"/>
                <w:szCs w:val="22"/>
              </w:rPr>
              <w:t xml:space="preserve">Anticipated Notice of Proposed Awards Posting </w:t>
            </w:r>
          </w:p>
        </w:tc>
        <w:tc>
          <w:tcPr>
            <w:tcW w:w="3600" w:type="dxa"/>
            <w:vAlign w:val="center"/>
          </w:tcPr>
          <w:p w14:paraId="0DE7C96F" w14:textId="4126986D" w:rsidR="00D23A43" w:rsidRPr="00D23A43" w:rsidRDefault="00D23A43" w:rsidP="00D23A43">
            <w:pPr>
              <w:spacing w:line="259" w:lineRule="auto"/>
              <w:rPr>
                <w:rFonts w:ascii="Tahoma" w:eastAsia="Times New Roman" w:hAnsi="Tahoma" w:cs="Tahoma"/>
              </w:rPr>
            </w:pPr>
            <w:r w:rsidRPr="00D23A43">
              <w:rPr>
                <w:rFonts w:ascii="Tahoma" w:eastAsia="Times New Roman" w:hAnsi="Tahoma" w:cs="Tahoma"/>
              </w:rPr>
              <w:t xml:space="preserve">Week of February 5, </w:t>
            </w:r>
            <w:r w:rsidRPr="00D23A43">
              <w:rPr>
                <w:rFonts w:ascii="Tahoma" w:eastAsia="Times New Roman" w:hAnsi="Tahoma" w:cs="Tahoma"/>
                <w:b/>
                <w:bCs/>
                <w:u w:val="single"/>
              </w:rPr>
              <w:t>2024</w:t>
            </w:r>
            <w:r w:rsidR="009B7B6A" w:rsidRPr="009B7B6A">
              <w:rPr>
                <w:rFonts w:ascii="Tahoma" w:eastAsia="Times New Roman" w:hAnsi="Tahoma" w:cs="Tahoma"/>
              </w:rPr>
              <w:t>[</w:t>
            </w:r>
            <w:r w:rsidRPr="00D23A43">
              <w:rPr>
                <w:rFonts w:ascii="Tahoma" w:eastAsia="Times New Roman" w:hAnsi="Tahoma" w:cs="Tahoma"/>
                <w:strike/>
              </w:rPr>
              <w:t>3</w:t>
            </w:r>
            <w:r w:rsidR="009B7B6A" w:rsidRPr="009B7B6A">
              <w:rPr>
                <w:rFonts w:ascii="Tahoma" w:eastAsia="Times New Roman" w:hAnsi="Tahoma" w:cs="Tahoma"/>
              </w:rPr>
              <w:t>]</w:t>
            </w:r>
          </w:p>
        </w:tc>
      </w:tr>
      <w:tr w:rsidR="00D23A43" w:rsidRPr="00D23A43" w14:paraId="5B5A093C" w14:textId="77777777" w:rsidTr="34C67D2A">
        <w:trPr>
          <w:cantSplit/>
          <w:trHeight w:hRule="exact" w:val="288"/>
        </w:trPr>
        <w:tc>
          <w:tcPr>
            <w:tcW w:w="6007" w:type="dxa"/>
            <w:vAlign w:val="center"/>
          </w:tcPr>
          <w:p w14:paraId="5293A7F8" w14:textId="77777777" w:rsidR="00D23A43" w:rsidRPr="00D23A43" w:rsidRDefault="00D23A43" w:rsidP="00D23A43">
            <w:pPr>
              <w:rPr>
                <w:rFonts w:ascii="Tahoma" w:eastAsia="Times New Roman" w:hAnsi="Tahoma" w:cs="Tahoma"/>
                <w:szCs w:val="22"/>
              </w:rPr>
            </w:pPr>
            <w:r w:rsidRPr="00D23A43">
              <w:rPr>
                <w:rFonts w:ascii="Tahoma" w:eastAsia="Times New Roman" w:hAnsi="Tahoma" w:cs="Tahoma"/>
                <w:szCs w:val="22"/>
              </w:rPr>
              <w:t xml:space="preserve">Anticipated CEC Business Meeting </w:t>
            </w:r>
          </w:p>
        </w:tc>
        <w:tc>
          <w:tcPr>
            <w:tcW w:w="3600" w:type="dxa"/>
            <w:vAlign w:val="center"/>
          </w:tcPr>
          <w:p w14:paraId="059FB7C7" w14:textId="77777777" w:rsidR="00D23A43" w:rsidRPr="00D23A43" w:rsidRDefault="00D23A43" w:rsidP="00D23A43">
            <w:pPr>
              <w:rPr>
                <w:rFonts w:ascii="Tahoma" w:eastAsia="Times New Roman" w:hAnsi="Tahoma" w:cs="Tahoma"/>
              </w:rPr>
            </w:pPr>
            <w:r w:rsidRPr="00D23A43">
              <w:rPr>
                <w:rFonts w:ascii="Tahoma" w:eastAsia="Times New Roman" w:hAnsi="Tahoma" w:cs="Tahoma"/>
              </w:rPr>
              <w:t>May 2024</w:t>
            </w:r>
          </w:p>
        </w:tc>
      </w:tr>
    </w:tbl>
    <w:p w14:paraId="6798C8BC" w14:textId="77777777" w:rsidR="00D23A43" w:rsidRDefault="00D23A43" w:rsidP="00D23A43">
      <w:pPr>
        <w:pStyle w:val="ListParagraph"/>
        <w:rPr>
          <w:rStyle w:val="eop"/>
          <w:rFonts w:ascii="Tahoma" w:hAnsi="Tahoma" w:cs="Tahoma"/>
          <w:shd w:val="clear" w:color="auto" w:fill="FFFFFF"/>
        </w:rPr>
      </w:pPr>
    </w:p>
    <w:p w14:paraId="566EAAAD" w14:textId="084F5C68" w:rsidR="00546779" w:rsidRPr="003077B7" w:rsidRDefault="003077B7" w:rsidP="00D23A43">
      <w:pPr>
        <w:pStyle w:val="ListParagraph"/>
        <w:rPr>
          <w:rFonts w:ascii="Tahoma" w:eastAsiaTheme="majorEastAsia" w:hAnsi="Tahoma" w:cs="Tahoma"/>
          <w:b/>
          <w:bCs/>
        </w:rPr>
      </w:pPr>
      <w:r w:rsidRPr="003077B7">
        <w:rPr>
          <w:rStyle w:val="eop"/>
          <w:rFonts w:ascii="Tahoma" w:hAnsi="Tahoma" w:cs="Tahoma"/>
          <w:shd w:val="clear" w:color="auto" w:fill="FFFFFF"/>
        </w:rPr>
        <w:t> </w:t>
      </w:r>
    </w:p>
    <w:p w14:paraId="751649D6" w14:textId="00C15D83" w:rsidR="001261BE" w:rsidRPr="00A76860" w:rsidRDefault="001261BE" w:rsidP="00D23A43">
      <w:pPr>
        <w:keepNext/>
        <w:keepLines/>
        <w:numPr>
          <w:ilvl w:val="0"/>
          <w:numId w:val="21"/>
        </w:numPr>
        <w:spacing w:before="40"/>
        <w:outlineLvl w:val="2"/>
        <w:rPr>
          <w:rFonts w:ascii="Tahoma" w:eastAsiaTheme="majorEastAsia" w:hAnsi="Tahoma" w:cs="Tahoma"/>
          <w:b/>
          <w:bCs/>
        </w:rPr>
      </w:pPr>
      <w:r w:rsidRPr="00A76860">
        <w:rPr>
          <w:rFonts w:ascii="Tahoma" w:eastAsiaTheme="majorEastAsia" w:hAnsi="Tahoma" w:cs="Tahoma"/>
          <w:b/>
          <w:bCs/>
        </w:rPr>
        <w:lastRenderedPageBreak/>
        <w:t xml:space="preserve">Section </w:t>
      </w:r>
      <w:r w:rsidR="2C538143" w:rsidRPr="00A76860">
        <w:rPr>
          <w:rFonts w:ascii="Tahoma" w:eastAsiaTheme="majorEastAsia" w:hAnsi="Tahoma" w:cs="Tahoma"/>
          <w:b/>
          <w:bCs/>
        </w:rPr>
        <w:t>I</w:t>
      </w:r>
      <w:r w:rsidR="00B2160E" w:rsidRPr="00A76860">
        <w:rPr>
          <w:rFonts w:ascii="Tahoma" w:eastAsiaTheme="majorEastAsia" w:hAnsi="Tahoma" w:cs="Tahoma"/>
          <w:b/>
          <w:bCs/>
        </w:rPr>
        <w:t>I</w:t>
      </w:r>
      <w:r w:rsidR="00256C04" w:rsidRPr="00A76860">
        <w:rPr>
          <w:rFonts w:ascii="Tahoma" w:eastAsiaTheme="majorEastAsia" w:hAnsi="Tahoma" w:cs="Tahoma"/>
          <w:b/>
          <w:bCs/>
        </w:rPr>
        <w:t>.</w:t>
      </w:r>
      <w:r w:rsidR="00D23A43">
        <w:rPr>
          <w:rFonts w:ascii="Tahoma" w:eastAsiaTheme="majorEastAsia" w:hAnsi="Tahoma" w:cs="Tahoma"/>
          <w:b/>
          <w:bCs/>
        </w:rPr>
        <w:t>A</w:t>
      </w:r>
      <w:r w:rsidRPr="00A76860">
        <w:rPr>
          <w:rFonts w:ascii="Tahoma" w:eastAsiaTheme="majorEastAsia" w:hAnsi="Tahoma" w:cs="Tahoma"/>
          <w:b/>
          <w:bCs/>
        </w:rPr>
        <w:t xml:space="preserve"> </w:t>
      </w:r>
      <w:r w:rsidR="00D23A43">
        <w:rPr>
          <w:rFonts w:ascii="Tahoma" w:eastAsiaTheme="majorEastAsia" w:hAnsi="Tahoma" w:cs="Tahoma"/>
          <w:b/>
          <w:bCs/>
        </w:rPr>
        <w:t>APPLICANT REQUIREMENTS</w:t>
      </w:r>
    </w:p>
    <w:p w14:paraId="39E0F5C8" w14:textId="77777777" w:rsidR="00353981" w:rsidRDefault="00353981" w:rsidP="002829DB">
      <w:pPr>
        <w:ind w:left="360"/>
      </w:pPr>
    </w:p>
    <w:p w14:paraId="191CB243" w14:textId="77777777" w:rsidR="00D23A43" w:rsidRPr="00D23A43" w:rsidRDefault="00D23A43" w:rsidP="00D23A43">
      <w:pPr>
        <w:numPr>
          <w:ilvl w:val="0"/>
          <w:numId w:val="22"/>
        </w:numPr>
        <w:spacing w:after="120"/>
        <w:ind w:left="1440" w:hanging="720"/>
        <w:jc w:val="both"/>
        <w:rPr>
          <w:rFonts w:ascii="Tahoma" w:eastAsia="Times New Roman" w:hAnsi="Tahoma" w:cs="Tahoma"/>
          <w:b/>
        </w:rPr>
      </w:pPr>
      <w:r w:rsidRPr="00D23A43">
        <w:rPr>
          <w:rFonts w:ascii="Tahoma" w:eastAsia="Times New Roman" w:hAnsi="Tahoma" w:cs="Tahoma"/>
          <w:b/>
        </w:rPr>
        <w:t>Eligibility</w:t>
      </w:r>
    </w:p>
    <w:p w14:paraId="7CEF7680" w14:textId="77777777" w:rsidR="00D23A43" w:rsidRPr="00D23A43" w:rsidRDefault="00D23A43" w:rsidP="00D23A43">
      <w:pPr>
        <w:ind w:left="1440"/>
        <w:rPr>
          <w:rFonts w:ascii="Tahoma" w:eastAsia="Arial" w:hAnsi="Tahoma" w:cs="Tahoma"/>
        </w:rPr>
      </w:pPr>
      <w:r w:rsidRPr="00D23A43">
        <w:rPr>
          <w:rFonts w:ascii="Tahoma" w:eastAsia="Times New Roman" w:hAnsi="Tahoma" w:cs="Tahoma"/>
        </w:rPr>
        <w:t>This solicitation is open to all public and private entities,</w:t>
      </w:r>
      <w:r w:rsidRPr="00D23A43">
        <w:rPr>
          <w:rFonts w:ascii="Tahoma" w:eastAsia="Arial" w:hAnsi="Tahoma" w:cs="Tahoma"/>
        </w:rPr>
        <w:t xml:space="preserve"> Federally-recognized California Native American Tribes, and California Tribal Organizations serving Federally-recognized California Native American Tribes. </w:t>
      </w:r>
    </w:p>
    <w:p w14:paraId="09A1F541" w14:textId="77777777" w:rsidR="00D23A43" w:rsidRPr="00D23A43" w:rsidRDefault="00D23A43" w:rsidP="00D23A43">
      <w:pPr>
        <w:ind w:left="1440"/>
        <w:rPr>
          <w:rFonts w:ascii="Tahoma" w:eastAsia="Arial" w:hAnsi="Tahoma" w:cs="Tahoma"/>
        </w:rPr>
      </w:pPr>
    </w:p>
    <w:p w14:paraId="254A6FB1" w14:textId="77777777" w:rsidR="00D23A43" w:rsidRPr="00D23A43" w:rsidRDefault="00D23A43" w:rsidP="00D23A43">
      <w:pPr>
        <w:ind w:left="1440"/>
        <w:rPr>
          <w:rFonts w:ascii="Tahoma" w:eastAsia="Arial" w:hAnsi="Tahoma" w:cs="Tahoma"/>
        </w:rPr>
      </w:pPr>
      <w:r w:rsidRPr="00D23A43">
        <w:rPr>
          <w:rFonts w:ascii="Tahoma" w:eastAsia="Arial" w:hAnsi="Tahoma" w:cs="Tahoma"/>
        </w:rPr>
        <w:t>Ineligible applicants include investor-owned utilities.</w:t>
      </w:r>
    </w:p>
    <w:p w14:paraId="33ABB22B" w14:textId="77777777" w:rsidR="00D23A43" w:rsidRPr="00D23A43" w:rsidRDefault="00D23A43" w:rsidP="00D23A43">
      <w:pPr>
        <w:ind w:left="1440"/>
        <w:rPr>
          <w:rFonts w:ascii="Tahoma" w:eastAsia="Arial" w:hAnsi="Tahoma" w:cs="Tahoma"/>
        </w:rPr>
      </w:pPr>
    </w:p>
    <w:p w14:paraId="6075BD79" w14:textId="5C819D51" w:rsidR="001261BE" w:rsidRPr="00221C82" w:rsidRDefault="00221C82" w:rsidP="00D23A43">
      <w:pPr>
        <w:ind w:left="1440"/>
        <w:rPr>
          <w:rFonts w:ascii="Tahoma" w:eastAsia="Arial" w:hAnsi="Tahoma" w:cs="Tahoma"/>
        </w:rPr>
      </w:pPr>
      <w:r>
        <w:rPr>
          <w:rFonts w:ascii="Tahoma" w:eastAsia="Arial" w:hAnsi="Tahoma" w:cs="Tahoma"/>
        </w:rPr>
        <w:t>[</w:t>
      </w:r>
      <w:r w:rsidR="00D23A43" w:rsidRPr="00D23A43">
        <w:rPr>
          <w:rFonts w:ascii="Tahoma" w:eastAsia="Arial" w:hAnsi="Tahoma" w:cs="Tahoma"/>
          <w:strike/>
        </w:rPr>
        <w:t>The Applicant does not need to have its company headquarters in California, but it must have at least one existing physical office within the State of California.</w:t>
      </w:r>
      <w:r>
        <w:rPr>
          <w:rFonts w:ascii="Tahoma" w:eastAsia="Arial" w:hAnsi="Tahoma" w:cs="Tahoma"/>
        </w:rPr>
        <w:t>]</w:t>
      </w:r>
    </w:p>
    <w:p w14:paraId="248F43D4" w14:textId="77777777" w:rsidR="00D23A43" w:rsidRDefault="00D23A43" w:rsidP="00D23A43">
      <w:pPr>
        <w:rPr>
          <w:rFonts w:ascii="Tahoma" w:eastAsia="Arial" w:hAnsi="Tahoma" w:cs="Tahoma"/>
          <w:strike/>
        </w:rPr>
      </w:pPr>
    </w:p>
    <w:p w14:paraId="0A8580E3" w14:textId="77777777" w:rsidR="00D23A43" w:rsidRPr="003D5F92" w:rsidRDefault="00D23A43" w:rsidP="00D23A43"/>
    <w:p w14:paraId="7970DF52" w14:textId="77777777" w:rsidR="007A7DF0" w:rsidRDefault="007A7DF0" w:rsidP="00D23A43">
      <w:pPr>
        <w:pStyle w:val="ListParagraph"/>
        <w:numPr>
          <w:ilvl w:val="0"/>
          <w:numId w:val="23"/>
        </w:numPr>
        <w:rPr>
          <w:rFonts w:ascii="Tahoma" w:hAnsi="Tahoma" w:cs="Tahoma"/>
          <w:b/>
          <w:bCs/>
        </w:rPr>
      </w:pPr>
      <w:r>
        <w:rPr>
          <w:rFonts w:ascii="Tahoma" w:hAnsi="Tahoma" w:cs="Tahoma"/>
          <w:b/>
          <w:bCs/>
        </w:rPr>
        <w:t>Section II.B PROJECT REQUIREMENTS</w:t>
      </w:r>
    </w:p>
    <w:p w14:paraId="5303F674" w14:textId="73C073F2" w:rsidR="00B1122A" w:rsidRDefault="007A7DF0" w:rsidP="007A7DF0">
      <w:pPr>
        <w:pStyle w:val="ListParagraph"/>
        <w:ind w:left="1440" w:hanging="720"/>
        <w:rPr>
          <w:rFonts w:ascii="Tahoma" w:hAnsi="Tahoma" w:cs="Tahoma"/>
          <w:b/>
          <w:bCs/>
        </w:rPr>
      </w:pPr>
      <w:r>
        <w:rPr>
          <w:rFonts w:ascii="Tahoma" w:eastAsia="Arial" w:hAnsi="Tahoma" w:cs="Tahoma"/>
        </w:rPr>
        <w:t>5.</w:t>
      </w:r>
      <w:r>
        <w:rPr>
          <w:rFonts w:ascii="Tahoma" w:eastAsia="Arial" w:hAnsi="Tahoma" w:cs="Tahoma"/>
        </w:rPr>
        <w:tab/>
      </w:r>
      <w:r w:rsidRPr="007A7DF0">
        <w:rPr>
          <w:rFonts w:ascii="Tahoma" w:eastAsia="Arial" w:hAnsi="Tahoma" w:cs="Tahoma"/>
        </w:rPr>
        <w:t xml:space="preserve">A proposed charging station must be no farther than </w:t>
      </w:r>
      <w:r w:rsidR="004E1EA3">
        <w:rPr>
          <w:rFonts w:ascii="Tahoma" w:eastAsia="Arial" w:hAnsi="Tahoma" w:cs="Tahoma"/>
        </w:rPr>
        <w:t>[</w:t>
      </w:r>
      <w:r w:rsidRPr="007A7DF0">
        <w:rPr>
          <w:rFonts w:ascii="Tahoma" w:eastAsia="Arial" w:hAnsi="Tahoma" w:cs="Tahoma"/>
          <w:strike/>
        </w:rPr>
        <w:t>100</w:t>
      </w:r>
      <w:r w:rsidR="004E1EA3" w:rsidRPr="004E1EA3">
        <w:rPr>
          <w:rFonts w:ascii="Tahoma" w:eastAsia="Arial" w:hAnsi="Tahoma" w:cs="Tahoma"/>
        </w:rPr>
        <w:t>]</w:t>
      </w:r>
      <w:r w:rsidRPr="00E61304">
        <w:rPr>
          <w:rFonts w:ascii="Tahoma" w:eastAsia="Arial" w:hAnsi="Tahoma" w:cs="Tahoma"/>
          <w:b/>
          <w:bCs/>
          <w:u w:val="single"/>
        </w:rPr>
        <w:t>125</w:t>
      </w:r>
      <w:r w:rsidRPr="007A7DF0">
        <w:rPr>
          <w:rFonts w:ascii="Tahoma" w:eastAsia="Arial" w:hAnsi="Tahoma" w:cs="Tahoma"/>
        </w:rPr>
        <w:t xml:space="preserve"> miles from Applicant’s other proposed charging stations in the application. A proposed hydrogen refueling station must be no farther than 300 miles from Applicant’s other proposed refueling stations in the application. If the proposed station includes both charging and refueling infrastructure, a similar station in the application must be within </w:t>
      </w:r>
      <w:r w:rsidR="004E1EA3">
        <w:rPr>
          <w:rFonts w:ascii="Tahoma" w:eastAsia="Arial" w:hAnsi="Tahoma" w:cs="Tahoma"/>
        </w:rPr>
        <w:t>[</w:t>
      </w:r>
      <w:r w:rsidRPr="007A7DF0">
        <w:rPr>
          <w:rFonts w:ascii="Tahoma" w:eastAsia="Arial" w:hAnsi="Tahoma" w:cs="Tahoma"/>
          <w:strike/>
        </w:rPr>
        <w:t>100</w:t>
      </w:r>
      <w:r w:rsidR="004E1EA3" w:rsidRPr="004E1EA3">
        <w:rPr>
          <w:rFonts w:ascii="Tahoma" w:eastAsia="Arial" w:hAnsi="Tahoma" w:cs="Tahoma"/>
        </w:rPr>
        <w:t>]</w:t>
      </w:r>
      <w:r w:rsidRPr="007A7DF0">
        <w:rPr>
          <w:rFonts w:ascii="Tahoma" w:eastAsia="Arial" w:hAnsi="Tahoma" w:cs="Tahoma"/>
          <w:b/>
          <w:bCs/>
          <w:u w:val="single"/>
        </w:rPr>
        <w:t>125</w:t>
      </w:r>
      <w:r w:rsidRPr="007A7DF0">
        <w:rPr>
          <w:rFonts w:ascii="Tahoma" w:eastAsia="Arial" w:hAnsi="Tahoma" w:cs="Tahoma"/>
        </w:rPr>
        <w:t xml:space="preserve"> miles from the other to satisfy the charging station distance requirement.</w:t>
      </w:r>
      <w:r w:rsidR="00D23A43" w:rsidRPr="00D23A43">
        <w:rPr>
          <w:rFonts w:ascii="Tahoma" w:hAnsi="Tahoma" w:cs="Tahoma"/>
          <w:b/>
          <w:bCs/>
        </w:rPr>
        <w:tab/>
      </w:r>
    </w:p>
    <w:p w14:paraId="35221FD4" w14:textId="77777777" w:rsidR="007A7DF0" w:rsidRDefault="007A7DF0" w:rsidP="007A7DF0">
      <w:pPr>
        <w:rPr>
          <w:rFonts w:ascii="Tahoma" w:hAnsi="Tahoma" w:cs="Tahoma"/>
          <w:b/>
          <w:bCs/>
        </w:rPr>
      </w:pPr>
    </w:p>
    <w:p w14:paraId="05700A14" w14:textId="0F581752" w:rsidR="007A7DF0" w:rsidRDefault="007A7DF0" w:rsidP="007A7DF0">
      <w:pPr>
        <w:pStyle w:val="ListParagraph"/>
        <w:numPr>
          <w:ilvl w:val="0"/>
          <w:numId w:val="23"/>
        </w:numPr>
        <w:rPr>
          <w:rFonts w:ascii="Tahoma" w:hAnsi="Tahoma" w:cs="Tahoma"/>
          <w:b/>
          <w:bCs/>
        </w:rPr>
      </w:pPr>
      <w:r>
        <w:rPr>
          <w:rFonts w:ascii="Tahoma" w:hAnsi="Tahoma" w:cs="Tahoma"/>
          <w:b/>
          <w:bCs/>
        </w:rPr>
        <w:t>Section II.E ELIGIBLE PROJECT COSTS</w:t>
      </w:r>
    </w:p>
    <w:p w14:paraId="6105D529" w14:textId="77777777" w:rsidR="007A7DF0" w:rsidRPr="00CC32B6" w:rsidRDefault="007A7DF0" w:rsidP="007A7DF0">
      <w:pPr>
        <w:ind w:left="720"/>
        <w:rPr>
          <w:rFonts w:ascii="Tahoma" w:eastAsia="Tahoma" w:hAnsi="Tahoma" w:cs="Tahoma"/>
        </w:rPr>
      </w:pPr>
      <w:r w:rsidRPr="00CC32B6">
        <w:rPr>
          <w:rFonts w:ascii="Tahoma" w:eastAsia="Tahoma" w:hAnsi="Tahoma" w:cs="Tahoma"/>
        </w:rPr>
        <w:t>Costs incurred for the following are eligible for CEC reimbursement or as the Applicant’s match share.</w:t>
      </w:r>
    </w:p>
    <w:p w14:paraId="37CF7ED4" w14:textId="77777777" w:rsidR="007A7DF0" w:rsidRPr="00CC32B6" w:rsidRDefault="007A7DF0" w:rsidP="007A7DF0">
      <w:pPr>
        <w:ind w:left="720"/>
        <w:rPr>
          <w:rFonts w:ascii="Tahoma" w:eastAsia="Tahoma" w:hAnsi="Tahoma" w:cs="Tahoma"/>
        </w:rPr>
      </w:pPr>
    </w:p>
    <w:p w14:paraId="2E416B4D" w14:textId="77777777" w:rsidR="007A7DF0" w:rsidRPr="00CC32B6" w:rsidRDefault="007A7DF0" w:rsidP="007A7DF0">
      <w:pPr>
        <w:numPr>
          <w:ilvl w:val="0"/>
          <w:numId w:val="24"/>
        </w:numPr>
        <w:ind w:left="1440" w:hanging="720"/>
        <w:rPr>
          <w:rFonts w:ascii="Tahoma" w:eastAsia="Tahoma" w:hAnsi="Tahoma" w:cs="Tahoma"/>
        </w:rPr>
      </w:pPr>
      <w:r w:rsidRPr="00CC32B6">
        <w:rPr>
          <w:rFonts w:ascii="Tahoma" w:eastAsia="Tahoma" w:hAnsi="Tahoma" w:cs="Tahoma"/>
        </w:rPr>
        <w:t xml:space="preserve">For </w:t>
      </w:r>
      <w:r>
        <w:rPr>
          <w:rFonts w:ascii="Tahoma" w:eastAsia="Tahoma" w:hAnsi="Tahoma" w:cs="Tahoma"/>
        </w:rPr>
        <w:t>Electric Vehicle</w:t>
      </w:r>
      <w:r w:rsidRPr="00CC32B6">
        <w:rPr>
          <w:rFonts w:ascii="Tahoma" w:eastAsia="Tahoma" w:hAnsi="Tahoma" w:cs="Tahoma"/>
        </w:rPr>
        <w:t xml:space="preserve"> Charging Infrastructure</w:t>
      </w:r>
    </w:p>
    <w:p w14:paraId="1EBE2C1C" w14:textId="77777777" w:rsidR="007A7DF0" w:rsidRPr="00CC32B6" w:rsidRDefault="007A7DF0" w:rsidP="007A7DF0">
      <w:pPr>
        <w:pStyle w:val="ListParagraph"/>
        <w:ind w:left="2160"/>
        <w:rPr>
          <w:rFonts w:ascii="Tahoma" w:eastAsia="Tahoma" w:hAnsi="Tahoma" w:cs="Tahoma"/>
        </w:rPr>
      </w:pPr>
    </w:p>
    <w:p w14:paraId="00AEFE6D" w14:textId="77777777" w:rsidR="007A7DF0" w:rsidRPr="00CC32B6" w:rsidRDefault="007A7DF0" w:rsidP="007A7DF0">
      <w:pPr>
        <w:pStyle w:val="ListParagraph"/>
        <w:numPr>
          <w:ilvl w:val="1"/>
          <w:numId w:val="26"/>
        </w:numPr>
        <w:ind w:left="2160" w:hanging="720"/>
        <w:contextualSpacing w:val="0"/>
        <w:rPr>
          <w:rFonts w:ascii="Tahoma" w:eastAsia="Tahoma" w:hAnsi="Tahoma" w:cs="Tahoma"/>
        </w:rPr>
      </w:pPr>
      <w:r w:rsidRPr="00CC32B6">
        <w:rPr>
          <w:rFonts w:ascii="Tahoma" w:eastAsia="Tahoma" w:hAnsi="Tahoma" w:cs="Tahoma"/>
        </w:rPr>
        <w:t xml:space="preserve">Electric vehicle </w:t>
      </w:r>
      <w:r>
        <w:rPr>
          <w:rFonts w:ascii="Tahoma" w:eastAsia="Tahoma" w:hAnsi="Tahoma" w:cs="Tahoma"/>
        </w:rPr>
        <w:t>charging station</w:t>
      </w:r>
      <w:r w:rsidRPr="00CC32B6">
        <w:rPr>
          <w:rFonts w:ascii="Tahoma" w:eastAsia="Tahoma" w:hAnsi="Tahoma" w:cs="Tahoma"/>
        </w:rPr>
        <w:t xml:space="preserve"> equipment </w:t>
      </w:r>
    </w:p>
    <w:p w14:paraId="54633D51" w14:textId="77777777" w:rsidR="007A7DF0" w:rsidRPr="00CC32B6" w:rsidRDefault="007A7DF0" w:rsidP="007A7DF0">
      <w:pPr>
        <w:pStyle w:val="ListParagraph"/>
        <w:numPr>
          <w:ilvl w:val="1"/>
          <w:numId w:val="26"/>
        </w:numPr>
        <w:ind w:left="2160" w:hanging="720"/>
        <w:contextualSpacing w:val="0"/>
        <w:rPr>
          <w:rFonts w:ascii="Tahoma" w:eastAsia="Tahoma" w:hAnsi="Tahoma" w:cs="Tahoma"/>
        </w:rPr>
      </w:pPr>
      <w:r w:rsidRPr="00CC32B6">
        <w:rPr>
          <w:rFonts w:ascii="Tahoma" w:eastAsia="Tahoma" w:hAnsi="Tahoma" w:cs="Tahoma"/>
        </w:rPr>
        <w:t>Transformers</w:t>
      </w:r>
    </w:p>
    <w:p w14:paraId="7E341C39" w14:textId="77777777" w:rsidR="007A7DF0" w:rsidRPr="00CC32B6" w:rsidRDefault="007A7DF0" w:rsidP="007A7DF0">
      <w:pPr>
        <w:pStyle w:val="ListParagraph"/>
        <w:numPr>
          <w:ilvl w:val="1"/>
          <w:numId w:val="26"/>
        </w:numPr>
        <w:ind w:left="2160" w:hanging="720"/>
        <w:contextualSpacing w:val="0"/>
        <w:rPr>
          <w:rFonts w:ascii="Tahoma" w:eastAsia="Tahoma" w:hAnsi="Tahoma" w:cs="Tahoma"/>
        </w:rPr>
      </w:pPr>
      <w:r w:rsidRPr="00CC32B6">
        <w:rPr>
          <w:rFonts w:ascii="Tahoma" w:eastAsia="Tahoma" w:hAnsi="Tahoma" w:cs="Tahoma"/>
        </w:rPr>
        <w:t>Electric panels</w:t>
      </w:r>
    </w:p>
    <w:p w14:paraId="302BAD2C" w14:textId="77777777" w:rsidR="007A7DF0" w:rsidRPr="00CC32B6" w:rsidRDefault="007A7DF0" w:rsidP="007A7DF0">
      <w:pPr>
        <w:pStyle w:val="ListParagraph"/>
        <w:numPr>
          <w:ilvl w:val="1"/>
          <w:numId w:val="26"/>
        </w:numPr>
        <w:ind w:left="2160" w:hanging="720"/>
        <w:contextualSpacing w:val="0"/>
        <w:rPr>
          <w:rFonts w:ascii="Tahoma" w:eastAsia="Tahoma" w:hAnsi="Tahoma" w:cs="Tahoma"/>
        </w:rPr>
      </w:pPr>
      <w:r w:rsidRPr="00CC32B6">
        <w:rPr>
          <w:rFonts w:ascii="Tahoma" w:eastAsia="Tahoma" w:hAnsi="Tahoma" w:cs="Tahoma"/>
        </w:rPr>
        <w:t>Conduit</w:t>
      </w:r>
    </w:p>
    <w:p w14:paraId="169F2B35" w14:textId="77777777" w:rsidR="007A7DF0" w:rsidRPr="00CC32B6" w:rsidRDefault="007A7DF0" w:rsidP="007A7DF0">
      <w:pPr>
        <w:pStyle w:val="ListParagraph"/>
        <w:numPr>
          <w:ilvl w:val="1"/>
          <w:numId w:val="26"/>
        </w:numPr>
        <w:ind w:left="2160" w:hanging="720"/>
        <w:contextualSpacing w:val="0"/>
        <w:rPr>
          <w:rFonts w:ascii="Tahoma" w:eastAsia="Tahoma" w:hAnsi="Tahoma" w:cs="Tahoma"/>
        </w:rPr>
      </w:pPr>
      <w:r w:rsidRPr="00CC32B6">
        <w:rPr>
          <w:rFonts w:ascii="Tahoma" w:eastAsia="Tahoma" w:hAnsi="Tahoma" w:cs="Tahoma"/>
        </w:rPr>
        <w:t>Wiring</w:t>
      </w:r>
    </w:p>
    <w:p w14:paraId="734948E6" w14:textId="77777777" w:rsidR="007A7DF0" w:rsidRPr="00CC32B6" w:rsidRDefault="007A7DF0" w:rsidP="007A7DF0">
      <w:pPr>
        <w:pStyle w:val="ListParagraph"/>
        <w:numPr>
          <w:ilvl w:val="1"/>
          <w:numId w:val="26"/>
        </w:numPr>
        <w:ind w:left="2160" w:hanging="720"/>
        <w:contextualSpacing w:val="0"/>
        <w:rPr>
          <w:rFonts w:ascii="Tahoma" w:eastAsia="Tahoma" w:hAnsi="Tahoma" w:cs="Tahoma"/>
        </w:rPr>
      </w:pPr>
      <w:r w:rsidRPr="00CC32B6">
        <w:rPr>
          <w:rFonts w:ascii="Tahoma" w:eastAsia="Tahoma" w:hAnsi="Tahoma" w:cs="Tahoma"/>
        </w:rPr>
        <w:t>Meters</w:t>
      </w:r>
    </w:p>
    <w:p w14:paraId="5D7E85AE" w14:textId="77777777" w:rsidR="007A7DF0" w:rsidRPr="003728AA" w:rsidRDefault="007A7DF0" w:rsidP="007A7DF0">
      <w:pPr>
        <w:pStyle w:val="ListParagraph"/>
        <w:numPr>
          <w:ilvl w:val="1"/>
          <w:numId w:val="26"/>
        </w:numPr>
        <w:ind w:left="2160" w:hanging="720"/>
        <w:contextualSpacing w:val="0"/>
        <w:rPr>
          <w:rFonts w:ascii="Tahoma" w:eastAsia="Tahoma" w:hAnsi="Tahoma" w:cs="Tahoma"/>
        </w:rPr>
      </w:pPr>
      <w:r w:rsidRPr="003728AA">
        <w:rPr>
          <w:rFonts w:ascii="Tahoma" w:eastAsia="Tahoma" w:hAnsi="Tahoma" w:cs="Tahoma"/>
        </w:rPr>
        <w:t>Commercially available energy storage, renewable distributed energy resources (DER), and/or renewable energy generation equipment such as</w:t>
      </w:r>
      <w:r>
        <w:rPr>
          <w:rFonts w:ascii="Tahoma" w:eastAsia="Tahoma" w:hAnsi="Tahoma" w:cs="Tahoma"/>
        </w:rPr>
        <w:t xml:space="preserve"> </w:t>
      </w:r>
      <w:r w:rsidRPr="003728AA">
        <w:rPr>
          <w:rFonts w:ascii="Tahoma" w:eastAsia="Tahoma" w:hAnsi="Tahoma" w:cs="Tahoma"/>
        </w:rPr>
        <w:t>photovoltaic solar panels separately metered for electric charging</w:t>
      </w:r>
    </w:p>
    <w:p w14:paraId="59DB543A" w14:textId="77777777" w:rsidR="007A7DF0" w:rsidRPr="00CC32B6" w:rsidRDefault="007A7DF0" w:rsidP="007A7DF0">
      <w:pPr>
        <w:pStyle w:val="ListParagraph"/>
        <w:numPr>
          <w:ilvl w:val="1"/>
          <w:numId w:val="26"/>
        </w:numPr>
        <w:ind w:left="2160" w:hanging="720"/>
        <w:contextualSpacing w:val="0"/>
        <w:rPr>
          <w:rFonts w:ascii="Tahoma" w:eastAsia="Tahoma" w:hAnsi="Tahoma" w:cs="Tahoma"/>
        </w:rPr>
      </w:pPr>
      <w:r w:rsidRPr="00CC32B6">
        <w:rPr>
          <w:rFonts w:ascii="Tahoma" w:eastAsia="Tahoma" w:hAnsi="Tahoma" w:cs="Tahoma"/>
        </w:rPr>
        <w:lastRenderedPageBreak/>
        <w:t>Installation costs</w:t>
      </w:r>
    </w:p>
    <w:p w14:paraId="4E3B241D" w14:textId="77777777" w:rsidR="007A7DF0" w:rsidRPr="00CC32B6" w:rsidRDefault="007A7DF0" w:rsidP="007A7DF0">
      <w:pPr>
        <w:pStyle w:val="ListParagraph"/>
        <w:numPr>
          <w:ilvl w:val="1"/>
          <w:numId w:val="26"/>
        </w:numPr>
        <w:ind w:left="2160" w:hanging="720"/>
        <w:contextualSpacing w:val="0"/>
        <w:rPr>
          <w:rFonts w:ascii="Tahoma" w:eastAsia="Tahoma" w:hAnsi="Tahoma" w:cs="Tahoma"/>
        </w:rPr>
      </w:pPr>
      <w:r w:rsidRPr="00CC32B6">
        <w:rPr>
          <w:rFonts w:ascii="Tahoma" w:eastAsia="Tahoma" w:hAnsi="Tahoma" w:cs="Tahoma"/>
        </w:rPr>
        <w:t xml:space="preserve">Utility service upgrades </w:t>
      </w:r>
    </w:p>
    <w:p w14:paraId="4DE54DB7" w14:textId="77777777" w:rsidR="007A7DF0" w:rsidRPr="00CC32B6" w:rsidRDefault="007A7DF0" w:rsidP="007A7DF0">
      <w:pPr>
        <w:pStyle w:val="ListParagraph"/>
        <w:numPr>
          <w:ilvl w:val="1"/>
          <w:numId w:val="26"/>
        </w:numPr>
        <w:ind w:left="2160" w:hanging="720"/>
        <w:contextualSpacing w:val="0"/>
        <w:rPr>
          <w:rFonts w:ascii="Tahoma" w:eastAsia="Tahoma" w:hAnsi="Tahoma" w:cs="Tahoma"/>
        </w:rPr>
      </w:pPr>
      <w:r w:rsidRPr="00CC32B6">
        <w:rPr>
          <w:rFonts w:ascii="Tahoma" w:eastAsia="Tahoma" w:hAnsi="Tahoma" w:cs="Tahoma"/>
        </w:rPr>
        <w:t xml:space="preserve">Planning and engineering design </w:t>
      </w:r>
    </w:p>
    <w:p w14:paraId="70E355DF" w14:textId="77777777" w:rsidR="007A7DF0" w:rsidRPr="00CC32B6" w:rsidRDefault="007A7DF0" w:rsidP="007A7DF0">
      <w:pPr>
        <w:pStyle w:val="ListParagraph"/>
        <w:numPr>
          <w:ilvl w:val="1"/>
          <w:numId w:val="26"/>
        </w:numPr>
        <w:ind w:left="2160" w:hanging="720"/>
        <w:contextualSpacing w:val="0"/>
        <w:rPr>
          <w:rFonts w:ascii="Tahoma" w:eastAsia="Tahoma" w:hAnsi="Tahoma" w:cs="Tahoma"/>
        </w:rPr>
      </w:pPr>
      <w:r w:rsidRPr="00CC32B6">
        <w:rPr>
          <w:rFonts w:ascii="Tahoma" w:eastAsia="Tahoma" w:hAnsi="Tahoma" w:cs="Tahoma"/>
        </w:rPr>
        <w:t>Network agreement with network provider</w:t>
      </w:r>
    </w:p>
    <w:p w14:paraId="5C623788" w14:textId="77777777" w:rsidR="007A7DF0" w:rsidRPr="00CC32B6" w:rsidRDefault="007A7DF0" w:rsidP="007A7DF0">
      <w:pPr>
        <w:pStyle w:val="ListParagraph"/>
        <w:numPr>
          <w:ilvl w:val="1"/>
          <w:numId w:val="26"/>
        </w:numPr>
        <w:ind w:left="2160" w:hanging="720"/>
        <w:contextualSpacing w:val="0"/>
        <w:rPr>
          <w:rFonts w:ascii="Tahoma" w:eastAsia="Tahoma" w:hAnsi="Tahoma" w:cs="Tahoma"/>
        </w:rPr>
      </w:pPr>
      <w:r w:rsidRPr="00CC32B6">
        <w:rPr>
          <w:rFonts w:ascii="Tahoma" w:eastAsia="Tahoma" w:hAnsi="Tahoma" w:cs="Tahoma"/>
        </w:rPr>
        <w:t>Stub-outs</w:t>
      </w:r>
    </w:p>
    <w:p w14:paraId="3EF94F6C" w14:textId="77777777" w:rsidR="007A7DF0" w:rsidRPr="00CC32B6" w:rsidRDefault="007A7DF0" w:rsidP="007A7DF0">
      <w:pPr>
        <w:pStyle w:val="ListParagraph"/>
        <w:numPr>
          <w:ilvl w:val="1"/>
          <w:numId w:val="26"/>
        </w:numPr>
        <w:ind w:left="2160" w:hanging="720"/>
        <w:contextualSpacing w:val="0"/>
        <w:rPr>
          <w:rFonts w:ascii="Tahoma" w:eastAsia="Tahoma" w:hAnsi="Tahoma" w:cs="Tahoma"/>
        </w:rPr>
      </w:pPr>
      <w:r w:rsidRPr="00CC32B6">
        <w:rPr>
          <w:rFonts w:ascii="Tahoma" w:eastAsia="Tahoma" w:hAnsi="Tahoma" w:cs="Tahoma"/>
        </w:rPr>
        <w:t>Demand management equipment</w:t>
      </w:r>
    </w:p>
    <w:p w14:paraId="7D68B51A" w14:textId="77777777" w:rsidR="007A7DF0" w:rsidRPr="00CC32B6" w:rsidRDefault="007A7DF0" w:rsidP="007A7DF0">
      <w:pPr>
        <w:pStyle w:val="ListParagraph"/>
        <w:numPr>
          <w:ilvl w:val="1"/>
          <w:numId w:val="26"/>
        </w:numPr>
        <w:ind w:left="2160" w:hanging="720"/>
        <w:contextualSpacing w:val="0"/>
        <w:rPr>
          <w:rFonts w:ascii="Tahoma" w:eastAsia="Tahoma" w:hAnsi="Tahoma" w:cs="Tahoma"/>
        </w:rPr>
      </w:pPr>
      <w:r w:rsidRPr="00CC32B6">
        <w:rPr>
          <w:rFonts w:ascii="Tahoma" w:eastAsia="Tahoma" w:hAnsi="Tahoma" w:cs="Tahoma"/>
        </w:rPr>
        <w:t>Commissioning</w:t>
      </w:r>
    </w:p>
    <w:p w14:paraId="34F8A29A" w14:textId="77777777" w:rsidR="007A7DF0" w:rsidRPr="00CC32B6" w:rsidRDefault="007A7DF0" w:rsidP="007A7DF0">
      <w:pPr>
        <w:pStyle w:val="ListParagraph"/>
        <w:numPr>
          <w:ilvl w:val="1"/>
          <w:numId w:val="26"/>
        </w:numPr>
        <w:ind w:left="2160" w:hanging="720"/>
        <w:contextualSpacing w:val="0"/>
        <w:rPr>
          <w:rFonts w:ascii="Tahoma" w:eastAsia="Tahoma" w:hAnsi="Tahoma" w:cs="Tahoma"/>
        </w:rPr>
      </w:pPr>
      <w:r w:rsidRPr="00CC32B6">
        <w:rPr>
          <w:rFonts w:ascii="Tahoma" w:eastAsia="Tahoma" w:hAnsi="Tahoma" w:cs="Tahoma"/>
        </w:rPr>
        <w:t>Project management</w:t>
      </w:r>
    </w:p>
    <w:p w14:paraId="4182C709" w14:textId="77777777" w:rsidR="007A7DF0" w:rsidRPr="00CC32B6" w:rsidRDefault="007A7DF0" w:rsidP="007A7DF0">
      <w:pPr>
        <w:pStyle w:val="ListParagraph"/>
        <w:numPr>
          <w:ilvl w:val="1"/>
          <w:numId w:val="26"/>
        </w:numPr>
        <w:ind w:left="2160" w:hanging="720"/>
        <w:contextualSpacing w:val="0"/>
        <w:rPr>
          <w:rFonts w:ascii="Tahoma" w:eastAsia="Tahoma" w:hAnsi="Tahoma" w:cs="Tahoma"/>
        </w:rPr>
      </w:pPr>
      <w:r>
        <w:rPr>
          <w:rFonts w:ascii="Tahoma" w:eastAsia="Tahoma" w:hAnsi="Tahoma" w:cs="Tahoma"/>
        </w:rPr>
        <w:t>Electric vehicle charging infrastructure w</w:t>
      </w:r>
      <w:r w:rsidRPr="00CC32B6">
        <w:rPr>
          <w:rFonts w:ascii="Tahoma" w:eastAsia="Tahoma" w:hAnsi="Tahoma" w:cs="Tahoma"/>
        </w:rPr>
        <w:t>orkforce development and training</w:t>
      </w:r>
      <w:r>
        <w:rPr>
          <w:rFonts w:ascii="Tahoma" w:eastAsia="Tahoma" w:hAnsi="Tahoma" w:cs="Tahoma"/>
        </w:rPr>
        <w:t xml:space="preserve"> (5% cap)</w:t>
      </w:r>
    </w:p>
    <w:p w14:paraId="511A7CFC" w14:textId="77777777" w:rsidR="007A7DF0" w:rsidRPr="00CC32B6" w:rsidRDefault="007A7DF0" w:rsidP="007A7DF0">
      <w:pPr>
        <w:pStyle w:val="ListParagraph"/>
        <w:numPr>
          <w:ilvl w:val="1"/>
          <w:numId w:val="26"/>
        </w:numPr>
        <w:ind w:left="2160" w:hanging="720"/>
        <w:contextualSpacing w:val="0"/>
        <w:rPr>
          <w:rFonts w:ascii="Tahoma" w:eastAsia="Tahoma" w:hAnsi="Tahoma" w:cs="Tahoma"/>
        </w:rPr>
      </w:pPr>
      <w:r w:rsidRPr="00CC32B6">
        <w:rPr>
          <w:rFonts w:ascii="Tahoma" w:eastAsia="Tahoma" w:hAnsi="Tahoma" w:cs="Tahoma"/>
        </w:rPr>
        <w:t>Equipment maintenance for term of the agreement</w:t>
      </w:r>
    </w:p>
    <w:p w14:paraId="0039ABCA" w14:textId="77777777" w:rsidR="007A7DF0" w:rsidRPr="00CC32B6" w:rsidRDefault="007A7DF0" w:rsidP="007A7DF0">
      <w:pPr>
        <w:pStyle w:val="ListParagraph"/>
        <w:numPr>
          <w:ilvl w:val="1"/>
          <w:numId w:val="26"/>
        </w:numPr>
        <w:ind w:left="2160" w:hanging="720"/>
        <w:contextualSpacing w:val="0"/>
        <w:rPr>
          <w:rFonts w:ascii="Tahoma" w:eastAsia="Tahoma" w:hAnsi="Tahoma" w:cs="Tahoma"/>
        </w:rPr>
      </w:pPr>
      <w:r w:rsidRPr="00CC32B6">
        <w:rPr>
          <w:rFonts w:ascii="Tahoma" w:eastAsia="Tahoma" w:hAnsi="Tahoma" w:cs="Tahoma"/>
        </w:rPr>
        <w:t>Extended warranties for term of the agreement</w:t>
      </w:r>
    </w:p>
    <w:p w14:paraId="3F800880" w14:textId="77777777" w:rsidR="007A7DF0" w:rsidRPr="00CC32B6" w:rsidRDefault="007A7DF0" w:rsidP="007A7DF0">
      <w:pPr>
        <w:pStyle w:val="ListParagraph"/>
        <w:numPr>
          <w:ilvl w:val="1"/>
          <w:numId w:val="26"/>
        </w:numPr>
        <w:ind w:left="2160" w:hanging="720"/>
        <w:contextualSpacing w:val="0"/>
        <w:rPr>
          <w:rFonts w:ascii="Tahoma" w:eastAsia="Tahoma" w:hAnsi="Tahoma" w:cs="Tahoma"/>
        </w:rPr>
      </w:pPr>
      <w:r w:rsidRPr="00CC32B6">
        <w:rPr>
          <w:rFonts w:ascii="Tahoma" w:eastAsia="Tahoma" w:hAnsi="Tahoma" w:cs="Tahoma"/>
        </w:rPr>
        <w:t>Signage</w:t>
      </w:r>
    </w:p>
    <w:p w14:paraId="2DD2DF1C" w14:textId="77777777" w:rsidR="007A7DF0" w:rsidRPr="00CC32B6" w:rsidRDefault="007A7DF0" w:rsidP="007A7DF0">
      <w:pPr>
        <w:pStyle w:val="ListParagraph"/>
        <w:numPr>
          <w:ilvl w:val="1"/>
          <w:numId w:val="26"/>
        </w:numPr>
        <w:ind w:left="2160" w:hanging="720"/>
        <w:contextualSpacing w:val="0"/>
        <w:rPr>
          <w:rFonts w:ascii="Tahoma" w:eastAsia="Tahoma" w:hAnsi="Tahoma" w:cs="Tahoma"/>
        </w:rPr>
      </w:pPr>
      <w:r w:rsidRPr="472F7D65">
        <w:rPr>
          <w:rFonts w:ascii="Tahoma" w:eastAsia="Tahoma" w:hAnsi="Tahoma" w:cs="Tahoma"/>
        </w:rPr>
        <w:t>Engagement and outreach (5% cap)</w:t>
      </w:r>
    </w:p>
    <w:p w14:paraId="0DC5F769" w14:textId="77777777" w:rsidR="007A7DF0" w:rsidRPr="00CC32B6" w:rsidRDefault="007A7DF0" w:rsidP="007A7DF0">
      <w:pPr>
        <w:pStyle w:val="ListParagraph"/>
        <w:ind w:left="2160"/>
        <w:rPr>
          <w:rFonts w:ascii="Tahoma" w:eastAsia="Tahoma" w:hAnsi="Tahoma" w:cs="Tahoma"/>
        </w:rPr>
      </w:pPr>
    </w:p>
    <w:p w14:paraId="7EB1407F" w14:textId="77777777" w:rsidR="007A7DF0" w:rsidRPr="00CC32B6" w:rsidRDefault="007A7DF0" w:rsidP="007A7DF0">
      <w:pPr>
        <w:numPr>
          <w:ilvl w:val="0"/>
          <w:numId w:val="24"/>
        </w:numPr>
        <w:ind w:left="1440" w:hanging="720"/>
        <w:rPr>
          <w:rFonts w:ascii="Tahoma" w:eastAsia="Tahoma" w:hAnsi="Tahoma" w:cs="Tahoma"/>
        </w:rPr>
      </w:pPr>
      <w:r w:rsidRPr="00CC32B6">
        <w:rPr>
          <w:rFonts w:ascii="Tahoma" w:eastAsia="Tahoma" w:hAnsi="Tahoma" w:cs="Tahoma"/>
        </w:rPr>
        <w:t>For Hydrogen Refueling Infrastructure</w:t>
      </w:r>
    </w:p>
    <w:p w14:paraId="710441AB" w14:textId="77777777" w:rsidR="007A7DF0" w:rsidRPr="00CC32B6" w:rsidRDefault="007A7DF0" w:rsidP="007A7DF0">
      <w:pPr>
        <w:pStyle w:val="ListParagraph"/>
        <w:ind w:left="2160"/>
        <w:rPr>
          <w:rFonts w:ascii="Tahoma" w:eastAsia="Tahoma" w:hAnsi="Tahoma" w:cs="Tahoma"/>
        </w:rPr>
      </w:pPr>
    </w:p>
    <w:p w14:paraId="4B582EF0" w14:textId="77777777" w:rsidR="007A7DF0" w:rsidRPr="00CC32B6" w:rsidRDefault="007A7DF0" w:rsidP="007A7DF0">
      <w:pPr>
        <w:pStyle w:val="ListParagraph"/>
        <w:numPr>
          <w:ilvl w:val="0"/>
          <w:numId w:val="25"/>
        </w:numPr>
        <w:ind w:left="2160" w:hanging="720"/>
        <w:contextualSpacing w:val="0"/>
        <w:rPr>
          <w:rFonts w:ascii="Tahoma" w:eastAsia="Tahoma" w:hAnsi="Tahoma" w:cs="Tahoma"/>
        </w:rPr>
      </w:pPr>
      <w:r w:rsidRPr="00CC32B6">
        <w:rPr>
          <w:rFonts w:ascii="Tahoma" w:eastAsia="Tahoma" w:hAnsi="Tahoma" w:cs="Tahoma"/>
        </w:rPr>
        <w:t>Compressors</w:t>
      </w:r>
    </w:p>
    <w:p w14:paraId="110D83BC" w14:textId="77777777" w:rsidR="007A7DF0" w:rsidRPr="00CC32B6" w:rsidRDefault="007A7DF0" w:rsidP="007A7DF0">
      <w:pPr>
        <w:pStyle w:val="ListParagraph"/>
        <w:numPr>
          <w:ilvl w:val="0"/>
          <w:numId w:val="25"/>
        </w:numPr>
        <w:ind w:left="2160" w:hanging="720"/>
        <w:contextualSpacing w:val="0"/>
        <w:rPr>
          <w:rFonts w:ascii="Tahoma" w:eastAsia="Tahoma" w:hAnsi="Tahoma" w:cs="Tahoma"/>
        </w:rPr>
      </w:pPr>
      <w:r w:rsidRPr="00CC32B6">
        <w:rPr>
          <w:rFonts w:ascii="Tahoma" w:eastAsia="Tahoma" w:hAnsi="Tahoma" w:cs="Tahoma"/>
        </w:rPr>
        <w:t>Dispenser with hose and nozzles</w:t>
      </w:r>
    </w:p>
    <w:p w14:paraId="4E836EE8" w14:textId="2E01C23A" w:rsidR="007A7DF0" w:rsidRPr="00CC32B6" w:rsidRDefault="007A7DF0" w:rsidP="007A7DF0">
      <w:pPr>
        <w:pStyle w:val="ListParagraph"/>
        <w:numPr>
          <w:ilvl w:val="0"/>
          <w:numId w:val="25"/>
        </w:numPr>
        <w:ind w:left="2160" w:hanging="720"/>
        <w:contextualSpacing w:val="0"/>
        <w:rPr>
          <w:rFonts w:ascii="Tahoma" w:eastAsia="Tahoma" w:hAnsi="Tahoma" w:cs="Tahoma"/>
        </w:rPr>
      </w:pPr>
      <w:r w:rsidRPr="73276744">
        <w:rPr>
          <w:rFonts w:ascii="Tahoma" w:eastAsia="Tahoma" w:hAnsi="Tahoma" w:cs="Tahoma"/>
        </w:rPr>
        <w:t>High pressure hydrogen storage tubes</w:t>
      </w:r>
      <w:r w:rsidRPr="00A74D00">
        <w:rPr>
          <w:rFonts w:ascii="Tahoma" w:eastAsia="Tahoma" w:hAnsi="Tahoma" w:cs="Tahoma"/>
          <w:b/>
          <w:bCs/>
          <w:u w:val="single"/>
        </w:rPr>
        <w:t xml:space="preserve"> and liquid storage tanks</w:t>
      </w:r>
    </w:p>
    <w:p w14:paraId="2342892F" w14:textId="77777777" w:rsidR="007A7DF0" w:rsidRPr="00CC32B6" w:rsidRDefault="007A7DF0" w:rsidP="007A7DF0">
      <w:pPr>
        <w:pStyle w:val="ListParagraph"/>
        <w:numPr>
          <w:ilvl w:val="1"/>
          <w:numId w:val="25"/>
        </w:numPr>
        <w:ind w:left="2160"/>
        <w:contextualSpacing w:val="0"/>
        <w:rPr>
          <w:rFonts w:ascii="Tahoma" w:eastAsia="Tahoma" w:hAnsi="Tahoma" w:cs="Tahoma"/>
        </w:rPr>
      </w:pPr>
      <w:r w:rsidRPr="73276744">
        <w:rPr>
          <w:rFonts w:ascii="Tahoma" w:eastAsia="Tahoma" w:hAnsi="Tahoma" w:cs="Tahoma"/>
        </w:rPr>
        <w:t xml:space="preserve">Shipping </w:t>
      </w:r>
    </w:p>
    <w:p w14:paraId="4A958DD1" w14:textId="77777777" w:rsidR="007A7DF0" w:rsidRPr="00CC32B6" w:rsidRDefault="007A7DF0" w:rsidP="007A7DF0">
      <w:pPr>
        <w:pStyle w:val="ListParagraph"/>
        <w:numPr>
          <w:ilvl w:val="1"/>
          <w:numId w:val="25"/>
        </w:numPr>
        <w:ind w:left="2160"/>
        <w:contextualSpacing w:val="0"/>
        <w:rPr>
          <w:rFonts w:ascii="Tahoma" w:eastAsia="Tahoma" w:hAnsi="Tahoma" w:cs="Tahoma"/>
        </w:rPr>
      </w:pPr>
      <w:r w:rsidRPr="73276744">
        <w:rPr>
          <w:rFonts w:ascii="Tahoma" w:eastAsia="Tahoma" w:hAnsi="Tahoma" w:cs="Tahoma"/>
        </w:rPr>
        <w:t>Installation costs</w:t>
      </w:r>
    </w:p>
    <w:p w14:paraId="666E582D" w14:textId="77777777" w:rsidR="007A7DF0" w:rsidRPr="00CC32B6" w:rsidRDefault="007A7DF0" w:rsidP="007A7DF0">
      <w:pPr>
        <w:pStyle w:val="ListParagraph"/>
        <w:numPr>
          <w:ilvl w:val="1"/>
          <w:numId w:val="25"/>
        </w:numPr>
        <w:ind w:left="2160"/>
        <w:contextualSpacing w:val="0"/>
        <w:rPr>
          <w:rFonts w:ascii="Tahoma" w:eastAsia="Tahoma" w:hAnsi="Tahoma" w:cs="Tahoma"/>
        </w:rPr>
      </w:pPr>
      <w:r w:rsidRPr="73276744">
        <w:rPr>
          <w:rFonts w:ascii="Tahoma" w:eastAsia="Tahoma" w:hAnsi="Tahoma" w:cs="Tahoma"/>
        </w:rPr>
        <w:t>Planning and engineering design</w:t>
      </w:r>
    </w:p>
    <w:p w14:paraId="32399A9A" w14:textId="77777777" w:rsidR="007A7DF0" w:rsidRPr="00CC32B6" w:rsidRDefault="007A7DF0" w:rsidP="007A7DF0">
      <w:pPr>
        <w:pStyle w:val="ListParagraph"/>
        <w:numPr>
          <w:ilvl w:val="1"/>
          <w:numId w:val="25"/>
        </w:numPr>
        <w:ind w:left="2160"/>
        <w:contextualSpacing w:val="0"/>
        <w:rPr>
          <w:rFonts w:ascii="Tahoma" w:eastAsia="Tahoma" w:hAnsi="Tahoma" w:cs="Tahoma"/>
        </w:rPr>
      </w:pPr>
      <w:r w:rsidRPr="73276744">
        <w:rPr>
          <w:rFonts w:ascii="Tahoma" w:eastAsia="Tahoma" w:hAnsi="Tahoma" w:cs="Tahoma"/>
        </w:rPr>
        <w:t>Commissioning</w:t>
      </w:r>
    </w:p>
    <w:p w14:paraId="66ECE122" w14:textId="77777777" w:rsidR="007A7DF0" w:rsidRPr="00CC32B6" w:rsidRDefault="007A7DF0" w:rsidP="007A7DF0">
      <w:pPr>
        <w:pStyle w:val="ListParagraph"/>
        <w:numPr>
          <w:ilvl w:val="1"/>
          <w:numId w:val="25"/>
        </w:numPr>
        <w:ind w:left="2160"/>
        <w:contextualSpacing w:val="0"/>
        <w:rPr>
          <w:rFonts w:ascii="Tahoma" w:eastAsia="Tahoma" w:hAnsi="Tahoma" w:cs="Tahoma"/>
        </w:rPr>
      </w:pPr>
      <w:r w:rsidRPr="73276744">
        <w:rPr>
          <w:rFonts w:ascii="Tahoma" w:eastAsia="Tahoma" w:hAnsi="Tahoma" w:cs="Tahoma"/>
        </w:rPr>
        <w:t>Servicing</w:t>
      </w:r>
    </w:p>
    <w:p w14:paraId="2885B15E" w14:textId="77777777" w:rsidR="007A7DF0" w:rsidRPr="00CC32B6" w:rsidRDefault="007A7DF0" w:rsidP="007A7DF0">
      <w:pPr>
        <w:pStyle w:val="ListParagraph"/>
        <w:numPr>
          <w:ilvl w:val="1"/>
          <w:numId w:val="25"/>
        </w:numPr>
        <w:spacing w:line="259" w:lineRule="auto"/>
        <w:ind w:left="2160"/>
        <w:contextualSpacing w:val="0"/>
        <w:rPr>
          <w:rFonts w:ascii="Tahoma" w:eastAsia="Tahoma" w:hAnsi="Tahoma" w:cs="Tahoma"/>
        </w:rPr>
      </w:pPr>
      <w:r w:rsidRPr="73276744">
        <w:rPr>
          <w:rFonts w:ascii="Tahoma" w:eastAsia="Tahoma" w:hAnsi="Tahoma" w:cs="Tahoma"/>
        </w:rPr>
        <w:t>Project management</w:t>
      </w:r>
    </w:p>
    <w:p w14:paraId="2BF218B9" w14:textId="77777777" w:rsidR="007A7DF0" w:rsidRPr="00CC32B6" w:rsidRDefault="007A7DF0" w:rsidP="007A7DF0">
      <w:pPr>
        <w:pStyle w:val="ListParagraph"/>
        <w:numPr>
          <w:ilvl w:val="1"/>
          <w:numId w:val="25"/>
        </w:numPr>
        <w:spacing w:line="259" w:lineRule="auto"/>
        <w:ind w:left="2160"/>
        <w:contextualSpacing w:val="0"/>
        <w:rPr>
          <w:rFonts w:ascii="Tahoma" w:eastAsia="Tahoma" w:hAnsi="Tahoma" w:cs="Tahoma"/>
        </w:rPr>
      </w:pPr>
      <w:r w:rsidRPr="73276744">
        <w:rPr>
          <w:rFonts w:ascii="Tahoma" w:eastAsia="Tahoma" w:hAnsi="Tahoma" w:cs="Tahoma"/>
        </w:rPr>
        <w:t>Hydrogen refueling infrastructure workforce development and training (5% cap)</w:t>
      </w:r>
    </w:p>
    <w:p w14:paraId="01AB462E" w14:textId="77777777" w:rsidR="007A7DF0" w:rsidRPr="00CC32B6" w:rsidRDefault="007A7DF0" w:rsidP="007A7DF0">
      <w:pPr>
        <w:pStyle w:val="ListParagraph"/>
        <w:numPr>
          <w:ilvl w:val="1"/>
          <w:numId w:val="25"/>
        </w:numPr>
        <w:spacing w:line="259" w:lineRule="auto"/>
        <w:ind w:left="2160"/>
        <w:contextualSpacing w:val="0"/>
        <w:rPr>
          <w:rFonts w:ascii="Tahoma" w:eastAsia="Tahoma" w:hAnsi="Tahoma" w:cs="Tahoma"/>
        </w:rPr>
      </w:pPr>
      <w:r w:rsidRPr="73276744">
        <w:rPr>
          <w:rFonts w:ascii="Tahoma" w:eastAsia="Tahoma" w:hAnsi="Tahoma" w:cs="Tahoma"/>
        </w:rPr>
        <w:t>Equipment maintenance for term of the agreement</w:t>
      </w:r>
    </w:p>
    <w:p w14:paraId="22B00571" w14:textId="77777777" w:rsidR="007A7DF0" w:rsidRPr="00CC32B6" w:rsidRDefault="007A7DF0" w:rsidP="007A7DF0">
      <w:pPr>
        <w:pStyle w:val="ListParagraph"/>
        <w:numPr>
          <w:ilvl w:val="1"/>
          <w:numId w:val="25"/>
        </w:numPr>
        <w:spacing w:line="259" w:lineRule="auto"/>
        <w:ind w:left="2160"/>
        <w:contextualSpacing w:val="0"/>
        <w:rPr>
          <w:rFonts w:ascii="Tahoma" w:eastAsia="Tahoma" w:hAnsi="Tahoma" w:cs="Tahoma"/>
        </w:rPr>
      </w:pPr>
      <w:r w:rsidRPr="73276744">
        <w:rPr>
          <w:rFonts w:ascii="Tahoma" w:eastAsia="Tahoma" w:hAnsi="Tahoma" w:cs="Tahoma"/>
        </w:rPr>
        <w:t>Extended warranties for term of the agreement</w:t>
      </w:r>
    </w:p>
    <w:p w14:paraId="55CD7267" w14:textId="77777777" w:rsidR="007A7DF0" w:rsidRPr="00CC32B6" w:rsidRDefault="007A7DF0" w:rsidP="007A7DF0">
      <w:pPr>
        <w:pStyle w:val="ListParagraph"/>
        <w:numPr>
          <w:ilvl w:val="1"/>
          <w:numId w:val="25"/>
        </w:numPr>
        <w:spacing w:line="259" w:lineRule="auto"/>
        <w:ind w:left="2160"/>
        <w:contextualSpacing w:val="0"/>
        <w:rPr>
          <w:rFonts w:ascii="Tahoma" w:eastAsia="Tahoma" w:hAnsi="Tahoma" w:cs="Tahoma"/>
        </w:rPr>
      </w:pPr>
      <w:r w:rsidRPr="73276744">
        <w:rPr>
          <w:rFonts w:ascii="Tahoma" w:eastAsia="Tahoma" w:hAnsi="Tahoma" w:cs="Tahoma"/>
        </w:rPr>
        <w:t>Signage</w:t>
      </w:r>
    </w:p>
    <w:p w14:paraId="45AACCA8" w14:textId="77777777" w:rsidR="007A7DF0" w:rsidRPr="00CC32B6" w:rsidRDefault="007A7DF0" w:rsidP="007A7DF0">
      <w:pPr>
        <w:pStyle w:val="ListParagraph"/>
        <w:numPr>
          <w:ilvl w:val="1"/>
          <w:numId w:val="25"/>
        </w:numPr>
        <w:spacing w:line="259" w:lineRule="auto"/>
        <w:ind w:left="2160"/>
        <w:contextualSpacing w:val="0"/>
        <w:rPr>
          <w:rFonts w:ascii="Tahoma" w:eastAsia="Tahoma" w:hAnsi="Tahoma" w:cs="Tahoma"/>
        </w:rPr>
      </w:pPr>
      <w:r w:rsidRPr="472F7D65">
        <w:rPr>
          <w:rFonts w:ascii="Tahoma" w:eastAsia="Tahoma" w:hAnsi="Tahoma" w:cs="Tahoma"/>
        </w:rPr>
        <w:t>Engagement and outreach (5% cap)</w:t>
      </w:r>
    </w:p>
    <w:p w14:paraId="6856896E" w14:textId="77777777" w:rsidR="007A7DF0" w:rsidRPr="007A7DF0" w:rsidRDefault="007A7DF0" w:rsidP="007A7DF0">
      <w:pPr>
        <w:pStyle w:val="ListParagraph"/>
        <w:rPr>
          <w:rFonts w:ascii="Tahoma" w:hAnsi="Tahoma" w:cs="Tahoma"/>
          <w:b/>
          <w:bCs/>
        </w:rPr>
      </w:pPr>
    </w:p>
    <w:p w14:paraId="1326939C" w14:textId="77777777" w:rsidR="00AD1D37" w:rsidRDefault="00AD1D37" w:rsidP="00AD1D37">
      <w:pPr>
        <w:ind w:left="720"/>
        <w:rPr>
          <w:rFonts w:ascii="Tahoma" w:eastAsia="Tahoma" w:hAnsi="Tahoma" w:cs="Tahoma"/>
        </w:rPr>
      </w:pPr>
      <w:r w:rsidRPr="00CC32B6">
        <w:rPr>
          <w:rFonts w:ascii="Tahoma" w:eastAsia="Tahoma" w:hAnsi="Tahoma" w:cs="Tahoma"/>
        </w:rPr>
        <w:t xml:space="preserve">Applicants can review the EnergIIZE </w:t>
      </w:r>
      <w:hyperlink r:id="rId11">
        <w:r w:rsidRPr="52A42F04">
          <w:rPr>
            <w:rStyle w:val="Hyperlink"/>
            <w:rFonts w:ascii="Tahoma" w:eastAsia="Tahoma" w:hAnsi="Tahoma" w:cs="Tahoma"/>
          </w:rPr>
          <w:t>Technology Catalog</w:t>
        </w:r>
      </w:hyperlink>
      <w:r w:rsidRPr="52A42F04">
        <w:rPr>
          <w:rFonts w:ascii="Tahoma" w:eastAsia="Tahoma" w:hAnsi="Tahoma" w:cs="Tahoma"/>
        </w:rPr>
        <w:t xml:space="preserve"> for a list of commercially-available electric vehicle charging infrastructure technologies that qualify as eligible costs,</w:t>
      </w:r>
      <w:r w:rsidRPr="00CC32B6">
        <w:rPr>
          <w:rFonts w:ascii="Tahoma" w:eastAsia="Tahoma" w:hAnsi="Tahoma" w:cs="Tahoma"/>
        </w:rPr>
        <w:t xml:space="preserve"> found at https://www.energiize.org/infrastructure?section=infrastructure.more-details.technology. </w:t>
      </w:r>
      <w:r>
        <w:rPr>
          <w:rFonts w:eastAsia="Tahoma"/>
        </w:rPr>
        <w:br/>
      </w:r>
    </w:p>
    <w:p w14:paraId="49F9790D" w14:textId="77777777" w:rsidR="00AD1D37" w:rsidRDefault="00AD1D37" w:rsidP="00AD1D37">
      <w:pPr>
        <w:ind w:left="720"/>
        <w:rPr>
          <w:rFonts w:ascii="Tahoma" w:eastAsia="Tahoma" w:hAnsi="Tahoma" w:cs="Tahoma"/>
          <w:bCs/>
        </w:rPr>
      </w:pPr>
      <w:r w:rsidRPr="00CC32B6">
        <w:rPr>
          <w:rFonts w:ascii="Tahoma" w:eastAsia="Tahoma" w:hAnsi="Tahoma" w:cs="Tahoma"/>
          <w:bCs/>
        </w:rPr>
        <w:lastRenderedPageBreak/>
        <w:t>Costs incurred for</w:t>
      </w:r>
      <w:r>
        <w:rPr>
          <w:rFonts w:ascii="Tahoma" w:eastAsia="Tahoma" w:hAnsi="Tahoma" w:cs="Tahoma"/>
          <w:bCs/>
        </w:rPr>
        <w:t xml:space="preserve"> the following are ineligible for reimbursement and match share cost. This is not an exhaustive list: </w:t>
      </w:r>
      <w:r w:rsidRPr="00CC32B6">
        <w:rPr>
          <w:rFonts w:ascii="Tahoma" w:eastAsia="Tahoma" w:hAnsi="Tahoma" w:cs="Tahoma"/>
          <w:bCs/>
        </w:rPr>
        <w:t xml:space="preserve"> </w:t>
      </w:r>
    </w:p>
    <w:p w14:paraId="02A5B61A" w14:textId="77777777" w:rsidR="00AD1D37" w:rsidRPr="00CC32B6" w:rsidRDefault="00AD1D37" w:rsidP="00AD1D37">
      <w:pPr>
        <w:ind w:left="720"/>
        <w:rPr>
          <w:rFonts w:ascii="Tahoma" w:eastAsia="Tahoma" w:hAnsi="Tahoma" w:cs="Tahoma"/>
          <w:bCs/>
        </w:rPr>
      </w:pPr>
    </w:p>
    <w:p w14:paraId="2A47B6C6" w14:textId="77777777" w:rsidR="00AD1D37" w:rsidRDefault="00AD1D37" w:rsidP="00AD1D37">
      <w:pPr>
        <w:pStyle w:val="ListParagraph"/>
        <w:numPr>
          <w:ilvl w:val="0"/>
          <w:numId w:val="27"/>
        </w:numPr>
        <w:spacing w:after="120"/>
        <w:contextualSpacing w:val="0"/>
        <w:rPr>
          <w:rFonts w:ascii="Tahoma" w:eastAsia="Tahoma" w:hAnsi="Tahoma" w:cs="Tahoma"/>
        </w:rPr>
      </w:pPr>
      <w:r>
        <w:rPr>
          <w:rFonts w:ascii="Tahoma" w:eastAsia="Tahoma" w:hAnsi="Tahoma" w:cs="Tahoma"/>
        </w:rPr>
        <w:t>AC L</w:t>
      </w:r>
      <w:r w:rsidRPr="6A24DECD">
        <w:rPr>
          <w:rFonts w:ascii="Tahoma" w:eastAsia="Tahoma" w:hAnsi="Tahoma" w:cs="Tahoma"/>
        </w:rPr>
        <w:t xml:space="preserve">evel 1 or </w:t>
      </w:r>
      <w:r>
        <w:rPr>
          <w:rFonts w:ascii="Tahoma" w:eastAsia="Tahoma" w:hAnsi="Tahoma" w:cs="Tahoma"/>
        </w:rPr>
        <w:t xml:space="preserve">Level </w:t>
      </w:r>
      <w:r w:rsidRPr="6A24DECD">
        <w:rPr>
          <w:rFonts w:ascii="Tahoma" w:eastAsia="Tahoma" w:hAnsi="Tahoma" w:cs="Tahoma"/>
        </w:rPr>
        <w:t>2 EVSE</w:t>
      </w:r>
    </w:p>
    <w:p w14:paraId="1C3B8DAB" w14:textId="77777777" w:rsidR="00AD1D37" w:rsidRDefault="00AD1D37" w:rsidP="00AD1D37">
      <w:pPr>
        <w:pStyle w:val="ListParagraph"/>
        <w:numPr>
          <w:ilvl w:val="0"/>
          <w:numId w:val="27"/>
        </w:numPr>
        <w:spacing w:after="120"/>
        <w:contextualSpacing w:val="0"/>
        <w:rPr>
          <w:rFonts w:ascii="Tahoma" w:eastAsia="Tahoma" w:hAnsi="Tahoma" w:cs="Tahoma"/>
        </w:rPr>
      </w:pPr>
      <w:r>
        <w:rPr>
          <w:rFonts w:ascii="Tahoma" w:eastAsia="Tahoma" w:hAnsi="Tahoma" w:cs="Tahoma"/>
          <w:b/>
          <w:bCs/>
          <w:u w:val="single"/>
        </w:rPr>
        <w:t xml:space="preserve">Compressed natural gas (CNG) fueling infrastructure or any fueling infrastructure used to support vehicles other than MDHD battery electric or fuel cell electric vehicles </w:t>
      </w:r>
    </w:p>
    <w:p w14:paraId="33B6AB65" w14:textId="77777777" w:rsidR="00AD1D37" w:rsidRDefault="00AD1D37" w:rsidP="00AD1D37">
      <w:pPr>
        <w:pStyle w:val="ListParagraph"/>
        <w:numPr>
          <w:ilvl w:val="0"/>
          <w:numId w:val="27"/>
        </w:numPr>
        <w:spacing w:after="120"/>
        <w:contextualSpacing w:val="0"/>
        <w:rPr>
          <w:rFonts w:ascii="Tahoma" w:eastAsia="Tahoma" w:hAnsi="Tahoma" w:cs="Tahoma"/>
        </w:rPr>
      </w:pPr>
      <w:r>
        <w:rPr>
          <w:rFonts w:ascii="Tahoma" w:eastAsia="Tahoma" w:hAnsi="Tahoma" w:cs="Tahoma"/>
        </w:rPr>
        <w:t>Fuel, including the cost of transporting fuel to station</w:t>
      </w:r>
    </w:p>
    <w:p w14:paraId="01DA061B" w14:textId="77777777" w:rsidR="00AD1D37" w:rsidRDefault="00AD1D37" w:rsidP="00AD1D37">
      <w:pPr>
        <w:pStyle w:val="ListParagraph"/>
        <w:numPr>
          <w:ilvl w:val="0"/>
          <w:numId w:val="27"/>
        </w:numPr>
        <w:spacing w:after="120"/>
        <w:contextualSpacing w:val="0"/>
        <w:rPr>
          <w:rFonts w:ascii="Tahoma" w:eastAsia="Tahoma" w:hAnsi="Tahoma" w:cs="Tahoma"/>
        </w:rPr>
      </w:pPr>
      <w:r>
        <w:rPr>
          <w:rFonts w:ascii="Tahoma" w:eastAsia="Tahoma" w:hAnsi="Tahoma" w:cs="Tahoma"/>
        </w:rPr>
        <w:t>Off-site fueling infrastructure</w:t>
      </w:r>
    </w:p>
    <w:p w14:paraId="2428E711" w14:textId="77777777" w:rsidR="00AD1D37" w:rsidRDefault="00AD1D37" w:rsidP="00AD1D37">
      <w:pPr>
        <w:pStyle w:val="ListParagraph"/>
        <w:numPr>
          <w:ilvl w:val="0"/>
          <w:numId w:val="27"/>
        </w:numPr>
        <w:spacing w:after="120"/>
        <w:contextualSpacing w:val="0"/>
        <w:rPr>
          <w:rFonts w:ascii="Tahoma" w:eastAsia="Tahoma" w:hAnsi="Tahoma" w:cs="Tahoma"/>
        </w:rPr>
      </w:pPr>
      <w:r>
        <w:rPr>
          <w:rFonts w:ascii="Tahoma" w:eastAsia="Tahoma" w:hAnsi="Tahoma" w:cs="Tahoma"/>
        </w:rPr>
        <w:t>Cost of electricity/power</w:t>
      </w:r>
    </w:p>
    <w:p w14:paraId="503545ED" w14:textId="77777777" w:rsidR="00AD1D37" w:rsidRDefault="00AD1D37" w:rsidP="00AD1D37">
      <w:pPr>
        <w:pStyle w:val="ListParagraph"/>
        <w:numPr>
          <w:ilvl w:val="0"/>
          <w:numId w:val="27"/>
        </w:numPr>
        <w:spacing w:after="120"/>
        <w:contextualSpacing w:val="0"/>
        <w:rPr>
          <w:rFonts w:ascii="Tahoma" w:eastAsia="Tahoma" w:hAnsi="Tahoma" w:cs="Tahoma"/>
        </w:rPr>
      </w:pPr>
      <w:r>
        <w:rPr>
          <w:rFonts w:ascii="Tahoma" w:eastAsia="Tahoma" w:hAnsi="Tahoma" w:cs="Tahoma"/>
        </w:rPr>
        <w:t>Vehicle purchases and vehicle-related expenses</w:t>
      </w:r>
    </w:p>
    <w:p w14:paraId="26C88245" w14:textId="77777777" w:rsidR="00AD1D37" w:rsidRPr="006C1891" w:rsidRDefault="00AD1D37" w:rsidP="00AD1D37">
      <w:pPr>
        <w:pStyle w:val="ListParagraph"/>
        <w:numPr>
          <w:ilvl w:val="0"/>
          <w:numId w:val="27"/>
        </w:numPr>
        <w:spacing w:after="120"/>
        <w:contextualSpacing w:val="0"/>
        <w:rPr>
          <w:rFonts w:ascii="Tahoma" w:eastAsia="Tahoma" w:hAnsi="Tahoma" w:cs="Tahoma"/>
        </w:rPr>
      </w:pPr>
      <w:r w:rsidRPr="7F10F0B2">
        <w:rPr>
          <w:rFonts w:ascii="Tahoma" w:eastAsia="Tahoma" w:hAnsi="Tahoma" w:cs="Tahoma"/>
        </w:rPr>
        <w:t>Market, literature, or technology surveys, or meta-analysis studies</w:t>
      </w:r>
    </w:p>
    <w:p w14:paraId="753A5D7E" w14:textId="77777777" w:rsidR="00AD1D37" w:rsidRDefault="00AD1D37" w:rsidP="00AD1D37">
      <w:pPr>
        <w:pStyle w:val="ListParagraph"/>
        <w:numPr>
          <w:ilvl w:val="0"/>
          <w:numId w:val="27"/>
        </w:numPr>
        <w:spacing w:after="120"/>
        <w:contextualSpacing w:val="0"/>
        <w:rPr>
          <w:rFonts w:ascii="Tahoma" w:eastAsia="Tahoma" w:hAnsi="Tahoma" w:cs="Tahoma"/>
        </w:rPr>
      </w:pPr>
      <w:r w:rsidRPr="2D8AE83D">
        <w:rPr>
          <w:rFonts w:ascii="Tahoma" w:eastAsia="Tahoma" w:hAnsi="Tahoma" w:cs="Tahoma"/>
        </w:rPr>
        <w:t xml:space="preserve">Research, development, and </w:t>
      </w:r>
      <w:r w:rsidRPr="17C62142">
        <w:rPr>
          <w:rFonts w:ascii="Tahoma" w:eastAsia="Tahoma" w:hAnsi="Tahoma" w:cs="Tahoma"/>
        </w:rPr>
        <w:t>demonstration</w:t>
      </w:r>
      <w:r w:rsidRPr="2D8AE83D">
        <w:rPr>
          <w:rFonts w:ascii="Tahoma" w:eastAsia="Tahoma" w:hAnsi="Tahoma" w:cs="Tahoma"/>
        </w:rPr>
        <w:t xml:space="preserve"> </w:t>
      </w:r>
    </w:p>
    <w:p w14:paraId="5B218F1A" w14:textId="77777777" w:rsidR="00AD1D37" w:rsidRDefault="00AD1D37" w:rsidP="00AD1D37">
      <w:pPr>
        <w:pStyle w:val="ListParagraph"/>
        <w:numPr>
          <w:ilvl w:val="0"/>
          <w:numId w:val="27"/>
        </w:numPr>
        <w:spacing w:after="120"/>
        <w:contextualSpacing w:val="0"/>
        <w:rPr>
          <w:rFonts w:ascii="Tahoma" w:eastAsia="Tahoma" w:hAnsi="Tahoma" w:cs="Tahoma"/>
        </w:rPr>
      </w:pPr>
      <w:r w:rsidRPr="7F10F0B2">
        <w:rPr>
          <w:rFonts w:ascii="Tahoma" w:eastAsia="Tahoma" w:hAnsi="Tahoma" w:cs="Tahoma"/>
        </w:rPr>
        <w:t xml:space="preserve">Tests for regulatory compliance </w:t>
      </w:r>
    </w:p>
    <w:p w14:paraId="317BBAAD" w14:textId="77777777" w:rsidR="00AD1D37" w:rsidRDefault="00AD1D37" w:rsidP="00AD1D37">
      <w:pPr>
        <w:pStyle w:val="ListParagraph"/>
        <w:numPr>
          <w:ilvl w:val="0"/>
          <w:numId w:val="27"/>
        </w:numPr>
        <w:spacing w:after="120"/>
        <w:contextualSpacing w:val="0"/>
        <w:rPr>
          <w:rFonts w:ascii="Tahoma" w:eastAsia="Tahoma" w:hAnsi="Tahoma" w:cs="Tahoma"/>
        </w:rPr>
      </w:pPr>
      <w:r w:rsidRPr="7F10F0B2">
        <w:rPr>
          <w:rFonts w:ascii="Tahoma" w:eastAsia="Tahoma" w:hAnsi="Tahoma" w:cs="Tahoma"/>
        </w:rPr>
        <w:t xml:space="preserve">Marketing and promotional activities </w:t>
      </w:r>
    </w:p>
    <w:p w14:paraId="72B55DB4" w14:textId="77777777" w:rsidR="00AD1D37" w:rsidRDefault="00AD1D37" w:rsidP="00AD1D37">
      <w:pPr>
        <w:pStyle w:val="ListParagraph"/>
        <w:numPr>
          <w:ilvl w:val="0"/>
          <w:numId w:val="27"/>
        </w:numPr>
        <w:spacing w:after="120"/>
        <w:contextualSpacing w:val="0"/>
        <w:rPr>
          <w:rFonts w:ascii="Tahoma" w:eastAsia="Tahoma" w:hAnsi="Tahoma" w:cs="Tahoma"/>
        </w:rPr>
      </w:pPr>
      <w:r w:rsidRPr="7F10F0B2">
        <w:rPr>
          <w:rFonts w:ascii="Tahoma" w:eastAsia="Tahoma" w:hAnsi="Tahoma" w:cs="Tahoma"/>
        </w:rPr>
        <w:t xml:space="preserve">Software development </w:t>
      </w:r>
    </w:p>
    <w:p w14:paraId="32D8C0F2" w14:textId="77777777" w:rsidR="00AD1D37" w:rsidRDefault="00AD1D37" w:rsidP="00AD1D37">
      <w:pPr>
        <w:pStyle w:val="ListParagraph"/>
        <w:numPr>
          <w:ilvl w:val="0"/>
          <w:numId w:val="27"/>
        </w:numPr>
        <w:spacing w:after="120"/>
        <w:contextualSpacing w:val="0"/>
        <w:rPr>
          <w:rFonts w:ascii="Tahoma" w:eastAsia="Tahoma" w:hAnsi="Tahoma" w:cs="Tahoma"/>
        </w:rPr>
      </w:pPr>
      <w:r w:rsidRPr="7F10F0B2">
        <w:rPr>
          <w:rFonts w:ascii="Tahoma" w:eastAsia="Tahoma" w:hAnsi="Tahoma" w:cs="Tahoma"/>
        </w:rPr>
        <w:t xml:space="preserve">Lab-scale research and validation </w:t>
      </w:r>
    </w:p>
    <w:p w14:paraId="406ED5D0" w14:textId="77777777" w:rsidR="00AD1D37" w:rsidRPr="00515F10" w:rsidRDefault="00AD1D37" w:rsidP="00AD1D37">
      <w:pPr>
        <w:pStyle w:val="ListParagraph"/>
        <w:numPr>
          <w:ilvl w:val="0"/>
          <w:numId w:val="27"/>
        </w:numPr>
        <w:spacing w:after="120"/>
        <w:contextualSpacing w:val="0"/>
        <w:rPr>
          <w:rFonts w:ascii="Tahoma" w:eastAsia="Tahoma" w:hAnsi="Tahoma" w:cs="Tahoma"/>
        </w:rPr>
      </w:pPr>
      <w:r w:rsidRPr="0072408A">
        <w:rPr>
          <w:rFonts w:ascii="Tahoma" w:eastAsia="Tahoma" w:hAnsi="Tahoma" w:cs="Tahoma"/>
        </w:rPr>
        <w:t>Proof of concepts</w:t>
      </w:r>
      <w:r w:rsidRPr="62CDF720">
        <w:rPr>
          <w:rFonts w:ascii="Tahoma" w:eastAsia="Tahoma" w:hAnsi="Tahoma" w:cs="Tahoma"/>
        </w:rPr>
        <w:t>,</w:t>
      </w:r>
      <w:r w:rsidRPr="00D336FB">
        <w:rPr>
          <w:rFonts w:ascii="Tahoma" w:eastAsia="Tahoma" w:hAnsi="Tahoma" w:cs="Tahoma"/>
        </w:rPr>
        <w:t xml:space="preserve"> </w:t>
      </w:r>
      <w:r w:rsidRPr="0072408A">
        <w:rPr>
          <w:rFonts w:ascii="Tahoma" w:eastAsia="Tahoma" w:hAnsi="Tahoma" w:cs="Tahoma"/>
        </w:rPr>
        <w:t>functions</w:t>
      </w:r>
      <w:r w:rsidRPr="5131CF44">
        <w:rPr>
          <w:rFonts w:ascii="Tahoma" w:eastAsia="Tahoma" w:hAnsi="Tahoma" w:cs="Tahoma"/>
        </w:rPr>
        <w:t xml:space="preserve">, and </w:t>
      </w:r>
      <w:r w:rsidRPr="748AD5B7">
        <w:rPr>
          <w:rFonts w:ascii="Tahoma" w:eastAsia="Tahoma" w:hAnsi="Tahoma" w:cs="Tahoma"/>
        </w:rPr>
        <w:t>prototype</w:t>
      </w:r>
      <w:r w:rsidRPr="770C5562">
        <w:rPr>
          <w:rFonts w:ascii="Tahoma" w:eastAsia="Tahoma" w:hAnsi="Tahoma" w:cs="Tahoma"/>
        </w:rPr>
        <w:t xml:space="preserve"> development</w:t>
      </w:r>
    </w:p>
    <w:p w14:paraId="770D547E" w14:textId="77777777" w:rsidR="00AD1D37" w:rsidRDefault="00AD1D37" w:rsidP="00AD1D37">
      <w:pPr>
        <w:pStyle w:val="ListParagraph"/>
        <w:numPr>
          <w:ilvl w:val="0"/>
          <w:numId w:val="27"/>
        </w:numPr>
        <w:contextualSpacing w:val="0"/>
        <w:rPr>
          <w:rFonts w:ascii="Tahoma" w:eastAsia="Tahoma" w:hAnsi="Tahoma" w:cs="Tahoma"/>
        </w:rPr>
      </w:pPr>
      <w:r>
        <w:rPr>
          <w:rFonts w:ascii="Tahoma" w:eastAsia="Tahoma" w:hAnsi="Tahoma" w:cs="Tahoma"/>
        </w:rPr>
        <w:t>Nonrenewable DERs</w:t>
      </w:r>
    </w:p>
    <w:p w14:paraId="556F4DFF" w14:textId="77777777" w:rsidR="00AD1D37" w:rsidRPr="00501238" w:rsidRDefault="00AD1D37" w:rsidP="00AD1D37">
      <w:pPr>
        <w:rPr>
          <w:rFonts w:ascii="Tahoma" w:eastAsia="Tahoma" w:hAnsi="Tahoma" w:cs="Tahoma"/>
        </w:rPr>
      </w:pPr>
    </w:p>
    <w:p w14:paraId="2A1022F4" w14:textId="77777777" w:rsidR="00AD1D37" w:rsidRPr="00670A92" w:rsidRDefault="00AD1D37" w:rsidP="00AD1D37">
      <w:pPr>
        <w:pStyle w:val="ListParagraph"/>
        <w:numPr>
          <w:ilvl w:val="0"/>
          <w:numId w:val="27"/>
        </w:numPr>
        <w:spacing w:after="120"/>
        <w:contextualSpacing w:val="0"/>
        <w:rPr>
          <w:rFonts w:ascii="Tahoma" w:eastAsia="Tahoma" w:hAnsi="Tahoma" w:cs="Tahoma"/>
        </w:rPr>
      </w:pPr>
      <w:r w:rsidRPr="004F63C1">
        <w:rPr>
          <w:rFonts w:ascii="Tahoma" w:eastAsia="Tahoma" w:hAnsi="Tahoma" w:cs="Tahoma"/>
        </w:rPr>
        <w:t>Distribution grid or other equipment costs that are otherwise covered by programs or tariff rules of the electric utilities</w:t>
      </w:r>
    </w:p>
    <w:p w14:paraId="4819B305" w14:textId="77777777" w:rsidR="00AD1D37" w:rsidRPr="00670A92" w:rsidRDefault="00AD1D37" w:rsidP="00AD1D37">
      <w:pPr>
        <w:pStyle w:val="ListParagraph"/>
        <w:numPr>
          <w:ilvl w:val="0"/>
          <w:numId w:val="27"/>
        </w:numPr>
        <w:spacing w:after="120"/>
        <w:contextualSpacing w:val="0"/>
        <w:rPr>
          <w:rFonts w:ascii="Tahoma" w:eastAsia="Tahoma" w:hAnsi="Tahoma" w:cs="Tahoma"/>
        </w:rPr>
      </w:pPr>
      <w:r w:rsidRPr="004F63C1">
        <w:rPr>
          <w:rFonts w:ascii="Tahoma" w:eastAsia="Tahoma" w:hAnsi="Tahoma" w:cs="Tahoma"/>
        </w:rPr>
        <w:t xml:space="preserve">Projects that are mandated by any local, regional, state, or federal law, rule, or regulation </w:t>
      </w:r>
    </w:p>
    <w:p w14:paraId="1CF5B27E" w14:textId="77777777" w:rsidR="00AD1D37" w:rsidRPr="00670A92" w:rsidRDefault="00AD1D37" w:rsidP="00AD1D37">
      <w:pPr>
        <w:pStyle w:val="ListParagraph"/>
        <w:numPr>
          <w:ilvl w:val="0"/>
          <w:numId w:val="27"/>
        </w:numPr>
        <w:spacing w:after="120"/>
        <w:contextualSpacing w:val="0"/>
        <w:rPr>
          <w:rFonts w:ascii="Tahoma" w:eastAsia="Tahoma" w:hAnsi="Tahoma" w:cs="Tahoma"/>
        </w:rPr>
      </w:pPr>
      <w:r w:rsidRPr="004F63C1">
        <w:rPr>
          <w:rFonts w:ascii="Tahoma" w:eastAsia="Tahoma" w:hAnsi="Tahoma" w:cs="Tahoma"/>
        </w:rPr>
        <w:t xml:space="preserve">Projects that help the Applicant meet a performance requirement mandated by local, regional, state, or federal law, rule, or regulation </w:t>
      </w:r>
    </w:p>
    <w:p w14:paraId="18CD3FED" w14:textId="77777777" w:rsidR="00AD1D37" w:rsidRPr="00670A92" w:rsidRDefault="00AD1D37" w:rsidP="00AD1D37">
      <w:pPr>
        <w:pStyle w:val="ListParagraph"/>
        <w:numPr>
          <w:ilvl w:val="0"/>
          <w:numId w:val="27"/>
        </w:numPr>
        <w:spacing w:after="120"/>
        <w:contextualSpacing w:val="0"/>
        <w:rPr>
          <w:rFonts w:ascii="Tahoma" w:eastAsia="Tahoma" w:hAnsi="Tahoma" w:cs="Tahoma"/>
        </w:rPr>
      </w:pPr>
      <w:r w:rsidRPr="004F63C1">
        <w:rPr>
          <w:rFonts w:ascii="Tahoma" w:eastAsia="Tahoma" w:hAnsi="Tahoma" w:cs="Tahoma"/>
        </w:rPr>
        <w:t xml:space="preserve">Paper studies or research projects (e.g., a study which assess the cost and feasibility of charging/refueling station installations along certain corridors) </w:t>
      </w:r>
    </w:p>
    <w:p w14:paraId="151A2AC3" w14:textId="77777777" w:rsidR="00AD1D37" w:rsidRDefault="00AD1D37" w:rsidP="00AD1D37">
      <w:pPr>
        <w:pStyle w:val="ListParagraph"/>
        <w:numPr>
          <w:ilvl w:val="0"/>
          <w:numId w:val="27"/>
        </w:numPr>
        <w:spacing w:after="120"/>
        <w:contextualSpacing w:val="0"/>
        <w:rPr>
          <w:rFonts w:eastAsia="Tahoma"/>
        </w:rPr>
      </w:pPr>
      <w:r w:rsidRPr="004F63C1">
        <w:rPr>
          <w:rFonts w:ascii="Tahoma" w:eastAsia="Tahoma" w:hAnsi="Tahoma" w:cs="Tahoma"/>
        </w:rPr>
        <w:t xml:space="preserve">Surveys to determine interest in the installation of charging/refueling stations along certain corridors </w:t>
      </w:r>
    </w:p>
    <w:p w14:paraId="27E72F24" w14:textId="77777777" w:rsidR="00AD1D37" w:rsidRDefault="00AD1D37" w:rsidP="00AD1D37">
      <w:pPr>
        <w:ind w:left="720"/>
        <w:rPr>
          <w:rFonts w:ascii="Tahoma" w:eastAsia="Tahoma" w:hAnsi="Tahoma" w:cs="Tahoma"/>
        </w:rPr>
      </w:pPr>
    </w:p>
    <w:p w14:paraId="6B0849AC" w14:textId="77777777" w:rsidR="00AD1D37" w:rsidRDefault="00AD1D37" w:rsidP="00AD1D37">
      <w:pPr>
        <w:ind w:left="720"/>
        <w:rPr>
          <w:rFonts w:ascii="Tahoma" w:eastAsia="Tahoma" w:hAnsi="Tahoma" w:cs="Tahoma"/>
        </w:rPr>
      </w:pPr>
      <w:r w:rsidRPr="00CC32B6">
        <w:rPr>
          <w:rFonts w:ascii="Tahoma" w:eastAsia="Tahoma" w:hAnsi="Tahoma" w:cs="Tahoma"/>
        </w:rPr>
        <w:t xml:space="preserve">The CEC will not reimburse for permitting, insurance, land purchases, or land leases. These expenses may be </w:t>
      </w:r>
      <w:r>
        <w:rPr>
          <w:rFonts w:ascii="Tahoma" w:eastAsia="Tahoma" w:hAnsi="Tahoma" w:cs="Tahoma"/>
        </w:rPr>
        <w:t>included as an Applicant’s</w:t>
      </w:r>
      <w:r w:rsidRPr="00CC32B6">
        <w:rPr>
          <w:rFonts w:ascii="Tahoma" w:eastAsia="Tahoma" w:hAnsi="Tahoma" w:cs="Tahoma"/>
        </w:rPr>
        <w:t xml:space="preserve"> match share.</w:t>
      </w:r>
    </w:p>
    <w:p w14:paraId="37FF4445" w14:textId="77777777" w:rsidR="00AD1D37" w:rsidRDefault="00AD1D37" w:rsidP="00AD1D37">
      <w:pPr>
        <w:ind w:left="720"/>
        <w:rPr>
          <w:rFonts w:ascii="Tahoma" w:eastAsia="Tahoma" w:hAnsi="Tahoma" w:cs="Tahoma"/>
        </w:rPr>
      </w:pPr>
    </w:p>
    <w:p w14:paraId="56EADD69" w14:textId="77777777" w:rsidR="00AD1D37" w:rsidRDefault="00AD1D37" w:rsidP="00AD1D37">
      <w:pPr>
        <w:ind w:left="720"/>
        <w:rPr>
          <w:rFonts w:ascii="Tahoma" w:eastAsia="Tahoma" w:hAnsi="Tahoma" w:cs="Tahoma"/>
        </w:rPr>
      </w:pPr>
      <w:r w:rsidRPr="00515F10">
        <w:rPr>
          <w:rFonts w:ascii="Tahoma" w:eastAsia="Tahoma" w:hAnsi="Tahoma" w:cs="Tahoma"/>
        </w:rPr>
        <w:t xml:space="preserve">Utility incentives for behind-the-meter infrastructure and rebates for charging equipment may be counted towards match share. </w:t>
      </w:r>
    </w:p>
    <w:p w14:paraId="0B3CF6E4" w14:textId="77777777" w:rsidR="00AD1D37" w:rsidRDefault="00AD1D37" w:rsidP="00AD1D37">
      <w:pPr>
        <w:ind w:left="720"/>
        <w:rPr>
          <w:rFonts w:ascii="Tahoma" w:eastAsia="Tahoma" w:hAnsi="Tahoma" w:cs="Tahoma"/>
        </w:rPr>
      </w:pPr>
    </w:p>
    <w:p w14:paraId="3CD831F7" w14:textId="77777777" w:rsidR="00AD1D37" w:rsidRPr="00CC32B6" w:rsidRDefault="00AD1D37" w:rsidP="00AD1D37">
      <w:pPr>
        <w:ind w:left="720"/>
        <w:rPr>
          <w:rFonts w:ascii="Tahoma" w:eastAsia="Tahoma" w:hAnsi="Tahoma" w:cs="Tahoma"/>
        </w:rPr>
      </w:pPr>
      <w:r w:rsidRPr="00515F10">
        <w:rPr>
          <w:rFonts w:ascii="Tahoma" w:eastAsia="Tahoma" w:hAnsi="Tahoma" w:cs="Tahoma"/>
        </w:rPr>
        <w:t>Other state, local, and federal funding (not related to corridor funding) may also be counted towards match share. See Match Funding Requirements below.</w:t>
      </w:r>
    </w:p>
    <w:p w14:paraId="4D019FDB" w14:textId="77777777" w:rsidR="00AD1D37" w:rsidRPr="00075A66" w:rsidRDefault="00AD1D37" w:rsidP="00AD1D37">
      <w:pPr>
        <w:rPr>
          <w:rFonts w:eastAsia="Tahoma" w:cs="Tahoma"/>
        </w:rPr>
      </w:pPr>
    </w:p>
    <w:p w14:paraId="525E6734" w14:textId="77777777" w:rsidR="00AD1D37" w:rsidRPr="00AD1D37" w:rsidRDefault="00AD1D37" w:rsidP="00AD1D37">
      <w:pPr>
        <w:ind w:left="720"/>
        <w:rPr>
          <w:rFonts w:ascii="Tahoma" w:hAnsi="Tahoma" w:cs="Tahoma"/>
          <w:b/>
          <w:smallCaps/>
          <w:sz w:val="28"/>
          <w:lang w:val="x-none" w:eastAsia="x-none"/>
        </w:rPr>
      </w:pPr>
      <w:r w:rsidRPr="00AD1D37">
        <w:rPr>
          <w:rFonts w:ascii="Tahoma" w:eastAsia="Tahoma" w:hAnsi="Tahoma" w:cs="Tahoma"/>
          <w:b/>
          <w:bCs/>
          <w:i/>
          <w:iCs/>
        </w:rPr>
        <w:t>NOTE: Costs incurred prior to executing an agreement will not be reimbursed by the CEC.</w:t>
      </w:r>
    </w:p>
    <w:p w14:paraId="18AB8548" w14:textId="77777777" w:rsidR="00D23A43" w:rsidRDefault="00D23A43" w:rsidP="00B1122A">
      <w:pPr>
        <w:rPr>
          <w:rFonts w:ascii="Tahoma" w:hAnsi="Tahoma" w:cs="Tahoma"/>
          <w:b/>
          <w:bCs/>
        </w:rPr>
      </w:pPr>
    </w:p>
    <w:p w14:paraId="57D11E28" w14:textId="77777777" w:rsidR="007A7DF0" w:rsidRDefault="007A7DF0" w:rsidP="00B1122A">
      <w:pPr>
        <w:rPr>
          <w:rFonts w:ascii="Tahoma" w:hAnsi="Tahoma" w:cs="Tahoma"/>
          <w:b/>
          <w:bCs/>
        </w:rPr>
      </w:pPr>
    </w:p>
    <w:p w14:paraId="79A422C7" w14:textId="00D42E6D" w:rsidR="007A7DF0" w:rsidRPr="003D5F92" w:rsidRDefault="7F6D5EB8" w:rsidP="00B1122A">
      <w:pPr>
        <w:rPr>
          <w:rFonts w:ascii="Tahoma" w:hAnsi="Tahoma" w:cs="Tahoma"/>
          <w:b/>
          <w:bCs/>
        </w:rPr>
      </w:pPr>
      <w:r w:rsidRPr="34C67D2A">
        <w:rPr>
          <w:rFonts w:ascii="Tahoma" w:hAnsi="Tahoma" w:cs="Tahoma"/>
          <w:b/>
          <w:bCs/>
        </w:rPr>
        <w:t>Brad Worster</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0D4A7B">
      <w:headerReference w:type="default" r:id="rId12"/>
      <w:footerReference w:type="default" r:id="rId13"/>
      <w:headerReference w:type="first" r:id="rId14"/>
      <w:footerReference w:type="first" r:id="rId15"/>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52AB" w14:textId="77777777" w:rsidR="00F82F3B" w:rsidRDefault="00F82F3B" w:rsidP="00F86D2B">
      <w:r>
        <w:separator/>
      </w:r>
    </w:p>
  </w:endnote>
  <w:endnote w:type="continuationSeparator" w:id="0">
    <w:p w14:paraId="53449F93" w14:textId="77777777" w:rsidR="00F82F3B" w:rsidRDefault="00F82F3B" w:rsidP="00F86D2B">
      <w:r>
        <w:continuationSeparator/>
      </w:r>
    </w:p>
  </w:endnote>
  <w:endnote w:type="continuationNotice" w:id="1">
    <w:p w14:paraId="505485B8" w14:textId="77777777" w:rsidR="00F82F3B" w:rsidRDefault="00F82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F250" w14:textId="77777777" w:rsidR="00F82F3B" w:rsidRDefault="00F82F3B" w:rsidP="00F86D2B">
      <w:r>
        <w:separator/>
      </w:r>
    </w:p>
  </w:footnote>
  <w:footnote w:type="continuationSeparator" w:id="0">
    <w:p w14:paraId="468ADB8F" w14:textId="77777777" w:rsidR="00F82F3B" w:rsidRDefault="00F82F3B" w:rsidP="00F86D2B">
      <w:r>
        <w:continuationSeparator/>
      </w:r>
    </w:p>
  </w:footnote>
  <w:footnote w:type="continuationNotice" w:id="1">
    <w:p w14:paraId="5BCEF32B" w14:textId="77777777" w:rsidR="00F82F3B" w:rsidRDefault="00F82F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F8D44EA">
          <wp:extent cx="7858125" cy="977900"/>
          <wp:effectExtent l="0" t="0" r="9525" b="0"/>
          <wp:docPr id="9" name="Picture 9"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AD9"/>
    <w:multiLevelType w:val="hybridMultilevel"/>
    <w:tmpl w:val="93A8376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960" w:hanging="72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0B6B"/>
    <w:multiLevelType w:val="hybridMultilevel"/>
    <w:tmpl w:val="6630A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CB450A"/>
    <w:multiLevelType w:val="hybridMultilevel"/>
    <w:tmpl w:val="BBB6D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C6373E"/>
    <w:multiLevelType w:val="hybridMultilevel"/>
    <w:tmpl w:val="B8228242"/>
    <w:lvl w:ilvl="0" w:tplc="2794DC9C">
      <w:start w:val="1"/>
      <w:numFmt w:val="decimal"/>
      <w:lvlText w:val="%1."/>
      <w:lvlJc w:val="left"/>
      <w:pPr>
        <w:ind w:left="720" w:hanging="360"/>
      </w:pPr>
      <w:rPr>
        <w:rFonts w:eastAsiaTheme="majorEastAsi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C5C4EFF"/>
    <w:multiLevelType w:val="hybridMultilevel"/>
    <w:tmpl w:val="405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6" w15:restartNumberingAfterBreak="0">
    <w:nsid w:val="4F0255BE"/>
    <w:multiLevelType w:val="hybridMultilevel"/>
    <w:tmpl w:val="41282E26"/>
    <w:lvl w:ilvl="0" w:tplc="54EC40BE">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C4FB2"/>
    <w:multiLevelType w:val="hybridMultilevel"/>
    <w:tmpl w:val="680024CE"/>
    <w:lvl w:ilvl="0" w:tplc="09D465FE">
      <w:start w:val="3"/>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C84996"/>
    <w:multiLevelType w:val="hybridMultilevel"/>
    <w:tmpl w:val="C0D89C40"/>
    <w:lvl w:ilvl="0" w:tplc="D0887F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26"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3015248">
    <w:abstractNumId w:val="25"/>
  </w:num>
  <w:num w:numId="2" w16cid:durableId="2114937146">
    <w:abstractNumId w:val="26"/>
  </w:num>
  <w:num w:numId="3" w16cid:durableId="280697836">
    <w:abstractNumId w:val="2"/>
  </w:num>
  <w:num w:numId="4" w16cid:durableId="413355859">
    <w:abstractNumId w:val="24"/>
  </w:num>
  <w:num w:numId="5" w16cid:durableId="788089280">
    <w:abstractNumId w:val="11"/>
  </w:num>
  <w:num w:numId="6" w16cid:durableId="117572321">
    <w:abstractNumId w:val="13"/>
  </w:num>
  <w:num w:numId="7" w16cid:durableId="1873495320">
    <w:abstractNumId w:val="10"/>
  </w:num>
  <w:num w:numId="8" w16cid:durableId="1962953226">
    <w:abstractNumId w:val="4"/>
  </w:num>
  <w:num w:numId="9" w16cid:durableId="864296668">
    <w:abstractNumId w:val="1"/>
  </w:num>
  <w:num w:numId="10" w16cid:durableId="131096484">
    <w:abstractNumId w:val="23"/>
  </w:num>
  <w:num w:numId="11" w16cid:durableId="891769305">
    <w:abstractNumId w:val="19"/>
  </w:num>
  <w:num w:numId="12" w16cid:durableId="70592467">
    <w:abstractNumId w:val="12"/>
  </w:num>
  <w:num w:numId="13" w16cid:durableId="390495430">
    <w:abstractNumId w:val="22"/>
    <w:lvlOverride w:ilvl="0"/>
    <w:lvlOverride w:ilvl="1">
      <w:startOverride w:val="6"/>
    </w:lvlOverride>
    <w:lvlOverride w:ilvl="2"/>
    <w:lvlOverride w:ilvl="3"/>
    <w:lvlOverride w:ilvl="4"/>
    <w:lvlOverride w:ilvl="5"/>
    <w:lvlOverride w:ilvl="6"/>
    <w:lvlOverride w:ilvl="7"/>
    <w:lvlOverride w:ilvl="8"/>
  </w:num>
  <w:num w:numId="14" w16cid:durableId="1050418423">
    <w:abstractNumId w:val="5"/>
  </w:num>
  <w:num w:numId="15" w16cid:durableId="481119243">
    <w:abstractNumId w:val="20"/>
    <w:lvlOverride w:ilvl="0"/>
    <w:lvlOverride w:ilvl="1">
      <w:startOverride w:val="1"/>
    </w:lvlOverride>
    <w:lvlOverride w:ilvl="2">
      <w:startOverride w:val="1"/>
    </w:lvlOverride>
    <w:lvlOverride w:ilvl="3"/>
    <w:lvlOverride w:ilvl="4"/>
    <w:lvlOverride w:ilvl="5"/>
    <w:lvlOverride w:ilvl="6"/>
    <w:lvlOverride w:ilvl="7"/>
    <w:lvlOverride w:ilvl="8"/>
  </w:num>
  <w:num w:numId="16" w16cid:durableId="1365515958">
    <w:abstractNumId w:val="7"/>
  </w:num>
  <w:num w:numId="17" w16cid:durableId="1830561889">
    <w:abstractNumId w:val="15"/>
  </w:num>
  <w:num w:numId="18" w16cid:durableId="1295209087">
    <w:abstractNumId w:val="6"/>
  </w:num>
  <w:num w:numId="19" w16cid:durableId="608591256">
    <w:abstractNumId w:val="3"/>
  </w:num>
  <w:num w:numId="20" w16cid:durableId="1018241333">
    <w:abstractNumId w:val="16"/>
  </w:num>
  <w:num w:numId="21" w16cid:durableId="1869291384">
    <w:abstractNumId w:val="8"/>
  </w:num>
  <w:num w:numId="22" w16cid:durableId="36125900">
    <w:abstractNumId w:val="21"/>
  </w:num>
  <w:num w:numId="23" w16cid:durableId="218903019">
    <w:abstractNumId w:val="18"/>
  </w:num>
  <w:num w:numId="24" w16cid:durableId="1715545950">
    <w:abstractNumId w:val="14"/>
  </w:num>
  <w:num w:numId="25" w16cid:durableId="1934967505">
    <w:abstractNumId w:val="0"/>
  </w:num>
  <w:num w:numId="26" w16cid:durableId="2137674533">
    <w:abstractNumId w:val="17"/>
  </w:num>
  <w:num w:numId="27" w16cid:durableId="6161075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5DA1"/>
    <w:rsid w:val="00006CBE"/>
    <w:rsid w:val="00013BAA"/>
    <w:rsid w:val="0001408A"/>
    <w:rsid w:val="00015969"/>
    <w:rsid w:val="00027125"/>
    <w:rsid w:val="00034890"/>
    <w:rsid w:val="0004705B"/>
    <w:rsid w:val="0004705D"/>
    <w:rsid w:val="000557AC"/>
    <w:rsid w:val="00060591"/>
    <w:rsid w:val="000611BE"/>
    <w:rsid w:val="0006377F"/>
    <w:rsid w:val="00063B9D"/>
    <w:rsid w:val="000653A6"/>
    <w:rsid w:val="00071316"/>
    <w:rsid w:val="000728DA"/>
    <w:rsid w:val="00074E58"/>
    <w:rsid w:val="0009064B"/>
    <w:rsid w:val="000922CE"/>
    <w:rsid w:val="000A0FA4"/>
    <w:rsid w:val="000A6CE7"/>
    <w:rsid w:val="000C16AE"/>
    <w:rsid w:val="000D4A7B"/>
    <w:rsid w:val="000E31D6"/>
    <w:rsid w:val="000E433B"/>
    <w:rsid w:val="000F0D5B"/>
    <w:rsid w:val="000F5BE1"/>
    <w:rsid w:val="00103791"/>
    <w:rsid w:val="00106C10"/>
    <w:rsid w:val="00122045"/>
    <w:rsid w:val="00123E80"/>
    <w:rsid w:val="0012428F"/>
    <w:rsid w:val="001261BE"/>
    <w:rsid w:val="0014043C"/>
    <w:rsid w:val="00146C62"/>
    <w:rsid w:val="0014731B"/>
    <w:rsid w:val="001477A0"/>
    <w:rsid w:val="00162611"/>
    <w:rsid w:val="001665C7"/>
    <w:rsid w:val="00167654"/>
    <w:rsid w:val="00190B05"/>
    <w:rsid w:val="001B0F25"/>
    <w:rsid w:val="001B2889"/>
    <w:rsid w:val="001C3CDA"/>
    <w:rsid w:val="001C6A3B"/>
    <w:rsid w:val="001F2E2E"/>
    <w:rsid w:val="001F3152"/>
    <w:rsid w:val="001F62F3"/>
    <w:rsid w:val="00203587"/>
    <w:rsid w:val="00204718"/>
    <w:rsid w:val="00210F3E"/>
    <w:rsid w:val="00221C82"/>
    <w:rsid w:val="00235167"/>
    <w:rsid w:val="00256C04"/>
    <w:rsid w:val="002572D4"/>
    <w:rsid w:val="00262D0D"/>
    <w:rsid w:val="0026385E"/>
    <w:rsid w:val="0026739C"/>
    <w:rsid w:val="002747CF"/>
    <w:rsid w:val="002829DB"/>
    <w:rsid w:val="002A2C80"/>
    <w:rsid w:val="002A5F7A"/>
    <w:rsid w:val="002B3D9A"/>
    <w:rsid w:val="002C3A9E"/>
    <w:rsid w:val="002D0ACB"/>
    <w:rsid w:val="002D11A5"/>
    <w:rsid w:val="002F2B94"/>
    <w:rsid w:val="00300FB1"/>
    <w:rsid w:val="00306AA9"/>
    <w:rsid w:val="00306C82"/>
    <w:rsid w:val="003077B7"/>
    <w:rsid w:val="00315EC9"/>
    <w:rsid w:val="00340ABF"/>
    <w:rsid w:val="00344417"/>
    <w:rsid w:val="00353981"/>
    <w:rsid w:val="00356F9C"/>
    <w:rsid w:val="00360BE0"/>
    <w:rsid w:val="00391FC2"/>
    <w:rsid w:val="003C19A2"/>
    <w:rsid w:val="003C4419"/>
    <w:rsid w:val="003C47B8"/>
    <w:rsid w:val="003C55A4"/>
    <w:rsid w:val="003C746B"/>
    <w:rsid w:val="003D0C68"/>
    <w:rsid w:val="003D5F92"/>
    <w:rsid w:val="003E0AD6"/>
    <w:rsid w:val="003E0D2D"/>
    <w:rsid w:val="003E404F"/>
    <w:rsid w:val="003F1FDC"/>
    <w:rsid w:val="004076CF"/>
    <w:rsid w:val="00410AC7"/>
    <w:rsid w:val="00415DE9"/>
    <w:rsid w:val="00416ABE"/>
    <w:rsid w:val="004276CE"/>
    <w:rsid w:val="00427DF2"/>
    <w:rsid w:val="00430859"/>
    <w:rsid w:val="00432FB1"/>
    <w:rsid w:val="00434A01"/>
    <w:rsid w:val="004379A5"/>
    <w:rsid w:val="00437D5F"/>
    <w:rsid w:val="00445151"/>
    <w:rsid w:val="004504D5"/>
    <w:rsid w:val="00456FB3"/>
    <w:rsid w:val="0045786A"/>
    <w:rsid w:val="0046003A"/>
    <w:rsid w:val="00463011"/>
    <w:rsid w:val="00475B35"/>
    <w:rsid w:val="004772EB"/>
    <w:rsid w:val="00491630"/>
    <w:rsid w:val="00493781"/>
    <w:rsid w:val="00496116"/>
    <w:rsid w:val="004A1AAA"/>
    <w:rsid w:val="004A4C18"/>
    <w:rsid w:val="004A69AA"/>
    <w:rsid w:val="004D0158"/>
    <w:rsid w:val="004D128F"/>
    <w:rsid w:val="004E1EA3"/>
    <w:rsid w:val="004E72B5"/>
    <w:rsid w:val="0050279B"/>
    <w:rsid w:val="005100D5"/>
    <w:rsid w:val="00511F4E"/>
    <w:rsid w:val="00524EA9"/>
    <w:rsid w:val="00525E2C"/>
    <w:rsid w:val="00527817"/>
    <w:rsid w:val="00534797"/>
    <w:rsid w:val="00541330"/>
    <w:rsid w:val="00544461"/>
    <w:rsid w:val="005454B5"/>
    <w:rsid w:val="00546779"/>
    <w:rsid w:val="00552BB9"/>
    <w:rsid w:val="005568CA"/>
    <w:rsid w:val="00561990"/>
    <w:rsid w:val="00566D9C"/>
    <w:rsid w:val="00567541"/>
    <w:rsid w:val="00577D95"/>
    <w:rsid w:val="005879A0"/>
    <w:rsid w:val="0059609D"/>
    <w:rsid w:val="005C03EA"/>
    <w:rsid w:val="005E6FA2"/>
    <w:rsid w:val="00601F17"/>
    <w:rsid w:val="00603E43"/>
    <w:rsid w:val="006157EC"/>
    <w:rsid w:val="00615E32"/>
    <w:rsid w:val="00640BB6"/>
    <w:rsid w:val="0064527B"/>
    <w:rsid w:val="00646CD2"/>
    <w:rsid w:val="006511D6"/>
    <w:rsid w:val="0065465F"/>
    <w:rsid w:val="00654BE4"/>
    <w:rsid w:val="00661706"/>
    <w:rsid w:val="00663283"/>
    <w:rsid w:val="00674D7D"/>
    <w:rsid w:val="00693454"/>
    <w:rsid w:val="006A57AF"/>
    <w:rsid w:val="006B13F0"/>
    <w:rsid w:val="006C7442"/>
    <w:rsid w:val="006D3827"/>
    <w:rsid w:val="006E146A"/>
    <w:rsid w:val="007134AE"/>
    <w:rsid w:val="0072006A"/>
    <w:rsid w:val="0072118B"/>
    <w:rsid w:val="007211FC"/>
    <w:rsid w:val="00734C5A"/>
    <w:rsid w:val="00744EE3"/>
    <w:rsid w:val="00751C0F"/>
    <w:rsid w:val="00761F8B"/>
    <w:rsid w:val="0077265A"/>
    <w:rsid w:val="00777798"/>
    <w:rsid w:val="0078154A"/>
    <w:rsid w:val="00783717"/>
    <w:rsid w:val="0079120A"/>
    <w:rsid w:val="00794224"/>
    <w:rsid w:val="007A5DD3"/>
    <w:rsid w:val="007A7DF0"/>
    <w:rsid w:val="007B3CC9"/>
    <w:rsid w:val="007B3F87"/>
    <w:rsid w:val="007C5894"/>
    <w:rsid w:val="007C6C8A"/>
    <w:rsid w:val="007C795F"/>
    <w:rsid w:val="007D05C8"/>
    <w:rsid w:val="007D545A"/>
    <w:rsid w:val="007E1C46"/>
    <w:rsid w:val="007E47D3"/>
    <w:rsid w:val="007F6063"/>
    <w:rsid w:val="008008AA"/>
    <w:rsid w:val="00803E15"/>
    <w:rsid w:val="0080408D"/>
    <w:rsid w:val="0080478D"/>
    <w:rsid w:val="00805AD3"/>
    <w:rsid w:val="00806195"/>
    <w:rsid w:val="0081533B"/>
    <w:rsid w:val="0081551E"/>
    <w:rsid w:val="00835AFC"/>
    <w:rsid w:val="00841D92"/>
    <w:rsid w:val="00846985"/>
    <w:rsid w:val="008604AC"/>
    <w:rsid w:val="00860A6B"/>
    <w:rsid w:val="00873303"/>
    <w:rsid w:val="00874988"/>
    <w:rsid w:val="00881565"/>
    <w:rsid w:val="00891290"/>
    <w:rsid w:val="00891410"/>
    <w:rsid w:val="008C45EF"/>
    <w:rsid w:val="008D421C"/>
    <w:rsid w:val="008D7686"/>
    <w:rsid w:val="008E1433"/>
    <w:rsid w:val="008E3926"/>
    <w:rsid w:val="008E4794"/>
    <w:rsid w:val="008E7852"/>
    <w:rsid w:val="008F4EE9"/>
    <w:rsid w:val="008F5B28"/>
    <w:rsid w:val="008F7BB2"/>
    <w:rsid w:val="0090646F"/>
    <w:rsid w:val="00910710"/>
    <w:rsid w:val="009208E6"/>
    <w:rsid w:val="009230DB"/>
    <w:rsid w:val="00923C09"/>
    <w:rsid w:val="00923C0F"/>
    <w:rsid w:val="009245F9"/>
    <w:rsid w:val="00925908"/>
    <w:rsid w:val="00926356"/>
    <w:rsid w:val="00926DAF"/>
    <w:rsid w:val="00934FF9"/>
    <w:rsid w:val="009407F5"/>
    <w:rsid w:val="00950AF4"/>
    <w:rsid w:val="00962BB3"/>
    <w:rsid w:val="0097247B"/>
    <w:rsid w:val="00974BB8"/>
    <w:rsid w:val="00983FF2"/>
    <w:rsid w:val="00993CAB"/>
    <w:rsid w:val="009A0B3E"/>
    <w:rsid w:val="009B3212"/>
    <w:rsid w:val="009B7B6A"/>
    <w:rsid w:val="009E11DE"/>
    <w:rsid w:val="009E6C35"/>
    <w:rsid w:val="009E754B"/>
    <w:rsid w:val="00A07BCC"/>
    <w:rsid w:val="00A15FA8"/>
    <w:rsid w:val="00A17202"/>
    <w:rsid w:val="00A24C47"/>
    <w:rsid w:val="00A27654"/>
    <w:rsid w:val="00A309EB"/>
    <w:rsid w:val="00A3384C"/>
    <w:rsid w:val="00A36CF5"/>
    <w:rsid w:val="00A568D1"/>
    <w:rsid w:val="00A71CE9"/>
    <w:rsid w:val="00A73089"/>
    <w:rsid w:val="00A74376"/>
    <w:rsid w:val="00A76860"/>
    <w:rsid w:val="00A90DC6"/>
    <w:rsid w:val="00A96E09"/>
    <w:rsid w:val="00AD021C"/>
    <w:rsid w:val="00AD1D37"/>
    <w:rsid w:val="00AD21FC"/>
    <w:rsid w:val="00AD383D"/>
    <w:rsid w:val="00AD5870"/>
    <w:rsid w:val="00AE05B9"/>
    <w:rsid w:val="00AE3D3E"/>
    <w:rsid w:val="00AE4413"/>
    <w:rsid w:val="00AE5C20"/>
    <w:rsid w:val="00AF2371"/>
    <w:rsid w:val="00AF76BF"/>
    <w:rsid w:val="00B03AD3"/>
    <w:rsid w:val="00B100D6"/>
    <w:rsid w:val="00B10F20"/>
    <w:rsid w:val="00B1122A"/>
    <w:rsid w:val="00B11AE4"/>
    <w:rsid w:val="00B2160E"/>
    <w:rsid w:val="00B30EFA"/>
    <w:rsid w:val="00B33F69"/>
    <w:rsid w:val="00B404CE"/>
    <w:rsid w:val="00B51D4C"/>
    <w:rsid w:val="00B55552"/>
    <w:rsid w:val="00B564F9"/>
    <w:rsid w:val="00B5781C"/>
    <w:rsid w:val="00B672EF"/>
    <w:rsid w:val="00B80E72"/>
    <w:rsid w:val="00B84D31"/>
    <w:rsid w:val="00B906E9"/>
    <w:rsid w:val="00B965DF"/>
    <w:rsid w:val="00BA1317"/>
    <w:rsid w:val="00BA3F4C"/>
    <w:rsid w:val="00BA55D6"/>
    <w:rsid w:val="00BA56CE"/>
    <w:rsid w:val="00BB2CCD"/>
    <w:rsid w:val="00BB3B50"/>
    <w:rsid w:val="00BB5DCD"/>
    <w:rsid w:val="00BD77BE"/>
    <w:rsid w:val="00BE7A05"/>
    <w:rsid w:val="00BF0705"/>
    <w:rsid w:val="00C01C97"/>
    <w:rsid w:val="00C03527"/>
    <w:rsid w:val="00C043A7"/>
    <w:rsid w:val="00C0572D"/>
    <w:rsid w:val="00C2116D"/>
    <w:rsid w:val="00C2336E"/>
    <w:rsid w:val="00C23390"/>
    <w:rsid w:val="00C314AB"/>
    <w:rsid w:val="00C315CE"/>
    <w:rsid w:val="00C33FE7"/>
    <w:rsid w:val="00C53FF3"/>
    <w:rsid w:val="00C634F1"/>
    <w:rsid w:val="00C65B9A"/>
    <w:rsid w:val="00C67037"/>
    <w:rsid w:val="00C73A1F"/>
    <w:rsid w:val="00C83639"/>
    <w:rsid w:val="00C85257"/>
    <w:rsid w:val="00C95D7F"/>
    <w:rsid w:val="00C96BDD"/>
    <w:rsid w:val="00C97CEF"/>
    <w:rsid w:val="00CA6B2B"/>
    <w:rsid w:val="00CB3D8B"/>
    <w:rsid w:val="00CC3518"/>
    <w:rsid w:val="00CD354D"/>
    <w:rsid w:val="00CD7A1A"/>
    <w:rsid w:val="00CF7FA5"/>
    <w:rsid w:val="00D17966"/>
    <w:rsid w:val="00D22FF9"/>
    <w:rsid w:val="00D23A43"/>
    <w:rsid w:val="00D2465B"/>
    <w:rsid w:val="00D32C3D"/>
    <w:rsid w:val="00D33013"/>
    <w:rsid w:val="00D3336B"/>
    <w:rsid w:val="00D431C2"/>
    <w:rsid w:val="00D43B83"/>
    <w:rsid w:val="00D44167"/>
    <w:rsid w:val="00D57D7A"/>
    <w:rsid w:val="00D87C37"/>
    <w:rsid w:val="00D903C5"/>
    <w:rsid w:val="00DA7551"/>
    <w:rsid w:val="00DB53FE"/>
    <w:rsid w:val="00DF0CE3"/>
    <w:rsid w:val="00DF133F"/>
    <w:rsid w:val="00E04ADE"/>
    <w:rsid w:val="00E1306D"/>
    <w:rsid w:val="00E210F6"/>
    <w:rsid w:val="00E420B6"/>
    <w:rsid w:val="00E46C5F"/>
    <w:rsid w:val="00E61304"/>
    <w:rsid w:val="00E62715"/>
    <w:rsid w:val="00E70A8C"/>
    <w:rsid w:val="00E72BA9"/>
    <w:rsid w:val="00E74FF1"/>
    <w:rsid w:val="00E75EF5"/>
    <w:rsid w:val="00E84A4D"/>
    <w:rsid w:val="00E91364"/>
    <w:rsid w:val="00E9387A"/>
    <w:rsid w:val="00E95AA9"/>
    <w:rsid w:val="00EA044B"/>
    <w:rsid w:val="00EA7BDE"/>
    <w:rsid w:val="00ED18F1"/>
    <w:rsid w:val="00ED316B"/>
    <w:rsid w:val="00EE6CEC"/>
    <w:rsid w:val="00EE7957"/>
    <w:rsid w:val="00F053EC"/>
    <w:rsid w:val="00F061A1"/>
    <w:rsid w:val="00F10DFF"/>
    <w:rsid w:val="00F1429D"/>
    <w:rsid w:val="00F20EAE"/>
    <w:rsid w:val="00F220FC"/>
    <w:rsid w:val="00F22AD4"/>
    <w:rsid w:val="00F25347"/>
    <w:rsid w:val="00F329E8"/>
    <w:rsid w:val="00F35411"/>
    <w:rsid w:val="00F35480"/>
    <w:rsid w:val="00F37E83"/>
    <w:rsid w:val="00F515AE"/>
    <w:rsid w:val="00F7353A"/>
    <w:rsid w:val="00F7696E"/>
    <w:rsid w:val="00F82F3B"/>
    <w:rsid w:val="00F85526"/>
    <w:rsid w:val="00F85C38"/>
    <w:rsid w:val="00F86D2B"/>
    <w:rsid w:val="00F90F6B"/>
    <w:rsid w:val="00F92C5E"/>
    <w:rsid w:val="00F947AC"/>
    <w:rsid w:val="00F95D8D"/>
    <w:rsid w:val="00F967DF"/>
    <w:rsid w:val="00F96F53"/>
    <w:rsid w:val="00F97A78"/>
    <w:rsid w:val="00FA69FD"/>
    <w:rsid w:val="00FB5EEF"/>
    <w:rsid w:val="00FC4728"/>
    <w:rsid w:val="00FD3FE9"/>
    <w:rsid w:val="00FD441B"/>
    <w:rsid w:val="00FD596F"/>
    <w:rsid w:val="00FE31AA"/>
    <w:rsid w:val="00FE5320"/>
    <w:rsid w:val="00FF7117"/>
    <w:rsid w:val="00FF7303"/>
    <w:rsid w:val="023E72DD"/>
    <w:rsid w:val="06CEB1BF"/>
    <w:rsid w:val="0CDE3617"/>
    <w:rsid w:val="0D9DC20C"/>
    <w:rsid w:val="0DFB8102"/>
    <w:rsid w:val="16FBF3B6"/>
    <w:rsid w:val="1A7A3CCD"/>
    <w:rsid w:val="1B75446D"/>
    <w:rsid w:val="1C1F3A18"/>
    <w:rsid w:val="23DAF934"/>
    <w:rsid w:val="2407BBC1"/>
    <w:rsid w:val="25ECEADF"/>
    <w:rsid w:val="274C0677"/>
    <w:rsid w:val="2A7A4F8E"/>
    <w:rsid w:val="2C538143"/>
    <w:rsid w:val="2E114FE2"/>
    <w:rsid w:val="30D2BE5B"/>
    <w:rsid w:val="3340129D"/>
    <w:rsid w:val="34C67D2A"/>
    <w:rsid w:val="35E65CD7"/>
    <w:rsid w:val="37E61136"/>
    <w:rsid w:val="3842A9E7"/>
    <w:rsid w:val="390F0A72"/>
    <w:rsid w:val="3D5294F7"/>
    <w:rsid w:val="3F7416C0"/>
    <w:rsid w:val="413A14A1"/>
    <w:rsid w:val="4152C8D3"/>
    <w:rsid w:val="44230373"/>
    <w:rsid w:val="45CB42D3"/>
    <w:rsid w:val="4B9F3047"/>
    <w:rsid w:val="4D7C6706"/>
    <w:rsid w:val="509E1228"/>
    <w:rsid w:val="52521B09"/>
    <w:rsid w:val="5770E9BA"/>
    <w:rsid w:val="5A20D253"/>
    <w:rsid w:val="60E052F1"/>
    <w:rsid w:val="65B14D97"/>
    <w:rsid w:val="693E293C"/>
    <w:rsid w:val="6DF39696"/>
    <w:rsid w:val="6E28BA75"/>
    <w:rsid w:val="71ADE2AF"/>
    <w:rsid w:val="73241326"/>
    <w:rsid w:val="7562B63C"/>
    <w:rsid w:val="7E5AC5E6"/>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18DD08B9-EBF2-4425-8326-0B47D2C9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iize.org/infrastructure?section=infrastructure.more-details.technolog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767D39-677C-45F0-A310-67C5BE75DAFE}">
  <ds:schemaRefs>
    <ds:schemaRef ds:uri="785685f2-c2e1-4352-89aa-3faca8eaba52"/>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5067c814-4b34-462c-a21d-c185ff6548d2"/>
    <ds:schemaRef ds:uri="http://www.w3.org/XML/1998/namespac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7AE0C000-E85A-4981-861F-FBFC10F6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918</Words>
  <Characters>5236</Characters>
  <Application>Microsoft Office Word</Application>
  <DocSecurity>0</DocSecurity>
  <Lines>43</Lines>
  <Paragraphs>12</Paragraphs>
  <ScaleCrop>false</ScaleCrop>
  <Company>Wobschall Design</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Worster, Brad@Energy</cp:lastModifiedBy>
  <cp:revision>55</cp:revision>
  <cp:lastPrinted>2019-04-08T16:38:00Z</cp:lastPrinted>
  <dcterms:created xsi:type="dcterms:W3CDTF">2023-10-03T16:50:00Z</dcterms:created>
  <dcterms:modified xsi:type="dcterms:W3CDTF">2023-11-07T16:28:00Z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