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B9AF0" w14:textId="77777777" w:rsidR="00E0231D" w:rsidRDefault="00E0231D" w:rsidP="003F6147">
      <w:pPr>
        <w:keepLines/>
        <w:widowControl w:val="0"/>
        <w:ind w:right="-216"/>
        <w:jc w:val="center"/>
        <w:rPr>
          <w:b/>
          <w:sz w:val="40"/>
          <w:szCs w:val="40"/>
        </w:rPr>
      </w:pPr>
    </w:p>
    <w:p w14:paraId="2AB654D4" w14:textId="77777777" w:rsidR="00E0231D" w:rsidRDefault="00E0231D" w:rsidP="003F6147">
      <w:pPr>
        <w:keepLines/>
        <w:widowControl w:val="0"/>
        <w:ind w:right="-216"/>
        <w:jc w:val="center"/>
        <w:rPr>
          <w:b/>
          <w:sz w:val="40"/>
          <w:szCs w:val="40"/>
        </w:rPr>
      </w:pPr>
    </w:p>
    <w:p w14:paraId="69B4B166" w14:textId="4C9F9862"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35675339" w14:textId="77777777" w:rsidR="00754BD1" w:rsidRPr="00E4291E" w:rsidRDefault="00754BD1" w:rsidP="00754BD1">
      <w:pPr>
        <w:keepLines/>
        <w:widowControl w:val="0"/>
        <w:jc w:val="center"/>
        <w:rPr>
          <w:b/>
          <w:sz w:val="40"/>
          <w:szCs w:val="40"/>
        </w:rPr>
      </w:pPr>
      <w:r w:rsidRPr="00E4291E">
        <w:rPr>
          <w:b/>
          <w:sz w:val="40"/>
          <w:szCs w:val="40"/>
        </w:rPr>
        <w:t>Energy Efficiency and Load Flexibility in Industrial and Commercial Cold Storage</w:t>
      </w:r>
      <w:r w:rsidRPr="00E4291E">
        <w:rPr>
          <w:b/>
          <w:bCs/>
          <w:sz w:val="40"/>
          <w:szCs w:val="40"/>
        </w:rPr>
        <w:t xml:space="preserve"> Facilities</w:t>
      </w:r>
    </w:p>
    <w:p w14:paraId="40671C9E" w14:textId="77777777" w:rsidR="000F22E6" w:rsidRDefault="000F22E6" w:rsidP="000F22E6">
      <w:pPr>
        <w:keepLines/>
        <w:widowControl w:val="0"/>
        <w:jc w:val="center"/>
        <w:rPr>
          <w:b/>
          <w:sz w:val="36"/>
        </w:rPr>
      </w:pPr>
    </w:p>
    <w:p w14:paraId="77598497" w14:textId="74B50DDA" w:rsidR="000F22E6" w:rsidRPr="008E76D1" w:rsidRDefault="004C294D" w:rsidP="008E76D1">
      <w:pPr>
        <w:keepLines/>
        <w:widowControl w:val="0"/>
        <w:tabs>
          <w:tab w:val="center" w:pos="2340"/>
          <w:tab w:val="left" w:pos="5040"/>
        </w:tabs>
        <w:jc w:val="center"/>
        <w:rPr>
          <w:b/>
          <w:bCs/>
          <w:sz w:val="36"/>
          <w:szCs w:val="36"/>
        </w:rPr>
      </w:pPr>
      <w:r>
        <w:rPr>
          <w:b/>
          <w:sz w:val="36"/>
          <w:szCs w:val="36"/>
        </w:rPr>
        <w:tab/>
      </w:r>
      <w:r w:rsidR="00CD389F" w:rsidRPr="362F1A0A">
        <w:rPr>
          <w:b/>
          <w:bCs/>
          <w:sz w:val="36"/>
          <w:szCs w:val="36"/>
        </w:rPr>
        <w:t>EPIC Program</w:t>
      </w:r>
      <w:r>
        <w:rPr>
          <w:b/>
          <w:sz w:val="36"/>
          <w:szCs w:val="36"/>
        </w:rPr>
        <w:tab/>
      </w:r>
    </w:p>
    <w:p w14:paraId="40407F54" w14:textId="77777777" w:rsid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F5FA5DE" w14:textId="77777777" w:rsidR="008E76D1" w:rsidRPr="005A2DF5" w:rsidRDefault="008E76D1" w:rsidP="005A2DF5">
      <w:pPr>
        <w:keepLines/>
        <w:widowControl w:val="0"/>
        <w:jc w:val="center"/>
        <w:rPr>
          <w:szCs w:val="22"/>
        </w:rPr>
      </w:pPr>
    </w:p>
    <w:p w14:paraId="7FC871BC" w14:textId="77777777" w:rsidR="008E76D1" w:rsidRDefault="008E76D1" w:rsidP="008E76D1">
      <w:pPr>
        <w:keepLines/>
        <w:widowControl w:val="0"/>
        <w:jc w:val="center"/>
        <w:rPr>
          <w:szCs w:val="22"/>
        </w:rPr>
      </w:pPr>
      <w:r>
        <w:rPr>
          <w:szCs w:val="22"/>
        </w:rPr>
        <w:t xml:space="preserve">Added language appears in </w:t>
      </w:r>
      <w:r>
        <w:rPr>
          <w:b/>
          <w:bCs/>
          <w:szCs w:val="22"/>
          <w:u w:val="single"/>
        </w:rPr>
        <w:t>bold underline</w:t>
      </w:r>
      <w:r>
        <w:rPr>
          <w:szCs w:val="22"/>
        </w:rPr>
        <w:t>, and deleted language appears in [</w:t>
      </w:r>
      <w:r>
        <w:rPr>
          <w:strike/>
          <w:szCs w:val="22"/>
        </w:rPr>
        <w:t>strikethrough</w:t>
      </w:r>
      <w:r>
        <w:rPr>
          <w:szCs w:val="22"/>
        </w:rPr>
        <w:t>] and within square brackets.</w:t>
      </w:r>
    </w:p>
    <w:p w14:paraId="056197B4" w14:textId="77777777" w:rsidR="005A2DF5" w:rsidRPr="005A2DF5" w:rsidRDefault="005A2DF5" w:rsidP="005A2DF5">
      <w:pPr>
        <w:keepLines/>
        <w:widowControl w:val="0"/>
        <w:jc w:val="center"/>
        <w:rPr>
          <w:b/>
          <w:color w:val="00B0F0"/>
          <w:szCs w:val="22"/>
        </w:rPr>
      </w:pPr>
    </w:p>
    <w:p w14:paraId="0C05943C" w14:textId="288DD4C5" w:rsidR="005A2DF5" w:rsidRPr="00B001EC" w:rsidRDefault="005A2DF5" w:rsidP="005A2DF5">
      <w:pPr>
        <w:keepLines/>
        <w:widowControl w:val="0"/>
        <w:jc w:val="center"/>
        <w:rPr>
          <w:b/>
          <w:sz w:val="24"/>
        </w:rPr>
      </w:pPr>
      <w:r w:rsidRPr="00E4291E">
        <w:rPr>
          <w:b/>
          <w:sz w:val="24"/>
          <w:szCs w:val="22"/>
        </w:rPr>
        <w:t>GFO-</w:t>
      </w:r>
      <w:r w:rsidR="000F6EB9" w:rsidRPr="00E4291E">
        <w:rPr>
          <w:b/>
          <w:sz w:val="24"/>
          <w:szCs w:val="22"/>
        </w:rPr>
        <w:t>23-301</w:t>
      </w:r>
      <w:r w:rsidR="008E76D1">
        <w:rPr>
          <w:b/>
          <w:sz w:val="24"/>
          <w:szCs w:val="22"/>
        </w:rPr>
        <w:t xml:space="preserve"> </w:t>
      </w:r>
      <w:r w:rsidR="008E76D1">
        <w:rPr>
          <w:b/>
          <w:sz w:val="24"/>
          <w:szCs w:val="24"/>
          <w:u w:val="single"/>
        </w:rPr>
        <w:t xml:space="preserve">Addendum </w:t>
      </w:r>
      <w:r w:rsidR="00B001EC" w:rsidRPr="004E444F">
        <w:rPr>
          <w:b/>
          <w:color w:val="FF0000"/>
          <w:sz w:val="24"/>
          <w:szCs w:val="24"/>
          <w:u w:val="single"/>
        </w:rPr>
        <w:t>2</w:t>
      </w:r>
      <w:r w:rsidR="003E56CA" w:rsidRPr="00B001EC">
        <w:rPr>
          <w:bCs/>
          <w:sz w:val="24"/>
          <w:szCs w:val="24"/>
        </w:rPr>
        <w:t>[</w:t>
      </w:r>
      <w:r w:rsidR="008E76D1" w:rsidRPr="00B001EC">
        <w:rPr>
          <w:b/>
          <w:strike/>
          <w:sz w:val="24"/>
          <w:szCs w:val="24"/>
          <w:u w:val="single"/>
        </w:rPr>
        <w:t>1</w:t>
      </w:r>
      <w:r w:rsidR="00B001EC" w:rsidRPr="00B001EC">
        <w:rPr>
          <w:bCs/>
          <w:sz w:val="24"/>
          <w:szCs w:val="24"/>
        </w:rPr>
        <w:t>]</w:t>
      </w:r>
    </w:p>
    <w:p w14:paraId="4D146BFB" w14:textId="6571C407" w:rsidR="005A2DF5" w:rsidRPr="00E4291E" w:rsidRDefault="00000000" w:rsidP="005A2DF5">
      <w:pPr>
        <w:keepLines/>
        <w:widowControl w:val="0"/>
        <w:jc w:val="center"/>
        <w:rPr>
          <w:sz w:val="24"/>
          <w:szCs w:val="22"/>
        </w:rPr>
      </w:pPr>
      <w:hyperlink r:id="rId12" w:history="1">
        <w:r w:rsidR="004B52E1" w:rsidRPr="000D2963">
          <w:rPr>
            <w:rStyle w:val="Hyperlink"/>
            <w:rFonts w:cs="Arial"/>
            <w:sz w:val="24"/>
            <w:szCs w:val="22"/>
          </w:rPr>
          <w:t>http://www.energy.ca.gov/contracts/index.html</w:t>
        </w:r>
      </w:hyperlink>
      <w:r w:rsidR="004B52E1">
        <w:rPr>
          <w:sz w:val="24"/>
          <w:szCs w:val="22"/>
          <w:u w:val="single"/>
        </w:rPr>
        <w:t xml:space="preserve"> </w:t>
      </w:r>
    </w:p>
    <w:p w14:paraId="237F6024" w14:textId="77777777" w:rsidR="005A2DF5" w:rsidRPr="00E4291E" w:rsidRDefault="005A2DF5" w:rsidP="005A2DF5">
      <w:pPr>
        <w:keepLines/>
        <w:widowControl w:val="0"/>
        <w:jc w:val="center"/>
        <w:rPr>
          <w:b/>
          <w:sz w:val="24"/>
          <w:szCs w:val="22"/>
        </w:rPr>
      </w:pPr>
      <w:r w:rsidRPr="00E4291E">
        <w:rPr>
          <w:b/>
          <w:sz w:val="24"/>
          <w:szCs w:val="22"/>
        </w:rPr>
        <w:t>State of California</w:t>
      </w:r>
    </w:p>
    <w:p w14:paraId="68980464" w14:textId="77777777" w:rsidR="005A2DF5" w:rsidRPr="00E4291E" w:rsidRDefault="005A2DF5" w:rsidP="005A2DF5">
      <w:pPr>
        <w:keepLines/>
        <w:widowControl w:val="0"/>
        <w:jc w:val="center"/>
        <w:rPr>
          <w:b/>
          <w:sz w:val="24"/>
          <w:szCs w:val="22"/>
        </w:rPr>
      </w:pPr>
      <w:r w:rsidRPr="00E4291E">
        <w:rPr>
          <w:b/>
          <w:sz w:val="24"/>
          <w:szCs w:val="22"/>
        </w:rPr>
        <w:t>California Energy Commission</w:t>
      </w:r>
    </w:p>
    <w:p w14:paraId="2AED5CD3" w14:textId="34328C97" w:rsidR="005A2DF5" w:rsidRPr="00E4291E" w:rsidRDefault="00C5034B" w:rsidP="005A2DF5">
      <w:pPr>
        <w:keepLines/>
        <w:widowControl w:val="0"/>
        <w:tabs>
          <w:tab w:val="left" w:pos="1440"/>
        </w:tabs>
        <w:jc w:val="center"/>
      </w:pPr>
      <w:r w:rsidRPr="00C5034B">
        <w:t>[</w:t>
      </w:r>
      <w:r w:rsidR="00E4291E" w:rsidRPr="009423EB">
        <w:rPr>
          <w:strike/>
        </w:rPr>
        <w:t>August</w:t>
      </w:r>
      <w:r w:rsidRPr="00C5034B">
        <w:t>]</w:t>
      </w:r>
      <w:r w:rsidR="0018776A" w:rsidRPr="00C5034B">
        <w:t xml:space="preserve"> </w:t>
      </w:r>
      <w:r w:rsidR="00B001EC">
        <w:t>[</w:t>
      </w:r>
      <w:r w:rsidR="009423EB" w:rsidRPr="00B001EC">
        <w:rPr>
          <w:b/>
          <w:bCs/>
          <w:strike/>
          <w:u w:val="single"/>
        </w:rPr>
        <w:t>October</w:t>
      </w:r>
      <w:r w:rsidR="00B001EC" w:rsidRPr="00B001EC">
        <w:t>]</w:t>
      </w:r>
      <w:r w:rsidR="00D54024">
        <w:t xml:space="preserve"> </w:t>
      </w:r>
      <w:r w:rsidR="00D54024" w:rsidRPr="004E444F">
        <w:rPr>
          <w:b/>
          <w:bCs/>
          <w:color w:val="FF0000"/>
          <w:u w:val="single"/>
        </w:rPr>
        <w:t>November</w:t>
      </w:r>
      <w:r w:rsidR="009423EB" w:rsidRPr="004E444F">
        <w:rPr>
          <w:color w:val="FF0000"/>
        </w:rPr>
        <w:t xml:space="preserve"> </w:t>
      </w:r>
      <w:r w:rsidR="00754BD1" w:rsidRPr="00E4291E">
        <w:t>2023</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EF3F96">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bookmarkStart w:id="0" w:name="_Hlk143023935"/>
      <w:r w:rsidRPr="00C31C1D">
        <w:rPr>
          <w:sz w:val="28"/>
          <w:szCs w:val="28"/>
        </w:rPr>
        <w:lastRenderedPageBreak/>
        <w:t>Table of Contents</w:t>
      </w:r>
    </w:p>
    <w:p w14:paraId="6DF24D0E" w14:textId="52240280" w:rsidR="003D157F" w:rsidRDefault="0083690A">
      <w:pPr>
        <w:pStyle w:val="TOC1"/>
        <w:rPr>
          <w:rFonts w:asciiTheme="minorHAnsi" w:eastAsiaTheme="minorEastAsia" w:hAnsiTheme="minorHAnsi" w:cstheme="minorBidi"/>
          <w:b w:val="0"/>
          <w:bCs w:val="0"/>
          <w:caps w:val="0"/>
          <w:noProof/>
          <w:kern w:val="2"/>
          <w:sz w:val="22"/>
          <w:szCs w:val="22"/>
          <w14:ligatures w14:val="standardContextual"/>
        </w:rPr>
      </w:pPr>
      <w:r w:rsidRPr="0070672A">
        <w:rPr>
          <w:rFonts w:ascii="Arial" w:hAnsi="Arial"/>
          <w:b w:val="0"/>
          <w:caps w:val="0"/>
          <w:color w:val="2B579A"/>
          <w:sz w:val="22"/>
          <w:szCs w:val="22"/>
          <w:shd w:val="clear" w:color="auto" w:fill="E6E6E6"/>
        </w:rPr>
        <w:fldChar w:fldCharType="begin"/>
      </w:r>
      <w:r w:rsidR="001C2D56" w:rsidRPr="0070672A">
        <w:rPr>
          <w:rFonts w:ascii="Arial" w:hAnsi="Arial"/>
          <w:b w:val="0"/>
          <w:bCs w:val="0"/>
          <w:caps w:val="0"/>
          <w:noProof/>
          <w:sz w:val="22"/>
          <w:szCs w:val="22"/>
        </w:rPr>
        <w:instrText xml:space="preserve"> TOC \o "2-4" \t "Heading 1,1" </w:instrText>
      </w:r>
      <w:r w:rsidRPr="0070672A">
        <w:rPr>
          <w:rFonts w:ascii="Arial" w:hAnsi="Arial"/>
          <w:b w:val="0"/>
          <w:caps w:val="0"/>
          <w:color w:val="2B579A"/>
          <w:sz w:val="22"/>
          <w:szCs w:val="22"/>
          <w:shd w:val="clear" w:color="auto" w:fill="E6E6E6"/>
        </w:rPr>
        <w:fldChar w:fldCharType="separate"/>
      </w:r>
      <w:r w:rsidR="003D157F">
        <w:rPr>
          <w:noProof/>
        </w:rPr>
        <w:t>I.</w:t>
      </w:r>
      <w:r w:rsidR="003D157F">
        <w:rPr>
          <w:rFonts w:asciiTheme="minorHAnsi" w:eastAsiaTheme="minorEastAsia" w:hAnsiTheme="minorHAnsi" w:cstheme="minorBidi"/>
          <w:b w:val="0"/>
          <w:bCs w:val="0"/>
          <w:caps w:val="0"/>
          <w:noProof/>
          <w:kern w:val="2"/>
          <w:sz w:val="22"/>
          <w:szCs w:val="22"/>
          <w14:ligatures w14:val="standardContextual"/>
        </w:rPr>
        <w:tab/>
      </w:r>
      <w:r w:rsidR="003D157F">
        <w:rPr>
          <w:noProof/>
        </w:rPr>
        <w:t>Introduction</w:t>
      </w:r>
      <w:r w:rsidR="003D157F">
        <w:rPr>
          <w:noProof/>
        </w:rPr>
        <w:tab/>
      </w:r>
      <w:r w:rsidR="003D157F">
        <w:rPr>
          <w:noProof/>
        </w:rPr>
        <w:fldChar w:fldCharType="begin"/>
      </w:r>
      <w:r w:rsidR="003D157F">
        <w:rPr>
          <w:noProof/>
        </w:rPr>
        <w:instrText xml:space="preserve"> PAGEREF _Toc143001039 \h </w:instrText>
      </w:r>
      <w:r w:rsidR="003D157F">
        <w:rPr>
          <w:noProof/>
        </w:rPr>
      </w:r>
      <w:r w:rsidR="003D157F">
        <w:rPr>
          <w:noProof/>
        </w:rPr>
        <w:fldChar w:fldCharType="separate"/>
      </w:r>
      <w:r w:rsidR="00365C20">
        <w:rPr>
          <w:noProof/>
        </w:rPr>
        <w:t>2</w:t>
      </w:r>
      <w:r w:rsidR="003D157F">
        <w:rPr>
          <w:noProof/>
        </w:rPr>
        <w:fldChar w:fldCharType="end"/>
      </w:r>
    </w:p>
    <w:p w14:paraId="038306D4" w14:textId="497B4BF7" w:rsidR="003D157F" w:rsidRDefault="003D157F" w:rsidP="00FA3A63">
      <w:pPr>
        <w:pStyle w:val="TOC2"/>
        <w:rPr>
          <w:rFonts w:asciiTheme="minorHAnsi" w:eastAsiaTheme="minorEastAsia" w:hAnsiTheme="minorHAnsi" w:cstheme="minorBidi"/>
          <w:kern w:val="2"/>
          <w:sz w:val="22"/>
          <w:szCs w:val="22"/>
          <w14:ligatures w14:val="standardContextual"/>
        </w:rPr>
      </w:pPr>
      <w:r>
        <w:rPr>
          <w:noProof/>
        </w:rPr>
        <w:t>A.</w:t>
      </w:r>
      <w:r>
        <w:rPr>
          <w:rFonts w:asciiTheme="minorHAnsi" w:eastAsiaTheme="minorEastAsia" w:hAnsiTheme="minorHAnsi" w:cstheme="minorBidi"/>
          <w:kern w:val="2"/>
          <w:sz w:val="22"/>
          <w:szCs w:val="22"/>
          <w14:ligatures w14:val="standardContextual"/>
        </w:rPr>
        <w:tab/>
      </w:r>
      <w:r>
        <w:rPr>
          <w:noProof/>
        </w:rPr>
        <w:t>Purpose of Solicitation</w:t>
      </w:r>
      <w:r>
        <w:rPr>
          <w:noProof/>
        </w:rPr>
        <w:tab/>
      </w:r>
      <w:r>
        <w:rPr>
          <w:noProof/>
        </w:rPr>
        <w:fldChar w:fldCharType="begin"/>
      </w:r>
      <w:r>
        <w:rPr>
          <w:noProof/>
        </w:rPr>
        <w:instrText xml:space="preserve"> PAGEREF _Toc143001040 \h </w:instrText>
      </w:r>
      <w:r>
        <w:rPr>
          <w:noProof/>
        </w:rPr>
      </w:r>
      <w:r>
        <w:rPr>
          <w:noProof/>
        </w:rPr>
        <w:fldChar w:fldCharType="separate"/>
      </w:r>
      <w:r w:rsidR="00365C20">
        <w:rPr>
          <w:noProof/>
        </w:rPr>
        <w:t>2</w:t>
      </w:r>
      <w:r>
        <w:rPr>
          <w:noProof/>
        </w:rPr>
        <w:fldChar w:fldCharType="end"/>
      </w:r>
    </w:p>
    <w:p w14:paraId="54A9A67E" w14:textId="11B08DE7" w:rsidR="003D157F" w:rsidRDefault="003D157F" w:rsidP="00FA3A63">
      <w:pPr>
        <w:pStyle w:val="TOC2"/>
        <w:rPr>
          <w:rFonts w:asciiTheme="minorHAnsi" w:eastAsiaTheme="minorEastAsia" w:hAnsiTheme="minorHAnsi" w:cstheme="minorBidi"/>
          <w:kern w:val="2"/>
          <w:sz w:val="22"/>
          <w:szCs w:val="22"/>
          <w14:ligatures w14:val="standardContextual"/>
        </w:rPr>
      </w:pPr>
      <w:r>
        <w:rPr>
          <w:noProof/>
        </w:rPr>
        <w:t>B.</w:t>
      </w:r>
      <w:r>
        <w:rPr>
          <w:rFonts w:asciiTheme="minorHAnsi" w:eastAsiaTheme="minorEastAsia" w:hAnsiTheme="minorHAnsi" w:cstheme="minorBidi"/>
          <w:kern w:val="2"/>
          <w:sz w:val="22"/>
          <w:szCs w:val="22"/>
          <w14:ligatures w14:val="standardContextual"/>
        </w:rPr>
        <w:tab/>
      </w:r>
      <w:r>
        <w:rPr>
          <w:noProof/>
        </w:rPr>
        <w:t>Key Words/Terms</w:t>
      </w:r>
      <w:r>
        <w:rPr>
          <w:noProof/>
        </w:rPr>
        <w:tab/>
      </w:r>
      <w:r>
        <w:rPr>
          <w:noProof/>
        </w:rPr>
        <w:fldChar w:fldCharType="begin"/>
      </w:r>
      <w:r>
        <w:rPr>
          <w:noProof/>
        </w:rPr>
        <w:instrText xml:space="preserve"> PAGEREF _Toc143001041 \h </w:instrText>
      </w:r>
      <w:r>
        <w:rPr>
          <w:noProof/>
        </w:rPr>
      </w:r>
      <w:r>
        <w:rPr>
          <w:noProof/>
        </w:rPr>
        <w:fldChar w:fldCharType="separate"/>
      </w:r>
      <w:r w:rsidR="00365C20">
        <w:rPr>
          <w:noProof/>
        </w:rPr>
        <w:t>3</w:t>
      </w:r>
      <w:r>
        <w:rPr>
          <w:noProof/>
        </w:rPr>
        <w:fldChar w:fldCharType="end"/>
      </w:r>
    </w:p>
    <w:p w14:paraId="0B650173" w14:textId="702C94CF" w:rsidR="003D157F" w:rsidRDefault="003D157F" w:rsidP="00FA3A63">
      <w:pPr>
        <w:pStyle w:val="TOC2"/>
        <w:rPr>
          <w:rFonts w:asciiTheme="minorHAnsi" w:eastAsiaTheme="minorEastAsia" w:hAnsiTheme="minorHAnsi" w:cstheme="minorBidi"/>
          <w:kern w:val="2"/>
          <w:sz w:val="22"/>
          <w:szCs w:val="22"/>
          <w14:ligatures w14:val="standardContextual"/>
        </w:rPr>
      </w:pPr>
      <w:r>
        <w:rPr>
          <w:noProof/>
        </w:rPr>
        <w:t>C.</w:t>
      </w:r>
      <w:r>
        <w:rPr>
          <w:rFonts w:asciiTheme="minorHAnsi" w:eastAsiaTheme="minorEastAsia" w:hAnsiTheme="minorHAnsi" w:cstheme="minorBidi"/>
          <w:kern w:val="2"/>
          <w:sz w:val="22"/>
          <w:szCs w:val="22"/>
          <w14:ligatures w14:val="standardContextual"/>
        </w:rPr>
        <w:tab/>
      </w:r>
      <w:r>
        <w:rPr>
          <w:noProof/>
        </w:rPr>
        <w:t>Project Focus</w:t>
      </w:r>
      <w:r>
        <w:rPr>
          <w:noProof/>
        </w:rPr>
        <w:tab/>
      </w:r>
      <w:r>
        <w:rPr>
          <w:noProof/>
        </w:rPr>
        <w:fldChar w:fldCharType="begin"/>
      </w:r>
      <w:r>
        <w:rPr>
          <w:noProof/>
        </w:rPr>
        <w:instrText xml:space="preserve"> PAGEREF _Toc143001042 \h </w:instrText>
      </w:r>
      <w:r>
        <w:rPr>
          <w:noProof/>
        </w:rPr>
      </w:r>
      <w:r>
        <w:rPr>
          <w:noProof/>
        </w:rPr>
        <w:fldChar w:fldCharType="separate"/>
      </w:r>
      <w:r w:rsidR="00365C20">
        <w:rPr>
          <w:noProof/>
        </w:rPr>
        <w:t>6</w:t>
      </w:r>
      <w:r>
        <w:rPr>
          <w:noProof/>
        </w:rPr>
        <w:fldChar w:fldCharType="end"/>
      </w:r>
    </w:p>
    <w:p w14:paraId="3CF54BCE" w14:textId="69619A14" w:rsidR="003D157F" w:rsidRDefault="003D157F" w:rsidP="00FA3A63">
      <w:pPr>
        <w:pStyle w:val="TOC2"/>
        <w:rPr>
          <w:rFonts w:asciiTheme="minorHAnsi" w:eastAsiaTheme="minorEastAsia" w:hAnsiTheme="minorHAnsi" w:cstheme="minorBidi"/>
          <w:kern w:val="2"/>
          <w:sz w:val="22"/>
          <w:szCs w:val="22"/>
          <w14:ligatures w14:val="standardContextual"/>
        </w:rPr>
      </w:pPr>
      <w:r>
        <w:rPr>
          <w:noProof/>
        </w:rPr>
        <w:t>D.</w:t>
      </w:r>
      <w:r>
        <w:rPr>
          <w:rFonts w:asciiTheme="minorHAnsi" w:eastAsiaTheme="minorEastAsia" w:hAnsiTheme="minorHAnsi" w:cstheme="minorBidi"/>
          <w:kern w:val="2"/>
          <w:sz w:val="22"/>
          <w:szCs w:val="22"/>
          <w14:ligatures w14:val="standardContextual"/>
        </w:rPr>
        <w:tab/>
      </w:r>
      <w:r>
        <w:rPr>
          <w:noProof/>
        </w:rPr>
        <w:t>Funding</w:t>
      </w:r>
      <w:r>
        <w:rPr>
          <w:noProof/>
        </w:rPr>
        <w:tab/>
      </w:r>
      <w:r>
        <w:rPr>
          <w:noProof/>
        </w:rPr>
        <w:fldChar w:fldCharType="begin"/>
      </w:r>
      <w:r>
        <w:rPr>
          <w:noProof/>
        </w:rPr>
        <w:instrText xml:space="preserve"> PAGEREF _Toc143001043 \h </w:instrText>
      </w:r>
      <w:r>
        <w:rPr>
          <w:noProof/>
        </w:rPr>
      </w:r>
      <w:r>
        <w:rPr>
          <w:noProof/>
        </w:rPr>
        <w:fldChar w:fldCharType="separate"/>
      </w:r>
      <w:r w:rsidR="00365C20">
        <w:rPr>
          <w:noProof/>
        </w:rPr>
        <w:t>9</w:t>
      </w:r>
      <w:r>
        <w:rPr>
          <w:noProof/>
        </w:rPr>
        <w:fldChar w:fldCharType="end"/>
      </w:r>
    </w:p>
    <w:p w14:paraId="2969EC10" w14:textId="0078AD27" w:rsidR="003D157F" w:rsidRDefault="003D157F" w:rsidP="00FA3A63">
      <w:pPr>
        <w:pStyle w:val="TOC2"/>
        <w:rPr>
          <w:rFonts w:asciiTheme="minorHAnsi" w:eastAsiaTheme="minorEastAsia" w:hAnsiTheme="minorHAnsi" w:cstheme="minorBidi"/>
          <w:kern w:val="2"/>
          <w:sz w:val="22"/>
          <w:szCs w:val="22"/>
          <w14:ligatures w14:val="standardContextual"/>
        </w:rPr>
      </w:pPr>
      <w:r>
        <w:rPr>
          <w:noProof/>
        </w:rPr>
        <w:t>E.</w:t>
      </w:r>
      <w:r>
        <w:rPr>
          <w:rFonts w:asciiTheme="minorHAnsi" w:eastAsiaTheme="minorEastAsia" w:hAnsiTheme="minorHAnsi" w:cstheme="minorBidi"/>
          <w:kern w:val="2"/>
          <w:sz w:val="22"/>
          <w:szCs w:val="22"/>
          <w14:ligatures w14:val="standardContextual"/>
        </w:rPr>
        <w:tab/>
      </w:r>
      <w:r>
        <w:rPr>
          <w:noProof/>
        </w:rPr>
        <w:t>Key Activities Schedule</w:t>
      </w:r>
      <w:r>
        <w:rPr>
          <w:noProof/>
        </w:rPr>
        <w:tab/>
      </w:r>
      <w:r>
        <w:rPr>
          <w:noProof/>
        </w:rPr>
        <w:fldChar w:fldCharType="begin"/>
      </w:r>
      <w:r>
        <w:rPr>
          <w:noProof/>
        </w:rPr>
        <w:instrText xml:space="preserve"> PAGEREF _Toc143001044 \h </w:instrText>
      </w:r>
      <w:r>
        <w:rPr>
          <w:noProof/>
        </w:rPr>
      </w:r>
      <w:r>
        <w:rPr>
          <w:noProof/>
        </w:rPr>
        <w:fldChar w:fldCharType="separate"/>
      </w:r>
      <w:r w:rsidR="00365C20">
        <w:rPr>
          <w:noProof/>
        </w:rPr>
        <w:t>10</w:t>
      </w:r>
      <w:r>
        <w:rPr>
          <w:noProof/>
        </w:rPr>
        <w:fldChar w:fldCharType="end"/>
      </w:r>
    </w:p>
    <w:p w14:paraId="5F91ED90" w14:textId="3919F558" w:rsidR="003D157F" w:rsidRDefault="003D157F" w:rsidP="00FA3A63">
      <w:pPr>
        <w:pStyle w:val="TOC2"/>
        <w:rPr>
          <w:rFonts w:asciiTheme="minorHAnsi" w:eastAsiaTheme="minorEastAsia" w:hAnsiTheme="minorHAnsi" w:cstheme="minorBidi"/>
          <w:kern w:val="2"/>
          <w:sz w:val="22"/>
          <w:szCs w:val="22"/>
          <w14:ligatures w14:val="standardContextual"/>
        </w:rPr>
      </w:pPr>
      <w:r>
        <w:rPr>
          <w:noProof/>
        </w:rPr>
        <w:t>F.</w:t>
      </w:r>
      <w:r>
        <w:rPr>
          <w:rFonts w:asciiTheme="minorHAnsi" w:eastAsiaTheme="minorEastAsia" w:hAnsiTheme="minorHAnsi" w:cstheme="minorBidi"/>
          <w:kern w:val="2"/>
          <w:sz w:val="22"/>
          <w:szCs w:val="22"/>
          <w14:ligatures w14:val="standardContextual"/>
        </w:rPr>
        <w:tab/>
      </w:r>
      <w:r>
        <w:rPr>
          <w:noProof/>
        </w:rPr>
        <w:t>Notice of Pre-Application Workshop</w:t>
      </w:r>
      <w:r>
        <w:rPr>
          <w:noProof/>
        </w:rPr>
        <w:tab/>
      </w:r>
      <w:r>
        <w:rPr>
          <w:noProof/>
        </w:rPr>
        <w:fldChar w:fldCharType="begin"/>
      </w:r>
      <w:r>
        <w:rPr>
          <w:noProof/>
        </w:rPr>
        <w:instrText xml:space="preserve"> PAGEREF _Toc143001045 \h </w:instrText>
      </w:r>
      <w:r>
        <w:rPr>
          <w:noProof/>
        </w:rPr>
      </w:r>
      <w:r>
        <w:rPr>
          <w:noProof/>
        </w:rPr>
        <w:fldChar w:fldCharType="separate"/>
      </w:r>
      <w:r w:rsidR="00365C20">
        <w:rPr>
          <w:noProof/>
        </w:rPr>
        <w:t>10</w:t>
      </w:r>
      <w:r>
        <w:rPr>
          <w:noProof/>
        </w:rPr>
        <w:fldChar w:fldCharType="end"/>
      </w:r>
    </w:p>
    <w:p w14:paraId="7C539FA6" w14:textId="1766B4F2" w:rsidR="003D157F" w:rsidRDefault="003D157F" w:rsidP="00FA3A63">
      <w:pPr>
        <w:pStyle w:val="TOC2"/>
        <w:rPr>
          <w:rFonts w:asciiTheme="minorHAnsi" w:eastAsiaTheme="minorEastAsia" w:hAnsiTheme="minorHAnsi" w:cstheme="minorBidi"/>
          <w:kern w:val="2"/>
          <w:sz w:val="22"/>
          <w:szCs w:val="22"/>
          <w14:ligatures w14:val="standardContextual"/>
        </w:rPr>
      </w:pPr>
      <w:r>
        <w:rPr>
          <w:noProof/>
        </w:rPr>
        <w:t>G.</w:t>
      </w:r>
      <w:r>
        <w:rPr>
          <w:rFonts w:asciiTheme="minorHAnsi" w:eastAsiaTheme="minorEastAsia" w:hAnsiTheme="minorHAnsi" w:cstheme="minorBidi"/>
          <w:kern w:val="2"/>
          <w:sz w:val="22"/>
          <w:szCs w:val="22"/>
          <w14:ligatures w14:val="standardContextual"/>
        </w:rPr>
        <w:tab/>
      </w:r>
      <w:r>
        <w:rPr>
          <w:noProof/>
        </w:rPr>
        <w:t>Questions</w:t>
      </w:r>
      <w:r>
        <w:rPr>
          <w:noProof/>
        </w:rPr>
        <w:tab/>
      </w:r>
      <w:r>
        <w:rPr>
          <w:noProof/>
        </w:rPr>
        <w:fldChar w:fldCharType="begin"/>
      </w:r>
      <w:r>
        <w:rPr>
          <w:noProof/>
        </w:rPr>
        <w:instrText xml:space="preserve"> PAGEREF _Toc143001046 \h </w:instrText>
      </w:r>
      <w:r>
        <w:rPr>
          <w:noProof/>
        </w:rPr>
      </w:r>
      <w:r>
        <w:rPr>
          <w:noProof/>
        </w:rPr>
        <w:fldChar w:fldCharType="separate"/>
      </w:r>
      <w:r w:rsidR="00365C20">
        <w:rPr>
          <w:noProof/>
        </w:rPr>
        <w:t>11</w:t>
      </w:r>
      <w:r>
        <w:rPr>
          <w:noProof/>
        </w:rPr>
        <w:fldChar w:fldCharType="end"/>
      </w:r>
    </w:p>
    <w:p w14:paraId="2F20AA8D" w14:textId="42DCB18C" w:rsidR="003D157F" w:rsidRDefault="003D157F" w:rsidP="00FA3A63">
      <w:pPr>
        <w:pStyle w:val="TOC2"/>
        <w:rPr>
          <w:rFonts w:asciiTheme="minorHAnsi" w:eastAsiaTheme="minorEastAsia" w:hAnsiTheme="minorHAnsi" w:cstheme="minorBidi"/>
          <w:kern w:val="2"/>
          <w:sz w:val="22"/>
          <w:szCs w:val="22"/>
          <w14:ligatures w14:val="standardContextual"/>
        </w:rPr>
      </w:pPr>
      <w:r w:rsidRPr="003F7209">
        <w:t>H.</w:t>
      </w:r>
      <w:r>
        <w:rPr>
          <w:rFonts w:asciiTheme="minorHAnsi" w:eastAsiaTheme="minorEastAsia" w:hAnsiTheme="minorHAnsi" w:cstheme="minorBidi"/>
          <w:kern w:val="2"/>
          <w:sz w:val="22"/>
          <w:szCs w:val="22"/>
          <w14:ligatures w14:val="standardContextual"/>
        </w:rPr>
        <w:tab/>
      </w:r>
      <w:r>
        <w:rPr>
          <w:noProof/>
        </w:rPr>
        <w:t>Applicants’ Admonishment</w:t>
      </w:r>
      <w:r>
        <w:rPr>
          <w:noProof/>
        </w:rPr>
        <w:tab/>
      </w:r>
      <w:r>
        <w:rPr>
          <w:noProof/>
        </w:rPr>
        <w:fldChar w:fldCharType="begin"/>
      </w:r>
      <w:r>
        <w:rPr>
          <w:noProof/>
        </w:rPr>
        <w:instrText xml:space="preserve"> PAGEREF _Toc143001047 \h </w:instrText>
      </w:r>
      <w:r>
        <w:rPr>
          <w:noProof/>
        </w:rPr>
      </w:r>
      <w:r>
        <w:rPr>
          <w:noProof/>
        </w:rPr>
        <w:fldChar w:fldCharType="separate"/>
      </w:r>
      <w:r w:rsidR="00365C20">
        <w:rPr>
          <w:noProof/>
        </w:rPr>
        <w:t>12</w:t>
      </w:r>
      <w:r>
        <w:rPr>
          <w:noProof/>
        </w:rPr>
        <w:fldChar w:fldCharType="end"/>
      </w:r>
    </w:p>
    <w:p w14:paraId="133BB7D2" w14:textId="784268AE" w:rsidR="003D157F" w:rsidRDefault="003D157F" w:rsidP="00FA3A63">
      <w:pPr>
        <w:pStyle w:val="TOC2"/>
        <w:rPr>
          <w:rFonts w:asciiTheme="minorHAnsi" w:eastAsiaTheme="minorEastAsia" w:hAnsiTheme="minorHAnsi" w:cstheme="minorBidi"/>
          <w:kern w:val="2"/>
          <w:sz w:val="22"/>
          <w:szCs w:val="22"/>
          <w14:ligatures w14:val="standardContextual"/>
        </w:rPr>
      </w:pPr>
      <w:r>
        <w:rPr>
          <w:noProof/>
        </w:rPr>
        <w:t>I.</w:t>
      </w:r>
      <w:r>
        <w:rPr>
          <w:rFonts w:asciiTheme="minorHAnsi" w:eastAsiaTheme="minorEastAsia" w:hAnsiTheme="minorHAnsi" w:cstheme="minorBidi"/>
          <w:kern w:val="2"/>
          <w:sz w:val="22"/>
          <w:szCs w:val="22"/>
          <w14:ligatures w14:val="standardContextual"/>
        </w:rPr>
        <w:tab/>
      </w:r>
      <w:r>
        <w:rPr>
          <w:noProof/>
        </w:rPr>
        <w:t>Additional Requirements</w:t>
      </w:r>
      <w:r>
        <w:rPr>
          <w:noProof/>
        </w:rPr>
        <w:tab/>
      </w:r>
      <w:r>
        <w:rPr>
          <w:noProof/>
        </w:rPr>
        <w:fldChar w:fldCharType="begin"/>
      </w:r>
      <w:r>
        <w:rPr>
          <w:noProof/>
        </w:rPr>
        <w:instrText xml:space="preserve"> PAGEREF _Toc143001048 \h </w:instrText>
      </w:r>
      <w:r>
        <w:rPr>
          <w:noProof/>
        </w:rPr>
      </w:r>
      <w:r>
        <w:rPr>
          <w:noProof/>
        </w:rPr>
        <w:fldChar w:fldCharType="separate"/>
      </w:r>
      <w:r w:rsidR="00365C20">
        <w:rPr>
          <w:noProof/>
        </w:rPr>
        <w:t>12</w:t>
      </w:r>
      <w:r>
        <w:rPr>
          <w:noProof/>
        </w:rPr>
        <w:fldChar w:fldCharType="end"/>
      </w:r>
    </w:p>
    <w:p w14:paraId="7507A989" w14:textId="4ED5D139" w:rsidR="003D157F" w:rsidRDefault="003D157F" w:rsidP="00FA3A63">
      <w:pPr>
        <w:pStyle w:val="TOC2"/>
        <w:rPr>
          <w:rFonts w:asciiTheme="minorHAnsi" w:eastAsiaTheme="minorEastAsia" w:hAnsiTheme="minorHAnsi" w:cstheme="minorBidi"/>
          <w:kern w:val="2"/>
          <w:sz w:val="22"/>
          <w:szCs w:val="22"/>
          <w14:ligatures w14:val="standardContextual"/>
        </w:rPr>
      </w:pPr>
      <w:r w:rsidRPr="003F7209">
        <w:t>J.</w:t>
      </w:r>
      <w:r>
        <w:rPr>
          <w:rFonts w:asciiTheme="minorHAnsi" w:eastAsiaTheme="minorEastAsia" w:hAnsiTheme="minorHAnsi" w:cstheme="minorBidi"/>
          <w:kern w:val="2"/>
          <w:sz w:val="22"/>
          <w:szCs w:val="22"/>
          <w14:ligatures w14:val="standardContextual"/>
        </w:rPr>
        <w:tab/>
      </w:r>
      <w:r>
        <w:rPr>
          <w:noProof/>
        </w:rPr>
        <w:t>Background</w:t>
      </w:r>
      <w:r>
        <w:rPr>
          <w:noProof/>
        </w:rPr>
        <w:tab/>
      </w:r>
      <w:r>
        <w:rPr>
          <w:noProof/>
        </w:rPr>
        <w:fldChar w:fldCharType="begin"/>
      </w:r>
      <w:r>
        <w:rPr>
          <w:noProof/>
        </w:rPr>
        <w:instrText xml:space="preserve"> PAGEREF _Toc143001049 \h </w:instrText>
      </w:r>
      <w:r>
        <w:rPr>
          <w:noProof/>
        </w:rPr>
      </w:r>
      <w:r>
        <w:rPr>
          <w:noProof/>
        </w:rPr>
        <w:fldChar w:fldCharType="separate"/>
      </w:r>
      <w:r w:rsidR="00365C20">
        <w:rPr>
          <w:noProof/>
        </w:rPr>
        <w:t>13</w:t>
      </w:r>
      <w:r>
        <w:rPr>
          <w:noProof/>
        </w:rPr>
        <w:fldChar w:fldCharType="end"/>
      </w:r>
    </w:p>
    <w:p w14:paraId="41FFDA17" w14:textId="4D9CE8A9" w:rsidR="003D157F" w:rsidRDefault="003D157F" w:rsidP="00FA3A63">
      <w:pPr>
        <w:pStyle w:val="TOC2"/>
        <w:rPr>
          <w:rFonts w:asciiTheme="minorHAnsi" w:eastAsiaTheme="minorEastAsia" w:hAnsiTheme="minorHAnsi" w:cstheme="minorBidi"/>
          <w:kern w:val="2"/>
          <w:sz w:val="22"/>
          <w:szCs w:val="22"/>
          <w14:ligatures w14:val="standardContextual"/>
        </w:rPr>
      </w:pPr>
      <w:r w:rsidRPr="003F7209">
        <w:t>K.</w:t>
      </w:r>
      <w:r>
        <w:rPr>
          <w:rFonts w:asciiTheme="minorHAnsi" w:eastAsiaTheme="minorEastAsia" w:hAnsiTheme="minorHAnsi" w:cstheme="minorBidi"/>
          <w:kern w:val="2"/>
          <w:sz w:val="22"/>
          <w:szCs w:val="22"/>
          <w14:ligatures w14:val="standardContextual"/>
        </w:rPr>
        <w:tab/>
      </w:r>
      <w:r>
        <w:rPr>
          <w:noProof/>
        </w:rPr>
        <w:t>Match Funding</w:t>
      </w:r>
      <w:r>
        <w:rPr>
          <w:noProof/>
        </w:rPr>
        <w:tab/>
      </w:r>
      <w:r>
        <w:rPr>
          <w:noProof/>
        </w:rPr>
        <w:fldChar w:fldCharType="begin"/>
      </w:r>
      <w:r>
        <w:rPr>
          <w:noProof/>
        </w:rPr>
        <w:instrText xml:space="preserve"> PAGEREF _Toc143001050 \h </w:instrText>
      </w:r>
      <w:r>
        <w:rPr>
          <w:noProof/>
        </w:rPr>
      </w:r>
      <w:r>
        <w:rPr>
          <w:noProof/>
        </w:rPr>
        <w:fldChar w:fldCharType="separate"/>
      </w:r>
      <w:r w:rsidR="00365C20">
        <w:rPr>
          <w:noProof/>
        </w:rPr>
        <w:t>14</w:t>
      </w:r>
      <w:r>
        <w:rPr>
          <w:noProof/>
        </w:rPr>
        <w:fldChar w:fldCharType="end"/>
      </w:r>
    </w:p>
    <w:p w14:paraId="0F5E7ECC" w14:textId="05526B7C" w:rsidR="003D157F" w:rsidRDefault="003D157F" w:rsidP="00FA3A63">
      <w:pPr>
        <w:pStyle w:val="TOC2"/>
        <w:rPr>
          <w:rFonts w:asciiTheme="minorHAnsi" w:eastAsiaTheme="minorEastAsia" w:hAnsiTheme="minorHAnsi" w:cstheme="minorBidi"/>
          <w:kern w:val="2"/>
          <w:sz w:val="22"/>
          <w:szCs w:val="22"/>
          <w14:ligatures w14:val="standardContextual"/>
        </w:rPr>
      </w:pPr>
      <w:r w:rsidRPr="003F7209">
        <w:t>L.</w:t>
      </w:r>
      <w:r>
        <w:rPr>
          <w:rFonts w:asciiTheme="minorHAnsi" w:eastAsiaTheme="minorEastAsia" w:hAnsiTheme="minorHAnsi" w:cstheme="minorBidi"/>
          <w:kern w:val="2"/>
          <w:sz w:val="22"/>
          <w:szCs w:val="22"/>
          <w14:ligatures w14:val="standardContextual"/>
        </w:rPr>
        <w:tab/>
      </w:r>
      <w:r>
        <w:rPr>
          <w:noProof/>
        </w:rPr>
        <w:t>Funds Spent in California</w:t>
      </w:r>
      <w:r>
        <w:rPr>
          <w:noProof/>
        </w:rPr>
        <w:tab/>
      </w:r>
      <w:r>
        <w:rPr>
          <w:noProof/>
        </w:rPr>
        <w:fldChar w:fldCharType="begin"/>
      </w:r>
      <w:r>
        <w:rPr>
          <w:noProof/>
        </w:rPr>
        <w:instrText xml:space="preserve"> PAGEREF _Toc143001051 \h </w:instrText>
      </w:r>
      <w:r>
        <w:rPr>
          <w:noProof/>
        </w:rPr>
      </w:r>
      <w:r>
        <w:rPr>
          <w:noProof/>
        </w:rPr>
        <w:fldChar w:fldCharType="separate"/>
      </w:r>
      <w:r w:rsidR="00365C20">
        <w:rPr>
          <w:noProof/>
        </w:rPr>
        <w:t>16</w:t>
      </w:r>
      <w:r>
        <w:rPr>
          <w:noProof/>
        </w:rPr>
        <w:fldChar w:fldCharType="end"/>
      </w:r>
    </w:p>
    <w:p w14:paraId="373314CD" w14:textId="7769FFC3" w:rsidR="003D157F" w:rsidRDefault="003D157F">
      <w:pPr>
        <w:pStyle w:val="TOC1"/>
        <w:rPr>
          <w:rFonts w:asciiTheme="minorHAnsi" w:eastAsiaTheme="minorEastAsia" w:hAnsiTheme="minorHAnsi" w:cstheme="minorBidi"/>
          <w:b w:val="0"/>
          <w:bCs w:val="0"/>
          <w:caps w:val="0"/>
          <w:noProof/>
          <w:kern w:val="2"/>
          <w:sz w:val="22"/>
          <w:szCs w:val="22"/>
          <w14:ligatures w14:val="standardContextual"/>
        </w:rPr>
      </w:pPr>
      <w:r>
        <w:rPr>
          <w:noProof/>
        </w:rPr>
        <w:t>II.</w:t>
      </w:r>
      <w:r>
        <w:rPr>
          <w:rFonts w:asciiTheme="minorHAnsi" w:eastAsiaTheme="minorEastAsia" w:hAnsiTheme="minorHAnsi" w:cstheme="minorBidi"/>
          <w:b w:val="0"/>
          <w:bCs w:val="0"/>
          <w:caps w:val="0"/>
          <w:noProof/>
          <w:kern w:val="2"/>
          <w:sz w:val="22"/>
          <w:szCs w:val="22"/>
          <w14:ligatures w14:val="standardContextual"/>
        </w:rPr>
        <w:tab/>
      </w:r>
      <w:r>
        <w:rPr>
          <w:noProof/>
        </w:rPr>
        <w:t>Eligibility Requirements</w:t>
      </w:r>
      <w:r>
        <w:rPr>
          <w:noProof/>
        </w:rPr>
        <w:tab/>
      </w:r>
      <w:r>
        <w:rPr>
          <w:noProof/>
        </w:rPr>
        <w:fldChar w:fldCharType="begin"/>
      </w:r>
      <w:r>
        <w:rPr>
          <w:noProof/>
        </w:rPr>
        <w:instrText xml:space="preserve"> PAGEREF _Toc143001052 \h </w:instrText>
      </w:r>
      <w:r>
        <w:rPr>
          <w:noProof/>
        </w:rPr>
      </w:r>
      <w:r>
        <w:rPr>
          <w:noProof/>
        </w:rPr>
        <w:fldChar w:fldCharType="separate"/>
      </w:r>
      <w:r w:rsidR="00365C20">
        <w:rPr>
          <w:noProof/>
        </w:rPr>
        <w:t>17</w:t>
      </w:r>
      <w:r>
        <w:rPr>
          <w:noProof/>
        </w:rPr>
        <w:fldChar w:fldCharType="end"/>
      </w:r>
    </w:p>
    <w:p w14:paraId="3DB1DB42" w14:textId="7EC54CDD" w:rsidR="003D157F" w:rsidRDefault="003D157F" w:rsidP="00FA3A63">
      <w:pPr>
        <w:pStyle w:val="TOC2"/>
        <w:rPr>
          <w:rFonts w:asciiTheme="minorHAnsi" w:eastAsiaTheme="minorEastAsia" w:hAnsiTheme="minorHAnsi" w:cstheme="minorBidi"/>
          <w:kern w:val="2"/>
          <w:sz w:val="22"/>
          <w:szCs w:val="22"/>
          <w14:ligatures w14:val="standardContextual"/>
        </w:rPr>
      </w:pPr>
      <w:r>
        <w:rPr>
          <w:noProof/>
        </w:rPr>
        <w:t>A.</w:t>
      </w:r>
      <w:r>
        <w:rPr>
          <w:rFonts w:asciiTheme="minorHAnsi" w:eastAsiaTheme="minorEastAsia" w:hAnsiTheme="minorHAnsi" w:cstheme="minorBidi"/>
          <w:kern w:val="2"/>
          <w:sz w:val="22"/>
          <w:szCs w:val="22"/>
          <w14:ligatures w14:val="standardContextual"/>
        </w:rPr>
        <w:tab/>
      </w:r>
      <w:r>
        <w:rPr>
          <w:noProof/>
        </w:rPr>
        <w:t>Applicant Requirements</w:t>
      </w:r>
      <w:r>
        <w:rPr>
          <w:noProof/>
        </w:rPr>
        <w:tab/>
      </w:r>
      <w:r>
        <w:rPr>
          <w:noProof/>
        </w:rPr>
        <w:fldChar w:fldCharType="begin"/>
      </w:r>
      <w:r>
        <w:rPr>
          <w:noProof/>
        </w:rPr>
        <w:instrText xml:space="preserve"> PAGEREF _Toc143001053 \h </w:instrText>
      </w:r>
      <w:r>
        <w:rPr>
          <w:noProof/>
        </w:rPr>
      </w:r>
      <w:r>
        <w:rPr>
          <w:noProof/>
        </w:rPr>
        <w:fldChar w:fldCharType="separate"/>
      </w:r>
      <w:r w:rsidR="00365C20">
        <w:rPr>
          <w:noProof/>
        </w:rPr>
        <w:t>17</w:t>
      </w:r>
      <w:r>
        <w:rPr>
          <w:noProof/>
        </w:rPr>
        <w:fldChar w:fldCharType="end"/>
      </w:r>
    </w:p>
    <w:p w14:paraId="6B354432" w14:textId="3B3EE93A" w:rsidR="003D157F" w:rsidRDefault="003D157F" w:rsidP="00FA3A63">
      <w:pPr>
        <w:pStyle w:val="TOC2"/>
        <w:rPr>
          <w:rFonts w:asciiTheme="minorHAnsi" w:eastAsiaTheme="minorEastAsia" w:hAnsiTheme="minorHAnsi" w:cstheme="minorBidi"/>
          <w:kern w:val="2"/>
          <w:sz w:val="22"/>
          <w:szCs w:val="22"/>
          <w14:ligatures w14:val="standardContextual"/>
        </w:rPr>
      </w:pPr>
      <w:r>
        <w:rPr>
          <w:noProof/>
        </w:rPr>
        <w:t>B.</w:t>
      </w:r>
      <w:r>
        <w:rPr>
          <w:rFonts w:asciiTheme="minorHAnsi" w:eastAsiaTheme="minorEastAsia" w:hAnsiTheme="minorHAnsi" w:cstheme="minorBidi"/>
          <w:kern w:val="2"/>
          <w:sz w:val="22"/>
          <w:szCs w:val="22"/>
          <w14:ligatures w14:val="standardContextual"/>
        </w:rPr>
        <w:tab/>
      </w:r>
      <w:r>
        <w:rPr>
          <w:noProof/>
        </w:rPr>
        <w:t>Project Requirements</w:t>
      </w:r>
      <w:r>
        <w:rPr>
          <w:noProof/>
        </w:rPr>
        <w:tab/>
      </w:r>
      <w:r>
        <w:rPr>
          <w:noProof/>
        </w:rPr>
        <w:fldChar w:fldCharType="begin"/>
      </w:r>
      <w:r>
        <w:rPr>
          <w:noProof/>
        </w:rPr>
        <w:instrText xml:space="preserve"> PAGEREF _Toc143001054 \h </w:instrText>
      </w:r>
      <w:r>
        <w:rPr>
          <w:noProof/>
        </w:rPr>
      </w:r>
      <w:r>
        <w:rPr>
          <w:noProof/>
        </w:rPr>
        <w:fldChar w:fldCharType="separate"/>
      </w:r>
      <w:r w:rsidR="00365C20">
        <w:rPr>
          <w:noProof/>
        </w:rPr>
        <w:t>19</w:t>
      </w:r>
      <w:r>
        <w:rPr>
          <w:noProof/>
        </w:rPr>
        <w:fldChar w:fldCharType="end"/>
      </w:r>
    </w:p>
    <w:p w14:paraId="75862E78" w14:textId="70F75A2D" w:rsidR="003D157F" w:rsidRDefault="003D157F">
      <w:pPr>
        <w:pStyle w:val="TOC1"/>
        <w:rPr>
          <w:rFonts w:asciiTheme="minorHAnsi" w:eastAsiaTheme="minorEastAsia" w:hAnsiTheme="minorHAnsi" w:cstheme="minorBidi"/>
          <w:b w:val="0"/>
          <w:bCs w:val="0"/>
          <w:caps w:val="0"/>
          <w:noProof/>
          <w:kern w:val="2"/>
          <w:sz w:val="22"/>
          <w:szCs w:val="22"/>
          <w14:ligatures w14:val="standardContextual"/>
        </w:rPr>
      </w:pPr>
      <w:r>
        <w:rPr>
          <w:noProof/>
        </w:rPr>
        <w:t>III.</w:t>
      </w:r>
      <w:r>
        <w:rPr>
          <w:rFonts w:asciiTheme="minorHAnsi" w:eastAsiaTheme="minorEastAsia" w:hAnsiTheme="minorHAnsi" w:cstheme="minorBidi"/>
          <w:b w:val="0"/>
          <w:bCs w:val="0"/>
          <w:caps w:val="0"/>
          <w:noProof/>
          <w:kern w:val="2"/>
          <w:sz w:val="22"/>
          <w:szCs w:val="22"/>
          <w14:ligatures w14:val="standardContextual"/>
        </w:rPr>
        <w:tab/>
      </w:r>
      <w:r>
        <w:rPr>
          <w:noProof/>
        </w:rPr>
        <w:t>Application Organization and Submission Instructions</w:t>
      </w:r>
      <w:r>
        <w:rPr>
          <w:noProof/>
        </w:rPr>
        <w:tab/>
      </w:r>
      <w:r>
        <w:rPr>
          <w:noProof/>
        </w:rPr>
        <w:fldChar w:fldCharType="begin"/>
      </w:r>
      <w:r>
        <w:rPr>
          <w:noProof/>
        </w:rPr>
        <w:instrText xml:space="preserve"> PAGEREF _Toc143001055 \h </w:instrText>
      </w:r>
      <w:r>
        <w:rPr>
          <w:noProof/>
        </w:rPr>
      </w:r>
      <w:r>
        <w:rPr>
          <w:noProof/>
        </w:rPr>
        <w:fldChar w:fldCharType="separate"/>
      </w:r>
      <w:r w:rsidR="00365C20">
        <w:rPr>
          <w:noProof/>
        </w:rPr>
        <w:t>21</w:t>
      </w:r>
      <w:r>
        <w:rPr>
          <w:noProof/>
        </w:rPr>
        <w:fldChar w:fldCharType="end"/>
      </w:r>
    </w:p>
    <w:p w14:paraId="37B1989F" w14:textId="5540A1EF" w:rsidR="003D157F" w:rsidRDefault="003D157F" w:rsidP="00FA3A63">
      <w:pPr>
        <w:pStyle w:val="TOC2"/>
        <w:rPr>
          <w:rFonts w:asciiTheme="minorHAnsi" w:eastAsiaTheme="minorEastAsia" w:hAnsiTheme="minorHAnsi" w:cstheme="minorBidi"/>
          <w:kern w:val="2"/>
          <w:sz w:val="22"/>
          <w:szCs w:val="22"/>
          <w14:ligatures w14:val="standardContextual"/>
        </w:rPr>
      </w:pPr>
      <w:r>
        <w:rPr>
          <w:noProof/>
        </w:rPr>
        <w:t>A.</w:t>
      </w:r>
      <w:r>
        <w:rPr>
          <w:rFonts w:asciiTheme="minorHAnsi" w:eastAsiaTheme="minorEastAsia" w:hAnsiTheme="minorHAnsi" w:cstheme="minorBidi"/>
          <w:kern w:val="2"/>
          <w:sz w:val="22"/>
          <w:szCs w:val="22"/>
          <w14:ligatures w14:val="standardContextual"/>
        </w:rPr>
        <w:tab/>
      </w:r>
      <w:r>
        <w:rPr>
          <w:noProof/>
        </w:rPr>
        <w:t>Application Format, Page Limits, and Number of Copies</w:t>
      </w:r>
      <w:r>
        <w:rPr>
          <w:noProof/>
        </w:rPr>
        <w:tab/>
      </w:r>
      <w:r>
        <w:rPr>
          <w:noProof/>
        </w:rPr>
        <w:fldChar w:fldCharType="begin"/>
      </w:r>
      <w:r>
        <w:rPr>
          <w:noProof/>
        </w:rPr>
        <w:instrText xml:space="preserve"> PAGEREF _Toc143001056 \h </w:instrText>
      </w:r>
      <w:r>
        <w:rPr>
          <w:noProof/>
        </w:rPr>
      </w:r>
      <w:r>
        <w:rPr>
          <w:noProof/>
        </w:rPr>
        <w:fldChar w:fldCharType="separate"/>
      </w:r>
      <w:r w:rsidR="00365C20">
        <w:rPr>
          <w:noProof/>
        </w:rPr>
        <w:t>21</w:t>
      </w:r>
      <w:r>
        <w:rPr>
          <w:noProof/>
        </w:rPr>
        <w:fldChar w:fldCharType="end"/>
      </w:r>
    </w:p>
    <w:p w14:paraId="3338DC50" w14:textId="7C7481DD" w:rsidR="003D157F" w:rsidRDefault="003D157F" w:rsidP="00FA3A63">
      <w:pPr>
        <w:pStyle w:val="TOC2"/>
        <w:rPr>
          <w:rFonts w:asciiTheme="minorHAnsi" w:eastAsiaTheme="minorEastAsia" w:hAnsiTheme="minorHAnsi" w:cstheme="minorBidi"/>
          <w:kern w:val="2"/>
          <w:sz w:val="22"/>
          <w:szCs w:val="22"/>
          <w14:ligatures w14:val="standardContextual"/>
        </w:rPr>
      </w:pPr>
      <w:r>
        <w:rPr>
          <w:noProof/>
        </w:rPr>
        <w:t>B.</w:t>
      </w:r>
      <w:r>
        <w:rPr>
          <w:rFonts w:asciiTheme="minorHAnsi" w:eastAsiaTheme="minorEastAsia" w:hAnsiTheme="minorHAnsi" w:cstheme="minorBidi"/>
          <w:kern w:val="2"/>
          <w:sz w:val="22"/>
          <w:szCs w:val="22"/>
          <w14:ligatures w14:val="standardContextual"/>
        </w:rPr>
        <w:tab/>
      </w:r>
      <w:r>
        <w:rPr>
          <w:noProof/>
        </w:rPr>
        <w:t>Method For Delivery</w:t>
      </w:r>
      <w:r>
        <w:rPr>
          <w:noProof/>
        </w:rPr>
        <w:tab/>
      </w:r>
      <w:r>
        <w:rPr>
          <w:noProof/>
        </w:rPr>
        <w:fldChar w:fldCharType="begin"/>
      </w:r>
      <w:r>
        <w:rPr>
          <w:noProof/>
        </w:rPr>
        <w:instrText xml:space="preserve"> PAGEREF _Toc143001057 \h </w:instrText>
      </w:r>
      <w:r>
        <w:rPr>
          <w:noProof/>
        </w:rPr>
      </w:r>
      <w:r>
        <w:rPr>
          <w:noProof/>
        </w:rPr>
        <w:fldChar w:fldCharType="separate"/>
      </w:r>
      <w:r w:rsidR="00365C20">
        <w:rPr>
          <w:noProof/>
        </w:rPr>
        <w:t>21</w:t>
      </w:r>
      <w:r>
        <w:rPr>
          <w:noProof/>
        </w:rPr>
        <w:fldChar w:fldCharType="end"/>
      </w:r>
    </w:p>
    <w:p w14:paraId="2768A6A8" w14:textId="4C83A229" w:rsidR="003D157F" w:rsidRDefault="003D157F" w:rsidP="00FA3A63">
      <w:pPr>
        <w:pStyle w:val="TOC2"/>
        <w:rPr>
          <w:rFonts w:asciiTheme="minorHAnsi" w:eastAsiaTheme="minorEastAsia" w:hAnsiTheme="minorHAnsi" w:cstheme="minorBidi"/>
          <w:kern w:val="2"/>
          <w:sz w:val="22"/>
          <w:szCs w:val="22"/>
          <w14:ligatures w14:val="standardContextual"/>
        </w:rPr>
      </w:pPr>
      <w:r>
        <w:rPr>
          <w:noProof/>
        </w:rPr>
        <w:t>C.</w:t>
      </w:r>
      <w:r>
        <w:rPr>
          <w:rFonts w:asciiTheme="minorHAnsi" w:eastAsiaTheme="minorEastAsia" w:hAnsiTheme="minorHAnsi" w:cstheme="minorBidi"/>
          <w:kern w:val="2"/>
          <w:sz w:val="22"/>
          <w:szCs w:val="22"/>
          <w14:ligatures w14:val="standardContextual"/>
        </w:rPr>
        <w:tab/>
      </w:r>
      <w:r>
        <w:rPr>
          <w:noProof/>
        </w:rPr>
        <w:t>Application Content</w:t>
      </w:r>
      <w:r>
        <w:rPr>
          <w:noProof/>
        </w:rPr>
        <w:tab/>
      </w:r>
      <w:r>
        <w:rPr>
          <w:noProof/>
        </w:rPr>
        <w:fldChar w:fldCharType="begin"/>
      </w:r>
      <w:r>
        <w:rPr>
          <w:noProof/>
        </w:rPr>
        <w:instrText xml:space="preserve"> PAGEREF _Toc143001058 \h </w:instrText>
      </w:r>
      <w:r>
        <w:rPr>
          <w:noProof/>
        </w:rPr>
      </w:r>
      <w:r>
        <w:rPr>
          <w:noProof/>
        </w:rPr>
        <w:fldChar w:fldCharType="separate"/>
      </w:r>
      <w:r w:rsidR="00365C20">
        <w:rPr>
          <w:noProof/>
        </w:rPr>
        <w:t>22</w:t>
      </w:r>
      <w:r>
        <w:rPr>
          <w:noProof/>
        </w:rPr>
        <w:fldChar w:fldCharType="end"/>
      </w:r>
    </w:p>
    <w:p w14:paraId="74CE3A58" w14:textId="62EE1382" w:rsidR="003D157F" w:rsidRDefault="003D157F">
      <w:pPr>
        <w:pStyle w:val="TOC1"/>
        <w:rPr>
          <w:rFonts w:asciiTheme="minorHAnsi" w:eastAsiaTheme="minorEastAsia" w:hAnsiTheme="minorHAnsi" w:cstheme="minorBidi"/>
          <w:b w:val="0"/>
          <w:bCs w:val="0"/>
          <w:caps w:val="0"/>
          <w:noProof/>
          <w:kern w:val="2"/>
          <w:sz w:val="22"/>
          <w:szCs w:val="22"/>
          <w14:ligatures w14:val="standardContextual"/>
        </w:rPr>
      </w:pPr>
      <w:r>
        <w:rPr>
          <w:noProof/>
        </w:rPr>
        <w:t>IV.</w:t>
      </w:r>
      <w:r>
        <w:rPr>
          <w:rFonts w:asciiTheme="minorHAnsi" w:eastAsiaTheme="minorEastAsia" w:hAnsiTheme="minorHAnsi" w:cstheme="minorBidi"/>
          <w:b w:val="0"/>
          <w:bCs w:val="0"/>
          <w:caps w:val="0"/>
          <w:noProof/>
          <w:kern w:val="2"/>
          <w:sz w:val="22"/>
          <w:szCs w:val="22"/>
          <w14:ligatures w14:val="standardContextual"/>
        </w:rPr>
        <w:tab/>
      </w:r>
      <w:r>
        <w:rPr>
          <w:noProof/>
        </w:rPr>
        <w:t>Evaluation and Award Process</w:t>
      </w:r>
      <w:r>
        <w:rPr>
          <w:noProof/>
        </w:rPr>
        <w:tab/>
      </w:r>
      <w:r>
        <w:rPr>
          <w:noProof/>
        </w:rPr>
        <w:fldChar w:fldCharType="begin"/>
      </w:r>
      <w:r>
        <w:rPr>
          <w:noProof/>
        </w:rPr>
        <w:instrText xml:space="preserve"> PAGEREF _Toc143001059 \h </w:instrText>
      </w:r>
      <w:r>
        <w:rPr>
          <w:noProof/>
        </w:rPr>
      </w:r>
      <w:r>
        <w:rPr>
          <w:noProof/>
        </w:rPr>
        <w:fldChar w:fldCharType="separate"/>
      </w:r>
      <w:r w:rsidR="00365C20">
        <w:rPr>
          <w:noProof/>
        </w:rPr>
        <w:t>28</w:t>
      </w:r>
      <w:r>
        <w:rPr>
          <w:noProof/>
        </w:rPr>
        <w:fldChar w:fldCharType="end"/>
      </w:r>
    </w:p>
    <w:p w14:paraId="26A12E77" w14:textId="65D52AFE" w:rsidR="003D157F" w:rsidRDefault="003D157F" w:rsidP="00FA3A63">
      <w:pPr>
        <w:pStyle w:val="TOC2"/>
        <w:rPr>
          <w:rFonts w:asciiTheme="minorHAnsi" w:eastAsiaTheme="minorEastAsia" w:hAnsiTheme="minorHAnsi" w:cstheme="minorBidi"/>
          <w:kern w:val="2"/>
          <w:sz w:val="22"/>
          <w:szCs w:val="22"/>
          <w14:ligatures w14:val="standardContextual"/>
        </w:rPr>
      </w:pPr>
      <w:r>
        <w:rPr>
          <w:noProof/>
        </w:rPr>
        <w:t>A.</w:t>
      </w:r>
      <w:r>
        <w:rPr>
          <w:rFonts w:asciiTheme="minorHAnsi" w:eastAsiaTheme="minorEastAsia" w:hAnsiTheme="minorHAnsi" w:cstheme="minorBidi"/>
          <w:kern w:val="2"/>
          <w:sz w:val="22"/>
          <w:szCs w:val="22"/>
          <w14:ligatures w14:val="standardContextual"/>
        </w:rPr>
        <w:tab/>
      </w:r>
      <w:r>
        <w:rPr>
          <w:noProof/>
        </w:rPr>
        <w:t>Application Evaluation</w:t>
      </w:r>
      <w:r>
        <w:rPr>
          <w:noProof/>
        </w:rPr>
        <w:tab/>
      </w:r>
      <w:r>
        <w:rPr>
          <w:noProof/>
        </w:rPr>
        <w:fldChar w:fldCharType="begin"/>
      </w:r>
      <w:r>
        <w:rPr>
          <w:noProof/>
        </w:rPr>
        <w:instrText xml:space="preserve"> PAGEREF _Toc143001060 \h </w:instrText>
      </w:r>
      <w:r>
        <w:rPr>
          <w:noProof/>
        </w:rPr>
      </w:r>
      <w:r>
        <w:rPr>
          <w:noProof/>
        </w:rPr>
        <w:fldChar w:fldCharType="separate"/>
      </w:r>
      <w:r w:rsidR="00365C20">
        <w:rPr>
          <w:noProof/>
        </w:rPr>
        <w:t>28</w:t>
      </w:r>
      <w:r>
        <w:rPr>
          <w:noProof/>
        </w:rPr>
        <w:fldChar w:fldCharType="end"/>
      </w:r>
    </w:p>
    <w:p w14:paraId="108065AC" w14:textId="3A29F27A" w:rsidR="003D157F" w:rsidRDefault="003D157F" w:rsidP="00FA3A63">
      <w:pPr>
        <w:pStyle w:val="TOC2"/>
        <w:rPr>
          <w:rFonts w:asciiTheme="minorHAnsi" w:eastAsiaTheme="minorEastAsia" w:hAnsiTheme="minorHAnsi" w:cstheme="minorBidi"/>
          <w:kern w:val="2"/>
          <w:sz w:val="22"/>
          <w:szCs w:val="22"/>
          <w14:ligatures w14:val="standardContextual"/>
        </w:rPr>
      </w:pPr>
      <w:r>
        <w:rPr>
          <w:noProof/>
        </w:rPr>
        <w:t>B.</w:t>
      </w:r>
      <w:r>
        <w:rPr>
          <w:rFonts w:asciiTheme="minorHAnsi" w:eastAsiaTheme="minorEastAsia" w:hAnsiTheme="minorHAnsi" w:cstheme="minorBidi"/>
          <w:kern w:val="2"/>
          <w:sz w:val="22"/>
          <w:szCs w:val="22"/>
          <w14:ligatures w14:val="standardContextual"/>
        </w:rPr>
        <w:tab/>
      </w:r>
      <w:r>
        <w:rPr>
          <w:noProof/>
        </w:rPr>
        <w:t>Ranking, Notice of Proposed Award, and Agreement Development</w:t>
      </w:r>
      <w:r>
        <w:rPr>
          <w:noProof/>
        </w:rPr>
        <w:tab/>
      </w:r>
      <w:r>
        <w:rPr>
          <w:noProof/>
        </w:rPr>
        <w:fldChar w:fldCharType="begin"/>
      </w:r>
      <w:r>
        <w:rPr>
          <w:noProof/>
        </w:rPr>
        <w:instrText xml:space="preserve"> PAGEREF _Toc143001061 \h </w:instrText>
      </w:r>
      <w:r>
        <w:rPr>
          <w:noProof/>
        </w:rPr>
      </w:r>
      <w:r>
        <w:rPr>
          <w:noProof/>
        </w:rPr>
        <w:fldChar w:fldCharType="separate"/>
      </w:r>
      <w:r w:rsidR="00365C20">
        <w:rPr>
          <w:noProof/>
        </w:rPr>
        <w:t>28</w:t>
      </w:r>
      <w:r>
        <w:rPr>
          <w:noProof/>
        </w:rPr>
        <w:fldChar w:fldCharType="end"/>
      </w:r>
    </w:p>
    <w:p w14:paraId="28C9342E" w14:textId="45241146" w:rsidR="003D157F" w:rsidRDefault="003D157F" w:rsidP="00FA3A63">
      <w:pPr>
        <w:pStyle w:val="TOC2"/>
        <w:rPr>
          <w:rFonts w:asciiTheme="minorHAnsi" w:eastAsiaTheme="minorEastAsia" w:hAnsiTheme="minorHAnsi" w:cstheme="minorBidi"/>
          <w:kern w:val="2"/>
          <w:sz w:val="22"/>
          <w:szCs w:val="22"/>
          <w14:ligatures w14:val="standardContextual"/>
        </w:rPr>
      </w:pPr>
      <w:r>
        <w:rPr>
          <w:noProof/>
        </w:rPr>
        <w:t>C.</w:t>
      </w:r>
      <w:r>
        <w:rPr>
          <w:rFonts w:asciiTheme="minorHAnsi" w:eastAsiaTheme="minorEastAsia" w:hAnsiTheme="minorHAnsi" w:cstheme="minorBidi"/>
          <w:kern w:val="2"/>
          <w:sz w:val="22"/>
          <w:szCs w:val="22"/>
          <w14:ligatures w14:val="standardContextual"/>
        </w:rPr>
        <w:tab/>
      </w:r>
      <w:r>
        <w:rPr>
          <w:noProof/>
        </w:rPr>
        <w:t>Grounds to Reject an Application or Cancel an Award</w:t>
      </w:r>
      <w:r>
        <w:rPr>
          <w:noProof/>
        </w:rPr>
        <w:tab/>
      </w:r>
      <w:r>
        <w:rPr>
          <w:noProof/>
        </w:rPr>
        <w:fldChar w:fldCharType="begin"/>
      </w:r>
      <w:r>
        <w:rPr>
          <w:noProof/>
        </w:rPr>
        <w:instrText xml:space="preserve"> PAGEREF _Toc143001062 \h </w:instrText>
      </w:r>
      <w:r>
        <w:rPr>
          <w:noProof/>
        </w:rPr>
      </w:r>
      <w:r>
        <w:rPr>
          <w:noProof/>
        </w:rPr>
        <w:fldChar w:fldCharType="separate"/>
      </w:r>
      <w:r w:rsidR="00365C20">
        <w:rPr>
          <w:noProof/>
        </w:rPr>
        <w:t>29</w:t>
      </w:r>
      <w:r>
        <w:rPr>
          <w:noProof/>
        </w:rPr>
        <w:fldChar w:fldCharType="end"/>
      </w:r>
    </w:p>
    <w:p w14:paraId="49E38122" w14:textId="01DBA26F" w:rsidR="003D157F" w:rsidRDefault="003D157F" w:rsidP="00FA3A63">
      <w:pPr>
        <w:pStyle w:val="TOC2"/>
        <w:rPr>
          <w:rFonts w:asciiTheme="minorHAnsi" w:eastAsiaTheme="minorEastAsia" w:hAnsiTheme="minorHAnsi" w:cstheme="minorBidi"/>
          <w:kern w:val="2"/>
          <w:sz w:val="22"/>
          <w:szCs w:val="22"/>
          <w14:ligatures w14:val="standardContextual"/>
        </w:rPr>
      </w:pPr>
      <w:r>
        <w:rPr>
          <w:noProof/>
        </w:rPr>
        <w:t>D.</w:t>
      </w:r>
      <w:r>
        <w:rPr>
          <w:rFonts w:asciiTheme="minorHAnsi" w:eastAsiaTheme="minorEastAsia" w:hAnsiTheme="minorHAnsi" w:cstheme="minorBidi"/>
          <w:kern w:val="2"/>
          <w:sz w:val="22"/>
          <w:szCs w:val="22"/>
          <w14:ligatures w14:val="standardContextual"/>
        </w:rPr>
        <w:tab/>
      </w:r>
      <w:r>
        <w:rPr>
          <w:noProof/>
        </w:rPr>
        <w:t>Miscellaneous</w:t>
      </w:r>
      <w:r>
        <w:rPr>
          <w:noProof/>
        </w:rPr>
        <w:tab/>
      </w:r>
      <w:r>
        <w:rPr>
          <w:noProof/>
        </w:rPr>
        <w:fldChar w:fldCharType="begin"/>
      </w:r>
      <w:r>
        <w:rPr>
          <w:noProof/>
        </w:rPr>
        <w:instrText xml:space="preserve"> PAGEREF _Toc143001063 \h </w:instrText>
      </w:r>
      <w:r>
        <w:rPr>
          <w:noProof/>
        </w:rPr>
      </w:r>
      <w:r>
        <w:rPr>
          <w:noProof/>
        </w:rPr>
        <w:fldChar w:fldCharType="separate"/>
      </w:r>
      <w:r w:rsidR="00365C20">
        <w:rPr>
          <w:noProof/>
        </w:rPr>
        <w:t>30</w:t>
      </w:r>
      <w:r>
        <w:rPr>
          <w:noProof/>
        </w:rPr>
        <w:fldChar w:fldCharType="end"/>
      </w:r>
    </w:p>
    <w:p w14:paraId="37DDC693" w14:textId="47D9F007" w:rsidR="003D157F" w:rsidRDefault="003D157F" w:rsidP="00FA3A63">
      <w:pPr>
        <w:pStyle w:val="TOC2"/>
        <w:rPr>
          <w:rFonts w:asciiTheme="minorHAnsi" w:eastAsiaTheme="minorEastAsia" w:hAnsiTheme="minorHAnsi" w:cstheme="minorBidi"/>
          <w:kern w:val="2"/>
          <w:sz w:val="22"/>
          <w:szCs w:val="22"/>
          <w14:ligatures w14:val="standardContextual"/>
        </w:rPr>
      </w:pPr>
      <w:r>
        <w:rPr>
          <w:noProof/>
        </w:rPr>
        <w:t>E.</w:t>
      </w:r>
      <w:r>
        <w:rPr>
          <w:rFonts w:asciiTheme="minorHAnsi" w:eastAsiaTheme="minorEastAsia" w:hAnsiTheme="minorHAnsi" w:cstheme="minorBidi"/>
          <w:kern w:val="2"/>
          <w:sz w:val="22"/>
          <w:szCs w:val="22"/>
          <w14:ligatures w14:val="standardContextual"/>
        </w:rPr>
        <w:tab/>
      </w:r>
      <w:r>
        <w:rPr>
          <w:noProof/>
        </w:rPr>
        <w:t>Stage One:  Application Screening</w:t>
      </w:r>
      <w:r>
        <w:rPr>
          <w:noProof/>
        </w:rPr>
        <w:tab/>
      </w:r>
      <w:r>
        <w:rPr>
          <w:noProof/>
        </w:rPr>
        <w:fldChar w:fldCharType="begin"/>
      </w:r>
      <w:r>
        <w:rPr>
          <w:noProof/>
        </w:rPr>
        <w:instrText xml:space="preserve"> PAGEREF _Toc143001064 \h </w:instrText>
      </w:r>
      <w:r>
        <w:rPr>
          <w:noProof/>
        </w:rPr>
      </w:r>
      <w:r>
        <w:rPr>
          <w:noProof/>
        </w:rPr>
        <w:fldChar w:fldCharType="separate"/>
      </w:r>
      <w:r w:rsidR="00365C20">
        <w:rPr>
          <w:noProof/>
        </w:rPr>
        <w:t>31</w:t>
      </w:r>
      <w:r>
        <w:rPr>
          <w:noProof/>
        </w:rPr>
        <w:fldChar w:fldCharType="end"/>
      </w:r>
    </w:p>
    <w:p w14:paraId="5217CB58" w14:textId="61290D4C" w:rsidR="003D157F" w:rsidRDefault="003D157F" w:rsidP="00FA3A63">
      <w:pPr>
        <w:pStyle w:val="TOC2"/>
        <w:rPr>
          <w:rFonts w:asciiTheme="minorHAnsi" w:eastAsiaTheme="minorEastAsia" w:hAnsiTheme="minorHAnsi" w:cstheme="minorBidi"/>
          <w:kern w:val="2"/>
          <w:sz w:val="22"/>
          <w:szCs w:val="22"/>
          <w14:ligatures w14:val="standardContextual"/>
        </w:rPr>
      </w:pPr>
      <w:r>
        <w:rPr>
          <w:noProof/>
        </w:rPr>
        <w:t>F.</w:t>
      </w:r>
      <w:r>
        <w:rPr>
          <w:rFonts w:asciiTheme="minorHAnsi" w:eastAsiaTheme="minorEastAsia" w:hAnsiTheme="minorHAnsi" w:cstheme="minorBidi"/>
          <w:kern w:val="2"/>
          <w:sz w:val="22"/>
          <w:szCs w:val="22"/>
          <w14:ligatures w14:val="standardContextual"/>
        </w:rPr>
        <w:tab/>
      </w:r>
      <w:r>
        <w:rPr>
          <w:noProof/>
        </w:rPr>
        <w:t>Stage Two:  Application Scoring</w:t>
      </w:r>
      <w:r>
        <w:rPr>
          <w:noProof/>
        </w:rPr>
        <w:tab/>
      </w:r>
      <w:r>
        <w:rPr>
          <w:noProof/>
        </w:rPr>
        <w:fldChar w:fldCharType="begin"/>
      </w:r>
      <w:r>
        <w:rPr>
          <w:noProof/>
        </w:rPr>
        <w:instrText xml:space="preserve"> PAGEREF _Toc143001065 \h </w:instrText>
      </w:r>
      <w:r>
        <w:rPr>
          <w:noProof/>
        </w:rPr>
      </w:r>
      <w:r>
        <w:rPr>
          <w:noProof/>
        </w:rPr>
        <w:fldChar w:fldCharType="separate"/>
      </w:r>
      <w:r w:rsidR="00365C20">
        <w:rPr>
          <w:noProof/>
        </w:rPr>
        <w:t>32</w:t>
      </w:r>
      <w:r>
        <w:rPr>
          <w:noProof/>
        </w:rPr>
        <w:fldChar w:fldCharType="end"/>
      </w:r>
    </w:p>
    <w:p w14:paraId="3BACCFCC" w14:textId="75E0D5EB" w:rsidR="001C2D56" w:rsidRPr="00C31C1D" w:rsidRDefault="0083690A" w:rsidP="00FC0D90">
      <w:pPr>
        <w:widowControl w:val="0"/>
        <w:jc w:val="both"/>
      </w:pPr>
      <w:r w:rsidRPr="0070672A">
        <w:rPr>
          <w:b/>
          <w:caps/>
          <w:color w:val="2B579A"/>
          <w:szCs w:val="22"/>
          <w:shd w:val="clear" w:color="auto" w:fill="E6E6E6"/>
        </w:rPr>
        <w:fldChar w:fldCharType="end"/>
      </w:r>
      <w:bookmarkEnd w:id="0"/>
    </w:p>
    <w:p w14:paraId="6FACA670" w14:textId="77777777" w:rsidR="003F6147" w:rsidRDefault="003F6147">
      <w:pPr>
        <w:spacing w:after="0"/>
        <w:rPr>
          <w:b/>
        </w:rPr>
      </w:pPr>
      <w:r>
        <w:rPr>
          <w:b/>
        </w:rPr>
        <w:br w:type="page"/>
      </w:r>
    </w:p>
    <w:p w14:paraId="5A1F1E92" w14:textId="77777777" w:rsidR="001C2D56" w:rsidRPr="00C31C1D" w:rsidRDefault="001C2D56" w:rsidP="00A10CB4">
      <w:pPr>
        <w:pStyle w:val="Heading3"/>
        <w:widowControl w:val="0"/>
        <w:spacing w:after="120"/>
        <w:sectPr w:rsidR="001C2D56" w:rsidRPr="00C31C1D" w:rsidSect="00351813">
          <w:headerReference w:type="default" r:id="rId13"/>
          <w:footerReference w:type="default" r:id="rId14"/>
          <w:pgSz w:w="12240" w:h="15840" w:code="1"/>
          <w:pgMar w:top="1440" w:right="1440" w:bottom="1440" w:left="1440" w:header="1008" w:footer="432" w:gutter="0"/>
          <w:pgNumType w:fmt="lowerRoman" w:start="1"/>
          <w:cols w:space="720"/>
        </w:sectPr>
      </w:pPr>
      <w:bookmarkStart w:id="1" w:name="_Toc481569610"/>
      <w:bookmarkStart w:id="2" w:name="_Toc481570193"/>
      <w:bookmarkStart w:id="3" w:name="_Toc12770880"/>
    </w:p>
    <w:tbl>
      <w:tblPr>
        <w:tblW w:w="9540" w:type="dxa"/>
        <w:tblInd w:w="-72" w:type="dxa"/>
        <w:tblLayout w:type="fixed"/>
        <w:tblLook w:val="0000" w:firstRow="0" w:lastRow="0" w:firstColumn="0" w:lastColumn="0" w:noHBand="0" w:noVBand="0"/>
      </w:tblPr>
      <w:tblGrid>
        <w:gridCol w:w="9540"/>
      </w:tblGrid>
      <w:tr w:rsidR="003F6147" w:rsidRPr="003F6147" w14:paraId="534E3767" w14:textId="77777777" w:rsidTr="162F70EF">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4" w:name="_Toc219275079"/>
            <w:bookmarkStart w:id="5" w:name="_Toc336443614"/>
            <w:bookmarkStart w:id="6"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162F70EF">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6D287990" w14:textId="77777777" w:rsidTr="162F70E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23BCFDE" w14:textId="77777777" w:rsidR="003F6147" w:rsidRPr="003F6147" w:rsidRDefault="003F6147" w:rsidP="003F6147">
                  <w:pPr>
                    <w:spacing w:after="0"/>
                    <w:jc w:val="both"/>
                    <w:rPr>
                      <w:szCs w:val="22"/>
                    </w:rPr>
                  </w:pPr>
                  <w:r w:rsidRPr="003F6147">
                    <w:rPr>
                      <w:szCs w:val="22"/>
                    </w:rPr>
                    <w:t>1</w:t>
                  </w:r>
                </w:p>
              </w:tc>
              <w:tc>
                <w:tcPr>
                  <w:cnfStyle w:val="000010000000" w:firstRow="0" w:lastRow="0" w:firstColumn="0" w:lastColumn="0" w:oddVBand="1" w:evenVBand="0" w:oddHBand="0" w:evenHBand="0" w:firstRowFirstColumn="0" w:firstRowLastColumn="0" w:lastRowFirstColumn="0" w:lastRowLastColumn="0"/>
                  <w:tcW w:w="7138" w:type="dxa"/>
                </w:tcPr>
                <w:p w14:paraId="0BA251CA" w14:textId="77777777" w:rsidR="003F6147" w:rsidRPr="003F6147" w:rsidRDefault="003F6147" w:rsidP="003F6147">
                  <w:pPr>
                    <w:spacing w:after="0"/>
                    <w:jc w:val="both"/>
                    <w:rPr>
                      <w:szCs w:val="22"/>
                    </w:rPr>
                  </w:pPr>
                  <w:r w:rsidRPr="003F6147">
                    <w:rPr>
                      <w:szCs w:val="22"/>
                    </w:rPr>
                    <w:t xml:space="preserve">Application Form </w:t>
                  </w:r>
                  <w:r w:rsidRPr="003F6147">
                    <w:rPr>
                      <w:b/>
                      <w:i/>
                      <w:szCs w:val="22"/>
                    </w:rPr>
                    <w:t>(requires signature)</w:t>
                  </w:r>
                </w:p>
              </w:tc>
            </w:tr>
            <w:tr w:rsidR="003F6147" w:rsidRPr="003F6147" w14:paraId="2F485E19" w14:textId="77777777" w:rsidTr="162F70EF">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77777777" w:rsidR="003F6147" w:rsidRPr="003F6147" w:rsidRDefault="003F6147" w:rsidP="003F6147">
                  <w:pPr>
                    <w:spacing w:after="0"/>
                    <w:jc w:val="both"/>
                  </w:pPr>
                  <w:r w:rsidRPr="003F6147">
                    <w:t>2</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7777777" w:rsidR="003F6147" w:rsidRPr="003F6147" w:rsidRDefault="003F6147" w:rsidP="003F6147">
                  <w:pPr>
                    <w:spacing w:after="0"/>
                    <w:jc w:val="both"/>
                  </w:pPr>
                  <w:r w:rsidRPr="003F6147">
                    <w:t xml:space="preserve">Executive Summary </w:t>
                  </w:r>
                </w:p>
              </w:tc>
            </w:tr>
            <w:tr w:rsidR="003F6147" w:rsidRPr="003F6147" w14:paraId="5BC5FAB8" w14:textId="77777777" w:rsidTr="162F70EF">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77777777" w:rsidR="003F6147" w:rsidRPr="003F6147" w:rsidRDefault="003F6147" w:rsidP="003F6147">
                  <w:pPr>
                    <w:spacing w:after="0"/>
                    <w:jc w:val="both"/>
                  </w:pPr>
                  <w:r w:rsidRPr="003F6147">
                    <w:t>3</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77777777" w:rsidR="003F6147" w:rsidRPr="003F6147" w:rsidRDefault="003F6147" w:rsidP="003F6147">
                  <w:pPr>
                    <w:spacing w:after="0"/>
                    <w:jc w:val="both"/>
                  </w:pPr>
                  <w:r w:rsidRPr="003F6147">
                    <w:t xml:space="preserve">Project Narrative </w:t>
                  </w:r>
                </w:p>
              </w:tc>
            </w:tr>
            <w:tr w:rsidR="003F6147" w:rsidRPr="003F6147" w14:paraId="5AA56F0D" w14:textId="77777777" w:rsidTr="162F70EF">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7777777" w:rsidR="003F6147" w:rsidRPr="003F6147" w:rsidRDefault="003F6147" w:rsidP="003F6147">
                  <w:pPr>
                    <w:spacing w:after="0"/>
                    <w:jc w:val="both"/>
                  </w:pPr>
                  <w:r w:rsidRPr="003F6147">
                    <w:t>4</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777777" w:rsidR="003F6147" w:rsidRPr="003F6147" w:rsidRDefault="003F6147" w:rsidP="003F6147">
                  <w:pPr>
                    <w:spacing w:after="0"/>
                    <w:jc w:val="both"/>
                  </w:pPr>
                  <w:r w:rsidRPr="003F6147">
                    <w:t xml:space="preserve">Project Team </w:t>
                  </w:r>
                </w:p>
              </w:tc>
            </w:tr>
            <w:tr w:rsidR="003F6147" w:rsidRPr="003F6147" w14:paraId="38084EBC" w14:textId="77777777" w:rsidTr="162F70E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77777777" w:rsidR="003F6147" w:rsidRPr="003F6147" w:rsidRDefault="003F6147" w:rsidP="003F6147">
                  <w:pPr>
                    <w:spacing w:after="0"/>
                    <w:jc w:val="both"/>
                  </w:pPr>
                  <w:r w:rsidRPr="003F6147">
                    <w:t>5</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7777777" w:rsidR="003F6147" w:rsidRPr="003F6147" w:rsidRDefault="003F6147" w:rsidP="003F6147">
                  <w:pPr>
                    <w:spacing w:after="0"/>
                    <w:jc w:val="both"/>
                  </w:pPr>
                  <w:r w:rsidRPr="003F6147">
                    <w:t xml:space="preserve">Scope of Work </w:t>
                  </w:r>
                </w:p>
              </w:tc>
            </w:tr>
            <w:tr w:rsidR="003F6147" w:rsidRPr="003F6147" w14:paraId="7BB1CF33" w14:textId="77777777" w:rsidTr="162F70EF">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77777777" w:rsidR="003F6147" w:rsidRPr="003F6147" w:rsidRDefault="003F6147" w:rsidP="003F6147">
                  <w:pPr>
                    <w:spacing w:after="0"/>
                    <w:jc w:val="both"/>
                  </w:pPr>
                  <w:r w:rsidRPr="003F6147">
                    <w:t>6</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03F6147">
                  <w:pPr>
                    <w:spacing w:after="0"/>
                    <w:jc w:val="both"/>
                  </w:pPr>
                  <w:r w:rsidRPr="003F6147">
                    <w:t>Project Schedule</w:t>
                  </w:r>
                </w:p>
              </w:tc>
            </w:tr>
            <w:tr w:rsidR="003F6147" w:rsidRPr="003F6147" w14:paraId="3AC77BE5" w14:textId="77777777" w:rsidTr="162F70E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77777777" w:rsidR="003F6147" w:rsidRPr="003F6147" w:rsidRDefault="003F6147" w:rsidP="003F6147">
                  <w:pPr>
                    <w:spacing w:after="0"/>
                    <w:jc w:val="both"/>
                  </w:pPr>
                  <w:r w:rsidRPr="003F6147">
                    <w:t>7</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3F6147">
                  <w:pPr>
                    <w:spacing w:after="0"/>
                    <w:jc w:val="both"/>
                  </w:pPr>
                  <w:r w:rsidRPr="003F6147">
                    <w:t xml:space="preserve">Budget </w:t>
                  </w:r>
                </w:p>
              </w:tc>
            </w:tr>
            <w:tr w:rsidR="003F6147" w:rsidRPr="003F6147" w14:paraId="326A5734" w14:textId="77777777" w:rsidTr="162F70EF">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7777777" w:rsidR="003F6147" w:rsidRPr="003F6147" w:rsidRDefault="003F6147" w:rsidP="003F6147">
                  <w:pPr>
                    <w:spacing w:after="0"/>
                    <w:jc w:val="both"/>
                  </w:pPr>
                  <w:r w:rsidRPr="003F6147">
                    <w:t>8</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3F6147" w:rsidRDefault="003F6147" w:rsidP="003F6147">
                  <w:pPr>
                    <w:spacing w:after="0"/>
                    <w:jc w:val="both"/>
                  </w:pPr>
                  <w:r w:rsidRPr="003F6147">
                    <w:t xml:space="preserve">CEQA Compliance Form </w:t>
                  </w:r>
                </w:p>
              </w:tc>
            </w:tr>
            <w:tr w:rsidR="003F6147" w:rsidRPr="003F6147" w14:paraId="34B402E0" w14:textId="77777777" w:rsidTr="162F70E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77777777" w:rsidR="003F6147" w:rsidRPr="003F6147" w:rsidRDefault="003F6147" w:rsidP="003F6147">
                  <w:pPr>
                    <w:spacing w:after="0"/>
                    <w:jc w:val="both"/>
                  </w:pPr>
                  <w:r w:rsidRPr="003F6147">
                    <w:t>9</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77777777" w:rsidR="003F6147" w:rsidRPr="003F6147" w:rsidRDefault="003F6147" w:rsidP="003F6147">
                  <w:pPr>
                    <w:spacing w:after="0"/>
                    <w:jc w:val="both"/>
                  </w:pPr>
                  <w:r w:rsidRPr="003F6147">
                    <w:t>References and Work Product</w:t>
                  </w:r>
                </w:p>
              </w:tc>
            </w:tr>
            <w:tr w:rsidR="003F6147" w:rsidRPr="003F6147" w14:paraId="5713D6D3" w14:textId="77777777" w:rsidTr="162F70EF">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77777777" w:rsidR="003F6147" w:rsidRPr="003F6147" w:rsidRDefault="003F6147" w:rsidP="003F6147">
                  <w:pPr>
                    <w:spacing w:after="0"/>
                    <w:jc w:val="both"/>
                  </w:pPr>
                  <w:r w:rsidRPr="003F6147">
                    <w:t>10</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77777777" w:rsidR="003F6147" w:rsidRPr="003F6147" w:rsidRDefault="003F6147" w:rsidP="003F6147">
                  <w:pPr>
                    <w:spacing w:after="0"/>
                    <w:jc w:val="both"/>
                  </w:pPr>
                  <w:r w:rsidRPr="003F6147">
                    <w:t xml:space="preserve">Commitment and Support Letters </w:t>
                  </w:r>
                  <w:r w:rsidRPr="003F6147">
                    <w:rPr>
                      <w:b/>
                      <w:i/>
                      <w:szCs w:val="22"/>
                    </w:rPr>
                    <w:t>(require signature)</w:t>
                  </w:r>
                </w:p>
              </w:tc>
            </w:tr>
            <w:tr w:rsidR="003F6147" w:rsidRPr="003F6147" w14:paraId="76A0B0AC" w14:textId="77777777" w:rsidTr="162F70E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77777777" w:rsidR="003F6147" w:rsidRPr="003F6147" w:rsidRDefault="003F6147" w:rsidP="003F6147">
                  <w:pPr>
                    <w:spacing w:after="0"/>
                    <w:jc w:val="both"/>
                  </w:pPr>
                  <w:r w:rsidRPr="003F6147">
                    <w:t>11</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3F6147">
                  <w:pPr>
                    <w:spacing w:after="0"/>
                    <w:jc w:val="both"/>
                  </w:pPr>
                  <w:r w:rsidRPr="003F6147">
                    <w:t>Project Performance Metrics</w:t>
                  </w:r>
                </w:p>
              </w:tc>
            </w:tr>
            <w:tr w:rsidR="003F6147" w:rsidRPr="003F6147" w14:paraId="0F84002E" w14:textId="77777777" w:rsidTr="162F70EF">
              <w:trPr>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77777777" w:rsidR="003F6147" w:rsidRPr="003F6147" w:rsidRDefault="003F6147" w:rsidP="003F6147">
                  <w:pPr>
                    <w:spacing w:after="0"/>
                    <w:jc w:val="both"/>
                  </w:pPr>
                  <w:r w:rsidRPr="003F6147">
                    <w:t>12</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7777777" w:rsidR="003F6147" w:rsidRPr="003F6147" w:rsidRDefault="003F6147" w:rsidP="003F6147">
                  <w:pPr>
                    <w:spacing w:after="0"/>
                    <w:jc w:val="both"/>
                  </w:pPr>
                  <w:r w:rsidRPr="003F6147">
                    <w:t xml:space="preserve">Applicant Declaration </w:t>
                  </w:r>
                  <w:r w:rsidRPr="003F6147">
                    <w:rPr>
                      <w:b/>
                      <w:i/>
                      <w:szCs w:val="22"/>
                    </w:rPr>
                    <w:t>(require signature)</w:t>
                  </w:r>
                </w:p>
              </w:tc>
            </w:tr>
            <w:tr w:rsidR="00DB5D51" w:rsidRPr="003F6147" w14:paraId="47B8B5FE" w14:textId="77777777" w:rsidTr="162F70EF">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383C0659" w14:textId="139295E4" w:rsidR="00DB5D51" w:rsidRPr="003F6147" w:rsidRDefault="00DB5D51" w:rsidP="003F6147">
                  <w:pPr>
                    <w:spacing w:after="0"/>
                    <w:jc w:val="both"/>
                  </w:pPr>
                  <w:r>
                    <w:t>13</w:t>
                  </w:r>
                </w:p>
              </w:tc>
              <w:tc>
                <w:tcPr>
                  <w:cnfStyle w:val="000010000000" w:firstRow="0" w:lastRow="0" w:firstColumn="0" w:lastColumn="0" w:oddVBand="1" w:evenVBand="0" w:oddHBand="0" w:evenHBand="0" w:firstRowFirstColumn="0" w:firstRowLastColumn="0" w:lastRowFirstColumn="0" w:lastRowLastColumn="0"/>
                  <w:tcW w:w="7138" w:type="dxa"/>
                </w:tcPr>
                <w:p w14:paraId="71CC5A7F" w14:textId="1862CB67" w:rsidR="00DB5D51" w:rsidRPr="003F6147" w:rsidRDefault="00A109CE" w:rsidP="003F6147">
                  <w:pPr>
                    <w:spacing w:after="0"/>
                    <w:jc w:val="both"/>
                  </w:pPr>
                  <w:r>
                    <w:t>Special Terms and Conditions for California Native American Tribes and Tribal Organizations with Sov</w:t>
                  </w:r>
                  <w:r w:rsidR="00300238">
                    <w:t>ereign Immunity</w:t>
                  </w:r>
                </w:p>
              </w:tc>
            </w:tr>
          </w:tbl>
          <w:p w14:paraId="491C073B" w14:textId="77777777" w:rsidR="003F6147" w:rsidRPr="003F6147" w:rsidRDefault="003F6147" w:rsidP="003F6147">
            <w:pPr>
              <w:keepLines/>
              <w:widowControl w:val="0"/>
              <w:spacing w:after="0"/>
              <w:rPr>
                <w:b/>
                <w:color w:val="0070C0"/>
                <w:szCs w:val="22"/>
              </w:rPr>
            </w:pPr>
          </w:p>
        </w:tc>
      </w:tr>
    </w:tbl>
    <w:p w14:paraId="442E5FBF" w14:textId="77777777" w:rsidR="0034202A" w:rsidRDefault="0034202A" w:rsidP="003F6147">
      <w:pPr>
        <w:spacing w:after="0"/>
        <w:sectPr w:rsidR="0034202A" w:rsidSect="008B21DC">
          <w:headerReference w:type="default" r:id="rId15"/>
          <w:pgSz w:w="12240" w:h="15840" w:code="1"/>
          <w:pgMar w:top="1440" w:right="1440" w:bottom="1440" w:left="1440" w:header="720" w:footer="576" w:gutter="0"/>
          <w:pgNumType w:start="1"/>
          <w:cols w:num="2" w:space="720"/>
          <w:docGrid w:linePitch="326"/>
        </w:sectPr>
      </w:pPr>
      <w:bookmarkStart w:id="7" w:name="_Toc458602318"/>
    </w:p>
    <w:p w14:paraId="7AB04381" w14:textId="77777777" w:rsidR="003F6147" w:rsidRPr="003F6147" w:rsidRDefault="003F6147" w:rsidP="003F6147">
      <w:pPr>
        <w:spacing w:after="0"/>
      </w:pPr>
    </w:p>
    <w:p w14:paraId="571AAAF1" w14:textId="77777777"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8" w:name="_Toc143001039"/>
      <w:r w:rsidRPr="00756BAC">
        <w:lastRenderedPageBreak/>
        <w:t>I.</w:t>
      </w:r>
      <w:r w:rsidRPr="00756BAC">
        <w:tab/>
        <w:t>Introduction</w:t>
      </w:r>
      <w:bookmarkEnd w:id="7"/>
      <w:bookmarkEnd w:id="8"/>
    </w:p>
    <w:p w14:paraId="15CE67F5" w14:textId="77777777" w:rsidR="003F6147" w:rsidRPr="00756BAC" w:rsidRDefault="003F6147" w:rsidP="002427DC">
      <w:pPr>
        <w:pStyle w:val="Heading2"/>
        <w:numPr>
          <w:ilvl w:val="0"/>
          <w:numId w:val="58"/>
        </w:numPr>
      </w:pPr>
      <w:bookmarkStart w:id="9" w:name="_Toc458602319"/>
      <w:bookmarkStart w:id="10" w:name="_Toc143001040"/>
      <w:r w:rsidRPr="00756BAC">
        <w:t>Purpose of Solicitation</w:t>
      </w:r>
      <w:bookmarkEnd w:id="9"/>
      <w:bookmarkEnd w:id="10"/>
      <w:r w:rsidRPr="00756BAC">
        <w:t xml:space="preserve"> </w:t>
      </w:r>
      <w:bookmarkStart w:id="11" w:name="_Toc395180593"/>
      <w:bookmarkStart w:id="12" w:name="_Toc381079833"/>
      <w:bookmarkStart w:id="13" w:name="_Toc382571091"/>
    </w:p>
    <w:p w14:paraId="6794F3E1" w14:textId="77777777" w:rsidR="00754BD1" w:rsidRPr="00E4291E" w:rsidRDefault="00754BD1" w:rsidP="00754BD1">
      <w:pPr>
        <w:jc w:val="both"/>
      </w:pPr>
      <w:bookmarkStart w:id="14" w:name="_Toc433981247"/>
      <w:bookmarkEnd w:id="11"/>
      <w:r w:rsidRPr="00E4291E">
        <w:t xml:space="preserve">The purpose of this solicitation is to demonstrate and deploy advanced energy efficiency and load reduction technologies in industrial and commercial cold storage facilities. The goals are to reduce greenhouse gas emissions, enable load shifting capabilities to benefit the grid, and gather real-world energy data to help existing and planned cold storage and refrigeration facilities reduce energy use and costs. </w:t>
      </w:r>
    </w:p>
    <w:p w14:paraId="585CDAE6" w14:textId="77777777" w:rsidR="00754BD1" w:rsidRPr="00E4291E" w:rsidRDefault="00754BD1" w:rsidP="00754BD1">
      <w:pPr>
        <w:spacing w:after="0"/>
      </w:pPr>
    </w:p>
    <w:p w14:paraId="7D46936D" w14:textId="447AF982" w:rsidR="00754BD1" w:rsidRPr="00E4291E" w:rsidRDefault="00754BD1" w:rsidP="00754BD1">
      <w:pPr>
        <w:spacing w:after="0"/>
      </w:pPr>
      <w:r w:rsidRPr="00E4291E">
        <w:rPr>
          <w:spacing w:val="-2"/>
        </w:rPr>
        <w:t>Refrigeration account</w:t>
      </w:r>
      <w:r w:rsidRPr="00E4291E">
        <w:t>s</w:t>
      </w:r>
      <w:r w:rsidRPr="00E4291E">
        <w:rPr>
          <w:spacing w:val="-2"/>
        </w:rPr>
        <w:t xml:space="preserve"> for an estimated one-third of the total </w:t>
      </w:r>
      <w:r w:rsidRPr="00E4291E">
        <w:t xml:space="preserve">electricity </w:t>
      </w:r>
      <w:r w:rsidRPr="00E4291E">
        <w:rPr>
          <w:spacing w:val="-2"/>
        </w:rPr>
        <w:t xml:space="preserve">usage </w:t>
      </w:r>
      <w:r w:rsidRPr="00E4291E">
        <w:t>for the</w:t>
      </w:r>
      <w:r w:rsidRPr="00E4291E" w:rsidDel="005C19A6">
        <w:rPr>
          <w:spacing w:val="-2"/>
        </w:rPr>
        <w:t xml:space="preserve"> </w:t>
      </w:r>
      <w:r w:rsidRPr="00E4291E">
        <w:rPr>
          <w:spacing w:val="-2"/>
        </w:rPr>
        <w:t>food processing</w:t>
      </w:r>
      <w:r w:rsidRPr="00E4291E">
        <w:t xml:space="preserve"> industry.</w:t>
      </w:r>
      <w:r w:rsidRPr="00E4291E">
        <w:rPr>
          <w:rFonts w:cs="Times New Roman"/>
          <w:vertAlign w:val="superscript"/>
        </w:rPr>
        <w:footnoteReference w:id="2"/>
      </w:r>
      <w:r w:rsidRPr="00E4291E">
        <w:rPr>
          <w:rFonts w:cs="Times New Roman"/>
          <w:vertAlign w:val="superscript"/>
        </w:rPr>
        <w:t>.</w:t>
      </w:r>
      <w:r w:rsidRPr="00E4291E">
        <w:rPr>
          <w:spacing w:val="-2"/>
        </w:rPr>
        <w:t xml:space="preserve"> The United States Department of Food and Agriculture (USDA) estimated that as of 2021, California had 396 million cubic feet</w:t>
      </w:r>
      <w:r w:rsidRPr="00E4291E">
        <w:rPr>
          <w:rFonts w:cs="Times New Roman"/>
          <w:spacing w:val="-2"/>
          <w:vertAlign w:val="superscript"/>
        </w:rPr>
        <w:footnoteReference w:id="3"/>
      </w:r>
      <w:r w:rsidRPr="00E4291E">
        <w:rPr>
          <w:spacing w:val="-2"/>
        </w:rPr>
        <w:t xml:space="preserve"> of cold storage space consisting of warehouses that are artificially cooled for 30 or more days, including fruit house</w:t>
      </w:r>
      <w:r w:rsidR="2F0668AB" w:rsidRPr="00E4291E">
        <w:t>s</w:t>
      </w:r>
      <w:r w:rsidR="3EFA7964" w:rsidRPr="00E4291E">
        <w:t>;</w:t>
      </w:r>
      <w:r w:rsidRPr="00E4291E">
        <w:rPr>
          <w:spacing w:val="-2"/>
        </w:rPr>
        <w:t xml:space="preserve"> dairy manufacturing plants</w:t>
      </w:r>
      <w:r w:rsidR="14A92D91" w:rsidRPr="00E4291E">
        <w:t>;</w:t>
      </w:r>
      <w:r w:rsidRPr="00E4291E">
        <w:rPr>
          <w:spacing w:val="-2"/>
        </w:rPr>
        <w:t xml:space="preserve"> frozen fruit, fruit juice</w:t>
      </w:r>
      <w:r w:rsidR="4BC0B7AB" w:rsidRPr="00E4291E">
        <w:t>,</w:t>
      </w:r>
      <w:r w:rsidRPr="00E4291E">
        <w:rPr>
          <w:spacing w:val="-2"/>
        </w:rPr>
        <w:t xml:space="preserve"> and vegetable processors</w:t>
      </w:r>
      <w:r w:rsidR="04C86075" w:rsidRPr="00E4291E">
        <w:t>;</w:t>
      </w:r>
      <w:r w:rsidRPr="00E4291E">
        <w:rPr>
          <w:spacing w:val="-2"/>
        </w:rPr>
        <w:t xml:space="preserve"> and poultry and meat packing plants. Using an average of 24-foot ceiling height</w:t>
      </w:r>
      <w:r w:rsidRPr="00E4291E">
        <w:rPr>
          <w:rFonts w:cs="Times New Roman"/>
          <w:spacing w:val="-2"/>
          <w:vertAlign w:val="superscript"/>
        </w:rPr>
        <w:footnoteReference w:id="4"/>
      </w:r>
      <w:r w:rsidRPr="00E4291E">
        <w:rPr>
          <w:spacing w:val="-2"/>
        </w:rPr>
        <w:t xml:space="preserve"> and an energy density of 50 kilowatt-hours per square foot per year</w:t>
      </w:r>
      <w:r w:rsidRPr="00E4291E">
        <w:rPr>
          <w:rFonts w:cs="Times New Roman"/>
          <w:spacing w:val="-2"/>
          <w:vertAlign w:val="superscript"/>
        </w:rPr>
        <w:footnoteReference w:id="5"/>
      </w:r>
      <w:r w:rsidRPr="00E4291E">
        <w:rPr>
          <w:spacing w:val="-2"/>
        </w:rPr>
        <w:t>, the annual energy usage of this sector is estimated to be 825 GWh.</w:t>
      </w:r>
    </w:p>
    <w:p w14:paraId="1792AFB1" w14:textId="77777777" w:rsidR="00754BD1" w:rsidRPr="00E4291E" w:rsidRDefault="00754BD1" w:rsidP="00754BD1">
      <w:pPr>
        <w:spacing w:after="0"/>
      </w:pPr>
    </w:p>
    <w:p w14:paraId="716ACCC6" w14:textId="3CC2D275" w:rsidR="00754BD1" w:rsidRPr="00E4291E" w:rsidRDefault="00754BD1" w:rsidP="00754BD1">
      <w:pPr>
        <w:rPr>
          <w:spacing w:val="-2"/>
        </w:rPr>
      </w:pPr>
      <w:r w:rsidRPr="00E4291E">
        <w:t>Demand for cold storage is expected to increase.  At least two industries are driving this trend: online grocery sales and pharmaceutical industry distribution.</w:t>
      </w:r>
      <w:r w:rsidRPr="00E4291E">
        <w:rPr>
          <w:spacing w:val="-2"/>
        </w:rPr>
        <w:t xml:space="preserve"> </w:t>
      </w:r>
      <w:r w:rsidRPr="00E4291E">
        <w:t>The market for</w:t>
      </w:r>
      <w:r w:rsidRPr="00E4291E">
        <w:rPr>
          <w:spacing w:val="-2"/>
        </w:rPr>
        <w:t xml:space="preserve"> online grocery sales</w:t>
      </w:r>
      <w:r w:rsidRPr="00E4291E">
        <w:rPr>
          <w:rFonts w:cs="Times New Roman"/>
          <w:spacing w:val="-2"/>
          <w:vertAlign w:val="superscript"/>
        </w:rPr>
        <w:footnoteReference w:id="6"/>
      </w:r>
      <w:r w:rsidRPr="00E4291E">
        <w:rPr>
          <w:spacing w:val="-2"/>
        </w:rPr>
        <w:t xml:space="preserve"> is expected to grow at a compound annual rate of 11.7 percent</w:t>
      </w:r>
      <w:r w:rsidR="27C0DB6F" w:rsidRPr="00E4291E">
        <w:t>,</w:t>
      </w:r>
      <w:r w:rsidRPr="00E4291E">
        <w:rPr>
          <w:rFonts w:cs="Times New Roman"/>
          <w:spacing w:val="-2"/>
          <w:vertAlign w:val="superscript"/>
        </w:rPr>
        <w:footnoteReference w:id="7"/>
      </w:r>
      <w:r w:rsidRPr="00E4291E">
        <w:rPr>
          <w:spacing w:val="-2"/>
        </w:rPr>
        <w:t xml:space="preserve"> creating a demand for </w:t>
      </w:r>
      <w:r w:rsidRPr="00E4291E">
        <w:t xml:space="preserve">additional </w:t>
      </w:r>
      <w:r w:rsidRPr="00E4291E">
        <w:rPr>
          <w:spacing w:val="-2"/>
        </w:rPr>
        <w:t>cold storage</w:t>
      </w:r>
      <w:r w:rsidRPr="00E4291E" w:rsidDel="005E2C37">
        <w:rPr>
          <w:spacing w:val="-2"/>
        </w:rPr>
        <w:t>.</w:t>
      </w:r>
      <w:r w:rsidRPr="00E4291E">
        <w:rPr>
          <w:spacing w:val="-2"/>
        </w:rPr>
        <w:t xml:space="preserve"> </w:t>
      </w:r>
      <w:r w:rsidRPr="00E4291E">
        <w:t>S</w:t>
      </w:r>
      <w:r w:rsidRPr="00E4291E">
        <w:rPr>
          <w:spacing w:val="-2"/>
        </w:rPr>
        <w:t>ince 2019</w:t>
      </w:r>
      <w:r w:rsidRPr="00E4291E">
        <w:t>, the need for more</w:t>
      </w:r>
      <w:r w:rsidRPr="00E4291E">
        <w:rPr>
          <w:spacing w:val="-2"/>
        </w:rPr>
        <w:t xml:space="preserve"> temperature-controlled </w:t>
      </w:r>
      <w:r w:rsidRPr="00E4291E">
        <w:t xml:space="preserve">pharmaceutical </w:t>
      </w:r>
      <w:r w:rsidRPr="00E4291E">
        <w:rPr>
          <w:spacing w:val="-2"/>
        </w:rPr>
        <w:t>storage</w:t>
      </w:r>
      <w:r w:rsidRPr="00E4291E">
        <w:t xml:space="preserve"> capacity has been increasing, at least partially due to the temperature control requirements of advanced mRNA vaccines as well as</w:t>
      </w:r>
      <w:r w:rsidRPr="00E4291E" w:rsidDel="004561DA">
        <w:rPr>
          <w:spacing w:val="-2"/>
        </w:rPr>
        <w:t xml:space="preserve"> other </w:t>
      </w:r>
      <w:r w:rsidRPr="00E4291E">
        <w:rPr>
          <w:spacing w:val="-2"/>
        </w:rPr>
        <w:t>pharmaceuticals</w:t>
      </w:r>
      <w:r w:rsidR="00080165" w:rsidRPr="00E4291E">
        <w:rPr>
          <w:spacing w:val="-2"/>
        </w:rPr>
        <w:t>.</w:t>
      </w:r>
      <w:r w:rsidRPr="00E4291E">
        <w:rPr>
          <w:rFonts w:cs="Times New Roman"/>
          <w:spacing w:val="-2"/>
          <w:vertAlign w:val="superscript"/>
        </w:rPr>
        <w:footnoteReference w:id="8"/>
      </w:r>
      <w:r w:rsidRPr="00E4291E">
        <w:rPr>
          <w:spacing w:val="-2"/>
        </w:rPr>
        <w:t xml:space="preserve"> In California, the pharmaceutical industry is among the largest consumers of industrial electricity</w:t>
      </w:r>
      <w:r w:rsidRPr="00E4291E">
        <w:t>.</w:t>
      </w:r>
      <w:r w:rsidRPr="00E4291E">
        <w:rPr>
          <w:rFonts w:cs="Times New Roman"/>
          <w:spacing w:val="-2"/>
          <w:vertAlign w:val="superscript"/>
        </w:rPr>
        <w:footnoteReference w:id="9"/>
      </w:r>
      <w:r w:rsidRPr="00E4291E">
        <w:rPr>
          <w:spacing w:val="-2"/>
        </w:rPr>
        <w:t xml:space="preserve"> </w:t>
      </w:r>
    </w:p>
    <w:p w14:paraId="293EBFF7" w14:textId="6CFF523A" w:rsidR="00754BD1" w:rsidRPr="00E4291E" w:rsidRDefault="00754BD1" w:rsidP="00754BD1">
      <w:r w:rsidRPr="00E4291E">
        <w:t>In 2015</w:t>
      </w:r>
      <w:r w:rsidR="36645209" w:rsidRPr="00E4291E">
        <w:t>,</w:t>
      </w:r>
      <w:r w:rsidRPr="00E4291E">
        <w:t xml:space="preserve"> Lawrence Berkeley National Lab (LBNL) assessed to potential for the refrigeration sector to help reduce electrical grid stress. Their analysis suggests </w:t>
      </w:r>
      <w:r w:rsidRPr="00E4291E" w:rsidDel="00EA2124">
        <w:t>that</w:t>
      </w:r>
      <w:r w:rsidRPr="00E4291E" w:rsidDel="002B6920">
        <w:t xml:space="preserve"> </w:t>
      </w:r>
      <w:r w:rsidRPr="00E4291E">
        <w:t xml:space="preserve">refrigeration </w:t>
      </w:r>
      <w:r w:rsidRPr="00E4291E">
        <w:lastRenderedPageBreak/>
        <w:t xml:space="preserve">warehouses have the following demand characteristics well-suited </w:t>
      </w:r>
      <w:r w:rsidRPr="00E4291E" w:rsidDel="00021B21">
        <w:t xml:space="preserve">to </w:t>
      </w:r>
      <w:r w:rsidRPr="00E4291E">
        <w:t>shifting or shedding electrical loads</w:t>
      </w:r>
      <w:r w:rsidRPr="00E4291E">
        <w:rPr>
          <w:rFonts w:cs="Times New Roman"/>
          <w:vertAlign w:val="superscript"/>
        </w:rPr>
        <w:footnoteReference w:id="10"/>
      </w:r>
      <w:r w:rsidRPr="00E4291E" w:rsidDel="00655994">
        <w:t>:</w:t>
      </w:r>
    </w:p>
    <w:p w14:paraId="67574045" w14:textId="1910B15E" w:rsidR="00754BD1" w:rsidRPr="00E4291E" w:rsidRDefault="1B4C61AB" w:rsidP="002427DC">
      <w:pPr>
        <w:numPr>
          <w:ilvl w:val="0"/>
          <w:numId w:val="70"/>
        </w:numPr>
        <w:tabs>
          <w:tab w:val="left" w:pos="630"/>
        </w:tabs>
        <w:spacing w:after="0"/>
        <w:ind w:left="810" w:hanging="180"/>
      </w:pPr>
      <w:r w:rsidRPr="00E4291E">
        <w:t xml:space="preserve">Facilities have </w:t>
      </w:r>
      <w:r w:rsidR="00D5F748" w:rsidRPr="00E4291E">
        <w:t>s</w:t>
      </w:r>
      <w:r w:rsidR="00754BD1" w:rsidRPr="00E4291E">
        <w:t>ignificant power demand, especially during utility net peak periods.</w:t>
      </w:r>
      <w:r w:rsidR="00754BD1" w:rsidRPr="00E4291E" w:rsidDel="00CA4C5D">
        <w:t xml:space="preserve"> </w:t>
      </w:r>
    </w:p>
    <w:p w14:paraId="1949733B" w14:textId="7AD20C49" w:rsidR="00754BD1" w:rsidRPr="00E4291E" w:rsidRDefault="00754BD1" w:rsidP="002427DC">
      <w:pPr>
        <w:numPr>
          <w:ilvl w:val="0"/>
          <w:numId w:val="70"/>
        </w:numPr>
        <w:tabs>
          <w:tab w:val="left" w:pos="630"/>
        </w:tabs>
        <w:spacing w:after="0"/>
        <w:ind w:left="810" w:hanging="180"/>
      </w:pPr>
      <w:r w:rsidRPr="00E4291E">
        <w:t>Refrigeration load accounts for a significant portion of a typical facility's total energy usage.</w:t>
      </w:r>
    </w:p>
    <w:p w14:paraId="31D661F2" w14:textId="24C11AD8" w:rsidR="00754BD1" w:rsidRPr="00E4291E" w:rsidRDefault="03A39E54" w:rsidP="002427DC">
      <w:pPr>
        <w:numPr>
          <w:ilvl w:val="0"/>
          <w:numId w:val="70"/>
        </w:numPr>
        <w:tabs>
          <w:tab w:val="left" w:pos="630"/>
        </w:tabs>
        <w:spacing w:after="0"/>
        <w:ind w:left="810" w:hanging="180"/>
      </w:pPr>
      <w:r w:rsidRPr="00E4291E">
        <w:t xml:space="preserve">The number of </w:t>
      </w:r>
      <w:r w:rsidR="00754BD1" w:rsidRPr="00E4291E">
        <w:t>processes for a typical facility is limited</w:t>
      </w:r>
      <w:r w:rsidR="6C696CFD" w:rsidRPr="00E4291E">
        <w:t>,</w:t>
      </w:r>
      <w:r w:rsidR="00754BD1" w:rsidRPr="00E4291E">
        <w:t xml:space="preserve"> and </w:t>
      </w:r>
      <w:r w:rsidR="72797351" w:rsidRPr="00E4291E">
        <w:t>refrigerated products are</w:t>
      </w:r>
      <w:r w:rsidR="758DEF58" w:rsidRPr="00E4291E">
        <w:t xml:space="preserve"> </w:t>
      </w:r>
      <w:r w:rsidR="008B21DC" w:rsidRPr="00E4291E">
        <w:t>generally not</w:t>
      </w:r>
      <w:r w:rsidR="00754BD1" w:rsidRPr="00E4291E">
        <w:t xml:space="preserve"> sensitive to short-term (two to four hours) power reductions.</w:t>
      </w:r>
    </w:p>
    <w:p w14:paraId="08784DA5" w14:textId="77777777" w:rsidR="00754BD1" w:rsidRPr="00E4291E" w:rsidRDefault="00754BD1" w:rsidP="002427DC">
      <w:pPr>
        <w:numPr>
          <w:ilvl w:val="0"/>
          <w:numId w:val="70"/>
        </w:numPr>
        <w:tabs>
          <w:tab w:val="left" w:pos="630"/>
        </w:tabs>
        <w:spacing w:after="0"/>
        <w:ind w:left="810" w:hanging="180"/>
      </w:pPr>
      <w:r w:rsidRPr="00E4291E">
        <w:t>The thermal mass of stored product in insulated spaces can often facilitate several hours of reduced cooling without risking product quality.</w:t>
      </w:r>
    </w:p>
    <w:p w14:paraId="0A47666C" w14:textId="77777777" w:rsidR="00754BD1" w:rsidRPr="00E4291E" w:rsidRDefault="00754BD1" w:rsidP="002427DC">
      <w:pPr>
        <w:numPr>
          <w:ilvl w:val="0"/>
          <w:numId w:val="70"/>
        </w:numPr>
        <w:tabs>
          <w:tab w:val="left" w:pos="630"/>
        </w:tabs>
        <w:spacing w:after="0"/>
        <w:ind w:left="810" w:hanging="180"/>
      </w:pPr>
      <w:r w:rsidRPr="00E4291E">
        <w:t>Past success on load management strategies in commercial buildings could be transferred to refrigerated warehouses.</w:t>
      </w:r>
    </w:p>
    <w:p w14:paraId="7030E88A" w14:textId="77777777" w:rsidR="00754BD1" w:rsidRPr="00E4291E" w:rsidRDefault="00754BD1" w:rsidP="00754BD1">
      <w:pPr>
        <w:jc w:val="both"/>
        <w:rPr>
          <w:b/>
        </w:rPr>
      </w:pPr>
    </w:p>
    <w:p w14:paraId="1F55F5E3" w14:textId="3EF28513" w:rsidR="00754BD1" w:rsidRPr="00E4291E" w:rsidRDefault="00754BD1" w:rsidP="00754BD1">
      <w:r w:rsidRPr="00E4291E">
        <w:t xml:space="preserve">The development of this solicitation is guided by the California Energy Commission Electric Program Investment Charge 2021 Interim Investment Plan. This solicitation pertains to the research </w:t>
      </w:r>
      <w:r w:rsidR="092102C3" w:rsidRPr="00E4291E">
        <w:t>I</w:t>
      </w:r>
      <w:r w:rsidRPr="00E4291E">
        <w:t>nitiative 2</w:t>
      </w:r>
      <w:r w:rsidR="00A6A4D7" w:rsidRPr="00E4291E">
        <w:t>,</w:t>
      </w:r>
      <w:r w:rsidRPr="00E4291E">
        <w:t xml:space="preserve"> Energy Efficiency and Demand Response in Industrial, Agricultural, and Commercial Cold Storage. This solicitation seeks projects developing and deploying innovative technologies and solutions that must fall within one of the following project groups: </w:t>
      </w:r>
    </w:p>
    <w:p w14:paraId="2ACDF1CC" w14:textId="13F79246" w:rsidR="362F1A0A" w:rsidRPr="00E4291E" w:rsidRDefault="362F1A0A" w:rsidP="362F1A0A"/>
    <w:p w14:paraId="3FC6D3C4" w14:textId="77777777" w:rsidR="00754BD1" w:rsidRPr="00E4291E" w:rsidRDefault="00754BD1" w:rsidP="002427DC">
      <w:pPr>
        <w:numPr>
          <w:ilvl w:val="0"/>
          <w:numId w:val="54"/>
        </w:numPr>
        <w:tabs>
          <w:tab w:val="num" w:pos="360"/>
        </w:tabs>
        <w:jc w:val="both"/>
        <w:rPr>
          <w:b/>
          <w:bCs/>
        </w:rPr>
      </w:pPr>
      <w:r w:rsidRPr="00E4291E">
        <w:rPr>
          <w:b/>
          <w:bCs/>
        </w:rPr>
        <w:t>Group 1</w:t>
      </w:r>
      <w:r w:rsidRPr="00E4291E">
        <w:t>: Industrial Refrigerated Warehouses</w:t>
      </w:r>
      <w:r w:rsidRPr="00E4291E">
        <w:rPr>
          <w:rFonts w:cs="Times New Roman"/>
        </w:rPr>
        <w:t xml:space="preserve"> </w:t>
      </w:r>
    </w:p>
    <w:p w14:paraId="49B6D8EC" w14:textId="77777777" w:rsidR="00754BD1" w:rsidRPr="00E4291E" w:rsidRDefault="00754BD1" w:rsidP="002427DC">
      <w:pPr>
        <w:numPr>
          <w:ilvl w:val="0"/>
          <w:numId w:val="54"/>
        </w:numPr>
        <w:tabs>
          <w:tab w:val="num" w:pos="360"/>
        </w:tabs>
        <w:jc w:val="both"/>
        <w:rPr>
          <w:b/>
          <w:bCs/>
        </w:rPr>
      </w:pPr>
      <w:r w:rsidRPr="00E4291E">
        <w:rPr>
          <w:b/>
          <w:bCs/>
        </w:rPr>
        <w:t>Group 2</w:t>
      </w:r>
      <w:r w:rsidRPr="00E4291E">
        <w:t>: Commercial Cold Storage Facilities</w:t>
      </w:r>
    </w:p>
    <w:p w14:paraId="06ACC3F5" w14:textId="77777777" w:rsidR="00754BD1" w:rsidRPr="00E4291E" w:rsidRDefault="00754BD1" w:rsidP="00754BD1">
      <w:pPr>
        <w:jc w:val="both"/>
        <w:rPr>
          <w:b/>
        </w:rPr>
      </w:pPr>
    </w:p>
    <w:p w14:paraId="2CE648E6" w14:textId="77777777" w:rsidR="00754BD1" w:rsidRPr="00E4291E" w:rsidRDefault="00754BD1" w:rsidP="00754BD1">
      <w:pPr>
        <w:jc w:val="both"/>
        <w:rPr>
          <w:szCs w:val="22"/>
        </w:rPr>
      </w:pPr>
      <w:r w:rsidRPr="00E4291E">
        <w:rPr>
          <w:szCs w:val="22"/>
        </w:rPr>
        <w:t xml:space="preserve">Please refer to the Section I.B for definitions of </w:t>
      </w:r>
      <w:r w:rsidRPr="00E4291E">
        <w:rPr>
          <w:b/>
          <w:bCs/>
          <w:szCs w:val="22"/>
        </w:rPr>
        <w:t>Industrial Refrigerated Warehouse</w:t>
      </w:r>
      <w:r w:rsidRPr="00E4291E">
        <w:rPr>
          <w:szCs w:val="22"/>
        </w:rPr>
        <w:t xml:space="preserve"> and </w:t>
      </w:r>
      <w:r w:rsidRPr="00E4291E">
        <w:rPr>
          <w:b/>
          <w:bCs/>
          <w:szCs w:val="22"/>
        </w:rPr>
        <w:t>Commercial Cold Storage Facility</w:t>
      </w:r>
      <w:r w:rsidRPr="00E4291E">
        <w:rPr>
          <w:szCs w:val="22"/>
        </w:rPr>
        <w:t>.</w:t>
      </w:r>
    </w:p>
    <w:p w14:paraId="0C435795" w14:textId="77777777" w:rsidR="00F473E2" w:rsidRPr="00754BD1" w:rsidRDefault="00F473E2" w:rsidP="00754BD1">
      <w:pPr>
        <w:jc w:val="both"/>
        <w:rPr>
          <w:color w:val="00B050"/>
          <w:szCs w:val="22"/>
        </w:rPr>
      </w:pPr>
    </w:p>
    <w:bookmarkEnd w:id="12"/>
    <w:bookmarkEnd w:id="13"/>
    <w:bookmarkEnd w:id="14"/>
    <w:p w14:paraId="52855CD8" w14:textId="3F8FB9FB" w:rsidR="003F6147" w:rsidRDefault="003F6147" w:rsidP="003F6147">
      <w:pPr>
        <w:jc w:val="both"/>
        <w:rPr>
          <w:szCs w:val="22"/>
        </w:rPr>
      </w:pPr>
      <w:r w:rsidRPr="003F6147">
        <w:rPr>
          <w:szCs w:val="22"/>
        </w:rPr>
        <w:t xml:space="preserve">See Part II of this solicitation for project eligibility requirements. </w:t>
      </w:r>
      <w:r w:rsidRPr="003F6147">
        <w:t xml:space="preserve">Applications will be evaluated as follows: Stage One proposal screening and Stage Two proposal scoring. </w:t>
      </w:r>
      <w:r w:rsidRPr="003F6147">
        <w:rPr>
          <w:szCs w:val="22"/>
        </w:rPr>
        <w:t>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tasks described in</w:t>
      </w:r>
      <w:r w:rsidR="005B073B">
        <w:rPr>
          <w:szCs w:val="22"/>
        </w:rPr>
        <w:t xml:space="preserve"> the Scope of Work</w:t>
      </w:r>
      <w:r w:rsidRPr="003F6147">
        <w:rPr>
          <w:szCs w:val="22"/>
        </w:rPr>
        <w:t>).</w:t>
      </w:r>
      <w:r w:rsidR="00960D30" w:rsidRPr="00960D30">
        <w:t xml:space="preserve"> </w:t>
      </w:r>
    </w:p>
    <w:p w14:paraId="61479D31" w14:textId="77777777" w:rsidR="003A0A6F" w:rsidRDefault="003A0A6F" w:rsidP="003F6147">
      <w:pPr>
        <w:spacing w:after="0"/>
        <w:jc w:val="both"/>
        <w:rPr>
          <w:szCs w:val="22"/>
        </w:rPr>
      </w:pPr>
    </w:p>
    <w:p w14:paraId="13663FAA" w14:textId="4C1BE6FA" w:rsidR="003F6147" w:rsidRDefault="00FD6239" w:rsidP="003F6147">
      <w:pPr>
        <w:spacing w:after="0"/>
        <w:jc w:val="both"/>
        <w:rPr>
          <w:rStyle w:val="Hyperlink"/>
          <w:rFonts w:cs="Arial"/>
          <w:szCs w:val="22"/>
        </w:rPr>
      </w:pPr>
      <w:r w:rsidRPr="00FD6239">
        <w:rPr>
          <w:szCs w:val="22"/>
        </w:rPr>
        <w:t xml:space="preserve">Prospective applicants looking for partnering opportunities for this funding opportunity should register on the California Energy Commission’s Empower Innovation website at </w:t>
      </w:r>
      <w:hyperlink r:id="rId16" w:history="1">
        <w:r w:rsidR="00754BD1" w:rsidRPr="004E269E">
          <w:rPr>
            <w:rStyle w:val="Hyperlink"/>
            <w:rFonts w:cs="Arial"/>
            <w:szCs w:val="22"/>
          </w:rPr>
          <w:t>www.empowerinnovation.net</w:t>
        </w:r>
      </w:hyperlink>
    </w:p>
    <w:p w14:paraId="4960BA66" w14:textId="77777777" w:rsidR="003D157F" w:rsidRDefault="003D157F" w:rsidP="003F6147">
      <w:pPr>
        <w:spacing w:after="0"/>
        <w:jc w:val="both"/>
        <w:rPr>
          <w:rStyle w:val="Hyperlink"/>
          <w:rFonts w:cs="Arial"/>
          <w:szCs w:val="22"/>
        </w:rPr>
      </w:pPr>
    </w:p>
    <w:p w14:paraId="6CC051FC" w14:textId="77777777" w:rsidR="003D157F" w:rsidRDefault="003D157F" w:rsidP="003F6147">
      <w:pPr>
        <w:spacing w:after="0"/>
        <w:jc w:val="both"/>
        <w:rPr>
          <w:szCs w:val="22"/>
        </w:rPr>
      </w:pPr>
    </w:p>
    <w:p w14:paraId="6B016BC7" w14:textId="77777777" w:rsidR="00754BD1" w:rsidRDefault="00754BD1" w:rsidP="003F6147">
      <w:pPr>
        <w:spacing w:after="0"/>
        <w:jc w:val="both"/>
        <w:rPr>
          <w:szCs w:val="22"/>
        </w:rPr>
      </w:pPr>
    </w:p>
    <w:p w14:paraId="13B1846F" w14:textId="77777777" w:rsidR="00C223E6" w:rsidRPr="003F6147" w:rsidRDefault="00C223E6" w:rsidP="003F6147">
      <w:pPr>
        <w:spacing w:after="0"/>
        <w:jc w:val="both"/>
        <w:rPr>
          <w:szCs w:val="22"/>
        </w:rPr>
      </w:pPr>
    </w:p>
    <w:p w14:paraId="6EE95067" w14:textId="1DA56F2D" w:rsidR="008B21DC" w:rsidRPr="008B21DC" w:rsidRDefault="003F6147" w:rsidP="008B21DC">
      <w:pPr>
        <w:pStyle w:val="Heading2"/>
        <w:numPr>
          <w:ilvl w:val="0"/>
          <w:numId w:val="58"/>
        </w:numPr>
      </w:pPr>
      <w:bookmarkStart w:id="15" w:name="_Toc458602320"/>
      <w:bookmarkStart w:id="16" w:name="_Toc143001041"/>
      <w:r w:rsidRPr="00756BAC">
        <w:lastRenderedPageBreak/>
        <w:t>Key Words/Terms</w:t>
      </w:r>
      <w:bookmarkEnd w:id="15"/>
      <w:bookmarkEnd w:id="16"/>
    </w:p>
    <w:p w14:paraId="4D6C1B8F" w14:textId="419CBE87" w:rsidR="003F6147" w:rsidRPr="003F6147" w:rsidRDefault="003F6147" w:rsidP="003F6147">
      <w:pPr>
        <w:jc w:val="both"/>
        <w:rPr>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3F6147" w:rsidRPr="003F6147" w14:paraId="7E8ED4A8" w14:textId="77777777" w:rsidTr="003F6147">
        <w:trPr>
          <w:trHeight w:val="235"/>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003F6147">
        <w:tc>
          <w:tcPr>
            <w:tcW w:w="2430" w:type="dxa"/>
          </w:tcPr>
          <w:p w14:paraId="48812C83" w14:textId="77777777" w:rsidR="003F6147" w:rsidRPr="003F6147" w:rsidRDefault="003F6147" w:rsidP="003F6147">
            <w:pPr>
              <w:jc w:val="both"/>
            </w:pPr>
            <w:r w:rsidRPr="003F6147">
              <w:t>Applicant</w:t>
            </w:r>
          </w:p>
        </w:tc>
        <w:tc>
          <w:tcPr>
            <w:tcW w:w="6930" w:type="dxa"/>
          </w:tcPr>
          <w:p w14:paraId="1E95849E" w14:textId="77777777" w:rsidR="003F6147" w:rsidRPr="003F6147" w:rsidRDefault="003F6147" w:rsidP="003F6147">
            <w:pPr>
              <w:jc w:val="both"/>
            </w:pPr>
            <w:r w:rsidRPr="003F6147">
              <w:t xml:space="preserve">The entity that </w:t>
            </w:r>
            <w:proofErr w:type="gramStart"/>
            <w:r w:rsidRPr="003F6147">
              <w:t>submits an application</w:t>
            </w:r>
            <w:proofErr w:type="gramEnd"/>
            <w:r w:rsidRPr="003F6147">
              <w:t xml:space="preserve"> to this solicitation</w:t>
            </w:r>
            <w:r w:rsidR="00861F15">
              <w:t>.</w:t>
            </w:r>
          </w:p>
        </w:tc>
      </w:tr>
      <w:tr w:rsidR="003F6147" w:rsidRPr="003F6147" w14:paraId="3EBC2272" w14:textId="77777777" w:rsidTr="003F6147">
        <w:tc>
          <w:tcPr>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0960D30" w:rsidRPr="003F6147" w14:paraId="6BD4CDE5" w14:textId="77777777" w:rsidTr="00EC2034">
        <w:tc>
          <w:tcPr>
            <w:tcW w:w="2430" w:type="dxa"/>
          </w:tcPr>
          <w:p w14:paraId="52824D60" w14:textId="77777777" w:rsidR="00960D30" w:rsidRPr="003F6147" w:rsidRDefault="00960D30" w:rsidP="00EC2034">
            <w:pPr>
              <w:jc w:val="both"/>
            </w:pPr>
            <w:r>
              <w:t>Authorized Representative</w:t>
            </w:r>
          </w:p>
        </w:tc>
        <w:tc>
          <w:tcPr>
            <w:tcW w:w="6930" w:type="dxa"/>
          </w:tcPr>
          <w:p w14:paraId="6BDF2D2B" w14:textId="77777777" w:rsidR="00960D30" w:rsidRPr="008964A1" w:rsidRDefault="00960D30" w:rsidP="00EC2034">
            <w:pPr>
              <w:jc w:val="both"/>
            </w:pPr>
            <w:r>
              <w:rPr>
                <w:i/>
              </w:rPr>
              <w:t>Authorized Representative</w:t>
            </w:r>
            <w:r>
              <w:t xml:space="preserve">, the person signing the application form who has authority to enter into an agreement with the CEC. </w:t>
            </w:r>
          </w:p>
        </w:tc>
      </w:tr>
      <w:tr w:rsidR="009423EB" w:rsidRPr="003F6147" w14:paraId="44FC1000" w14:textId="77777777" w:rsidTr="003F6147">
        <w:tc>
          <w:tcPr>
            <w:tcW w:w="2430" w:type="dxa"/>
          </w:tcPr>
          <w:p w14:paraId="1D5C0BBC" w14:textId="3168B34A" w:rsidR="009423EB" w:rsidRPr="009423EB" w:rsidRDefault="009423EB" w:rsidP="009423EB">
            <w:pPr>
              <w:jc w:val="both"/>
              <w:rPr>
                <w:b/>
                <w:bCs/>
                <w:u w:val="single"/>
              </w:rPr>
            </w:pPr>
            <w:r w:rsidRPr="009423EB">
              <w:rPr>
                <w:b/>
                <w:bCs/>
                <w:u w:val="single"/>
              </w:rPr>
              <w:t>CAISO</w:t>
            </w:r>
          </w:p>
        </w:tc>
        <w:tc>
          <w:tcPr>
            <w:tcW w:w="6930" w:type="dxa"/>
          </w:tcPr>
          <w:p w14:paraId="6F3AFCAB" w14:textId="43DACC1E" w:rsidR="009423EB" w:rsidRPr="009423EB" w:rsidRDefault="009423EB" w:rsidP="003F6147">
            <w:pPr>
              <w:jc w:val="both"/>
              <w:rPr>
                <w:b/>
                <w:bCs/>
                <w:i/>
                <w:u w:val="single"/>
              </w:rPr>
            </w:pPr>
            <w:r w:rsidRPr="009423EB">
              <w:rPr>
                <w:b/>
                <w:bCs/>
                <w:i/>
                <w:u w:val="single"/>
              </w:rPr>
              <w:t>California Independent System Operator</w:t>
            </w:r>
            <w:r w:rsidR="32ADAE8D" w:rsidRPr="741C7C45">
              <w:rPr>
                <w:b/>
                <w:bCs/>
                <w:i/>
                <w:iCs/>
                <w:u w:val="single"/>
              </w:rPr>
              <w:t>.</w:t>
            </w:r>
            <w:r w:rsidRPr="009423EB">
              <w:rPr>
                <w:b/>
                <w:bCs/>
                <w:i/>
                <w:u w:val="single"/>
              </w:rPr>
              <w:t xml:space="preserve"> </w:t>
            </w:r>
            <w:r w:rsidRPr="009423EB">
              <w:rPr>
                <w:b/>
                <w:bCs/>
                <w:iCs/>
                <w:u w:val="single"/>
              </w:rPr>
              <w:t>CAISO manages the flow of electricity on high-voltage power lines, operates a wholesale energy market, and oversees infrastructure planning.</w:t>
            </w:r>
          </w:p>
        </w:tc>
      </w:tr>
      <w:tr w:rsidR="003F6147" w:rsidRPr="003F6147" w14:paraId="46EEC1E8" w14:textId="77777777" w:rsidTr="003F6147">
        <w:tc>
          <w:tcPr>
            <w:tcW w:w="2430" w:type="dxa"/>
          </w:tcPr>
          <w:p w14:paraId="5DEBAD05" w14:textId="77777777" w:rsidR="003F6147" w:rsidRPr="003F6147" w:rsidRDefault="003F6147" w:rsidP="003F6147">
            <w:pPr>
              <w:jc w:val="both"/>
            </w:pPr>
            <w:r w:rsidRPr="003F6147">
              <w:t>CAM</w:t>
            </w:r>
          </w:p>
        </w:tc>
        <w:tc>
          <w:tcPr>
            <w:tcW w:w="6930" w:type="dxa"/>
          </w:tcPr>
          <w:p w14:paraId="35598923" w14:textId="77777777"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Recipient</w:t>
            </w:r>
            <w:r w:rsidR="00861F15">
              <w:t>.</w:t>
            </w:r>
          </w:p>
        </w:tc>
      </w:tr>
      <w:tr w:rsidR="003F6147" w:rsidRPr="003F6147" w14:paraId="58F8E48D" w14:textId="77777777" w:rsidTr="003F6147">
        <w:tc>
          <w:tcPr>
            <w:tcW w:w="2430" w:type="dxa"/>
          </w:tcPr>
          <w:p w14:paraId="5091B1FA" w14:textId="77777777" w:rsidR="003F6147" w:rsidRPr="003F6147" w:rsidRDefault="003F6147" w:rsidP="003F6147">
            <w:pPr>
              <w:jc w:val="both"/>
            </w:pPr>
            <w:r w:rsidRPr="003F6147">
              <w:t>CAO</w:t>
            </w:r>
          </w:p>
        </w:tc>
        <w:tc>
          <w:tcPr>
            <w:tcW w:w="6930" w:type="dxa"/>
          </w:tcPr>
          <w:p w14:paraId="0065B5B7" w14:textId="77777777" w:rsidR="003F6147" w:rsidRPr="003F6147" w:rsidRDefault="003F6147" w:rsidP="003F6147">
            <w:pPr>
              <w:jc w:val="both"/>
              <w:rPr>
                <w:i/>
              </w:rPr>
            </w:pPr>
            <w:r w:rsidRPr="003F6147">
              <w:t>Commission Agreement Officer</w:t>
            </w:r>
          </w:p>
        </w:tc>
      </w:tr>
      <w:tr w:rsidR="00754BD1" w:rsidRPr="003F6147" w14:paraId="0C24B108" w14:textId="77777777" w:rsidTr="003F6147">
        <w:tc>
          <w:tcPr>
            <w:tcW w:w="2430" w:type="dxa"/>
          </w:tcPr>
          <w:p w14:paraId="79AB9FAA" w14:textId="760B7451" w:rsidR="00754BD1" w:rsidRPr="003F6147" w:rsidRDefault="00754BD1" w:rsidP="00754BD1">
            <w:pPr>
              <w:jc w:val="both"/>
            </w:pPr>
            <w:r>
              <w:t>CAPEX</w:t>
            </w:r>
          </w:p>
        </w:tc>
        <w:tc>
          <w:tcPr>
            <w:tcW w:w="6930" w:type="dxa"/>
          </w:tcPr>
          <w:p w14:paraId="481942CE" w14:textId="307A43BC" w:rsidR="00754BD1" w:rsidRPr="003F6147" w:rsidRDefault="00754BD1" w:rsidP="00754BD1">
            <w:pPr>
              <w:jc w:val="both"/>
            </w:pPr>
            <w:r>
              <w:t>Capital Expenditure. CAPEX are funds required to obtain equipment.</w:t>
            </w:r>
          </w:p>
        </w:tc>
      </w:tr>
      <w:tr w:rsidR="00754BD1" w:rsidRPr="003F6147" w14:paraId="0AE8D6DA" w14:textId="77777777" w:rsidTr="003F6147">
        <w:tc>
          <w:tcPr>
            <w:tcW w:w="2430" w:type="dxa"/>
          </w:tcPr>
          <w:p w14:paraId="5F64E278" w14:textId="77777777" w:rsidR="00754BD1" w:rsidRPr="003F6147" w:rsidRDefault="00754BD1" w:rsidP="00754BD1">
            <w:pPr>
              <w:jc w:val="both"/>
            </w:pPr>
            <w:r w:rsidRPr="003F6147">
              <w:t>CBO</w:t>
            </w:r>
          </w:p>
        </w:tc>
        <w:tc>
          <w:tcPr>
            <w:tcW w:w="6930" w:type="dxa"/>
          </w:tcPr>
          <w:p w14:paraId="3C50F760" w14:textId="77777777" w:rsidR="00754BD1" w:rsidRPr="003F6147" w:rsidRDefault="00754BD1" w:rsidP="00754BD1">
            <w:pPr>
              <w:spacing w:after="60"/>
              <w:contextualSpacing/>
            </w:pPr>
            <w:r w:rsidRPr="003F6147">
              <w:t xml:space="preserve">Community Based Organization. A public or private nonprofit organization of demonstrated effectiveness that: </w:t>
            </w:r>
          </w:p>
          <w:p w14:paraId="092EF94B" w14:textId="77777777" w:rsidR="00754BD1" w:rsidRPr="003F6147" w:rsidRDefault="00754BD1" w:rsidP="002427DC">
            <w:pPr>
              <w:numPr>
                <w:ilvl w:val="0"/>
                <w:numId w:val="56"/>
              </w:numPr>
              <w:spacing w:after="200"/>
              <w:contextualSpacing/>
            </w:pPr>
            <w:r w:rsidRPr="003F6147">
              <w:t>Has an office in the region (e.g., air basin or county) and meets the demographic profile of the communities they serve</w:t>
            </w:r>
            <w:r>
              <w:t>.</w:t>
            </w:r>
          </w:p>
          <w:p w14:paraId="6A1E566F" w14:textId="77777777" w:rsidR="00754BD1" w:rsidRPr="003F6147" w:rsidRDefault="00754BD1" w:rsidP="002427DC">
            <w:pPr>
              <w:numPr>
                <w:ilvl w:val="0"/>
                <w:numId w:val="56"/>
              </w:numPr>
              <w:spacing w:after="200"/>
              <w:contextualSpacing/>
            </w:pPr>
            <w:r w:rsidRPr="003F6147">
              <w:t>Has deployed projects and/or outreach efforts within the region (e.g., air basin or county) of the proposed disadvantaged or low-income community.</w:t>
            </w:r>
          </w:p>
          <w:p w14:paraId="28E6D643" w14:textId="77777777" w:rsidR="00754BD1" w:rsidRPr="003F6147" w:rsidRDefault="00754BD1" w:rsidP="002427DC">
            <w:pPr>
              <w:numPr>
                <w:ilvl w:val="0"/>
                <w:numId w:val="56"/>
              </w:numPr>
              <w:spacing w:after="200"/>
              <w:contextualSpacing/>
            </w:pPr>
            <w:r>
              <w:t>Has an</w:t>
            </w:r>
            <w:r w:rsidRPr="003F6147">
              <w:t xml:space="preserve"> official mission and vision statements that expressly identifies serving disadvantaged and/or low-income communities.</w:t>
            </w:r>
          </w:p>
          <w:p w14:paraId="3AB69E6F" w14:textId="77777777" w:rsidR="00754BD1" w:rsidRPr="003F6147" w:rsidRDefault="00754BD1" w:rsidP="002427DC">
            <w:pPr>
              <w:numPr>
                <w:ilvl w:val="0"/>
                <w:numId w:val="56"/>
              </w:numPr>
              <w:spacing w:after="60"/>
              <w:contextualSpacing/>
            </w:pPr>
            <w:r w:rsidRPr="003F6147">
              <w:t>Currently employs staff member(s) who specialized in and are dedicated to – diversity, or equity, or inclusion, or is a 501(c)(3) non-profit.</w:t>
            </w:r>
          </w:p>
        </w:tc>
      </w:tr>
      <w:tr w:rsidR="00754BD1" w:rsidRPr="003F6147" w14:paraId="6C0527CD" w14:textId="77777777" w:rsidTr="003F6147">
        <w:tc>
          <w:tcPr>
            <w:tcW w:w="2430" w:type="dxa"/>
          </w:tcPr>
          <w:p w14:paraId="21872A76" w14:textId="77777777" w:rsidR="00754BD1" w:rsidRPr="003F6147" w:rsidRDefault="00754BD1" w:rsidP="00754BD1">
            <w:pPr>
              <w:jc w:val="both"/>
            </w:pPr>
            <w:r w:rsidRPr="003F6147">
              <w:t>CEC</w:t>
            </w:r>
          </w:p>
        </w:tc>
        <w:tc>
          <w:tcPr>
            <w:tcW w:w="6930" w:type="dxa"/>
          </w:tcPr>
          <w:p w14:paraId="5974AC5C" w14:textId="4B7CB00A" w:rsidR="00754BD1" w:rsidRPr="003F6147" w:rsidRDefault="00754BD1" w:rsidP="00754BD1">
            <w:pPr>
              <w:spacing w:after="60"/>
              <w:contextualSpacing/>
            </w:pPr>
            <w:r w:rsidRPr="003F6147">
              <w:t>State Energy Resources Conservation and Development Commission</w:t>
            </w:r>
            <w:r w:rsidR="7AC8BEF1">
              <w:t>,</w:t>
            </w:r>
            <w:r w:rsidRPr="003F6147">
              <w:t xml:space="preserve"> or the California Energy Commission</w:t>
            </w:r>
            <w:r>
              <w:t>.</w:t>
            </w:r>
          </w:p>
        </w:tc>
      </w:tr>
      <w:tr w:rsidR="00754BD1" w:rsidRPr="003F6147" w14:paraId="52E7E706" w14:textId="77777777" w:rsidTr="003F6147">
        <w:tc>
          <w:tcPr>
            <w:tcW w:w="2430" w:type="dxa"/>
          </w:tcPr>
          <w:p w14:paraId="1CD4D045" w14:textId="77777777" w:rsidR="00754BD1" w:rsidRPr="003F6147" w:rsidRDefault="00754BD1" w:rsidP="00754BD1">
            <w:pPr>
              <w:jc w:val="both"/>
            </w:pPr>
            <w:r w:rsidRPr="003F6147">
              <w:t>CEQA</w:t>
            </w:r>
          </w:p>
        </w:tc>
        <w:tc>
          <w:tcPr>
            <w:tcW w:w="6930" w:type="dxa"/>
          </w:tcPr>
          <w:p w14:paraId="2B46B704" w14:textId="77777777" w:rsidR="00754BD1" w:rsidRPr="003F6147" w:rsidRDefault="00754BD1" w:rsidP="00754BD1">
            <w:pPr>
              <w:keepNext/>
              <w:jc w:val="both"/>
              <w:outlineLvl w:val="1"/>
            </w:pPr>
            <w:r w:rsidRPr="003F6147">
              <w:t>California Environmental Quality Act, California Public Resources Code Section 21000 et seq.</w:t>
            </w:r>
          </w:p>
        </w:tc>
      </w:tr>
      <w:tr w:rsidR="1BA69A2B" w14:paraId="72EBC9D7" w14:textId="77777777" w:rsidTr="1BA69A2B">
        <w:trPr>
          <w:trHeight w:val="300"/>
        </w:trPr>
        <w:tc>
          <w:tcPr>
            <w:tcW w:w="2430" w:type="dxa"/>
          </w:tcPr>
          <w:p w14:paraId="64D81F53" w14:textId="71F97F79" w:rsidR="5EFE8551" w:rsidRPr="008B21DC" w:rsidRDefault="5EFE8551" w:rsidP="008B21DC">
            <w:pPr>
              <w:spacing w:line="259" w:lineRule="auto"/>
              <w:jc w:val="both"/>
            </w:pPr>
            <w:r w:rsidRPr="008B21DC">
              <w:t>Commercial</w:t>
            </w:r>
            <w:r w:rsidRPr="1BA69A2B">
              <w:t xml:space="preserve"> </w:t>
            </w:r>
            <w:r w:rsidRPr="008B21DC">
              <w:t>Cold Storage</w:t>
            </w:r>
          </w:p>
        </w:tc>
        <w:tc>
          <w:tcPr>
            <w:tcW w:w="6930" w:type="dxa"/>
          </w:tcPr>
          <w:p w14:paraId="152290B3" w14:textId="3238D583" w:rsidR="5EFE8551" w:rsidRDefault="5EFE8551" w:rsidP="008B21DC">
            <w:pPr>
              <w:jc w:val="both"/>
              <w:rPr>
                <w:rFonts w:eastAsia="Arial"/>
                <w:szCs w:val="22"/>
              </w:rPr>
            </w:pPr>
            <w:r w:rsidRPr="1BA69A2B">
              <w:rPr>
                <w:rFonts w:eastAsia="Arial"/>
                <w:szCs w:val="22"/>
              </w:rPr>
              <w:t>A refrigerated space less than 3,000 square feet constructed for storage or handling of products with a space temperature of 55°F or less.</w:t>
            </w:r>
          </w:p>
        </w:tc>
      </w:tr>
      <w:tr w:rsidR="00754BD1" w:rsidRPr="003F6147" w14:paraId="52C61765" w14:textId="77777777" w:rsidTr="003F6147">
        <w:tc>
          <w:tcPr>
            <w:tcW w:w="2430" w:type="dxa"/>
          </w:tcPr>
          <w:p w14:paraId="2596B177" w14:textId="77777777" w:rsidR="00754BD1" w:rsidRPr="003F6147" w:rsidRDefault="00754BD1" w:rsidP="00754BD1">
            <w:pPr>
              <w:jc w:val="both"/>
            </w:pPr>
            <w:r w:rsidRPr="003F6147">
              <w:t>Days</w:t>
            </w:r>
          </w:p>
        </w:tc>
        <w:tc>
          <w:tcPr>
            <w:tcW w:w="6930" w:type="dxa"/>
          </w:tcPr>
          <w:p w14:paraId="2122E55E" w14:textId="77777777" w:rsidR="00754BD1" w:rsidRPr="003F6147" w:rsidRDefault="00754BD1" w:rsidP="00754BD1">
            <w:pPr>
              <w:jc w:val="both"/>
              <w:rPr>
                <w:i/>
              </w:rPr>
            </w:pPr>
            <w:r w:rsidRPr="003F6147">
              <w:rPr>
                <w:i/>
              </w:rPr>
              <w:t>Days</w:t>
            </w:r>
            <w:r w:rsidRPr="741C7C45">
              <w:t xml:space="preserve"> refers to calendar days</w:t>
            </w:r>
            <w:r>
              <w:rPr>
                <w:i/>
              </w:rPr>
              <w:t>.</w:t>
            </w:r>
          </w:p>
        </w:tc>
      </w:tr>
      <w:tr w:rsidR="00754BD1" w:rsidRPr="003F6147" w14:paraId="710F5904" w14:textId="77777777" w:rsidTr="003F6147">
        <w:tc>
          <w:tcPr>
            <w:tcW w:w="2430" w:type="dxa"/>
          </w:tcPr>
          <w:p w14:paraId="147C6C24" w14:textId="77777777" w:rsidR="00754BD1" w:rsidRPr="003F6147" w:rsidRDefault="00754BD1" w:rsidP="00754BD1">
            <w:pPr>
              <w:jc w:val="both"/>
            </w:pPr>
            <w:r w:rsidRPr="003F6147">
              <w:t>Disadvantaged Community</w:t>
            </w:r>
          </w:p>
        </w:tc>
        <w:tc>
          <w:tcPr>
            <w:tcW w:w="6930" w:type="dxa"/>
          </w:tcPr>
          <w:p w14:paraId="24306E97" w14:textId="71AAA565" w:rsidR="00754BD1" w:rsidRPr="003F6147" w:rsidRDefault="00754BD1" w:rsidP="005A0173">
            <w:r>
              <w:t xml:space="preserve">These are communities designated pursuant to Health and Safety Code section 39711 as representing the top 25% scoring census tracts from </w:t>
            </w:r>
            <w:proofErr w:type="spellStart"/>
            <w:r>
              <w:t>CalEnviroScreen</w:t>
            </w:r>
            <w:proofErr w:type="spellEnd"/>
            <w:r>
              <w:t xml:space="preserve"> along with other areas with high amounts of pollution and low populations as identified by the California Environmental Protection Agency. (https://oehha.ca.gov/calenviroscreen/report/calenviroscreen-40)</w:t>
            </w:r>
          </w:p>
        </w:tc>
      </w:tr>
      <w:tr w:rsidR="00754BD1" w:rsidRPr="003F6147" w14:paraId="59FBABCE" w14:textId="77777777" w:rsidTr="003F6147">
        <w:tc>
          <w:tcPr>
            <w:tcW w:w="2430" w:type="dxa"/>
          </w:tcPr>
          <w:p w14:paraId="243A0865" w14:textId="13F81DB0" w:rsidR="00754BD1" w:rsidRPr="003F6147" w:rsidRDefault="00754BD1" w:rsidP="00754BD1">
            <w:pPr>
              <w:jc w:val="both"/>
            </w:pPr>
            <w:r>
              <w:lastRenderedPageBreak/>
              <w:t>DR</w:t>
            </w:r>
          </w:p>
        </w:tc>
        <w:tc>
          <w:tcPr>
            <w:tcW w:w="6930" w:type="dxa"/>
          </w:tcPr>
          <w:p w14:paraId="6160CF40" w14:textId="3097A8C7" w:rsidR="00754BD1" w:rsidRDefault="00754BD1" w:rsidP="00754BD1">
            <w:pPr>
              <w:jc w:val="both"/>
            </w:pPr>
            <w:r>
              <w:t>Demand Response</w:t>
            </w:r>
          </w:p>
        </w:tc>
      </w:tr>
      <w:tr w:rsidR="00754BD1" w:rsidRPr="003F6147" w14:paraId="440E3ED2" w14:textId="77777777" w:rsidTr="003F6147">
        <w:tc>
          <w:tcPr>
            <w:tcW w:w="2430" w:type="dxa"/>
          </w:tcPr>
          <w:p w14:paraId="74D6D733" w14:textId="77777777" w:rsidR="00754BD1" w:rsidRPr="003F6147" w:rsidRDefault="00754BD1" w:rsidP="00754BD1">
            <w:pPr>
              <w:jc w:val="both"/>
            </w:pPr>
            <w:r w:rsidRPr="003F6147">
              <w:t>Energy Equity</w:t>
            </w:r>
          </w:p>
        </w:tc>
        <w:tc>
          <w:tcPr>
            <w:tcW w:w="6930" w:type="dxa"/>
          </w:tcPr>
          <w:p w14:paraId="710ABD54" w14:textId="77777777" w:rsidR="00754BD1" w:rsidRPr="003F6147" w:rsidRDefault="00754BD1" w:rsidP="00754BD1">
            <w:pPr>
              <w:jc w:val="both"/>
            </w:pPr>
            <w:r w:rsidRPr="003F6147">
              <w:t>The fair distribution of benefits and burdens from energy production and consumption.</w:t>
            </w:r>
          </w:p>
        </w:tc>
      </w:tr>
      <w:tr w:rsidR="00754BD1" w:rsidRPr="003F6147" w14:paraId="3796E1CD" w14:textId="77777777" w:rsidTr="003F6147">
        <w:tc>
          <w:tcPr>
            <w:tcW w:w="2430" w:type="dxa"/>
          </w:tcPr>
          <w:p w14:paraId="718CC924" w14:textId="77777777" w:rsidR="00754BD1" w:rsidRPr="003F6147" w:rsidRDefault="00754BD1" w:rsidP="00754BD1">
            <w:pPr>
              <w:jc w:val="both"/>
            </w:pPr>
            <w:r w:rsidRPr="003F6147">
              <w:t>EPIC</w:t>
            </w:r>
          </w:p>
        </w:tc>
        <w:tc>
          <w:tcPr>
            <w:tcW w:w="6930" w:type="dxa"/>
          </w:tcPr>
          <w:p w14:paraId="410D5587" w14:textId="77777777" w:rsidR="00754BD1" w:rsidRPr="003F6147" w:rsidRDefault="00754BD1" w:rsidP="00754BD1">
            <w:pPr>
              <w:jc w:val="both"/>
            </w:pPr>
            <w:r w:rsidRPr="003F6147">
              <w:rPr>
                <w:i/>
              </w:rPr>
              <w:t>Electric Program Investment Charge,</w:t>
            </w:r>
            <w:r w:rsidRPr="003F6147">
              <w:t xml:space="preserve"> the source of funding for the projects awarded under this solicitation</w:t>
            </w:r>
            <w:r>
              <w:t>.</w:t>
            </w:r>
          </w:p>
        </w:tc>
      </w:tr>
      <w:tr w:rsidR="00754BD1" w:rsidRPr="003F6147" w14:paraId="43A8E791" w14:textId="77777777" w:rsidTr="003F6147">
        <w:tc>
          <w:tcPr>
            <w:tcW w:w="2430" w:type="dxa"/>
          </w:tcPr>
          <w:p w14:paraId="77E58E0F" w14:textId="5D42E67B" w:rsidR="00754BD1" w:rsidRPr="003F6147" w:rsidRDefault="00754BD1" w:rsidP="00754BD1">
            <w:pPr>
              <w:jc w:val="both"/>
            </w:pPr>
            <w:r>
              <w:t>GHG emissions</w:t>
            </w:r>
          </w:p>
        </w:tc>
        <w:tc>
          <w:tcPr>
            <w:tcW w:w="6930" w:type="dxa"/>
          </w:tcPr>
          <w:p w14:paraId="3C87DFFE" w14:textId="6A90D938" w:rsidR="00754BD1" w:rsidRPr="003F6147" w:rsidRDefault="00754BD1" w:rsidP="00754BD1">
            <w:pPr>
              <w:jc w:val="both"/>
              <w:rPr>
                <w:i/>
              </w:rPr>
            </w:pPr>
            <w:r>
              <w:t>Greenhouse Gas emissions</w:t>
            </w:r>
          </w:p>
        </w:tc>
      </w:tr>
      <w:tr w:rsidR="00754BD1" w:rsidRPr="003F6147" w14:paraId="28076DDA" w14:textId="77777777" w:rsidTr="003F6147">
        <w:tc>
          <w:tcPr>
            <w:tcW w:w="2430" w:type="dxa"/>
          </w:tcPr>
          <w:p w14:paraId="78905629" w14:textId="51EA1FB2" w:rsidR="00754BD1" w:rsidRPr="00E4291E" w:rsidRDefault="00754BD1" w:rsidP="00754BD1">
            <w:pPr>
              <w:jc w:val="both"/>
            </w:pPr>
            <w:r w:rsidRPr="00E4291E">
              <w:rPr>
                <w:szCs w:val="22"/>
              </w:rPr>
              <w:t>Industrial Refrigerated Warehouse</w:t>
            </w:r>
          </w:p>
        </w:tc>
        <w:tc>
          <w:tcPr>
            <w:tcW w:w="6930" w:type="dxa"/>
          </w:tcPr>
          <w:p w14:paraId="54464D11" w14:textId="1DCECE27" w:rsidR="00754BD1" w:rsidRPr="00E4291E" w:rsidRDefault="00754BD1" w:rsidP="00754BD1">
            <w:pPr>
              <w:jc w:val="both"/>
            </w:pPr>
            <w:r w:rsidRPr="00E4291E">
              <w:rPr>
                <w:szCs w:val="22"/>
              </w:rPr>
              <w:t>A refrigerated space greater than or equal to 3,000 square feet constructed for storage or handling of food, pharmaceuticals, and other products with a space temperature of 55°F or less.</w:t>
            </w:r>
          </w:p>
        </w:tc>
      </w:tr>
      <w:tr w:rsidR="00754BD1" w:rsidRPr="003F6147" w14:paraId="299AA2AD" w14:textId="77777777" w:rsidTr="003F6147">
        <w:tc>
          <w:tcPr>
            <w:tcW w:w="2430" w:type="dxa"/>
          </w:tcPr>
          <w:p w14:paraId="3261536F" w14:textId="77777777" w:rsidR="00754BD1" w:rsidRPr="003F6147" w:rsidRDefault="00754BD1" w:rsidP="00754BD1">
            <w:pPr>
              <w:jc w:val="both"/>
            </w:pPr>
            <w:r w:rsidRPr="003F6147">
              <w:t>IOU</w:t>
            </w:r>
          </w:p>
        </w:tc>
        <w:tc>
          <w:tcPr>
            <w:tcW w:w="6930" w:type="dxa"/>
          </w:tcPr>
          <w:p w14:paraId="5ACA9A9F" w14:textId="77777777" w:rsidR="00754BD1" w:rsidRPr="003F6147" w:rsidRDefault="00754BD1" w:rsidP="00754BD1">
            <w:pPr>
              <w:jc w:val="both"/>
            </w:pPr>
            <w:r w:rsidRPr="003F6147">
              <w:rPr>
                <w:i/>
              </w:rPr>
              <w:t>Investor-owned utility,</w:t>
            </w:r>
            <w:r w:rsidRPr="003F6147">
              <w:t xml:space="preserve"> an electrical corporation as defined in in California Public Utilities Code section 218. For purposes of this EPIC solicitation, it includes Pacific Gas and Electric Co., San Diego Gas and Electric Co., and Southern California Edison Co.</w:t>
            </w:r>
          </w:p>
        </w:tc>
      </w:tr>
      <w:tr w:rsidR="009423EB" w:rsidRPr="003F6147" w14:paraId="1696F0A3" w14:textId="77777777" w:rsidTr="003F6147">
        <w:tc>
          <w:tcPr>
            <w:tcW w:w="2430" w:type="dxa"/>
          </w:tcPr>
          <w:p w14:paraId="17FC9BBF" w14:textId="7335C1E5" w:rsidR="009423EB" w:rsidRPr="009423EB" w:rsidRDefault="009423EB" w:rsidP="00754BD1">
            <w:pPr>
              <w:rPr>
                <w:b/>
                <w:bCs/>
                <w:u w:val="single"/>
              </w:rPr>
            </w:pPr>
            <w:r w:rsidRPr="009423EB">
              <w:rPr>
                <w:b/>
                <w:bCs/>
                <w:u w:val="single"/>
              </w:rPr>
              <w:t xml:space="preserve">Load Flexibility </w:t>
            </w:r>
          </w:p>
        </w:tc>
        <w:tc>
          <w:tcPr>
            <w:tcW w:w="6930" w:type="dxa"/>
          </w:tcPr>
          <w:p w14:paraId="50EFB245" w14:textId="777334F3" w:rsidR="009423EB" w:rsidRPr="009423EB" w:rsidRDefault="009423EB" w:rsidP="741C7C45">
            <w:pPr>
              <w:shd w:val="clear" w:color="auto" w:fill="FFFFFF" w:themeFill="background1"/>
              <w:spacing w:after="60"/>
              <w:jc w:val="both"/>
              <w:textAlignment w:val="baseline"/>
              <w:rPr>
                <w:b/>
                <w:bCs/>
                <w:i/>
                <w:u w:val="single"/>
              </w:rPr>
            </w:pPr>
            <w:r w:rsidRPr="009423EB">
              <w:rPr>
                <w:b/>
                <w:bCs/>
                <w:i/>
                <w:u w:val="single"/>
              </w:rPr>
              <w:t xml:space="preserve">Load flexibility, </w:t>
            </w:r>
            <w:r w:rsidRPr="009423EB">
              <w:rPr>
                <w:b/>
                <w:bCs/>
                <w:iCs/>
                <w:u w:val="single"/>
              </w:rPr>
              <w:t xml:space="preserve">also called demand flexibility, is the practice of adjusting load (or energy usage) to match the supply of electricity. Electricity customers with smart devices can automatically shift their energy usage to when electricity is cheaper and </w:t>
            </w:r>
            <w:r w:rsidRPr="741C7C45">
              <w:rPr>
                <w:b/>
                <w:bCs/>
                <w:u w:val="single"/>
              </w:rPr>
              <w:t>clean</w:t>
            </w:r>
            <w:r w:rsidR="43D7D98F" w:rsidRPr="741C7C45">
              <w:rPr>
                <w:b/>
                <w:bCs/>
                <w:u w:val="single"/>
              </w:rPr>
              <w:t>er</w:t>
            </w:r>
            <w:r w:rsidRPr="009423EB">
              <w:rPr>
                <w:b/>
                <w:bCs/>
                <w:iCs/>
                <w:u w:val="single"/>
              </w:rPr>
              <w:t xml:space="preserve"> and use less energy when the grid is under stress or running polluting power plants. For additional information</w:t>
            </w:r>
            <w:r w:rsidRPr="009423EB">
              <w:rPr>
                <w:b/>
                <w:bCs/>
                <w:i/>
                <w:u w:val="single"/>
              </w:rPr>
              <w:t xml:space="preserve">: </w:t>
            </w:r>
            <w:r w:rsidRPr="009423EB">
              <w:rPr>
                <w:b/>
                <w:bCs/>
                <w:iCs/>
                <w:u w:val="single"/>
              </w:rPr>
              <w:t>https://www.energy.ca.gov/programs-and-topics/topics/load-flexibility</w:t>
            </w:r>
          </w:p>
        </w:tc>
      </w:tr>
      <w:tr w:rsidR="00754BD1" w:rsidRPr="003F6147" w14:paraId="3E0981EC" w14:textId="77777777" w:rsidTr="003F6147">
        <w:tc>
          <w:tcPr>
            <w:tcW w:w="2430" w:type="dxa"/>
          </w:tcPr>
          <w:p w14:paraId="2C5F8351" w14:textId="77777777" w:rsidR="00754BD1" w:rsidRPr="003F6147" w:rsidRDefault="00754BD1" w:rsidP="00754BD1">
            <w:r w:rsidRPr="003F6147">
              <w:t>Low Income Community</w:t>
            </w:r>
          </w:p>
        </w:tc>
        <w:tc>
          <w:tcPr>
            <w:tcW w:w="6930" w:type="dxa"/>
          </w:tcPr>
          <w:p w14:paraId="673D844E" w14:textId="77777777" w:rsidR="00754BD1" w:rsidRPr="003F6147" w:rsidRDefault="00754BD1" w:rsidP="00754BD1">
            <w:pPr>
              <w:shd w:val="clear" w:color="auto" w:fill="FFFFFF"/>
              <w:spacing w:after="60"/>
              <w:jc w:val="both"/>
              <w:textAlignment w:val="baseline"/>
            </w:pPr>
            <w:r w:rsidRPr="003A0A6F">
              <w:rPr>
                <w:i/>
              </w:rPr>
              <w:t>Low-income Communities</w:t>
            </w:r>
            <w:r w:rsidRPr="00960D30">
              <w:t xml:space="preserve"> are defined as communities within census tracts with median household incomes at or below 80 percent of the statewide median income or the applicable low-income threshold listed in the state income limits updated by the Department of Housing and Community Development.  </w:t>
            </w:r>
            <w:r>
              <w:t>(</w:t>
            </w:r>
            <w:r w:rsidRPr="003A0A6F">
              <w:t>https://www.hcd.ca.gov/grants-funding/income-limits/state-and-federal-income-limits.shtml</w:t>
            </w:r>
            <w:r>
              <w:t xml:space="preserve">) </w:t>
            </w:r>
          </w:p>
        </w:tc>
      </w:tr>
      <w:tr w:rsidR="00754BD1" w:rsidRPr="003F6147" w14:paraId="36EE849E" w14:textId="77777777" w:rsidTr="003F6147">
        <w:tc>
          <w:tcPr>
            <w:tcW w:w="2430" w:type="dxa"/>
          </w:tcPr>
          <w:p w14:paraId="0DCA0F8E" w14:textId="77777777" w:rsidR="00754BD1" w:rsidRPr="003F6147" w:rsidRDefault="00754BD1" w:rsidP="00754BD1">
            <w:pPr>
              <w:jc w:val="both"/>
            </w:pPr>
            <w:r w:rsidRPr="003F6147">
              <w:t>NOPA</w:t>
            </w:r>
          </w:p>
        </w:tc>
        <w:tc>
          <w:tcPr>
            <w:tcW w:w="6930" w:type="dxa"/>
          </w:tcPr>
          <w:p w14:paraId="1BC385BE" w14:textId="77777777" w:rsidR="00754BD1" w:rsidRPr="003F6147" w:rsidRDefault="00754BD1" w:rsidP="00754BD1">
            <w:pPr>
              <w:jc w:val="both"/>
            </w:pPr>
            <w:r w:rsidRPr="003F6147">
              <w:rPr>
                <w:i/>
              </w:rPr>
              <w:t>Notice of Proposed Award,</w:t>
            </w:r>
            <w:r w:rsidRPr="003F6147">
              <w:t xml:space="preserve"> a public notice by the CEC that identifies award recipients</w:t>
            </w:r>
            <w:r>
              <w:t>.</w:t>
            </w:r>
          </w:p>
        </w:tc>
      </w:tr>
      <w:tr w:rsidR="00754BD1" w:rsidRPr="003F6147" w14:paraId="01BC2DDD" w14:textId="77777777" w:rsidTr="003F6147">
        <w:tc>
          <w:tcPr>
            <w:tcW w:w="2430" w:type="dxa"/>
          </w:tcPr>
          <w:p w14:paraId="2AA6388E" w14:textId="6927FA0A" w:rsidR="00754BD1" w:rsidRPr="003F6147" w:rsidRDefault="00754BD1" w:rsidP="00754BD1">
            <w:pPr>
              <w:jc w:val="both"/>
            </w:pPr>
            <w:r>
              <w:t>Net Peak</w:t>
            </w:r>
          </w:p>
        </w:tc>
        <w:tc>
          <w:tcPr>
            <w:tcW w:w="6930" w:type="dxa"/>
          </w:tcPr>
          <w:p w14:paraId="45D46F3C" w14:textId="2E7A24D9" w:rsidR="00754BD1" w:rsidRPr="003F6147" w:rsidRDefault="00754BD1" w:rsidP="00754BD1">
            <w:pPr>
              <w:jc w:val="both"/>
              <w:rPr>
                <w:i/>
              </w:rPr>
            </w:pPr>
            <w:r w:rsidRPr="1D3DC1FF">
              <w:rPr>
                <w:i/>
                <w:iCs/>
              </w:rPr>
              <w:t>Net Peak</w:t>
            </w:r>
            <w:r>
              <w:t xml:space="preserve">, or net load or net demand peak is the difference between energy required by the CAISO to serve demand at its highest level of the day and the supply of renewable electricity. It is the variance between total demand and the amount of electrical resources needed when renewable resources may no longer be generating and varies through the year. For additional information: </w:t>
            </w:r>
            <w:hyperlink r:id="rId17">
              <w:r w:rsidRPr="1D3DC1FF">
                <w:rPr>
                  <w:rStyle w:val="Hyperlink"/>
                </w:rPr>
                <w:t>gross-and-net-load-peaks-fact-sheet.pdf (caiso.com)</w:t>
              </w:r>
            </w:hyperlink>
            <w:r>
              <w:rPr>
                <w:rStyle w:val="Hyperlink"/>
              </w:rPr>
              <w:t>.</w:t>
            </w:r>
          </w:p>
        </w:tc>
      </w:tr>
      <w:tr w:rsidR="00754BD1" w:rsidRPr="003F6147" w14:paraId="6D475B51" w14:textId="77777777" w:rsidTr="003F6147">
        <w:tc>
          <w:tcPr>
            <w:tcW w:w="2430" w:type="dxa"/>
          </w:tcPr>
          <w:p w14:paraId="3653F882" w14:textId="3CD684BE" w:rsidR="00754BD1" w:rsidRPr="003F6147" w:rsidRDefault="00754BD1" w:rsidP="00754BD1">
            <w:pPr>
              <w:jc w:val="both"/>
            </w:pPr>
            <w:r>
              <w:t>Off-Peak Time</w:t>
            </w:r>
          </w:p>
        </w:tc>
        <w:tc>
          <w:tcPr>
            <w:tcW w:w="6930" w:type="dxa"/>
          </w:tcPr>
          <w:p w14:paraId="4E7157EF" w14:textId="0CAF4C1C" w:rsidR="00754BD1" w:rsidRPr="003F6147" w:rsidRDefault="00754BD1" w:rsidP="00754BD1">
            <w:pPr>
              <w:jc w:val="both"/>
              <w:rPr>
                <w:i/>
              </w:rPr>
            </w:pPr>
            <w:r>
              <w:t>Time of day when grid electricity is the lowest and varies by electric utility.</w:t>
            </w:r>
          </w:p>
        </w:tc>
      </w:tr>
      <w:tr w:rsidR="00754BD1" w:rsidRPr="003F6147" w14:paraId="21CA238E" w14:textId="77777777" w:rsidTr="003F6147">
        <w:tc>
          <w:tcPr>
            <w:tcW w:w="2430" w:type="dxa"/>
          </w:tcPr>
          <w:p w14:paraId="4345D264" w14:textId="3C0794E8" w:rsidR="00754BD1" w:rsidRPr="003F6147" w:rsidRDefault="00754BD1" w:rsidP="00754BD1">
            <w:pPr>
              <w:jc w:val="both"/>
            </w:pPr>
            <w:r>
              <w:t>OPEX</w:t>
            </w:r>
          </w:p>
        </w:tc>
        <w:tc>
          <w:tcPr>
            <w:tcW w:w="6930" w:type="dxa"/>
          </w:tcPr>
          <w:p w14:paraId="68A52004" w14:textId="09E84DBE" w:rsidR="00754BD1" w:rsidRPr="003F6147" w:rsidRDefault="00754BD1" w:rsidP="00754BD1">
            <w:pPr>
              <w:jc w:val="both"/>
              <w:rPr>
                <w:i/>
              </w:rPr>
            </w:pPr>
            <w:r>
              <w:t xml:space="preserve">Operating Expenses. Expenses related to maintaining and operating equipment. </w:t>
            </w:r>
          </w:p>
        </w:tc>
      </w:tr>
      <w:tr w:rsidR="00754BD1" w:rsidRPr="003F6147" w14:paraId="64B3725C" w14:textId="77777777" w:rsidTr="003F6147">
        <w:tc>
          <w:tcPr>
            <w:tcW w:w="2430" w:type="dxa"/>
          </w:tcPr>
          <w:p w14:paraId="77627CE2" w14:textId="77777777" w:rsidR="00754BD1" w:rsidRPr="003F6147" w:rsidRDefault="00754BD1" w:rsidP="00754BD1">
            <w:pPr>
              <w:jc w:val="both"/>
            </w:pPr>
            <w:r w:rsidRPr="003F6147">
              <w:t>Pre-Commercial</w:t>
            </w:r>
            <w:r>
              <w:t xml:space="preserve"> Technology</w:t>
            </w:r>
          </w:p>
        </w:tc>
        <w:tc>
          <w:tcPr>
            <w:tcW w:w="6930" w:type="dxa"/>
          </w:tcPr>
          <w:p w14:paraId="185DE1FD" w14:textId="77777777" w:rsidR="00754BD1" w:rsidRPr="003F6147" w:rsidRDefault="00754BD1" w:rsidP="00754BD1">
            <w:pPr>
              <w:spacing w:before="100" w:beforeAutospacing="1" w:after="100" w:afterAutospacing="1"/>
            </w:pPr>
            <w:r w:rsidRPr="003F6147">
              <w:rPr>
                <w:i/>
              </w:rPr>
              <w:t>Pre-commercial Technology</w:t>
            </w:r>
            <w:r w:rsidRPr="003F6147">
              <w:t xml:space="preserve"> means a technology that has not reached commercial maturity or been deployed at scales sufficiently large and in conditions sufficiently reflective of anticipated actual </w:t>
            </w:r>
            <w:r w:rsidRPr="003F6147">
              <w:lastRenderedPageBreak/>
              <w:t>operating environments to enable the appraisal of operational and performance characteristics, or of financial risks.</w:t>
            </w:r>
          </w:p>
        </w:tc>
      </w:tr>
      <w:tr w:rsidR="00754BD1" w:rsidRPr="003F6147" w14:paraId="2F48986C" w14:textId="77777777" w:rsidTr="003F6147">
        <w:tc>
          <w:tcPr>
            <w:tcW w:w="2430" w:type="dxa"/>
          </w:tcPr>
          <w:p w14:paraId="53373040" w14:textId="77777777" w:rsidR="00754BD1" w:rsidRPr="003F6147" w:rsidRDefault="00754BD1" w:rsidP="00754BD1">
            <w:pPr>
              <w:jc w:val="both"/>
            </w:pPr>
            <w:r w:rsidRPr="003F6147">
              <w:lastRenderedPageBreak/>
              <w:t>Pilot Test</w:t>
            </w:r>
          </w:p>
        </w:tc>
        <w:tc>
          <w:tcPr>
            <w:tcW w:w="6930" w:type="dxa"/>
          </w:tcPr>
          <w:p w14:paraId="0742F89F" w14:textId="464FEB17" w:rsidR="00754BD1" w:rsidRPr="003F6147" w:rsidRDefault="00754BD1" w:rsidP="00754BD1">
            <w:pPr>
              <w:spacing w:before="100" w:beforeAutospacing="1" w:after="100" w:afterAutospacing="1"/>
            </w:pPr>
            <w:r w:rsidRPr="003F6147">
              <w:rPr>
                <w:i/>
              </w:rPr>
              <w:t>Pilot test</w:t>
            </w:r>
            <w:r w:rsidRPr="003F6147">
              <w:t xml:space="preserve"> means small scale testing in the laboratory or testing on a small portion of the production line of the affected industry. Pilot tests help to verify the design and validity of an approach, and adjustments can be made at this stage before full-scale demonstrations</w:t>
            </w:r>
          </w:p>
        </w:tc>
      </w:tr>
      <w:tr w:rsidR="00754BD1" w:rsidRPr="003F6147" w14:paraId="6E267D56" w14:textId="77777777" w:rsidTr="003F6147">
        <w:tc>
          <w:tcPr>
            <w:tcW w:w="2430" w:type="dxa"/>
          </w:tcPr>
          <w:p w14:paraId="0F0C249B" w14:textId="77777777" w:rsidR="00754BD1" w:rsidRPr="003F6147" w:rsidRDefault="00754BD1" w:rsidP="00754BD1">
            <w:pPr>
              <w:jc w:val="both"/>
            </w:pPr>
            <w:r w:rsidRPr="003F6147">
              <w:t>Principal Investigator</w:t>
            </w:r>
          </w:p>
        </w:tc>
        <w:tc>
          <w:tcPr>
            <w:tcW w:w="6930" w:type="dxa"/>
          </w:tcPr>
          <w:p w14:paraId="5FE4F8B7" w14:textId="77777777" w:rsidR="00754BD1" w:rsidRPr="003F6147" w:rsidRDefault="00754BD1" w:rsidP="00754BD1">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t>.</w:t>
            </w:r>
            <w:r w:rsidRPr="003F6147">
              <w:t xml:space="preserve">  </w:t>
            </w:r>
          </w:p>
        </w:tc>
      </w:tr>
      <w:tr w:rsidR="00754BD1" w:rsidRPr="003F6147" w14:paraId="619CD725" w14:textId="77777777" w:rsidTr="003F6147">
        <w:tc>
          <w:tcPr>
            <w:tcW w:w="2430" w:type="dxa"/>
          </w:tcPr>
          <w:p w14:paraId="55A34BEB" w14:textId="77777777" w:rsidR="00754BD1" w:rsidRPr="003F6147" w:rsidRDefault="00754BD1" w:rsidP="00754BD1">
            <w:pPr>
              <w:jc w:val="both"/>
            </w:pPr>
            <w:r w:rsidRPr="003F6147">
              <w:t>Project Manager</w:t>
            </w:r>
          </w:p>
        </w:tc>
        <w:tc>
          <w:tcPr>
            <w:tcW w:w="6930" w:type="dxa"/>
          </w:tcPr>
          <w:p w14:paraId="74A463FD" w14:textId="77777777" w:rsidR="00754BD1" w:rsidRPr="003F6147" w:rsidRDefault="00754BD1" w:rsidP="00754BD1">
            <w:pPr>
              <w:jc w:val="both"/>
            </w:pPr>
            <w:r w:rsidRPr="003F6147">
              <w:t>The person designated by the applicant to oversee the project and to serve as the main point of contact for the CEC</w:t>
            </w:r>
            <w:r>
              <w:t>.</w:t>
            </w:r>
          </w:p>
        </w:tc>
      </w:tr>
      <w:tr w:rsidR="00754BD1" w:rsidRPr="003F6147" w14:paraId="5AEA71FB" w14:textId="77777777" w:rsidTr="003F6147">
        <w:tc>
          <w:tcPr>
            <w:tcW w:w="2430" w:type="dxa"/>
          </w:tcPr>
          <w:p w14:paraId="58F6988E" w14:textId="77777777" w:rsidR="00754BD1" w:rsidRPr="003F6147" w:rsidRDefault="00754BD1" w:rsidP="00754BD1">
            <w:pPr>
              <w:jc w:val="both"/>
            </w:pPr>
            <w:r w:rsidRPr="003F6147">
              <w:t>Project Partner</w:t>
            </w:r>
          </w:p>
        </w:tc>
        <w:tc>
          <w:tcPr>
            <w:tcW w:w="6930" w:type="dxa"/>
          </w:tcPr>
          <w:p w14:paraId="074771EE" w14:textId="77777777" w:rsidR="00754BD1" w:rsidRPr="003F6147" w:rsidRDefault="00754BD1" w:rsidP="00754BD1">
            <w:pPr>
              <w:jc w:val="both"/>
            </w:pPr>
            <w:r w:rsidRPr="003F6147">
              <w:t>An entity or individual that contributes financially or otherwise to the project (e.g., match funding, provision of a test, demonstration or deployment site), and does not receive CEC funds</w:t>
            </w:r>
            <w:r>
              <w:t>.</w:t>
            </w:r>
            <w:r w:rsidRPr="003F6147">
              <w:t xml:space="preserve"> </w:t>
            </w:r>
          </w:p>
        </w:tc>
      </w:tr>
      <w:tr w:rsidR="00754BD1" w:rsidRPr="003F6147" w14:paraId="5A22456C" w14:textId="77777777" w:rsidTr="003F6147">
        <w:tc>
          <w:tcPr>
            <w:tcW w:w="2430" w:type="dxa"/>
          </w:tcPr>
          <w:p w14:paraId="6F237EB3" w14:textId="77777777" w:rsidR="00754BD1" w:rsidRPr="003F6147" w:rsidRDefault="00754BD1" w:rsidP="00754BD1">
            <w:pPr>
              <w:jc w:val="both"/>
            </w:pPr>
            <w:r w:rsidRPr="003F6147">
              <w:t>Recipient</w:t>
            </w:r>
          </w:p>
        </w:tc>
        <w:tc>
          <w:tcPr>
            <w:tcW w:w="6930" w:type="dxa"/>
          </w:tcPr>
          <w:p w14:paraId="3FC09509" w14:textId="77777777" w:rsidR="00754BD1" w:rsidRPr="003F6147" w:rsidRDefault="00754BD1" w:rsidP="00754BD1">
            <w:pPr>
              <w:jc w:val="both"/>
            </w:pPr>
            <w:r w:rsidRPr="003F6147">
              <w:t xml:space="preserve"> An entity receiving an award under this solicitation</w:t>
            </w:r>
            <w:r>
              <w:t>.</w:t>
            </w:r>
          </w:p>
        </w:tc>
      </w:tr>
      <w:tr w:rsidR="0047600F" w:rsidRPr="003F6147" w14:paraId="42EEB8A9" w14:textId="77777777" w:rsidTr="003F6147">
        <w:tc>
          <w:tcPr>
            <w:tcW w:w="2430" w:type="dxa"/>
          </w:tcPr>
          <w:p w14:paraId="637B3366" w14:textId="0B5B6E7C" w:rsidR="0047600F" w:rsidRPr="003F6147" w:rsidRDefault="0047600F" w:rsidP="0047600F">
            <w:pPr>
              <w:jc w:val="both"/>
            </w:pPr>
            <w:r>
              <w:t>ROI</w:t>
            </w:r>
          </w:p>
        </w:tc>
        <w:tc>
          <w:tcPr>
            <w:tcW w:w="6930" w:type="dxa"/>
          </w:tcPr>
          <w:p w14:paraId="086FC53F" w14:textId="4DAA42F1" w:rsidR="0047600F" w:rsidRPr="003F6147" w:rsidRDefault="0047600F" w:rsidP="0047600F">
            <w:pPr>
              <w:jc w:val="both"/>
            </w:pPr>
            <w:r>
              <w:t xml:space="preserve">Return On Investment. The ROI calculation will take the total or marginal cost of installation and equipment and divide it by the annual energy/cost savings. </w:t>
            </w:r>
          </w:p>
        </w:tc>
      </w:tr>
      <w:tr w:rsidR="0047600F" w:rsidRPr="003F6147" w14:paraId="7553A7FC" w14:textId="77777777" w:rsidTr="003F6147">
        <w:tc>
          <w:tcPr>
            <w:tcW w:w="2430" w:type="dxa"/>
          </w:tcPr>
          <w:p w14:paraId="0B4C3758" w14:textId="17D704B9" w:rsidR="0047600F" w:rsidRPr="003F6147" w:rsidRDefault="0047600F" w:rsidP="0047600F">
            <w:pPr>
              <w:jc w:val="both"/>
            </w:pPr>
            <w:r>
              <w:t>Simple Payback</w:t>
            </w:r>
          </w:p>
        </w:tc>
        <w:tc>
          <w:tcPr>
            <w:tcW w:w="6930" w:type="dxa"/>
          </w:tcPr>
          <w:p w14:paraId="05F3CEDD" w14:textId="2EDCF9A3" w:rsidR="0047600F" w:rsidRPr="003F6147" w:rsidRDefault="0047600F" w:rsidP="0047600F">
            <w:pPr>
              <w:jc w:val="both"/>
            </w:pPr>
            <w:r>
              <w:t xml:space="preserve">Simple payback = (equipment cost + installation cost + additional </w:t>
            </w:r>
            <w:r w:rsidRPr="1D3DC1FF">
              <w:rPr>
                <w:rFonts w:eastAsia="Arial"/>
              </w:rPr>
              <w:t>maintenance</w:t>
            </w:r>
            <w:r>
              <w:t xml:space="preserve"> costs) ÷ (annual energy cost savings + demand cost savings)</w:t>
            </w:r>
          </w:p>
        </w:tc>
      </w:tr>
      <w:tr w:rsidR="0047600F" w:rsidRPr="003F6147" w14:paraId="0735587C" w14:textId="77777777" w:rsidTr="003F6147">
        <w:tc>
          <w:tcPr>
            <w:tcW w:w="2430" w:type="dxa"/>
          </w:tcPr>
          <w:p w14:paraId="6FCE2130" w14:textId="77777777" w:rsidR="0047600F" w:rsidRPr="003F6147" w:rsidRDefault="0047600F" w:rsidP="0047600F">
            <w:pPr>
              <w:jc w:val="both"/>
            </w:pPr>
            <w:r w:rsidRPr="003F6147">
              <w:t>Solicitation</w:t>
            </w:r>
          </w:p>
        </w:tc>
        <w:tc>
          <w:tcPr>
            <w:tcW w:w="6930" w:type="dxa"/>
          </w:tcPr>
          <w:p w14:paraId="51DC304A" w14:textId="38C7628E" w:rsidR="0047600F" w:rsidRPr="003F6147" w:rsidRDefault="0047600F" w:rsidP="0047600F">
            <w:pPr>
              <w:jc w:val="both"/>
            </w:pPr>
            <w:r w:rsidRPr="003F6147">
              <w:t>This entire document, including all attachments, exhibits, any addendum and written notices, and questions and answers (“solicitation” may be used interchangeably with “Grant Funding Opportunity”)</w:t>
            </w:r>
            <w:r>
              <w:t>.</w:t>
            </w:r>
            <w:r w:rsidRPr="003F6147">
              <w:t xml:space="preserve"> </w:t>
            </w:r>
          </w:p>
        </w:tc>
      </w:tr>
      <w:tr w:rsidR="0047600F" w:rsidRPr="003F6147" w14:paraId="277930E9" w14:textId="77777777" w:rsidTr="003F6147">
        <w:tc>
          <w:tcPr>
            <w:tcW w:w="2430" w:type="dxa"/>
          </w:tcPr>
          <w:p w14:paraId="2490391B" w14:textId="77777777" w:rsidR="0047600F" w:rsidRPr="003F6147" w:rsidRDefault="0047600F" w:rsidP="0047600F">
            <w:pPr>
              <w:jc w:val="both"/>
            </w:pPr>
            <w:r w:rsidRPr="003F6147">
              <w:t>State</w:t>
            </w:r>
          </w:p>
        </w:tc>
        <w:tc>
          <w:tcPr>
            <w:tcW w:w="6930" w:type="dxa"/>
          </w:tcPr>
          <w:p w14:paraId="4BEB9328" w14:textId="77777777" w:rsidR="0047600F" w:rsidRPr="003F6147" w:rsidRDefault="0047600F" w:rsidP="0047600F">
            <w:pPr>
              <w:jc w:val="both"/>
            </w:pPr>
            <w:r w:rsidRPr="003F6147">
              <w:t>State of California</w:t>
            </w:r>
          </w:p>
        </w:tc>
      </w:tr>
      <w:tr w:rsidR="0047600F" w:rsidRPr="003F6147" w14:paraId="7F791B7B" w14:textId="77777777" w:rsidTr="003F6147">
        <w:tc>
          <w:tcPr>
            <w:tcW w:w="2430" w:type="dxa"/>
          </w:tcPr>
          <w:p w14:paraId="47170EAD" w14:textId="436E062C" w:rsidR="0047600F" w:rsidRPr="003F6147" w:rsidRDefault="0047600F" w:rsidP="0047600F">
            <w:pPr>
              <w:jc w:val="both"/>
            </w:pPr>
            <w:r>
              <w:t>TOU</w:t>
            </w:r>
          </w:p>
        </w:tc>
        <w:tc>
          <w:tcPr>
            <w:tcW w:w="6930" w:type="dxa"/>
          </w:tcPr>
          <w:p w14:paraId="5A9ACB60" w14:textId="6EEFA092" w:rsidR="0047600F" w:rsidRPr="003F6147" w:rsidRDefault="0047600F" w:rsidP="0047600F">
            <w:pPr>
              <w:jc w:val="both"/>
            </w:pPr>
            <w:r w:rsidRPr="00CB4AC9">
              <w:t>Time</w:t>
            </w:r>
            <w:r>
              <w:t xml:space="preserve"> </w:t>
            </w:r>
            <w:r w:rsidRPr="00CB4AC9">
              <w:t>of</w:t>
            </w:r>
            <w:r>
              <w:t xml:space="preserve"> </w:t>
            </w:r>
            <w:r w:rsidRPr="00CB4AC9">
              <w:t xml:space="preserve">use is a </w:t>
            </w:r>
            <w:r>
              <w:t xml:space="preserve">metering </w:t>
            </w:r>
            <w:r w:rsidRPr="00CB4AC9">
              <w:t>method of measuring and charging a utility customer's energy consumption based on when the energy is used. Utility companies charge more during the time of day when electricity use is higher.</w:t>
            </w:r>
          </w:p>
        </w:tc>
      </w:tr>
      <w:tr w:rsidR="0047600F" w:rsidRPr="003F6147" w14:paraId="26EDE60B" w14:textId="77777777" w:rsidTr="00EC2034">
        <w:tc>
          <w:tcPr>
            <w:tcW w:w="2430" w:type="dxa"/>
          </w:tcPr>
          <w:p w14:paraId="6F562A24" w14:textId="77777777" w:rsidR="0047600F" w:rsidRPr="003F6147" w:rsidRDefault="0047600F" w:rsidP="0047600F">
            <w:pPr>
              <w:jc w:val="both"/>
            </w:pPr>
            <w:r>
              <w:t>TRL</w:t>
            </w:r>
          </w:p>
        </w:tc>
        <w:tc>
          <w:tcPr>
            <w:tcW w:w="6930" w:type="dxa"/>
          </w:tcPr>
          <w:p w14:paraId="579B9C91" w14:textId="49CD10CB" w:rsidR="0047600F" w:rsidRPr="007076F1" w:rsidRDefault="0047600F" w:rsidP="0047600F">
            <w:pPr>
              <w:spacing w:after="0"/>
            </w:pPr>
            <w:r>
              <w:t>Technology readiness levels are a method for estimating the maturity of technologies during the acquisition phase of a program.</w:t>
            </w:r>
          </w:p>
          <w:p w14:paraId="07D23953" w14:textId="77777777" w:rsidR="0047600F" w:rsidRPr="003F6147" w:rsidRDefault="0047600F" w:rsidP="0047600F">
            <w:pPr>
              <w:jc w:val="both"/>
            </w:pPr>
            <w:r w:rsidRPr="007076F1">
              <w:rPr>
                <w:szCs w:val="22"/>
              </w:rPr>
              <w:t xml:space="preserve">Source: U.S. Department of Energy, “Technology Readiness Assessment Guide”. </w:t>
            </w:r>
            <w:hyperlink r:id="rId18" w:history="1">
              <w:r w:rsidRPr="007076F1">
                <w:rPr>
                  <w:rStyle w:val="Hyperlink"/>
                  <w:rFonts w:cs="Arial"/>
                  <w:color w:val="auto"/>
                  <w:szCs w:val="22"/>
                </w:rPr>
                <w:t>https://www2.lbl.gov/dir/assets/docs/TRL%20guide.pdf</w:t>
              </w:r>
            </w:hyperlink>
          </w:p>
        </w:tc>
      </w:tr>
      <w:tr w:rsidR="0047600F" w:rsidRPr="003F6147" w14:paraId="4FB67F5E" w14:textId="77777777" w:rsidTr="00EC2034">
        <w:tc>
          <w:tcPr>
            <w:tcW w:w="2430" w:type="dxa"/>
          </w:tcPr>
          <w:p w14:paraId="0EF826D1" w14:textId="284EB9F6" w:rsidR="0047600F" w:rsidRPr="008B21DC" w:rsidRDefault="0047600F" w:rsidP="0047600F">
            <w:pPr>
              <w:jc w:val="both"/>
              <w:rPr>
                <w:color w:val="00B050"/>
              </w:rPr>
            </w:pPr>
            <w:r w:rsidRPr="00E4291E">
              <w:rPr>
                <w:szCs w:val="22"/>
              </w:rPr>
              <w:t>Ultra-low GWP</w:t>
            </w:r>
          </w:p>
        </w:tc>
        <w:tc>
          <w:tcPr>
            <w:tcW w:w="6930" w:type="dxa"/>
          </w:tcPr>
          <w:p w14:paraId="60F5C5EA" w14:textId="7C341049" w:rsidR="0047600F" w:rsidRPr="008B21DC" w:rsidRDefault="0047600F" w:rsidP="0047600F">
            <w:pPr>
              <w:spacing w:after="0"/>
              <w:rPr>
                <w:color w:val="00B050"/>
              </w:rPr>
            </w:pPr>
            <w:r w:rsidRPr="00E4291E">
              <w:rPr>
                <w:szCs w:val="22"/>
              </w:rPr>
              <w:t>Ultra-low Global Warming Potential refrigerant. For the purposes of this solicitation, ultra-low GWP refers to GWP of less than 2</w:t>
            </w:r>
            <w:r w:rsidR="29D8EECF" w:rsidRPr="00E4291E">
              <w:rPr>
                <w:szCs w:val="22"/>
              </w:rPr>
              <w:t>.</w:t>
            </w:r>
          </w:p>
        </w:tc>
      </w:tr>
    </w:tbl>
    <w:p w14:paraId="511F530A" w14:textId="1EB264AB" w:rsidR="003F6147" w:rsidRPr="00756BAC" w:rsidRDefault="003F6147" w:rsidP="003D157F">
      <w:pPr>
        <w:pStyle w:val="Heading2"/>
        <w:numPr>
          <w:ilvl w:val="0"/>
          <w:numId w:val="58"/>
        </w:numPr>
      </w:pPr>
      <w:bookmarkStart w:id="17" w:name="_Toc143001042"/>
      <w:bookmarkStart w:id="18" w:name="_Toc458602324"/>
      <w:r w:rsidRPr="00756BAC">
        <w:t>Project Focus</w:t>
      </w:r>
      <w:bookmarkEnd w:id="17"/>
    </w:p>
    <w:p w14:paraId="474CED5B" w14:textId="3E4C4699" w:rsidR="0047600F" w:rsidRPr="00E215B8" w:rsidRDefault="0047600F" w:rsidP="362F1A0A">
      <w:pPr>
        <w:spacing w:after="0"/>
        <w:rPr>
          <w:i/>
          <w:iCs/>
        </w:rPr>
      </w:pPr>
      <w:r w:rsidRPr="00E4291E">
        <w:t xml:space="preserve">The following lists eligible technologies for consideration in this solicitation.  </w:t>
      </w:r>
      <w:r w:rsidR="5969F39B" w:rsidRPr="00E4291E">
        <w:t>R</w:t>
      </w:r>
      <w:r w:rsidRPr="00E4291E">
        <w:t>equest</w:t>
      </w:r>
      <w:r w:rsidR="215A7E46" w:rsidRPr="00E4291E">
        <w:t>s</w:t>
      </w:r>
      <w:r w:rsidRPr="00E4291E">
        <w:t xml:space="preserve"> to add other technologies must be submitted by the deadline for Written Questions indicated in Section I.E. Written responses will be provided </w:t>
      </w:r>
      <w:r w:rsidR="7E46E830" w:rsidRPr="00E4291E">
        <w:t xml:space="preserve">in </w:t>
      </w:r>
      <w:r w:rsidRPr="00E4291E">
        <w:t xml:space="preserve">the “Questions and Answers” </w:t>
      </w:r>
      <w:r w:rsidR="451ECDF7" w:rsidRPr="00E4291E">
        <w:t>document</w:t>
      </w:r>
      <w:r w:rsidR="5CB11677" w:rsidRPr="00E4291E">
        <w:t xml:space="preserve"> referenced in Section I.E</w:t>
      </w:r>
      <w:r w:rsidR="00E4291E">
        <w:t>.</w:t>
      </w:r>
      <w:r w:rsidRPr="00E4291E">
        <w:t xml:space="preserve"> </w:t>
      </w:r>
      <w:r w:rsidR="00A55308" w:rsidRPr="00BE038E">
        <w:rPr>
          <w:b/>
          <w:bCs/>
          <w:color w:val="FF0000"/>
          <w:u w:val="single"/>
        </w:rPr>
        <w:t xml:space="preserve">Please </w:t>
      </w:r>
      <w:r w:rsidR="00A55308" w:rsidRPr="32AC9B9E">
        <w:rPr>
          <w:b/>
          <w:bCs/>
          <w:color w:val="FF0000"/>
          <w:u w:val="single"/>
        </w:rPr>
        <w:t>refer</w:t>
      </w:r>
      <w:r w:rsidR="00626D57" w:rsidRPr="32AC9B9E">
        <w:rPr>
          <w:b/>
          <w:bCs/>
          <w:color w:val="FF0000"/>
          <w:u w:val="single"/>
        </w:rPr>
        <w:t xml:space="preserve"> to</w:t>
      </w:r>
      <w:r w:rsidR="00A55308" w:rsidRPr="00BE038E">
        <w:rPr>
          <w:b/>
          <w:bCs/>
          <w:color w:val="FF0000"/>
          <w:u w:val="single"/>
        </w:rPr>
        <w:t xml:space="preserve"> the </w:t>
      </w:r>
      <w:r w:rsidR="00626D57" w:rsidRPr="32AC9B9E">
        <w:rPr>
          <w:b/>
          <w:bCs/>
          <w:color w:val="FF0000"/>
          <w:u w:val="single"/>
        </w:rPr>
        <w:t>latest</w:t>
      </w:r>
      <w:r w:rsidR="00A55308" w:rsidRPr="00BE038E">
        <w:rPr>
          <w:b/>
          <w:bCs/>
          <w:color w:val="FF0000"/>
          <w:u w:val="single"/>
        </w:rPr>
        <w:t xml:space="preserve"> iteration of the “Questions and Answers” document </w:t>
      </w:r>
      <w:r w:rsidR="00A55308" w:rsidRPr="00BE038E">
        <w:rPr>
          <w:b/>
          <w:bCs/>
          <w:color w:val="FF0000"/>
          <w:u w:val="single"/>
        </w:rPr>
        <w:lastRenderedPageBreak/>
        <w:t xml:space="preserve">for additional </w:t>
      </w:r>
      <w:r w:rsidR="00AE5FC4" w:rsidRPr="00BE038E">
        <w:rPr>
          <w:b/>
          <w:bCs/>
          <w:color w:val="FF0000"/>
          <w:u w:val="single"/>
        </w:rPr>
        <w:t>eligible</w:t>
      </w:r>
      <w:r w:rsidR="00A55308" w:rsidRPr="00BE038E">
        <w:rPr>
          <w:b/>
          <w:bCs/>
          <w:color w:val="FF0000"/>
          <w:u w:val="single"/>
        </w:rPr>
        <w:t xml:space="preserve"> technologies </w:t>
      </w:r>
      <w:r w:rsidR="00471163" w:rsidRPr="32AC9B9E">
        <w:rPr>
          <w:b/>
          <w:bCs/>
          <w:color w:val="FF0000"/>
          <w:u w:val="single"/>
        </w:rPr>
        <w:t>located at</w:t>
      </w:r>
      <w:r w:rsidR="000F0195">
        <w:rPr>
          <w:b/>
          <w:bCs/>
          <w:color w:val="FF0000"/>
          <w:u w:val="single"/>
        </w:rPr>
        <w:t xml:space="preserve">: </w:t>
      </w:r>
      <w:r w:rsidR="00B355EA" w:rsidRPr="00BE038E">
        <w:rPr>
          <w:b/>
          <w:bCs/>
          <w:color w:val="FF0000"/>
          <w:u w:val="single"/>
        </w:rPr>
        <w:t xml:space="preserve"> </w:t>
      </w:r>
      <w:r w:rsidR="00E215B8" w:rsidRPr="00BE038E">
        <w:rPr>
          <w:b/>
          <w:bCs/>
          <w:i/>
          <w:iCs/>
          <w:color w:val="FF0000"/>
          <w:u w:val="single"/>
        </w:rPr>
        <w:t>https://www.energy.ca.gov/solicitations/2023-08/gfo-23-301-energy-efficiency-and-load-flexibility-industrial-and-commercial</w:t>
      </w:r>
      <w:r w:rsidR="004F654B">
        <w:rPr>
          <w:b/>
          <w:bCs/>
          <w:i/>
          <w:iCs/>
          <w:color w:val="FF0000"/>
          <w:u w:val="single"/>
        </w:rPr>
        <w:t>.</w:t>
      </w:r>
    </w:p>
    <w:p w14:paraId="6D3A9FB6" w14:textId="77777777" w:rsidR="0047600F" w:rsidRPr="00E4291E" w:rsidRDefault="0047600F" w:rsidP="362F1A0A">
      <w:pPr>
        <w:spacing w:after="0"/>
      </w:pPr>
    </w:p>
    <w:p w14:paraId="7D0DF948" w14:textId="77777777" w:rsidR="0047600F" w:rsidRPr="00E4291E" w:rsidRDefault="0047600F" w:rsidP="0047600F">
      <w:pPr>
        <w:spacing w:after="0"/>
      </w:pPr>
      <w:r w:rsidRPr="00E4291E">
        <w:t>Eligible technologies for this solicitation include:</w:t>
      </w:r>
    </w:p>
    <w:p w14:paraId="1C213C37" w14:textId="77777777" w:rsidR="0047600F" w:rsidRPr="00E4291E" w:rsidRDefault="0047600F" w:rsidP="002427DC">
      <w:pPr>
        <w:numPr>
          <w:ilvl w:val="0"/>
          <w:numId w:val="74"/>
        </w:numPr>
        <w:spacing w:after="0"/>
      </w:pPr>
      <w:r w:rsidRPr="00E4291E">
        <w:t>Advanced dehumidification technologies that reduce refrigeration loads</w:t>
      </w:r>
    </w:p>
    <w:p w14:paraId="420FC39A" w14:textId="57DA2F89" w:rsidR="0047600F" w:rsidRPr="00E4291E" w:rsidRDefault="0047600F" w:rsidP="002427DC">
      <w:pPr>
        <w:numPr>
          <w:ilvl w:val="0"/>
          <w:numId w:val="74"/>
        </w:numPr>
        <w:spacing w:after="0"/>
      </w:pPr>
      <w:r w:rsidRPr="00E4291E">
        <w:t>Defrosting and frost build-up prevention technologies (e.g.</w:t>
      </w:r>
      <w:r w:rsidR="76B3B8FF" w:rsidRPr="00E4291E">
        <w:t>,</w:t>
      </w:r>
      <w:r w:rsidRPr="00E4291E">
        <w:t xml:space="preserve"> coatings)</w:t>
      </w:r>
    </w:p>
    <w:p w14:paraId="71CFB891" w14:textId="6F0BDD71" w:rsidR="0047600F" w:rsidRPr="00E4291E" w:rsidRDefault="0047600F" w:rsidP="002427DC">
      <w:pPr>
        <w:numPr>
          <w:ilvl w:val="0"/>
          <w:numId w:val="74"/>
        </w:numPr>
        <w:spacing w:after="0"/>
      </w:pPr>
      <w:r w:rsidRPr="00E4291E">
        <w:t>Integrated thermal energy storage technologies, such as</w:t>
      </w:r>
      <w:r w:rsidRPr="00E4291E" w:rsidDel="003856C7">
        <w:t xml:space="preserve"> </w:t>
      </w:r>
      <w:r w:rsidRPr="00E4291E">
        <w:t>dedicated ice storage, brine cold storage that enable</w:t>
      </w:r>
      <w:r w:rsidR="624F263E" w:rsidRPr="00E4291E">
        <w:t>s</w:t>
      </w:r>
      <w:r w:rsidRPr="00E4291E">
        <w:t xml:space="preserve"> operational </w:t>
      </w:r>
      <w:r w:rsidRPr="00E4291E" w:rsidDel="003856C7">
        <w:t>flexibility</w:t>
      </w:r>
      <w:r w:rsidR="34B3B7F4" w:rsidRPr="00E4291E">
        <w:t>,</w:t>
      </w:r>
      <w:r w:rsidRPr="00E4291E" w:rsidDel="003856C7">
        <w:t xml:space="preserve"> </w:t>
      </w:r>
      <w:r w:rsidRPr="00E4291E">
        <w:t>and electric load shifting</w:t>
      </w:r>
    </w:p>
    <w:p w14:paraId="48E899C5" w14:textId="607DC47E" w:rsidR="0047600F" w:rsidRPr="00E4291E" w:rsidRDefault="0047600F" w:rsidP="002427DC">
      <w:pPr>
        <w:numPr>
          <w:ilvl w:val="0"/>
          <w:numId w:val="74"/>
        </w:numPr>
        <w:spacing w:after="0"/>
      </w:pPr>
      <w:r w:rsidRPr="00E4291E">
        <w:t>Retrofits that enable waste heat recovery and reuse (for instance, conversion of concrete slab heating from electricity to heating with heat transfer fluid</w:t>
      </w:r>
      <w:r w:rsidR="6F06E98E" w:rsidRPr="00E4291E">
        <w:t>,</w:t>
      </w:r>
      <w:r w:rsidRPr="00E4291E">
        <w:t xml:space="preserve"> enabling reuse of compressor waste heat)</w:t>
      </w:r>
    </w:p>
    <w:p w14:paraId="1E600797" w14:textId="08777B84" w:rsidR="0047600F" w:rsidRPr="00E4291E" w:rsidRDefault="0047600F" w:rsidP="002427DC">
      <w:pPr>
        <w:numPr>
          <w:ilvl w:val="0"/>
          <w:numId w:val="74"/>
        </w:numPr>
        <w:spacing w:after="0"/>
      </w:pPr>
      <w:r w:rsidRPr="00E4291E">
        <w:t>Advanced controls enabling operations scheduling</w:t>
      </w:r>
      <w:r w:rsidRPr="32AC9B9E">
        <w:rPr>
          <w:b/>
          <w:color w:val="FF0000"/>
          <w:u w:val="single"/>
        </w:rPr>
        <w:t xml:space="preserve"> </w:t>
      </w:r>
      <w:r w:rsidR="6B4F9EDF" w:rsidRPr="32AC9B9E">
        <w:rPr>
          <w:b/>
          <w:bCs/>
          <w:color w:val="FF0000"/>
          <w:u w:val="single"/>
        </w:rPr>
        <w:t>for cooling and non-cooling loads. Examples can include</w:t>
      </w:r>
      <w:r w:rsidR="09A41BD9" w:rsidRPr="32AC9B9E">
        <w:rPr>
          <w:b/>
          <w:bCs/>
          <w:u w:val="single"/>
        </w:rPr>
        <w:t xml:space="preserve"> </w:t>
      </w:r>
      <w:r w:rsidR="09A41BD9" w:rsidRPr="0041010B">
        <w:rPr>
          <w:u w:val="single"/>
        </w:rPr>
        <w:t>[</w:t>
      </w:r>
      <w:r w:rsidRPr="32AC9B9E">
        <w:rPr>
          <w:strike/>
        </w:rPr>
        <w:t>and</w:t>
      </w:r>
      <w:r w:rsidR="68F68E71">
        <w:t>]</w:t>
      </w:r>
      <w:r w:rsidRPr="00E4291E">
        <w:t xml:space="preserve"> pre-cooling during off-peak times, optimiz</w:t>
      </w:r>
      <w:r w:rsidR="14AB10CA" w:rsidRPr="00E4291E">
        <w:t>ing</w:t>
      </w:r>
      <w:r w:rsidRPr="00E4291E">
        <w:t xml:space="preserve"> defrosting cycles i</w:t>
      </w:r>
      <w:r w:rsidR="26027AAC" w:rsidRPr="00E4291E">
        <w:t>n</w:t>
      </w:r>
      <w:r w:rsidRPr="00E4291E">
        <w:t xml:space="preserve"> response to grid conditions, operati</w:t>
      </w:r>
      <w:r w:rsidR="335225BE" w:rsidRPr="00E4291E">
        <w:t>ng</w:t>
      </w:r>
      <w:r w:rsidRPr="00E4291E">
        <w:t xml:space="preserve"> electric motors and pumps,</w:t>
      </w:r>
      <w:r w:rsidRPr="32AC9B9E">
        <w:rPr>
          <w:b/>
          <w:color w:val="FF0000"/>
          <w:u w:val="single"/>
        </w:rPr>
        <w:t xml:space="preserve"> </w:t>
      </w:r>
      <w:r w:rsidR="41A6D839" w:rsidRPr="32AC9B9E">
        <w:rPr>
          <w:b/>
          <w:bCs/>
          <w:color w:val="FF0000"/>
          <w:u w:val="single"/>
        </w:rPr>
        <w:t>operating forklifts</w:t>
      </w:r>
      <w:r w:rsidR="004F1218">
        <w:rPr>
          <w:b/>
          <w:bCs/>
          <w:color w:val="FF0000"/>
          <w:u w:val="single"/>
        </w:rPr>
        <w:t>,</w:t>
      </w:r>
      <w:r w:rsidR="41A6D839" w:rsidRPr="32AC9B9E">
        <w:rPr>
          <w:b/>
          <w:bCs/>
          <w:color w:val="FF0000"/>
          <w:u w:val="single"/>
        </w:rPr>
        <w:t xml:space="preserve"> and other plant loads</w:t>
      </w:r>
      <w:r w:rsidR="41A6D839" w:rsidRPr="32AC9B9E">
        <w:rPr>
          <w:color w:val="FF0000"/>
        </w:rPr>
        <w:t>.</w:t>
      </w:r>
      <w:r w:rsidR="52953291" w:rsidRPr="32AC9B9E">
        <w:t xml:space="preserve"> [</w:t>
      </w:r>
      <w:proofErr w:type="spellStart"/>
      <w:r w:rsidR="52953291" w:rsidRPr="32AC9B9E">
        <w:rPr>
          <w:strike/>
        </w:rPr>
        <w:t>ect</w:t>
      </w:r>
      <w:proofErr w:type="spellEnd"/>
      <w:r w:rsidR="52953291" w:rsidRPr="32AC9B9E">
        <w:t>]</w:t>
      </w:r>
    </w:p>
    <w:p w14:paraId="5757F4C1" w14:textId="4857A351" w:rsidR="0047600F" w:rsidRDefault="0047600F" w:rsidP="006B5FE2">
      <w:pPr>
        <w:rPr>
          <w:rFonts w:ascii="Calibri" w:eastAsia="Calibri" w:hAnsi="Calibri" w:cs="Calibri"/>
          <w:szCs w:val="22"/>
        </w:rPr>
      </w:pPr>
    </w:p>
    <w:p w14:paraId="2E9E1E8B" w14:textId="39526058" w:rsidR="0047600F" w:rsidRPr="00E4291E" w:rsidRDefault="0047600F" w:rsidP="0047600F">
      <w:pPr>
        <w:spacing w:after="0"/>
      </w:pPr>
      <w:r w:rsidRPr="00E4291E">
        <w:t xml:space="preserve">The solicitation seeks projects at </w:t>
      </w:r>
      <w:r w:rsidR="52D9FCF3" w:rsidRPr="00E4291E">
        <w:t>technology readiness levels (</w:t>
      </w:r>
      <w:r w:rsidRPr="00E4291E">
        <w:t>TRLs</w:t>
      </w:r>
      <w:r w:rsidR="79A72530" w:rsidRPr="00E4291E">
        <w:t>)</w:t>
      </w:r>
      <w:r w:rsidRPr="00E4291E">
        <w:t xml:space="preserve"> from 7 to 8 at the beginning of the project that will do one or more of the following: </w:t>
      </w:r>
    </w:p>
    <w:p w14:paraId="0306758B" w14:textId="2416AE40" w:rsidR="0047600F" w:rsidRPr="00E4291E" w:rsidRDefault="54CC62E2" w:rsidP="002427DC">
      <w:pPr>
        <w:numPr>
          <w:ilvl w:val="0"/>
          <w:numId w:val="76"/>
        </w:numPr>
        <w:spacing w:after="0"/>
      </w:pPr>
      <w:r w:rsidRPr="00E4291E">
        <w:t>R</w:t>
      </w:r>
      <w:r w:rsidR="0047600F" w:rsidRPr="00E4291E">
        <w:t>educe net energy use and/or costs</w:t>
      </w:r>
    </w:p>
    <w:p w14:paraId="29D80E12" w14:textId="5170479A" w:rsidR="0047600F" w:rsidRPr="00E4291E" w:rsidRDefault="7E888330" w:rsidP="002427DC">
      <w:pPr>
        <w:numPr>
          <w:ilvl w:val="0"/>
          <w:numId w:val="76"/>
        </w:numPr>
        <w:spacing w:after="0"/>
      </w:pPr>
      <w:r w:rsidRPr="00E4291E">
        <w:t>E</w:t>
      </w:r>
      <w:r w:rsidR="0047600F" w:rsidRPr="00E4291E">
        <w:t xml:space="preserve">nable </w:t>
      </w:r>
      <w:r w:rsidR="00C5034B">
        <w:t>[</w:t>
      </w:r>
      <w:r w:rsidR="0047600F" w:rsidRPr="009423EB">
        <w:rPr>
          <w:strike/>
        </w:rPr>
        <w:t>permanent</w:t>
      </w:r>
      <w:r w:rsidR="00C5034B" w:rsidRPr="00C5034B">
        <w:t>]</w:t>
      </w:r>
      <w:r w:rsidR="0047600F" w:rsidRPr="00C5034B">
        <w:t xml:space="preserve"> </w:t>
      </w:r>
      <w:r w:rsidR="0047600F" w:rsidRPr="00E4291E">
        <w:t xml:space="preserve">load shifting capabilities that benefit the grid </w:t>
      </w:r>
    </w:p>
    <w:p w14:paraId="60A08156" w14:textId="62563D7B" w:rsidR="0047600F" w:rsidRPr="00E4291E" w:rsidRDefault="5522E43D" w:rsidP="002427DC">
      <w:pPr>
        <w:numPr>
          <w:ilvl w:val="0"/>
          <w:numId w:val="76"/>
        </w:numPr>
        <w:spacing w:after="0"/>
      </w:pPr>
      <w:r w:rsidRPr="00E4291E">
        <w:t>R</w:t>
      </w:r>
      <w:r w:rsidR="0047600F" w:rsidRPr="00E4291E">
        <w:t xml:space="preserve">educe on-site and/or grid GHG emissions </w:t>
      </w:r>
    </w:p>
    <w:p w14:paraId="4067A324" w14:textId="63018780" w:rsidR="41771188" w:rsidRPr="00E4291E" w:rsidRDefault="41771188" w:rsidP="41771188">
      <w:pPr>
        <w:spacing w:after="0"/>
      </w:pPr>
    </w:p>
    <w:p w14:paraId="635AB68C" w14:textId="31D66DCF" w:rsidR="0047600F" w:rsidRPr="00E4291E" w:rsidRDefault="0047600F" w:rsidP="0047600F">
      <w:pPr>
        <w:spacing w:after="0"/>
      </w:pPr>
      <w:r w:rsidRPr="00E4291E">
        <w:t>The objective is to advance technolog</w:t>
      </w:r>
      <w:r w:rsidR="65898DFD" w:rsidRPr="00E4291E">
        <w:t>ies</w:t>
      </w:r>
      <w:r w:rsidRPr="00E4291E">
        <w:t xml:space="preserve"> to TRL 9 and yield market-ready technologies and approaches by the end of the project</w:t>
      </w:r>
      <w:r w:rsidR="7A3899E3" w:rsidRPr="00E4291E">
        <w:t>s</w:t>
      </w:r>
      <w:r w:rsidRPr="00E4291E">
        <w:t xml:space="preserve">. This solicitation focuses on </w:t>
      </w:r>
      <w:r w:rsidR="00C5034B">
        <w:t>[</w:t>
      </w:r>
      <w:r w:rsidRPr="009423EB">
        <w:rPr>
          <w:strike/>
        </w:rPr>
        <w:t>projects</w:t>
      </w:r>
      <w:r w:rsidR="00C5034B">
        <w:t xml:space="preserve">] </w:t>
      </w:r>
      <w:r w:rsidR="009423EB" w:rsidRPr="009423EB">
        <w:rPr>
          <w:b/>
          <w:bCs/>
          <w:u w:val="single"/>
        </w:rPr>
        <w:t>technologies</w:t>
      </w:r>
      <w:r w:rsidR="435BE738" w:rsidRPr="741C7C45">
        <w:rPr>
          <w:b/>
          <w:bCs/>
          <w:u w:val="single"/>
        </w:rPr>
        <w:t xml:space="preserve"> and </w:t>
      </w:r>
      <w:r w:rsidR="009423EB" w:rsidRPr="009423EB">
        <w:rPr>
          <w:b/>
          <w:bCs/>
          <w:u w:val="single"/>
        </w:rPr>
        <w:t>approaches</w:t>
      </w:r>
      <w:r w:rsidR="009423EB">
        <w:t xml:space="preserve"> </w:t>
      </w:r>
      <w:r w:rsidRPr="00E4291E">
        <w:t xml:space="preserve">that will result in </w:t>
      </w:r>
      <w:r w:rsidR="00C5034B">
        <w:t>[</w:t>
      </w:r>
      <w:r w:rsidRPr="00C5034B">
        <w:rPr>
          <w:strike/>
        </w:rPr>
        <w:t>permanent</w:t>
      </w:r>
      <w:r w:rsidR="00C5034B" w:rsidRPr="00C5034B">
        <w:t>]</w:t>
      </w:r>
      <w:r w:rsidRPr="006F03B1">
        <w:rPr>
          <w:b/>
          <w:bCs/>
          <w:u w:val="single"/>
        </w:rPr>
        <w:t xml:space="preserve"> </w:t>
      </w:r>
      <w:r w:rsidR="006F03B1" w:rsidRPr="006F03B1">
        <w:rPr>
          <w:b/>
          <w:bCs/>
          <w:u w:val="single"/>
        </w:rPr>
        <w:t xml:space="preserve">improved energy efficiency </w:t>
      </w:r>
      <w:r w:rsidR="006F03B1" w:rsidRPr="006F03B1">
        <w:t>and/or</w:t>
      </w:r>
      <w:r w:rsidR="006F03B1" w:rsidRPr="006F03B1">
        <w:rPr>
          <w:b/>
          <w:bCs/>
          <w:u w:val="single"/>
        </w:rPr>
        <w:t xml:space="preserve"> load flexibility projects that shift load out of CAISO’s net peak demand hours</w:t>
      </w:r>
      <w:r w:rsidR="006F03B1" w:rsidRPr="006F03B1">
        <w:t xml:space="preserve"> </w:t>
      </w:r>
      <w:r w:rsidR="00C5034B">
        <w:t>[</w:t>
      </w:r>
      <w:r w:rsidRPr="006F03B1">
        <w:rPr>
          <w:strike/>
        </w:rPr>
        <w:t>load reduction and does not seek projects that target emergency load reduction</w:t>
      </w:r>
      <w:r w:rsidR="00C5034B">
        <w:t>]</w:t>
      </w:r>
      <w:r w:rsidR="12642A80">
        <w:t>.</w:t>
      </w:r>
      <w:r w:rsidR="12DDC4E8" w:rsidRPr="00E4291E">
        <w:t>T</w:t>
      </w:r>
      <w:r w:rsidR="561E35BD" w:rsidRPr="00E4291E">
        <w:t>he</w:t>
      </w:r>
      <w:r w:rsidRPr="00E4291E">
        <w:t xml:space="preserve"> following research targets and metrics </w:t>
      </w:r>
      <w:r w:rsidR="47CB27B8" w:rsidRPr="00E4291E">
        <w:t>are</w:t>
      </w:r>
      <w:r w:rsidRPr="00E4291E">
        <w:t xml:space="preserve"> applicable</w:t>
      </w:r>
      <w:r w:rsidR="385B5AC5" w:rsidRPr="00E4291E">
        <w:t xml:space="preserve"> to all projects</w:t>
      </w:r>
      <w:r w:rsidRPr="00E4291E">
        <w:t>, compared to the baseline operations at the demonstration site facility:</w:t>
      </w:r>
    </w:p>
    <w:p w14:paraId="2A1A0283" w14:textId="5A591AD0" w:rsidR="0047600F" w:rsidRPr="006F03B1" w:rsidRDefault="00C5034B" w:rsidP="006F03B1">
      <w:pPr>
        <w:pStyle w:val="ListParagraph"/>
        <w:numPr>
          <w:ilvl w:val="0"/>
          <w:numId w:val="85"/>
        </w:numPr>
        <w:rPr>
          <w:b/>
          <w:u w:val="single"/>
        </w:rPr>
      </w:pPr>
      <w:r w:rsidRPr="00C5034B">
        <w:t>[</w:t>
      </w:r>
      <w:r w:rsidR="0047600F" w:rsidRPr="006F03B1">
        <w:rPr>
          <w:strike/>
        </w:rPr>
        <w:t>GHG emissions reduction (at least 20 percent)</w:t>
      </w:r>
      <w:r w:rsidR="14F7067F" w:rsidRPr="006F03B1">
        <w:rPr>
          <w:strike/>
        </w:rPr>
        <w:t xml:space="preserve"> annually</w:t>
      </w:r>
      <w:r w:rsidRPr="00C5034B">
        <w:t>]</w:t>
      </w:r>
      <w:r w:rsidR="006F03B1" w:rsidRPr="006F03B1">
        <w:t xml:space="preserve"> </w:t>
      </w:r>
      <w:r w:rsidR="006F03B1" w:rsidRPr="006F03B1">
        <w:rPr>
          <w:b/>
          <w:bCs/>
          <w:u w:val="single"/>
        </w:rPr>
        <w:t>Reduce grid GHG emissions by at least 20</w:t>
      </w:r>
      <w:r w:rsidR="31B91B09" w:rsidRPr="6968E421">
        <w:rPr>
          <w:b/>
          <w:bCs/>
          <w:u w:val="single"/>
        </w:rPr>
        <w:t xml:space="preserve"> percent</w:t>
      </w:r>
      <w:r w:rsidR="006F03B1" w:rsidRPr="006F03B1">
        <w:rPr>
          <w:b/>
          <w:bCs/>
          <w:u w:val="single"/>
        </w:rPr>
        <w:t xml:space="preserve"> for the technology(</w:t>
      </w:r>
      <w:proofErr w:type="spellStart"/>
      <w:r w:rsidR="006F03B1" w:rsidRPr="006F03B1">
        <w:rPr>
          <w:b/>
          <w:bCs/>
          <w:u w:val="single"/>
        </w:rPr>
        <w:t>ies</w:t>
      </w:r>
      <w:proofErr w:type="spellEnd"/>
      <w:r w:rsidR="006F03B1" w:rsidRPr="006F03B1">
        <w:rPr>
          <w:b/>
          <w:bCs/>
          <w:u w:val="single"/>
        </w:rPr>
        <w:t>) demonstrated</w:t>
      </w:r>
      <w:r w:rsidR="5BD70D21" w:rsidRPr="6968E421">
        <w:rPr>
          <w:b/>
          <w:bCs/>
          <w:u w:val="single"/>
        </w:rPr>
        <w:t xml:space="preserve"> when</w:t>
      </w:r>
      <w:r w:rsidR="75B22237" w:rsidRPr="6968E421">
        <w:rPr>
          <w:b/>
          <w:bCs/>
          <w:u w:val="single"/>
        </w:rPr>
        <w:t xml:space="preserve"> compared to </w:t>
      </w:r>
      <w:r w:rsidR="5AFF34D8" w:rsidRPr="6968E421">
        <w:rPr>
          <w:b/>
          <w:bCs/>
          <w:u w:val="single"/>
        </w:rPr>
        <w:t xml:space="preserve">the </w:t>
      </w:r>
      <w:r w:rsidR="75B22237" w:rsidRPr="6968E421">
        <w:rPr>
          <w:b/>
          <w:bCs/>
          <w:u w:val="single"/>
        </w:rPr>
        <w:t>current</w:t>
      </w:r>
      <w:r w:rsidR="3F4678ED" w:rsidRPr="6968E421">
        <w:rPr>
          <w:b/>
          <w:bCs/>
          <w:u w:val="single"/>
        </w:rPr>
        <w:t>ly</w:t>
      </w:r>
      <w:r w:rsidR="75B22237" w:rsidRPr="6968E421">
        <w:rPr>
          <w:b/>
          <w:bCs/>
          <w:u w:val="single"/>
        </w:rPr>
        <w:t xml:space="preserve"> installed technology.</w:t>
      </w:r>
    </w:p>
    <w:p w14:paraId="42DF1369" w14:textId="55E626EB" w:rsidR="0047600F" w:rsidRPr="00E4291E" w:rsidRDefault="0047600F" w:rsidP="008B21DC">
      <w:pPr>
        <w:pStyle w:val="ListParagraph"/>
        <w:numPr>
          <w:ilvl w:val="0"/>
          <w:numId w:val="85"/>
        </w:numPr>
        <w:spacing w:after="0"/>
      </w:pPr>
      <w:r w:rsidRPr="00E4291E">
        <w:t>Simple payback (less than 5 years</w:t>
      </w:r>
      <w:r w:rsidR="73FD8362" w:rsidRPr="00E4291E">
        <w:t>, or</w:t>
      </w:r>
      <w:r w:rsidRPr="00E4291E">
        <w:t xml:space="preserve"> 10 years for slab retrofits</w:t>
      </w:r>
      <w:r w:rsidRPr="006F03B1">
        <w:t>)</w:t>
      </w:r>
      <w:r w:rsidR="006F03B1" w:rsidRPr="006F03B1">
        <w:rPr>
          <w:b/>
          <w:bCs/>
          <w:u w:val="single"/>
        </w:rPr>
        <w:t xml:space="preserve"> for</w:t>
      </w:r>
      <w:r w:rsidR="00CA543D" w:rsidRPr="00711F49">
        <w:rPr>
          <w:b/>
          <w:bCs/>
          <w:u w:val="single"/>
        </w:rPr>
        <w:t xml:space="preserve"> </w:t>
      </w:r>
      <w:r w:rsidR="006F03B1" w:rsidRPr="00711F49">
        <w:rPr>
          <w:b/>
          <w:bCs/>
          <w:u w:val="single"/>
        </w:rPr>
        <w:t>each technology funded</w:t>
      </w:r>
      <w:r w:rsidR="006F03B1" w:rsidRPr="006F03B1">
        <w:rPr>
          <w:b/>
          <w:bCs/>
          <w:u w:val="single"/>
        </w:rPr>
        <w:t xml:space="preserve"> and based on the facility’s IOU electricity tariff and other customer incentives</w:t>
      </w:r>
    </w:p>
    <w:p w14:paraId="05E5581A" w14:textId="77777777" w:rsidR="002615F4" w:rsidRDefault="002615F4" w:rsidP="008B21DC">
      <w:pPr>
        <w:spacing w:after="0"/>
      </w:pPr>
    </w:p>
    <w:p w14:paraId="13B9EBE2" w14:textId="341ADEE2" w:rsidR="0047600F" w:rsidRPr="00C5034B" w:rsidRDefault="670FA27F" w:rsidP="008B21DC">
      <w:pPr>
        <w:spacing w:after="0"/>
      </w:pPr>
      <w:r w:rsidRPr="00E4291E">
        <w:t>In addition to the metrics listed above</w:t>
      </w:r>
      <w:r w:rsidR="2A3B278E" w:rsidRPr="00E4291E">
        <w:t>,</w:t>
      </w:r>
      <w:r w:rsidRPr="00E4291E">
        <w:t xml:space="preserve"> </w:t>
      </w:r>
      <w:r w:rsidR="76456B2F" w:rsidRPr="00E4291E">
        <w:t xml:space="preserve">load </w:t>
      </w:r>
      <w:r w:rsidR="70A048AE" w:rsidRPr="00E4291E">
        <w:t>flexibility</w:t>
      </w:r>
      <w:r w:rsidR="76456B2F" w:rsidRPr="00E4291E">
        <w:t xml:space="preserve"> projects must be able </w:t>
      </w:r>
      <w:r w:rsidR="76456B2F" w:rsidRPr="006F03B1">
        <w:rPr>
          <w:b/>
          <w:bCs/>
          <w:u w:val="single"/>
        </w:rPr>
        <w:t>to</w:t>
      </w:r>
      <w:r w:rsidR="008B21DC" w:rsidRPr="006F03B1">
        <w:rPr>
          <w:b/>
          <w:bCs/>
          <w:u w:val="single"/>
        </w:rPr>
        <w:t xml:space="preserve"> </w:t>
      </w:r>
      <w:r w:rsidR="006F03B1" w:rsidRPr="006F03B1">
        <w:rPr>
          <w:b/>
          <w:bCs/>
          <w:u w:val="single"/>
        </w:rPr>
        <w:t xml:space="preserve">shift load out of CAISO net peak demand hours driven by the respective IOU’s electricity tariff or other incentive programs available at the time of the project demonstration. </w:t>
      </w:r>
      <w:r w:rsidR="00772BD2" w:rsidRPr="00772BD2">
        <w:rPr>
          <w:b/>
          <w:bCs/>
          <w:u w:val="single"/>
        </w:rPr>
        <w:t xml:space="preserve">Energy efficiency projects must reduce annual electricity usage (kWh) by at least 20 percent compared to the baseline equipment. </w:t>
      </w:r>
      <w:r w:rsidR="006F03B1" w:rsidRPr="001813B4">
        <w:rPr>
          <w:b/>
          <w:bCs/>
          <w:u w:val="single"/>
        </w:rPr>
        <w:t xml:space="preserve"> </w:t>
      </w:r>
      <w:r w:rsidR="004F28FD" w:rsidRPr="001813B4">
        <w:rPr>
          <w:b/>
          <w:bCs/>
          <w:u w:val="single"/>
        </w:rPr>
        <w:t xml:space="preserve"> </w:t>
      </w:r>
      <w:r w:rsidR="00C5034B">
        <w:t>[</w:t>
      </w:r>
      <w:r w:rsidR="75E6C64D" w:rsidRPr="006F03B1">
        <w:rPr>
          <w:strike/>
        </w:rPr>
        <w:t>p</w:t>
      </w:r>
      <w:r w:rsidR="561E35BD" w:rsidRPr="006F03B1">
        <w:rPr>
          <w:strike/>
        </w:rPr>
        <w:t>ermanent</w:t>
      </w:r>
      <w:r w:rsidR="1D96D0BC" w:rsidRPr="006F03B1">
        <w:rPr>
          <w:strike/>
        </w:rPr>
        <w:t>ly</w:t>
      </w:r>
      <w:r w:rsidR="0047600F" w:rsidRPr="006F03B1">
        <w:rPr>
          <w:strike/>
        </w:rPr>
        <w:t xml:space="preserve"> (non-emergency) load shift from peak hours to off-peak hours, as defined by the respective IOU’s electricity tariff at the time of the project demonstration (at least 20 percent of electric power (kW) shifted</w:t>
      </w:r>
      <w:r w:rsidR="561E35BD" w:rsidRPr="006F03B1">
        <w:rPr>
          <w:strike/>
        </w:rPr>
        <w:t>)</w:t>
      </w:r>
      <w:r w:rsidR="32959B7A" w:rsidRPr="006F03B1">
        <w:rPr>
          <w:strike/>
        </w:rPr>
        <w:t xml:space="preserve">. Energy efficiency projects must reduce </w:t>
      </w:r>
      <w:r w:rsidR="08310A15" w:rsidRPr="006F03B1">
        <w:rPr>
          <w:strike/>
        </w:rPr>
        <w:t>a</w:t>
      </w:r>
      <w:r w:rsidR="32959B7A" w:rsidRPr="006F03B1">
        <w:rPr>
          <w:strike/>
        </w:rPr>
        <w:t xml:space="preserve">nnual electricity </w:t>
      </w:r>
      <w:r w:rsidR="00A258DD" w:rsidRPr="006F03B1">
        <w:rPr>
          <w:strike/>
        </w:rPr>
        <w:t xml:space="preserve">usage </w:t>
      </w:r>
      <w:r w:rsidR="32959B7A" w:rsidRPr="006F03B1">
        <w:rPr>
          <w:strike/>
        </w:rPr>
        <w:t xml:space="preserve">(kWh) </w:t>
      </w:r>
      <w:r w:rsidR="086DDA4D" w:rsidRPr="006F03B1">
        <w:rPr>
          <w:strike/>
        </w:rPr>
        <w:t>b</w:t>
      </w:r>
      <w:r w:rsidR="73CC7753" w:rsidRPr="006F03B1">
        <w:rPr>
          <w:strike/>
        </w:rPr>
        <w:t>y</w:t>
      </w:r>
      <w:r w:rsidR="32959B7A" w:rsidRPr="006F03B1">
        <w:rPr>
          <w:strike/>
        </w:rPr>
        <w:t xml:space="preserve"> at least 20 perc</w:t>
      </w:r>
      <w:r w:rsidR="2A8C04E6" w:rsidRPr="006F03B1">
        <w:rPr>
          <w:strike/>
        </w:rPr>
        <w:t>ent.</w:t>
      </w:r>
      <w:r w:rsidR="00C5034B">
        <w:t>]</w:t>
      </w:r>
    </w:p>
    <w:p w14:paraId="5E9AFAB2" w14:textId="77777777" w:rsidR="0047600F" w:rsidRPr="00E4291E" w:rsidRDefault="0047600F" w:rsidP="0047600F">
      <w:pPr>
        <w:spacing w:after="0"/>
      </w:pPr>
    </w:p>
    <w:p w14:paraId="7A9054FA" w14:textId="7CA557FC" w:rsidR="0047600F" w:rsidRPr="007146EE" w:rsidRDefault="0047600F" w:rsidP="0047600F">
      <w:pPr>
        <w:spacing w:after="0"/>
        <w:rPr>
          <w:b/>
          <w:bCs/>
          <w:u w:val="single"/>
        </w:rPr>
      </w:pPr>
      <w:r w:rsidRPr="00E4291E">
        <w:t xml:space="preserve">All applicable research targets and metrics must be supported by independent third-party measurement and verification for at least 12 months after </w:t>
      </w:r>
      <w:r w:rsidR="3F9BE84A" w:rsidRPr="00E4291E">
        <w:t xml:space="preserve">project </w:t>
      </w:r>
      <w:r w:rsidRPr="00E4291E">
        <w:t>deployment and</w:t>
      </w:r>
      <w:r w:rsidR="007146EE">
        <w:t xml:space="preserve"> </w:t>
      </w:r>
      <w:r w:rsidR="007146EE" w:rsidRPr="007146EE">
        <w:rPr>
          <w:b/>
          <w:bCs/>
          <w:u w:val="single"/>
        </w:rPr>
        <w:t>for</w:t>
      </w:r>
      <w:r w:rsidRPr="00E4291E">
        <w:t xml:space="preserve"> at least 12 months of pre-deployment baseline measurements.</w:t>
      </w:r>
      <w:r w:rsidR="007146EE">
        <w:t xml:space="preserve"> </w:t>
      </w:r>
      <w:r w:rsidR="007146EE" w:rsidRPr="007146EE">
        <w:rPr>
          <w:b/>
          <w:bCs/>
          <w:u w:val="single"/>
        </w:rPr>
        <w:t xml:space="preserve">Meter data may be used for estimating </w:t>
      </w:r>
      <w:r w:rsidR="007146EE" w:rsidRPr="007146EE">
        <w:rPr>
          <w:b/>
          <w:bCs/>
          <w:u w:val="single"/>
        </w:rPr>
        <w:lastRenderedPageBreak/>
        <w:t>pre-deployment baseline energy use</w:t>
      </w:r>
      <w:r w:rsidR="00DA6A77">
        <w:rPr>
          <w:b/>
          <w:bCs/>
          <w:u w:val="single"/>
        </w:rPr>
        <w:t>.</w:t>
      </w:r>
      <w:r w:rsidR="007146EE" w:rsidRPr="007146EE">
        <w:rPr>
          <w:b/>
          <w:bCs/>
          <w:u w:val="single"/>
        </w:rPr>
        <w:t xml:space="preserve"> This baseline should </w:t>
      </w:r>
      <w:r w:rsidR="007146EE" w:rsidRPr="00166AC1">
        <w:rPr>
          <w:b/>
          <w:bCs/>
          <w:u w:val="single"/>
        </w:rPr>
        <w:t xml:space="preserve">reflect </w:t>
      </w:r>
      <w:r w:rsidR="00DA6A77" w:rsidRPr="00166AC1">
        <w:rPr>
          <w:b/>
          <w:bCs/>
          <w:u w:val="single"/>
        </w:rPr>
        <w:t>representative pre-project operations so that it can accurately be compared to post-project operations.</w:t>
      </w:r>
      <w:r w:rsidR="003E2E63" w:rsidRPr="00166AC1">
        <w:rPr>
          <w:b/>
          <w:bCs/>
          <w:u w:val="single"/>
        </w:rPr>
        <w:t xml:space="preserve"> </w:t>
      </w:r>
    </w:p>
    <w:p w14:paraId="0E19049E" w14:textId="77777777" w:rsidR="0047600F" w:rsidRPr="00E4291E" w:rsidRDefault="0047600F" w:rsidP="0047600F">
      <w:pPr>
        <w:spacing w:after="0"/>
      </w:pPr>
    </w:p>
    <w:p w14:paraId="70D2D65F" w14:textId="7E696590" w:rsidR="0047600F" w:rsidRPr="00E4291E" w:rsidRDefault="383BC124" w:rsidP="0047600F">
      <w:pPr>
        <w:spacing w:after="0"/>
      </w:pPr>
      <w:r w:rsidRPr="00E4291E">
        <w:t>Demonstrations must be at an existing facility located in an electric IOU service territory.</w:t>
      </w:r>
    </w:p>
    <w:p w14:paraId="6376E475" w14:textId="77777777" w:rsidR="0047600F" w:rsidRPr="00E4291E" w:rsidRDefault="0047600F" w:rsidP="0047600F">
      <w:pPr>
        <w:spacing w:after="0"/>
      </w:pPr>
    </w:p>
    <w:p w14:paraId="632756B6" w14:textId="64A1DB62" w:rsidR="0047600F" w:rsidRPr="00E4291E" w:rsidRDefault="396A2288" w:rsidP="0047600F">
      <w:pPr>
        <w:spacing w:after="0"/>
      </w:pPr>
      <w:r w:rsidRPr="00E4291E">
        <w:t xml:space="preserve">All </w:t>
      </w:r>
      <w:r w:rsidR="2A52400C" w:rsidRPr="00E4291E">
        <w:t xml:space="preserve">demonstration </w:t>
      </w:r>
      <w:r w:rsidRPr="00E4291E">
        <w:t xml:space="preserve">projects must provide a Measurement and Verification plan. </w:t>
      </w:r>
      <w:r w:rsidR="0047600F" w:rsidRPr="00E4291E">
        <w:t xml:space="preserve">If a project includes </w:t>
      </w:r>
      <w:r w:rsidR="757A14D4" w:rsidRPr="00E4291E">
        <w:t xml:space="preserve">the </w:t>
      </w:r>
      <w:r w:rsidR="0047600F" w:rsidRPr="00E4291E">
        <w:t>deployment of multiple technologies, the applicant must provide a Measurement and Verification plan that specifies research targets and respective metrics that describe the performance of each individual technology as well as the integrated technologies under expected operational strategies.</w:t>
      </w:r>
      <w:r w:rsidR="0047600F" w:rsidRPr="00E4291E" w:rsidDel="00FD44CA">
        <w:t xml:space="preserve"> </w:t>
      </w:r>
      <w:r w:rsidR="0047600F" w:rsidRPr="00E4291E">
        <w:t>The purpose of reporting individual performance is to improve empirical understanding of the savings potential of each</w:t>
      </w:r>
      <w:r w:rsidR="0047600F" w:rsidRPr="00E4291E" w:rsidDel="00FB6929">
        <w:t xml:space="preserve"> technology</w:t>
      </w:r>
      <w:r w:rsidR="0047600F" w:rsidRPr="00E4291E">
        <w:t>. See also section II.B.4 of this solicitation manual.</w:t>
      </w:r>
    </w:p>
    <w:p w14:paraId="773667C5" w14:textId="77777777" w:rsidR="0047600F" w:rsidRPr="00E4291E" w:rsidRDefault="0047600F" w:rsidP="0047600F">
      <w:pPr>
        <w:spacing w:after="0"/>
      </w:pPr>
    </w:p>
    <w:p w14:paraId="7D37E0BB" w14:textId="77777777" w:rsidR="0047600F" w:rsidRPr="00E4291E" w:rsidRDefault="0047600F" w:rsidP="0047600F">
      <w:pPr>
        <w:spacing w:after="0"/>
      </w:pPr>
    </w:p>
    <w:p w14:paraId="63B562FD" w14:textId="77777777" w:rsidR="0047600F" w:rsidRPr="00E4291E" w:rsidRDefault="0047600F" w:rsidP="002427DC">
      <w:pPr>
        <w:numPr>
          <w:ilvl w:val="0"/>
          <w:numId w:val="71"/>
        </w:numPr>
        <w:spacing w:after="0"/>
        <w:ind w:left="360" w:hanging="360"/>
      </w:pPr>
      <w:r w:rsidRPr="00E4291E">
        <w:t xml:space="preserve">Group 1: Industrial Refrigerated Warehouses </w:t>
      </w:r>
    </w:p>
    <w:p w14:paraId="40A363E5" w14:textId="77777777" w:rsidR="0047600F" w:rsidRPr="00E4291E" w:rsidRDefault="0047600F" w:rsidP="0047600F">
      <w:pPr>
        <w:spacing w:after="0"/>
      </w:pPr>
    </w:p>
    <w:p w14:paraId="1CD4C09E" w14:textId="3B45D5DA" w:rsidR="0047600F" w:rsidRPr="00E4291E" w:rsidRDefault="0047600F" w:rsidP="0047600F">
      <w:pPr>
        <w:spacing w:after="0"/>
      </w:pPr>
      <w:r w:rsidRPr="00E4291E">
        <w:t xml:space="preserve">Industrial </w:t>
      </w:r>
      <w:r w:rsidR="7A3B0F99" w:rsidRPr="00E4291E">
        <w:t>R</w:t>
      </w:r>
      <w:r w:rsidRPr="00E4291E">
        <w:t xml:space="preserve">efrigerated </w:t>
      </w:r>
      <w:r w:rsidR="55EE3A9C" w:rsidRPr="00E4291E">
        <w:t>W</w:t>
      </w:r>
      <w:r w:rsidRPr="00E4291E">
        <w:t>arehouses must meet the definition indicated in Section I.B. The Project Narrative (Attachment) must discuss the following in the sections identified:</w:t>
      </w:r>
    </w:p>
    <w:p w14:paraId="371DD3A9" w14:textId="40259089" w:rsidR="0047600F" w:rsidRPr="00E4291E" w:rsidRDefault="0047600F" w:rsidP="002427DC">
      <w:pPr>
        <w:numPr>
          <w:ilvl w:val="0"/>
          <w:numId w:val="72"/>
        </w:numPr>
        <w:spacing w:after="0"/>
      </w:pPr>
      <w:r w:rsidRPr="00E4291E">
        <w:t>Demonstrations must be at an existing industrial cold storage facility located in an electric IOU service territory. Applicants must provide at least one site and a backup site</w:t>
      </w:r>
      <w:r w:rsidR="43942668" w:rsidRPr="00E4291E">
        <w:t xml:space="preserve"> and </w:t>
      </w:r>
      <w:r w:rsidR="27BED95F" w:rsidRPr="00E4291E">
        <w:t>includ</w:t>
      </w:r>
      <w:r w:rsidR="43942668" w:rsidRPr="00E4291E">
        <w:t>e</w:t>
      </w:r>
      <w:r w:rsidR="0022607B" w:rsidRPr="00E4291E">
        <w:t xml:space="preserve"> demonstration site description</w:t>
      </w:r>
      <w:r w:rsidR="513D40A9" w:rsidRPr="00E4291E">
        <w:t>s</w:t>
      </w:r>
      <w:r w:rsidR="0022607B" w:rsidRPr="00E4291E">
        <w:t xml:space="preserve"> in the Technical Approach section.</w:t>
      </w:r>
    </w:p>
    <w:p w14:paraId="0E4DC0FB" w14:textId="7C26B1D5" w:rsidR="0047600F" w:rsidRPr="00E4291E" w:rsidRDefault="7F0CDCF4" w:rsidP="002427DC">
      <w:pPr>
        <w:numPr>
          <w:ilvl w:val="0"/>
          <w:numId w:val="72"/>
        </w:numPr>
        <w:spacing w:after="0"/>
      </w:pPr>
      <w:r w:rsidRPr="00E4291E">
        <w:t xml:space="preserve">Applicants </w:t>
      </w:r>
      <w:r w:rsidR="781F5CB5" w:rsidRPr="00E4291E">
        <w:t>m</w:t>
      </w:r>
      <w:r w:rsidR="0047600F" w:rsidRPr="00E4291E">
        <w:t xml:space="preserve">ust include one or more of the eligible technologies and provide justification within the </w:t>
      </w:r>
      <w:r w:rsidR="00BB5592" w:rsidRPr="00E4291E">
        <w:t xml:space="preserve">Technical Merit section </w:t>
      </w:r>
      <w:r w:rsidR="0047600F" w:rsidRPr="00E4291E">
        <w:t xml:space="preserve">on why the proposed technology is applicable for this funding opportunity.  </w:t>
      </w:r>
    </w:p>
    <w:p w14:paraId="57F114B4" w14:textId="23448D58" w:rsidR="0047600F" w:rsidRDefault="3DB1C226" w:rsidP="002427DC">
      <w:pPr>
        <w:numPr>
          <w:ilvl w:val="0"/>
          <w:numId w:val="72"/>
        </w:numPr>
        <w:spacing w:after="0"/>
      </w:pPr>
      <w:r w:rsidRPr="00E4291E">
        <w:t xml:space="preserve">Applicants must </w:t>
      </w:r>
      <w:r w:rsidR="7D251EA4" w:rsidRPr="00E4291E">
        <w:t>p</w:t>
      </w:r>
      <w:r w:rsidR="0047600F" w:rsidRPr="00E4291E">
        <w:t>rovide justification for how the proposed technology(</w:t>
      </w:r>
      <w:proofErr w:type="spellStart"/>
      <w:r w:rsidR="0047600F" w:rsidRPr="00E4291E">
        <w:t>ies</w:t>
      </w:r>
      <w:proofErr w:type="spellEnd"/>
      <w:r w:rsidR="0047600F" w:rsidRPr="00E4291E">
        <w:t xml:space="preserve">) will meet or exceed the </w:t>
      </w:r>
      <w:r w:rsidR="5CCCA55E" w:rsidRPr="00E4291E">
        <w:t>required and other proposed</w:t>
      </w:r>
      <w:r w:rsidR="0047600F" w:rsidRPr="00E4291E">
        <w:t xml:space="preserve"> research targets</w:t>
      </w:r>
      <w:r w:rsidR="6A40B1E7" w:rsidRPr="00E4291E">
        <w:t>,</w:t>
      </w:r>
      <w:r w:rsidR="0047600F" w:rsidRPr="00E4291E">
        <w:t xml:space="preserve"> </w:t>
      </w:r>
      <w:r w:rsidR="35D2C8EF" w:rsidRPr="00E4291E">
        <w:t xml:space="preserve">that they </w:t>
      </w:r>
      <w:r w:rsidR="0047600F" w:rsidRPr="00E4291E">
        <w:t xml:space="preserve">are technically and economically feasible, and </w:t>
      </w:r>
      <w:r w:rsidR="2CBD459E" w:rsidRPr="00E4291E">
        <w:t xml:space="preserve">that they </w:t>
      </w:r>
      <w:r w:rsidR="0047600F" w:rsidRPr="00E4291E">
        <w:t>have potential for commercial deployment by similar facilities beyond the term of the grant in the Technical Merit</w:t>
      </w:r>
      <w:r w:rsidR="00BB5592" w:rsidRPr="00E4291E">
        <w:t xml:space="preserve"> section</w:t>
      </w:r>
      <w:r w:rsidR="0047600F" w:rsidRPr="00E4291E">
        <w:t xml:space="preserve">. </w:t>
      </w:r>
    </w:p>
    <w:p w14:paraId="7CD4B15E" w14:textId="50D8E948" w:rsidR="00F70B47" w:rsidRPr="00F70B47" w:rsidRDefault="00F70B47" w:rsidP="00F70B47">
      <w:pPr>
        <w:numPr>
          <w:ilvl w:val="0"/>
          <w:numId w:val="72"/>
        </w:numPr>
        <w:spacing w:after="0"/>
        <w:rPr>
          <w:b/>
          <w:bCs/>
          <w:u w:val="single"/>
        </w:rPr>
      </w:pPr>
      <w:r w:rsidRPr="00F70B47">
        <w:rPr>
          <w:b/>
          <w:bCs/>
          <w:u w:val="single"/>
        </w:rPr>
        <w:t>Projects that include load shifting capability will receive preference.</w:t>
      </w:r>
    </w:p>
    <w:p w14:paraId="363C3E82" w14:textId="0473C893" w:rsidR="0047600F" w:rsidRPr="00E4291E" w:rsidRDefault="23CD798D" w:rsidP="002427DC">
      <w:pPr>
        <w:numPr>
          <w:ilvl w:val="0"/>
          <w:numId w:val="72"/>
        </w:numPr>
        <w:spacing w:after="0"/>
      </w:pPr>
      <w:r w:rsidRPr="00E4291E">
        <w:t xml:space="preserve">For </w:t>
      </w:r>
      <w:r w:rsidR="441E03DB" w:rsidRPr="00E4291E">
        <w:t>p</w:t>
      </w:r>
      <w:r w:rsidR="0047600F" w:rsidRPr="00E4291E">
        <w:t xml:space="preserve">rojects that target </w:t>
      </w:r>
      <w:r w:rsidR="00C5034B">
        <w:t>[</w:t>
      </w:r>
      <w:r w:rsidR="0047600F" w:rsidRPr="00F70B47">
        <w:rPr>
          <w:strike/>
        </w:rPr>
        <w:t>permanent</w:t>
      </w:r>
      <w:r w:rsidR="00C5034B">
        <w:t>]</w:t>
      </w:r>
      <w:r w:rsidR="0047600F" w:rsidRPr="00E4291E">
        <w:t xml:space="preserve"> load shifting</w:t>
      </w:r>
      <w:r w:rsidR="0A19C196" w:rsidRPr="00E4291E">
        <w:t>:</w:t>
      </w:r>
    </w:p>
    <w:p w14:paraId="0D2ABC3A" w14:textId="2807F28E" w:rsidR="0047600F" w:rsidRPr="00E4291E" w:rsidRDefault="6C6B9A0D" w:rsidP="008B21DC">
      <w:pPr>
        <w:numPr>
          <w:ilvl w:val="1"/>
          <w:numId w:val="72"/>
        </w:numPr>
        <w:spacing w:after="0"/>
      </w:pPr>
      <w:r w:rsidRPr="00E4291E">
        <w:t xml:space="preserve">In the Technical Merit section, applicants must explain how the load flexibility projects will </w:t>
      </w:r>
      <w:r w:rsidRPr="00F70B47">
        <w:rPr>
          <w:strike/>
        </w:rPr>
        <w:t>load</w:t>
      </w:r>
      <w:r w:rsidRPr="00E4291E">
        <w:t xml:space="preserve"> shift </w:t>
      </w:r>
      <w:r w:rsidR="00F70B47" w:rsidRPr="00F70B47">
        <w:rPr>
          <w:b/>
          <w:bCs/>
          <w:u w:val="single"/>
        </w:rPr>
        <w:t>load</w:t>
      </w:r>
      <w:r w:rsidR="00F70B47">
        <w:t xml:space="preserve"> </w:t>
      </w:r>
      <w:r w:rsidRPr="00E4291E">
        <w:t xml:space="preserve">and the corresponding hourly GHG savings for each shift. </w:t>
      </w:r>
    </w:p>
    <w:p w14:paraId="798B826F" w14:textId="1475C165" w:rsidR="0047600F" w:rsidRPr="00E4291E" w:rsidRDefault="6C6B9A0D" w:rsidP="4A7D8374">
      <w:pPr>
        <w:numPr>
          <w:ilvl w:val="1"/>
          <w:numId w:val="72"/>
        </w:numPr>
        <w:spacing w:after="0"/>
      </w:pPr>
      <w:r w:rsidRPr="00E4291E">
        <w:t>Applicants</w:t>
      </w:r>
      <w:r w:rsidR="0047600F" w:rsidRPr="00E4291E">
        <w:t xml:space="preserve"> </w:t>
      </w:r>
      <w:r w:rsidR="357E968C" w:rsidRPr="00E4291E">
        <w:t>must</w:t>
      </w:r>
      <w:r w:rsidR="0047600F" w:rsidRPr="00E4291E">
        <w:t xml:space="preserve"> evaluat</w:t>
      </w:r>
      <w:r w:rsidR="5EC3415F" w:rsidRPr="00E4291E">
        <w:t xml:space="preserve">e </w:t>
      </w:r>
      <w:r w:rsidR="0047600F" w:rsidRPr="00E4291E">
        <w:t>cost savings and GHG emission and load reduction</w:t>
      </w:r>
      <w:r w:rsidR="05008A87" w:rsidRPr="00E4291E">
        <w:t>s</w:t>
      </w:r>
      <w:r w:rsidR="0047600F" w:rsidRPr="00E4291E">
        <w:t xml:space="preserve"> based on an </w:t>
      </w:r>
      <w:r w:rsidR="64C56BB8" w:rsidRPr="00E4291E">
        <w:t>annual</w:t>
      </w:r>
      <w:r w:rsidR="0047600F" w:rsidRPr="00E4291E">
        <w:t xml:space="preserve"> 8760 hour model </w:t>
      </w:r>
      <w:r w:rsidR="00F70B47" w:rsidRPr="00F70B47">
        <w:rPr>
          <w:b/>
          <w:bCs/>
          <w:u w:val="single"/>
        </w:rPr>
        <w:t>that uses</w:t>
      </w:r>
      <w:r w:rsidR="00F70B47">
        <w:t xml:space="preserve"> </w:t>
      </w:r>
      <w:r w:rsidR="00C5034B">
        <w:t>[</w:t>
      </w:r>
      <w:r w:rsidR="0047600F" w:rsidRPr="00F70B47">
        <w:rPr>
          <w:strike/>
        </w:rPr>
        <w:t>such as Energy Plus</w:t>
      </w:r>
      <w:r w:rsidR="0047600F" w:rsidRPr="00F70B47">
        <w:rPr>
          <w:rFonts w:cs="Times New Roman"/>
          <w:strike/>
          <w:vertAlign w:val="superscript"/>
        </w:rPr>
        <w:footnoteReference w:id="11"/>
      </w:r>
      <w:r w:rsidR="0047600F" w:rsidRPr="00F70B47">
        <w:rPr>
          <w:strike/>
        </w:rPr>
        <w:t>using the</w:t>
      </w:r>
      <w:r w:rsidR="00C5034B">
        <w:t>]</w:t>
      </w:r>
      <w:r w:rsidR="0047600F" w:rsidRPr="00E4291E">
        <w:t xml:space="preserve"> actual rates and GHG factors </w:t>
      </w:r>
      <w:r w:rsidR="00C5034B">
        <w:t>[</w:t>
      </w:r>
      <w:r w:rsidR="0047600F" w:rsidRPr="00F70B47">
        <w:rPr>
          <w:strike/>
        </w:rPr>
        <w:t>of</w:t>
      </w:r>
      <w:r w:rsidR="00C5034B">
        <w:t>]</w:t>
      </w:r>
      <w:r w:rsidR="0047600F" w:rsidRPr="00E4291E">
        <w:t xml:space="preserve"> </w:t>
      </w:r>
      <w:r w:rsidR="00F70B47" w:rsidRPr="00F70B47">
        <w:rPr>
          <w:b/>
          <w:bCs/>
          <w:u w:val="single"/>
        </w:rPr>
        <w:t>from</w:t>
      </w:r>
      <w:r w:rsidR="00F70B47">
        <w:t xml:space="preserve"> </w:t>
      </w:r>
      <w:r w:rsidR="357E968C" w:rsidRPr="00E4291E">
        <w:t>the</w:t>
      </w:r>
      <w:r w:rsidR="0047600F" w:rsidRPr="00E4291E">
        <w:t xml:space="preserve"> respective electric IOU. </w:t>
      </w:r>
      <w:r w:rsidR="68126426" w:rsidRPr="00E4291E">
        <w:t xml:space="preserve"> For </w:t>
      </w:r>
      <w:r w:rsidR="1FBF4DC8" w:rsidRPr="00E4291E">
        <w:t>example,</w:t>
      </w:r>
      <w:r w:rsidR="68126426" w:rsidRPr="00E4291E">
        <w:t xml:space="preserve"> if a project shifts a </w:t>
      </w:r>
      <w:r w:rsidR="2E8C2D75" w:rsidRPr="00E4291E">
        <w:t xml:space="preserve">500 </w:t>
      </w:r>
      <w:r w:rsidR="236261CD" w:rsidRPr="00E4291E">
        <w:t>k</w:t>
      </w:r>
      <w:r w:rsidR="2E8C2D75" w:rsidRPr="00E4291E">
        <w:t xml:space="preserve">W load from </w:t>
      </w:r>
      <w:r w:rsidR="4F90414B" w:rsidRPr="00E4291E">
        <w:t>5</w:t>
      </w:r>
      <w:r w:rsidR="5717C4DC" w:rsidRPr="00E4291E">
        <w:t xml:space="preserve"> pm</w:t>
      </w:r>
      <w:r w:rsidR="4F90414B" w:rsidRPr="00E4291E">
        <w:t xml:space="preserve"> to </w:t>
      </w:r>
      <w:r w:rsidR="0067594B">
        <w:t>[</w:t>
      </w:r>
      <w:r w:rsidR="48354849" w:rsidRPr="00FE77EE">
        <w:rPr>
          <w:strike/>
        </w:rPr>
        <w:t>3</w:t>
      </w:r>
      <w:r w:rsidR="00FE77EE">
        <w:t>]</w:t>
      </w:r>
      <w:r w:rsidR="722C1B9D" w:rsidRPr="00E4291E">
        <w:t xml:space="preserve"> </w:t>
      </w:r>
      <w:r w:rsidR="00FE77EE" w:rsidRPr="00FE77EE">
        <w:rPr>
          <w:b/>
          <w:bCs/>
          <w:u w:val="single"/>
        </w:rPr>
        <w:t>9</w:t>
      </w:r>
      <w:r w:rsidR="00FE77EE">
        <w:t xml:space="preserve"> </w:t>
      </w:r>
      <w:r w:rsidR="722C1B9D" w:rsidRPr="00E4291E">
        <w:t>pm,</w:t>
      </w:r>
      <w:r w:rsidR="48354849" w:rsidRPr="00E4291E">
        <w:t xml:space="preserve"> </w:t>
      </w:r>
      <w:r w:rsidR="00C5034B">
        <w:t>[</w:t>
      </w:r>
      <w:r w:rsidR="6BC61ACA" w:rsidRPr="008E76D1">
        <w:rPr>
          <w:strike/>
        </w:rPr>
        <w:t>the</w:t>
      </w:r>
      <w:r w:rsidR="00C5034B">
        <w:t>]</w:t>
      </w:r>
      <w:r w:rsidR="6BC61ACA" w:rsidRPr="00E4291E">
        <w:t xml:space="preserve"> </w:t>
      </w:r>
      <w:r w:rsidR="008E76D1" w:rsidRPr="008E76D1">
        <w:rPr>
          <w:b/>
          <w:bCs/>
          <w:u w:val="single"/>
        </w:rPr>
        <w:t>an</w:t>
      </w:r>
      <w:r w:rsidR="008E76D1">
        <w:t xml:space="preserve"> </w:t>
      </w:r>
      <w:r w:rsidR="6BC61ACA" w:rsidRPr="00E4291E">
        <w:t xml:space="preserve">energy model must </w:t>
      </w:r>
      <w:r w:rsidR="004633FA" w:rsidRPr="00924A0C">
        <w:rPr>
          <w:b/>
          <w:bCs/>
          <w:u w:val="single"/>
        </w:rPr>
        <w:t>accurately</w:t>
      </w:r>
      <w:r w:rsidR="004633FA" w:rsidRPr="00924A0C">
        <w:t xml:space="preserve"> </w:t>
      </w:r>
      <w:r w:rsidR="00924A0C" w:rsidRPr="00924A0C">
        <w:t>[</w:t>
      </w:r>
      <w:r w:rsidR="6BC61ACA" w:rsidRPr="00924A0C">
        <w:rPr>
          <w:strike/>
        </w:rPr>
        <w:t>be able to</w:t>
      </w:r>
      <w:r w:rsidR="00924A0C" w:rsidRPr="00924A0C">
        <w:t>]</w:t>
      </w:r>
      <w:r w:rsidR="6BC61ACA" w:rsidRPr="00924A0C">
        <w:t xml:space="preserve"> </w:t>
      </w:r>
      <w:r w:rsidR="35862BAC" w:rsidRPr="00924A0C">
        <w:t>calculate</w:t>
      </w:r>
      <w:r w:rsidR="6BC61ACA" w:rsidRPr="00924A0C">
        <w:t xml:space="preserve"> the marginal GHG </w:t>
      </w:r>
      <w:r w:rsidR="5DD9B01B" w:rsidRPr="00924A0C">
        <w:t>difference</w:t>
      </w:r>
      <w:r w:rsidR="1FBF4DC8" w:rsidRPr="00924A0C">
        <w:t xml:space="preserve"> and provide a cumulative savings</w:t>
      </w:r>
      <w:r w:rsidR="008E76D1" w:rsidRPr="00924A0C">
        <w:t xml:space="preserve"> </w:t>
      </w:r>
      <w:r w:rsidR="008E76D1" w:rsidRPr="00924A0C">
        <w:rPr>
          <w:b/>
          <w:bCs/>
          <w:u w:val="single"/>
        </w:rPr>
        <w:t>based on pre</w:t>
      </w:r>
      <w:r w:rsidR="0440DA8A" w:rsidRPr="00924A0C">
        <w:rPr>
          <w:b/>
          <w:bCs/>
          <w:u w:val="single"/>
        </w:rPr>
        <w:t>-</w:t>
      </w:r>
      <w:r w:rsidR="008E76D1" w:rsidRPr="00924A0C">
        <w:rPr>
          <w:b/>
          <w:bCs/>
          <w:u w:val="single"/>
        </w:rPr>
        <w:t xml:space="preserve"> and post</w:t>
      </w:r>
      <w:r w:rsidR="3F73294D" w:rsidRPr="00924A0C">
        <w:rPr>
          <w:b/>
          <w:bCs/>
          <w:u w:val="single"/>
        </w:rPr>
        <w:t>-installation</w:t>
      </w:r>
      <w:r w:rsidR="008E76D1" w:rsidRPr="00924A0C">
        <w:rPr>
          <w:b/>
          <w:bCs/>
          <w:u w:val="single"/>
        </w:rPr>
        <w:t xml:space="preserve"> energy use</w:t>
      </w:r>
      <w:r w:rsidR="008E76D1" w:rsidRPr="00924A0C">
        <w:t>. The</w:t>
      </w:r>
      <w:r w:rsidR="0047600F" w:rsidRPr="00924A0C">
        <w:t xml:space="preserve"> model </w:t>
      </w:r>
      <w:r w:rsidR="59281FBC" w:rsidRPr="00924A0C">
        <w:t xml:space="preserve">must </w:t>
      </w:r>
      <w:r w:rsidR="004633FA" w:rsidRPr="00924A0C">
        <w:rPr>
          <w:b/>
          <w:bCs/>
          <w:u w:val="single"/>
        </w:rPr>
        <w:t>accurately</w:t>
      </w:r>
      <w:r w:rsidR="004633FA" w:rsidRPr="00924A0C">
        <w:t xml:space="preserve"> </w:t>
      </w:r>
      <w:r w:rsidR="00924A0C" w:rsidRPr="00924A0C">
        <w:t>[</w:t>
      </w:r>
      <w:r w:rsidR="0047600F" w:rsidRPr="00924A0C">
        <w:rPr>
          <w:strike/>
        </w:rPr>
        <w:t>be able to</w:t>
      </w:r>
      <w:r w:rsidR="00924A0C" w:rsidRPr="00924A0C">
        <w:t>]</w:t>
      </w:r>
      <w:r w:rsidR="0047600F" w:rsidRPr="00924A0C">
        <w:t xml:space="preserve"> </w:t>
      </w:r>
      <w:r w:rsidR="0047600F" w:rsidRPr="00E4291E">
        <w:t xml:space="preserve">evaluate the kWh and kW energy and cost impacts, for each hour of the year, and report </w:t>
      </w:r>
      <w:r w:rsidR="63F6409A" w:rsidRPr="00E4291E">
        <w:t xml:space="preserve">them </w:t>
      </w:r>
      <w:r w:rsidR="0047600F" w:rsidRPr="00E4291E">
        <w:t>as hourly impacts as well as summar</w:t>
      </w:r>
      <w:r w:rsidR="5B169A3C" w:rsidRPr="00E4291E">
        <w:t>ize</w:t>
      </w:r>
      <w:r w:rsidR="0047600F" w:rsidRPr="00E4291E">
        <w:t xml:space="preserve"> </w:t>
      </w:r>
      <w:r w:rsidR="2BBD2048" w:rsidRPr="00E4291E">
        <w:t>these</w:t>
      </w:r>
      <w:r w:rsidR="0047600F" w:rsidRPr="00E4291E">
        <w:t xml:space="preserve"> impacts and customer costs</w:t>
      </w:r>
      <w:r w:rsidR="38C46448" w:rsidRPr="00E4291E">
        <w:t>,</w:t>
      </w:r>
      <w:r w:rsidR="0047600F" w:rsidRPr="00E4291E">
        <w:t xml:space="preserve"> reflecting </w:t>
      </w:r>
      <w:r w:rsidR="4444A9AF" w:rsidRPr="00E4291E">
        <w:t xml:space="preserve">the </w:t>
      </w:r>
      <w:r w:rsidR="0047600F" w:rsidRPr="00E4291E">
        <w:t>current electric tariffs</w:t>
      </w:r>
      <w:r w:rsidR="1D6FE159" w:rsidRPr="00E4291E">
        <w:t xml:space="preserve"> of the </w:t>
      </w:r>
      <w:r w:rsidR="73E9C9CC" w:rsidRPr="00E4291E">
        <w:t>applicable</w:t>
      </w:r>
      <w:r w:rsidR="1D6FE159" w:rsidRPr="00E4291E">
        <w:t xml:space="preserve"> electric IOU</w:t>
      </w:r>
      <w:r w:rsidR="0047600F" w:rsidRPr="00E4291E">
        <w:t xml:space="preserve">. If multiple tariff options are available to customers, </w:t>
      </w:r>
      <w:r w:rsidR="54C1E24A" w:rsidRPr="00E4291E">
        <w:t xml:space="preserve">the model should compare </w:t>
      </w:r>
      <w:r w:rsidR="0047600F" w:rsidRPr="00E4291E">
        <w:t xml:space="preserve">costs across those different options. </w:t>
      </w:r>
    </w:p>
    <w:p w14:paraId="56B42E15" w14:textId="7AB72145" w:rsidR="0047600F" w:rsidRPr="00E4291E" w:rsidRDefault="176601D4" w:rsidP="008B21DC">
      <w:pPr>
        <w:numPr>
          <w:ilvl w:val="2"/>
          <w:numId w:val="72"/>
        </w:numPr>
        <w:spacing w:after="0"/>
      </w:pPr>
      <w:r w:rsidRPr="00E4291E">
        <w:t xml:space="preserve">Applicants must </w:t>
      </w:r>
      <w:r w:rsidR="1AF70A3F" w:rsidRPr="00E4291E">
        <w:t>p</w:t>
      </w:r>
      <w:r w:rsidR="00BB5592" w:rsidRPr="00E4291E">
        <w:t xml:space="preserve">rovide </w:t>
      </w:r>
      <w:r w:rsidR="7E03766B" w:rsidRPr="00E4291E">
        <w:t>a</w:t>
      </w:r>
      <w:r w:rsidR="00BB5592" w:rsidRPr="00E4291E">
        <w:t xml:space="preserve"> description</w:t>
      </w:r>
      <w:r w:rsidR="002E5527" w:rsidRPr="00E4291E">
        <w:t xml:space="preserve"> </w:t>
      </w:r>
      <w:r w:rsidR="002308F5" w:rsidRPr="00E4291E">
        <w:t xml:space="preserve">and </w:t>
      </w:r>
      <w:r w:rsidR="00DD33D1" w:rsidRPr="00E4291E">
        <w:t xml:space="preserve">summary </w:t>
      </w:r>
      <w:r w:rsidR="002E5527" w:rsidRPr="00E4291E">
        <w:t>of the model results</w:t>
      </w:r>
      <w:r w:rsidR="0001008D" w:rsidRPr="00E4291E">
        <w:t>, including assumptions and references</w:t>
      </w:r>
      <w:r w:rsidR="002308F5" w:rsidRPr="00E4291E">
        <w:t xml:space="preserve"> </w:t>
      </w:r>
      <w:r w:rsidR="007351FA" w:rsidRPr="00E4291E">
        <w:t xml:space="preserve">for </w:t>
      </w:r>
      <w:r w:rsidR="002308F5" w:rsidRPr="00E4291E">
        <w:t>the</w:t>
      </w:r>
      <w:r w:rsidR="00B577B3" w:rsidRPr="00E4291E">
        <w:t xml:space="preserve"> </w:t>
      </w:r>
      <w:r w:rsidR="00D40765" w:rsidRPr="00E4291E">
        <w:t xml:space="preserve">hourly load </w:t>
      </w:r>
      <w:r w:rsidR="004D2AAE" w:rsidRPr="00E4291E">
        <w:lastRenderedPageBreak/>
        <w:t xml:space="preserve">reductions </w:t>
      </w:r>
      <w:r w:rsidR="00086936" w:rsidRPr="00E4291E">
        <w:t>a</w:t>
      </w:r>
      <w:r w:rsidR="0034202A" w:rsidRPr="00E4291E">
        <w:t xml:space="preserve">nd cost impact </w:t>
      </w:r>
      <w:r w:rsidR="004D2AAE" w:rsidRPr="00E4291E">
        <w:t>during the net pea</w:t>
      </w:r>
      <w:r w:rsidR="00603945" w:rsidRPr="00E4291E">
        <w:t>k period</w:t>
      </w:r>
      <w:r w:rsidR="0001008D" w:rsidRPr="00E4291E">
        <w:t xml:space="preserve">, </w:t>
      </w:r>
      <w:r w:rsidR="00BB5592" w:rsidRPr="00E4291E">
        <w:t>in the Technical Approach section.</w:t>
      </w:r>
    </w:p>
    <w:p w14:paraId="5958BCA9" w14:textId="59B14DDE" w:rsidR="0047600F" w:rsidRPr="00E4291E" w:rsidRDefault="0DB28A80" w:rsidP="002427DC">
      <w:pPr>
        <w:numPr>
          <w:ilvl w:val="0"/>
          <w:numId w:val="72"/>
        </w:numPr>
        <w:spacing w:before="100" w:beforeAutospacing="1" w:after="100" w:afterAutospacing="1"/>
      </w:pPr>
      <w:r w:rsidRPr="00E4291E">
        <w:t xml:space="preserve">In the Technical Merit section, </w:t>
      </w:r>
      <w:r w:rsidR="227F21E0" w:rsidRPr="00E4291E">
        <w:t>d</w:t>
      </w:r>
      <w:r w:rsidR="0047600F" w:rsidRPr="00E4291E">
        <w:t>escribe the adaptability of the technology to respond to changes in electricity rate structures and grid needs (e.</w:t>
      </w:r>
      <w:r w:rsidR="6609DC25" w:rsidRPr="00E4291E">
        <w:t>g</w:t>
      </w:r>
      <w:r w:rsidR="0047600F" w:rsidRPr="00E4291E">
        <w:t>.</w:t>
      </w:r>
      <w:r w:rsidR="4FCAAE67" w:rsidRPr="00E4291E">
        <w:t>,</w:t>
      </w:r>
      <w:r w:rsidR="0047600F" w:rsidRPr="00E4291E">
        <w:t xml:space="preserve"> as storage capacity increases</w:t>
      </w:r>
      <w:r w:rsidR="41BE31A7" w:rsidRPr="00E4291E">
        <w:t>;</w:t>
      </w:r>
      <w:r w:rsidR="0047600F" w:rsidRPr="00E4291E">
        <w:t xml:space="preserve"> new renewable capacity comes online</w:t>
      </w:r>
      <w:r w:rsidR="26436D43" w:rsidRPr="00E4291E">
        <w:t>;</w:t>
      </w:r>
      <w:r w:rsidR="0047600F" w:rsidRPr="00E4291E">
        <w:t xml:space="preserve"> new renewable sources, such as offshore wind, come online)</w:t>
      </w:r>
      <w:r w:rsidR="00BB5592" w:rsidRPr="00E4291E">
        <w:t>.</w:t>
      </w:r>
    </w:p>
    <w:p w14:paraId="3C4A81DA" w14:textId="3CAC6DBA" w:rsidR="0047600F" w:rsidRPr="00E4291E" w:rsidRDefault="0047600F" w:rsidP="002427DC">
      <w:pPr>
        <w:numPr>
          <w:ilvl w:val="0"/>
          <w:numId w:val="72"/>
        </w:numPr>
      </w:pPr>
      <w:r w:rsidRPr="00E4291E">
        <w:t>I</w:t>
      </w:r>
      <w:r w:rsidR="287DF750" w:rsidRPr="00E4291E">
        <w:t>n the Disadvantaged &amp; Low-Income Communities section, i</w:t>
      </w:r>
      <w:r w:rsidRPr="00E4291E">
        <w:t>ndicate if the project location(s) are in disadvantaged, low-income, or tribal communities. If the project benefits these communities, indicate specific benefits it will provide to the communities. Include information on past and planned community engagement activities.</w:t>
      </w:r>
    </w:p>
    <w:p w14:paraId="11645599" w14:textId="77777777" w:rsidR="0047600F" w:rsidRPr="00E4291E" w:rsidRDefault="0047600F" w:rsidP="0047600F">
      <w:pPr>
        <w:ind w:left="720"/>
      </w:pPr>
    </w:p>
    <w:p w14:paraId="51349A69" w14:textId="77777777" w:rsidR="0047600F" w:rsidRPr="00E4291E" w:rsidRDefault="0047600F" w:rsidP="0047600F">
      <w:r w:rsidRPr="00E4291E">
        <w:rPr>
          <w:b/>
        </w:rPr>
        <w:t>Group 2</w:t>
      </w:r>
      <w:r w:rsidRPr="00E4291E">
        <w:t>: Commercial Cold Storage Facilities</w:t>
      </w:r>
    </w:p>
    <w:p w14:paraId="4029E58C" w14:textId="3DFA4C91" w:rsidR="0047600F" w:rsidRPr="00E4291E" w:rsidRDefault="0047600F" w:rsidP="0047600F">
      <w:r w:rsidRPr="00E4291E">
        <w:t>The purpose of this group is to reduce GHG emissions in cold storage facilities found in commercial buildings such as grocers, institutional facilities (schools, hospitals, government)</w:t>
      </w:r>
      <w:r w:rsidR="55FA9C39" w:rsidRPr="00E4291E">
        <w:t>,</w:t>
      </w:r>
      <w:r w:rsidRPr="00E4291E">
        <w:t xml:space="preserve"> and retail. Projects funded by this group will ideally provide energy efficiency</w:t>
      </w:r>
      <w:r w:rsidR="217CA37D" w:rsidRPr="00E4291E">
        <w:t>,</w:t>
      </w:r>
      <w:r w:rsidRPr="00E4291E">
        <w:t xml:space="preserve"> demand flexibility, cost savings</w:t>
      </w:r>
      <w:r w:rsidR="766473E7" w:rsidRPr="00E4291E">
        <w:t>,</w:t>
      </w:r>
      <w:r w:rsidRPr="00E4291E">
        <w:t xml:space="preserve"> and other benefits.  </w:t>
      </w:r>
      <w:bookmarkStart w:id="19" w:name="_Hlk138171357"/>
      <w:r w:rsidRPr="00E4291E">
        <w:t xml:space="preserve">The Project Narrative (Attachment) must discuss the following in the sections identified: </w:t>
      </w:r>
      <w:bookmarkEnd w:id="19"/>
    </w:p>
    <w:p w14:paraId="2FA92C1E" w14:textId="73BD6FD5" w:rsidR="0047600F" w:rsidRPr="00E4291E" w:rsidRDefault="0047600F" w:rsidP="002427DC">
      <w:pPr>
        <w:pStyle w:val="ListParagraph"/>
        <w:numPr>
          <w:ilvl w:val="0"/>
          <w:numId w:val="77"/>
        </w:numPr>
        <w:ind w:left="1080"/>
      </w:pPr>
      <w:r w:rsidRPr="00E4291E">
        <w:t>Demonstrations must be at an existing cold storage facility located in an electric IOU service territory. Applicants must provide at least two sites and a backup site</w:t>
      </w:r>
      <w:r w:rsidR="00682C20" w:rsidRPr="00E4291E">
        <w:t xml:space="preserve"> </w:t>
      </w:r>
      <w:r w:rsidR="1A81E5AD" w:rsidRPr="00E4291E">
        <w:t>and</w:t>
      </w:r>
      <w:r w:rsidR="00682C20" w:rsidRPr="00E4291E">
        <w:t xml:space="preserve"> </w:t>
      </w:r>
      <w:r w:rsidR="511C202C" w:rsidRPr="00E4291E">
        <w:t>include</w:t>
      </w:r>
      <w:r w:rsidR="00682C20" w:rsidRPr="00E4291E">
        <w:t xml:space="preserve"> demonstration site description</w:t>
      </w:r>
      <w:r w:rsidR="56450888" w:rsidRPr="00E4291E">
        <w:t>s</w:t>
      </w:r>
      <w:r w:rsidR="00682C20" w:rsidRPr="00E4291E">
        <w:t xml:space="preserve"> in the Technical Approach section.</w:t>
      </w:r>
    </w:p>
    <w:p w14:paraId="080E4FCC" w14:textId="457836A4" w:rsidR="0047600F" w:rsidRPr="00E4291E" w:rsidRDefault="3FD6EEE8" w:rsidP="002427DC">
      <w:pPr>
        <w:numPr>
          <w:ilvl w:val="0"/>
          <w:numId w:val="72"/>
        </w:numPr>
        <w:spacing w:after="0"/>
      </w:pPr>
      <w:r w:rsidRPr="00E4291E">
        <w:t xml:space="preserve">Applicants </w:t>
      </w:r>
      <w:r w:rsidR="1D775FBB" w:rsidRPr="00E4291E">
        <w:t>m</w:t>
      </w:r>
      <w:r w:rsidR="0047600F" w:rsidRPr="00E4291E">
        <w:t xml:space="preserve">ust include one or more of the eligible technologies and provide justification within the </w:t>
      </w:r>
      <w:r w:rsidR="065E842B" w:rsidRPr="00E4291E">
        <w:t xml:space="preserve">Technical Merit section </w:t>
      </w:r>
      <w:r w:rsidR="0047600F" w:rsidRPr="00E4291E">
        <w:t xml:space="preserve">on why the proposed technology is applicable for this funding opportunity.  </w:t>
      </w:r>
    </w:p>
    <w:p w14:paraId="5ABB433C" w14:textId="77777777" w:rsidR="00F70B47" w:rsidRDefault="16D078E9" w:rsidP="002427DC">
      <w:pPr>
        <w:numPr>
          <w:ilvl w:val="0"/>
          <w:numId w:val="72"/>
        </w:numPr>
        <w:spacing w:after="0"/>
      </w:pPr>
      <w:r w:rsidRPr="00E4291E">
        <w:t>In the Technical Merit section, a</w:t>
      </w:r>
      <w:r w:rsidR="005D3A77" w:rsidRPr="00E4291E">
        <w:t xml:space="preserve">pplicants must </w:t>
      </w:r>
      <w:r w:rsidR="14FDD862" w:rsidRPr="00E4291E">
        <w:t>p</w:t>
      </w:r>
      <w:r w:rsidR="0047600F" w:rsidRPr="00E4291E">
        <w:t>rovide justification for how the proposed technology(</w:t>
      </w:r>
      <w:proofErr w:type="spellStart"/>
      <w:r w:rsidR="0047600F" w:rsidRPr="00E4291E">
        <w:t>ies</w:t>
      </w:r>
      <w:proofErr w:type="spellEnd"/>
      <w:r w:rsidR="0047600F" w:rsidRPr="00E4291E">
        <w:t xml:space="preserve">) will meet or exceed the </w:t>
      </w:r>
      <w:r w:rsidR="0C4AE1AD" w:rsidRPr="00E4291E">
        <w:t xml:space="preserve">required or other </w:t>
      </w:r>
      <w:r w:rsidR="0047600F" w:rsidRPr="00E4291E">
        <w:t>proposed research targets, are technically and economically feasible, and have potential for commercial deployment by similar facilities beyond the term of the grant.</w:t>
      </w:r>
    </w:p>
    <w:p w14:paraId="2817F0DF" w14:textId="783BE9D8" w:rsidR="0047600F" w:rsidRPr="00F70B47" w:rsidRDefault="00F70B47" w:rsidP="00F70B47">
      <w:pPr>
        <w:numPr>
          <w:ilvl w:val="0"/>
          <w:numId w:val="72"/>
        </w:numPr>
        <w:spacing w:after="0"/>
        <w:rPr>
          <w:b/>
          <w:bCs/>
          <w:u w:val="single"/>
        </w:rPr>
      </w:pPr>
      <w:r w:rsidRPr="00F70B47">
        <w:rPr>
          <w:b/>
          <w:bCs/>
          <w:u w:val="single"/>
        </w:rPr>
        <w:t>Projects that include load shifting capability will receive preference</w:t>
      </w:r>
      <w:r>
        <w:rPr>
          <w:b/>
          <w:bCs/>
          <w:u w:val="single"/>
        </w:rPr>
        <w:t>.</w:t>
      </w:r>
      <w:r w:rsidR="0047600F" w:rsidRPr="00E4291E">
        <w:t xml:space="preserve"> </w:t>
      </w:r>
    </w:p>
    <w:p w14:paraId="3C7BF0BE" w14:textId="5287A97E" w:rsidR="006B5BF2" w:rsidRPr="00E4291E" w:rsidRDefault="0047600F" w:rsidP="006B5BF2">
      <w:pPr>
        <w:numPr>
          <w:ilvl w:val="0"/>
          <w:numId w:val="72"/>
        </w:numPr>
        <w:spacing w:after="0"/>
      </w:pPr>
      <w:r w:rsidRPr="00E4291E">
        <w:t xml:space="preserve">Projects that target </w:t>
      </w:r>
      <w:r w:rsidR="00C5034B">
        <w:t>[</w:t>
      </w:r>
      <w:r w:rsidRPr="00F70B47">
        <w:rPr>
          <w:strike/>
        </w:rPr>
        <w:t>permanent</w:t>
      </w:r>
      <w:r w:rsidR="00C5034B">
        <w:t>]</w:t>
      </w:r>
      <w:r w:rsidRPr="00E4291E">
        <w:t xml:space="preserve"> load shifting </w:t>
      </w:r>
      <w:r w:rsidR="5EC3415F" w:rsidRPr="00E4291E">
        <w:t xml:space="preserve">must </w:t>
      </w:r>
      <w:r w:rsidRPr="00E4291E">
        <w:t>provide evaluation of cost savings and GHG emissions and load reduction based on an 8760 hour model</w:t>
      </w:r>
      <w:r w:rsidR="00F70B47">
        <w:t xml:space="preserve"> </w:t>
      </w:r>
      <w:r w:rsidR="00F70B47" w:rsidRPr="00F70B47">
        <w:rPr>
          <w:b/>
          <w:bCs/>
          <w:u w:val="single"/>
        </w:rPr>
        <w:t>that uses</w:t>
      </w:r>
      <w:r w:rsidRPr="00E4291E">
        <w:t xml:space="preserve"> </w:t>
      </w:r>
      <w:r w:rsidR="00C5034B">
        <w:t>[</w:t>
      </w:r>
      <w:r w:rsidRPr="00F70B47">
        <w:rPr>
          <w:strike/>
        </w:rPr>
        <w:t>such as Energy Plus using the</w:t>
      </w:r>
      <w:r w:rsidR="00C5034B">
        <w:t>]</w:t>
      </w:r>
      <w:r w:rsidRPr="00E4291E">
        <w:t xml:space="preserve"> actual rates and GHG factors </w:t>
      </w:r>
      <w:r w:rsidR="00C5034B">
        <w:t>[</w:t>
      </w:r>
      <w:r w:rsidRPr="00F70B47">
        <w:rPr>
          <w:strike/>
        </w:rPr>
        <w:t>of</w:t>
      </w:r>
      <w:r w:rsidR="00C5034B">
        <w:t>]</w:t>
      </w:r>
      <w:r w:rsidRPr="00E4291E">
        <w:t xml:space="preserve"> </w:t>
      </w:r>
      <w:r w:rsidR="00F70B47" w:rsidRPr="00F70B47">
        <w:rPr>
          <w:b/>
          <w:bCs/>
          <w:u w:val="single"/>
        </w:rPr>
        <w:t>from</w:t>
      </w:r>
      <w:r w:rsidR="00F70B47">
        <w:t xml:space="preserve"> </w:t>
      </w:r>
      <w:r w:rsidR="0745BD8C" w:rsidRPr="00E4291E">
        <w:t xml:space="preserve">the </w:t>
      </w:r>
      <w:r w:rsidRPr="00E4291E">
        <w:t xml:space="preserve">respective electric IOU. </w:t>
      </w:r>
      <w:r w:rsidR="008E76D1" w:rsidRPr="008E76D1">
        <w:rPr>
          <w:b/>
          <w:bCs/>
          <w:u w:val="single"/>
        </w:rPr>
        <w:t xml:space="preserve">For example, if a project shifts a 500 kW load from 5 pm to </w:t>
      </w:r>
      <w:r w:rsidR="00274935">
        <w:rPr>
          <w:b/>
          <w:bCs/>
          <w:u w:val="single"/>
        </w:rPr>
        <w:t>9</w:t>
      </w:r>
      <w:r w:rsidR="008E76D1" w:rsidRPr="008E76D1">
        <w:rPr>
          <w:b/>
          <w:bCs/>
          <w:u w:val="single"/>
        </w:rPr>
        <w:t xml:space="preserve"> pm, an energy model </w:t>
      </w:r>
      <w:r w:rsidR="008E76D1" w:rsidRPr="00274935">
        <w:rPr>
          <w:b/>
          <w:bCs/>
          <w:u w:val="single"/>
        </w:rPr>
        <w:t xml:space="preserve">must </w:t>
      </w:r>
      <w:r w:rsidR="00EC6BA5" w:rsidRPr="00274935">
        <w:rPr>
          <w:b/>
          <w:bCs/>
          <w:u w:val="single"/>
        </w:rPr>
        <w:t xml:space="preserve">accurately </w:t>
      </w:r>
      <w:r w:rsidR="008E76D1" w:rsidRPr="00274935">
        <w:rPr>
          <w:b/>
          <w:bCs/>
          <w:u w:val="single"/>
        </w:rPr>
        <w:t>calculate the marginal GHG difference and provide a cumulative savings ba</w:t>
      </w:r>
      <w:r w:rsidR="008E76D1" w:rsidRPr="008E76D1">
        <w:rPr>
          <w:b/>
          <w:bCs/>
          <w:u w:val="single"/>
        </w:rPr>
        <w:t>sed on pre</w:t>
      </w:r>
      <w:r w:rsidR="6F7EAAE2" w:rsidRPr="741C7C45">
        <w:rPr>
          <w:b/>
          <w:bCs/>
          <w:u w:val="single"/>
        </w:rPr>
        <w:t>-</w:t>
      </w:r>
      <w:r w:rsidR="008E76D1" w:rsidRPr="008E76D1">
        <w:rPr>
          <w:b/>
          <w:bCs/>
          <w:u w:val="single"/>
        </w:rPr>
        <w:t xml:space="preserve"> and post</w:t>
      </w:r>
      <w:r w:rsidR="2196B627" w:rsidRPr="741C7C45">
        <w:rPr>
          <w:b/>
          <w:bCs/>
          <w:u w:val="single"/>
        </w:rPr>
        <w:t>-installation</w:t>
      </w:r>
      <w:r w:rsidR="008E76D1" w:rsidRPr="008E76D1">
        <w:rPr>
          <w:b/>
          <w:bCs/>
          <w:u w:val="single"/>
        </w:rPr>
        <w:t xml:space="preserve"> energy use.</w:t>
      </w:r>
      <w:r w:rsidR="008E76D1" w:rsidRPr="00E4291E">
        <w:t xml:space="preserve"> The</w:t>
      </w:r>
      <w:r w:rsidRPr="00E4291E">
        <w:t xml:space="preserve"> model </w:t>
      </w:r>
      <w:r w:rsidR="5EC3415F" w:rsidRPr="00E4291E">
        <w:t>must</w:t>
      </w:r>
      <w:r w:rsidR="5EC3415F" w:rsidRPr="00C5034B">
        <w:t xml:space="preserve"> </w:t>
      </w:r>
      <w:r w:rsidR="00C5034B">
        <w:t>[</w:t>
      </w:r>
      <w:r w:rsidRPr="008E76D1">
        <w:rPr>
          <w:strike/>
        </w:rPr>
        <w:t>be able to</w:t>
      </w:r>
      <w:r w:rsidR="00C5034B">
        <w:t>]</w:t>
      </w:r>
      <w:r w:rsidRPr="00E4291E">
        <w:t xml:space="preserve"> </w:t>
      </w:r>
      <w:r w:rsidR="008E76D1" w:rsidRPr="008E76D1">
        <w:rPr>
          <w:b/>
          <w:bCs/>
          <w:u w:val="single"/>
        </w:rPr>
        <w:t>accurately</w:t>
      </w:r>
      <w:r w:rsidR="008E76D1" w:rsidRPr="008E76D1">
        <w:t xml:space="preserve"> </w:t>
      </w:r>
      <w:r w:rsidRPr="00E4291E">
        <w:t>evaluate the kWh and kW energy and cost impacts, for each hour of the year, and be reported as hourly impacts as well as summary impacts and customer costs reflecting current electric tariffs</w:t>
      </w:r>
      <w:r w:rsidR="2D769EB8" w:rsidRPr="00E4291E">
        <w:t xml:space="preserve"> for the respective IOU</w:t>
      </w:r>
      <w:r w:rsidRPr="00E4291E">
        <w:t xml:space="preserve">.  If multiple tariff options are available to customers, costs should be compared across those different options. </w:t>
      </w:r>
      <w:r w:rsidR="7A965FD3" w:rsidRPr="00E4291E">
        <w:t>Provide description</w:t>
      </w:r>
      <w:r w:rsidR="2D769EB8" w:rsidRPr="00E4291E">
        <w:t>, including assumptions and references,</w:t>
      </w:r>
      <w:r w:rsidR="7A965FD3" w:rsidRPr="00E4291E">
        <w:t xml:space="preserve"> in the Technical Approach section.</w:t>
      </w:r>
    </w:p>
    <w:p w14:paraId="0AC2DDEA" w14:textId="0B7E96D6" w:rsidR="0047600F" w:rsidRPr="00E4291E" w:rsidRDefault="6EDF166B" w:rsidP="002427DC">
      <w:pPr>
        <w:numPr>
          <w:ilvl w:val="0"/>
          <w:numId w:val="72"/>
        </w:numPr>
        <w:spacing w:before="100" w:beforeAutospacing="1" w:after="0"/>
      </w:pPr>
      <w:r w:rsidRPr="00E4291E">
        <w:t xml:space="preserve">In the Technical Merit section, </w:t>
      </w:r>
      <w:r w:rsidR="74FBE622" w:rsidRPr="00E4291E">
        <w:t>d</w:t>
      </w:r>
      <w:r w:rsidR="0047600F" w:rsidRPr="00E4291E">
        <w:t>escribe the adaptability of the technology to respond to changes in electricity rate structures and grid needs (</w:t>
      </w:r>
      <w:r w:rsidR="101EB4B0" w:rsidRPr="00E4291E">
        <w:t>e.g.,</w:t>
      </w:r>
      <w:r w:rsidR="0047600F" w:rsidRPr="00E4291E">
        <w:t xml:space="preserve"> as storage capacity increases</w:t>
      </w:r>
      <w:r w:rsidR="7FE9F9FA" w:rsidRPr="00E4291E">
        <w:t>;</w:t>
      </w:r>
      <w:r w:rsidR="0047600F" w:rsidRPr="00E4291E">
        <w:t xml:space="preserve"> new renewable capacity comes online</w:t>
      </w:r>
      <w:r w:rsidR="761D4DA8" w:rsidRPr="00E4291E">
        <w:t>;</w:t>
      </w:r>
      <w:r w:rsidR="0047600F" w:rsidRPr="00E4291E">
        <w:t xml:space="preserve"> new renewable sources, such as offshore wind, come online)</w:t>
      </w:r>
      <w:r w:rsidR="7A965FD3" w:rsidRPr="00E4291E">
        <w:t>.</w:t>
      </w:r>
    </w:p>
    <w:p w14:paraId="70C801A4" w14:textId="53F2C723" w:rsidR="0047600F" w:rsidRPr="00E4291E" w:rsidRDefault="0047600F" w:rsidP="002427DC">
      <w:pPr>
        <w:numPr>
          <w:ilvl w:val="0"/>
          <w:numId w:val="73"/>
        </w:numPr>
      </w:pPr>
      <w:r w:rsidRPr="00E4291E">
        <w:lastRenderedPageBreak/>
        <w:t>I</w:t>
      </w:r>
      <w:r w:rsidR="22E32290" w:rsidRPr="00E4291E">
        <w:t xml:space="preserve">n the </w:t>
      </w:r>
      <w:r w:rsidR="008B21DC" w:rsidRPr="00E4291E">
        <w:t>Disadvantaged</w:t>
      </w:r>
      <w:r w:rsidR="22E32290" w:rsidRPr="00E4291E">
        <w:t xml:space="preserve"> &amp; Low-Income Communities section, i</w:t>
      </w:r>
      <w:r w:rsidRPr="00E4291E">
        <w:t>ndicate if the project locations are in disadvantaged, low-income, or tribal communities. If the project benefits these communities, indicate specific benefits it will provide to the communities. Include information on past and planned community engagement activities.</w:t>
      </w:r>
    </w:p>
    <w:p w14:paraId="3851340C" w14:textId="77777777" w:rsidR="00443957" w:rsidRPr="003A0A6F" w:rsidRDefault="00443957" w:rsidP="003A0A6F">
      <w:pPr>
        <w:jc w:val="both"/>
        <w:rPr>
          <w:b/>
          <w:color w:val="0070C0"/>
          <w:u w:val="single"/>
        </w:rPr>
      </w:pPr>
    </w:p>
    <w:p w14:paraId="03A8046B" w14:textId="0324F41A" w:rsidR="76E2900B" w:rsidRDefault="76E2900B" w:rsidP="76E2900B">
      <w:pPr>
        <w:jc w:val="both"/>
        <w:rPr>
          <w:b/>
          <w:bCs/>
          <w:color w:val="0070C0"/>
          <w:u w:val="single"/>
        </w:rPr>
      </w:pPr>
    </w:p>
    <w:p w14:paraId="1E468149" w14:textId="77777777" w:rsidR="003F6147" w:rsidRPr="00756BAC" w:rsidRDefault="003F6147" w:rsidP="002427DC">
      <w:pPr>
        <w:pStyle w:val="Heading2"/>
        <w:numPr>
          <w:ilvl w:val="0"/>
          <w:numId w:val="58"/>
        </w:numPr>
      </w:pPr>
      <w:bookmarkStart w:id="20" w:name="_Toc143001043"/>
      <w:r w:rsidRPr="00756BAC">
        <w:t>Funding</w:t>
      </w:r>
      <w:bookmarkEnd w:id="18"/>
      <w:bookmarkEnd w:id="20"/>
    </w:p>
    <w:p w14:paraId="11DA8798" w14:textId="77777777" w:rsidR="003F6147" w:rsidRPr="003F6147" w:rsidRDefault="003F6147" w:rsidP="002427DC">
      <w:pPr>
        <w:numPr>
          <w:ilvl w:val="0"/>
          <w:numId w:val="55"/>
        </w:numPr>
        <w:jc w:val="both"/>
        <w:rPr>
          <w:b/>
        </w:rPr>
      </w:pPr>
      <w:bookmarkStart w:id="21" w:name="_Toc381079878"/>
      <w:bookmarkStart w:id="22" w:name="_Toc382571140"/>
      <w:bookmarkStart w:id="23" w:name="_Toc395180637"/>
      <w:bookmarkStart w:id="24" w:name="_Toc433981282"/>
      <w:r w:rsidRPr="003F6147">
        <w:rPr>
          <w:b/>
        </w:rPr>
        <w:t>Amount Available and Minimum/ Maximum Funding Amounts</w:t>
      </w:r>
      <w:bookmarkEnd w:id="21"/>
      <w:bookmarkEnd w:id="22"/>
      <w:bookmarkEnd w:id="23"/>
      <w:bookmarkEnd w:id="24"/>
    </w:p>
    <w:p w14:paraId="7A95DEE3" w14:textId="306A1413" w:rsidR="003F6147" w:rsidRPr="003F6147" w:rsidRDefault="003F6147" w:rsidP="003F6147">
      <w:pPr>
        <w:jc w:val="both"/>
      </w:pPr>
      <w:bookmarkStart w:id="25" w:name="_Toc381079884"/>
      <w:bookmarkStart w:id="26" w:name="_Toc382571146"/>
      <w:bookmarkStart w:id="27" w:name="_Toc395180643"/>
      <w:bookmarkStart w:id="28" w:name="_Toc433981288"/>
      <w:r w:rsidRPr="003F6147">
        <w:t>There is</w:t>
      </w:r>
      <w:r w:rsidRPr="003F6147">
        <w:rPr>
          <w:b/>
        </w:rPr>
        <w:t xml:space="preserve"> up </w:t>
      </w:r>
      <w:r w:rsidRPr="00E4291E">
        <w:rPr>
          <w:b/>
        </w:rPr>
        <w:t>to $</w:t>
      </w:r>
      <w:r w:rsidR="0047600F" w:rsidRPr="00E4291E">
        <w:t xml:space="preserve">10 million </w:t>
      </w:r>
      <w:r w:rsidRPr="00E4291E">
        <w:t xml:space="preserve">available </w:t>
      </w:r>
      <w:r w:rsidRPr="003F6147">
        <w:t>for grants awarded under this solicitation.  The total, minimum, and maximum funding amounts for each project group are listed below.</w:t>
      </w:r>
      <w:bookmarkEnd w:id="25"/>
      <w:bookmarkEnd w:id="26"/>
      <w:bookmarkEnd w:id="27"/>
      <w:bookmarkEnd w:id="28"/>
    </w:p>
    <w:tbl>
      <w:tblPr>
        <w:tblStyle w:val="ListTable31"/>
        <w:tblW w:w="9713" w:type="dxa"/>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1800"/>
        <w:gridCol w:w="1800"/>
        <w:gridCol w:w="1807"/>
        <w:gridCol w:w="2153"/>
        <w:gridCol w:w="2153"/>
      </w:tblGrid>
      <w:tr w:rsidR="005B073B" w:rsidRPr="005B073B" w14:paraId="3F5AFC1C" w14:textId="77777777" w:rsidTr="005B073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00" w:type="dxa"/>
          </w:tcPr>
          <w:p w14:paraId="6294A44C" w14:textId="77777777" w:rsidR="005B073B" w:rsidRPr="005B073B" w:rsidRDefault="005B073B" w:rsidP="005B073B">
            <w:bookmarkStart w:id="29" w:name="_Toc395180644"/>
            <w:bookmarkStart w:id="30" w:name="_Toc433981289"/>
            <w:bookmarkStart w:id="31" w:name="_Toc381079895"/>
            <w:bookmarkStart w:id="32" w:name="_Toc382571157"/>
            <w:bookmarkStart w:id="33" w:name="_Toc395180656"/>
            <w:r w:rsidRPr="005B073B">
              <w:t>Project Group</w:t>
            </w:r>
            <w:bookmarkEnd w:id="29"/>
            <w:bookmarkEnd w:id="30"/>
          </w:p>
        </w:tc>
        <w:tc>
          <w:tcPr>
            <w:cnfStyle w:val="000010000000" w:firstRow="0" w:lastRow="0" w:firstColumn="0" w:lastColumn="0" w:oddVBand="1" w:evenVBand="0" w:oddHBand="0" w:evenHBand="0" w:firstRowFirstColumn="0" w:firstRowLastColumn="0" w:lastRowFirstColumn="0" w:lastRowLastColumn="0"/>
            <w:tcW w:w="1800" w:type="dxa"/>
          </w:tcPr>
          <w:p w14:paraId="7B6FDEEF" w14:textId="77777777" w:rsidR="005B073B" w:rsidRPr="005B073B" w:rsidRDefault="005B073B" w:rsidP="005B073B">
            <w:bookmarkStart w:id="34" w:name="_Toc395180645"/>
            <w:bookmarkStart w:id="35" w:name="_Toc433981290"/>
            <w:r w:rsidRPr="005B073B">
              <w:t>Available funding</w:t>
            </w:r>
            <w:bookmarkEnd w:id="34"/>
            <w:bookmarkEnd w:id="35"/>
          </w:p>
        </w:tc>
        <w:tc>
          <w:tcPr>
            <w:tcW w:w="1807" w:type="dxa"/>
          </w:tcPr>
          <w:p w14:paraId="0DC8632D" w14:textId="77777777" w:rsidR="005B073B" w:rsidRPr="005B073B" w:rsidRDefault="005B073B" w:rsidP="005B073B">
            <w:pPr>
              <w:cnfStyle w:val="100000000000" w:firstRow="1" w:lastRow="0" w:firstColumn="0" w:lastColumn="0" w:oddVBand="0" w:evenVBand="0" w:oddHBand="0" w:evenHBand="0" w:firstRowFirstColumn="0" w:firstRowLastColumn="0" w:lastRowFirstColumn="0" w:lastRowLastColumn="0"/>
            </w:pPr>
            <w:bookmarkStart w:id="36" w:name="_Toc381079887"/>
            <w:bookmarkStart w:id="37" w:name="_Toc382571149"/>
            <w:bookmarkStart w:id="38" w:name="_Toc395180646"/>
            <w:bookmarkStart w:id="39" w:name="_Toc433981291"/>
            <w:r w:rsidRPr="005B073B">
              <w:t>Minimum award amount</w:t>
            </w:r>
            <w:bookmarkEnd w:id="36"/>
            <w:bookmarkEnd w:id="37"/>
            <w:bookmarkEnd w:id="38"/>
            <w:bookmarkEnd w:id="39"/>
          </w:p>
        </w:tc>
        <w:tc>
          <w:tcPr>
            <w:cnfStyle w:val="000010000000" w:firstRow="0" w:lastRow="0" w:firstColumn="0" w:lastColumn="0" w:oddVBand="1" w:evenVBand="0" w:oddHBand="0" w:evenHBand="0" w:firstRowFirstColumn="0" w:firstRowLastColumn="0" w:lastRowFirstColumn="0" w:lastRowLastColumn="0"/>
            <w:tcW w:w="2153" w:type="dxa"/>
          </w:tcPr>
          <w:p w14:paraId="5B915BA2" w14:textId="77777777" w:rsidR="005B073B" w:rsidRPr="005B073B" w:rsidRDefault="005B073B" w:rsidP="005B073B">
            <w:bookmarkStart w:id="40" w:name="_Toc381079888"/>
            <w:bookmarkStart w:id="41" w:name="_Toc382571150"/>
            <w:bookmarkStart w:id="42" w:name="_Toc395180647"/>
            <w:bookmarkStart w:id="43" w:name="_Toc433981292"/>
            <w:r w:rsidRPr="005B073B">
              <w:t>Maximum award amount</w:t>
            </w:r>
            <w:bookmarkEnd w:id="40"/>
            <w:bookmarkEnd w:id="41"/>
            <w:bookmarkEnd w:id="42"/>
            <w:bookmarkEnd w:id="43"/>
          </w:p>
        </w:tc>
        <w:tc>
          <w:tcPr>
            <w:tcW w:w="2153" w:type="dxa"/>
          </w:tcPr>
          <w:p w14:paraId="72754F15" w14:textId="77777777" w:rsidR="005B073B" w:rsidRPr="005B073B" w:rsidRDefault="005B073B" w:rsidP="005B073B">
            <w:pPr>
              <w:cnfStyle w:val="100000000000" w:firstRow="1" w:lastRow="0" w:firstColumn="0" w:lastColumn="0" w:oddVBand="0" w:evenVBand="0" w:oddHBand="0" w:evenHBand="0" w:firstRowFirstColumn="0" w:firstRowLastColumn="0" w:lastRowFirstColumn="0" w:lastRowLastColumn="0"/>
            </w:pPr>
            <w:bookmarkStart w:id="44" w:name="_Toc433981293"/>
            <w:r w:rsidRPr="005B073B">
              <w:t>Minimum match funding</w:t>
            </w:r>
            <w:bookmarkEnd w:id="44"/>
          </w:p>
          <w:p w14:paraId="1967D4CA" w14:textId="77777777" w:rsidR="005B073B" w:rsidRPr="005B073B" w:rsidRDefault="005B073B" w:rsidP="005B073B">
            <w:pPr>
              <w:cnfStyle w:val="100000000000" w:firstRow="1" w:lastRow="0" w:firstColumn="0" w:lastColumn="0" w:oddVBand="0" w:evenVBand="0" w:oddHBand="0" w:evenHBand="0" w:firstRowFirstColumn="0" w:firstRowLastColumn="0" w:lastRowFirstColumn="0" w:lastRowLastColumn="0"/>
            </w:pPr>
            <w:r w:rsidRPr="005B073B">
              <w:t>(% of EPIC Funds Requested)</w:t>
            </w:r>
          </w:p>
        </w:tc>
      </w:tr>
      <w:tr w:rsidR="0047600F" w:rsidRPr="005B073B" w14:paraId="28A4F830" w14:textId="77777777" w:rsidTr="004418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08696E4" w14:textId="1C81CB88" w:rsidR="0047600F" w:rsidRPr="00E4291E" w:rsidRDefault="0047600F" w:rsidP="0047600F">
            <w:r w:rsidRPr="00E4291E">
              <w:t xml:space="preserve">Group 1: Industrial Refrigerated Warehouses </w:t>
            </w:r>
          </w:p>
        </w:tc>
        <w:tc>
          <w:tcPr>
            <w:cnfStyle w:val="000010000000" w:firstRow="0" w:lastRow="0" w:firstColumn="0" w:lastColumn="0" w:oddVBand="1" w:evenVBand="0" w:oddHBand="0" w:evenHBand="0" w:firstRowFirstColumn="0" w:firstRowLastColumn="0" w:lastRowFirstColumn="0" w:lastRowLastColumn="0"/>
            <w:tcW w:w="1800" w:type="dxa"/>
            <w:vAlign w:val="center"/>
          </w:tcPr>
          <w:p w14:paraId="66575EB3" w14:textId="0CFA4859" w:rsidR="0047600F" w:rsidRPr="00E4291E" w:rsidRDefault="0047600F" w:rsidP="004418F5">
            <w:pPr>
              <w:keepNext/>
              <w:spacing w:before="120"/>
              <w:jc w:val="center"/>
              <w:outlineLvl w:val="1"/>
            </w:pPr>
            <w:r w:rsidRPr="00E4291E">
              <w:t>$7,000,000</w:t>
            </w:r>
          </w:p>
        </w:tc>
        <w:tc>
          <w:tcPr>
            <w:tcW w:w="1807" w:type="dxa"/>
            <w:vAlign w:val="center"/>
          </w:tcPr>
          <w:p w14:paraId="40D8E9DF" w14:textId="031167D0" w:rsidR="0047600F" w:rsidRPr="00E4291E" w:rsidRDefault="0047600F" w:rsidP="004418F5">
            <w:pPr>
              <w:keepNext/>
              <w:spacing w:before="120"/>
              <w:jc w:val="center"/>
              <w:outlineLvl w:val="1"/>
              <w:cnfStyle w:val="000000100000" w:firstRow="0" w:lastRow="0" w:firstColumn="0" w:lastColumn="0" w:oddVBand="0" w:evenVBand="0" w:oddHBand="1" w:evenHBand="0" w:firstRowFirstColumn="0" w:firstRowLastColumn="0" w:lastRowFirstColumn="0" w:lastRowLastColumn="0"/>
            </w:pPr>
            <w:r w:rsidRPr="00E4291E">
              <w:t>$1,000,000</w:t>
            </w:r>
          </w:p>
        </w:tc>
        <w:tc>
          <w:tcPr>
            <w:cnfStyle w:val="000010000000" w:firstRow="0" w:lastRow="0" w:firstColumn="0" w:lastColumn="0" w:oddVBand="1" w:evenVBand="0" w:oddHBand="0" w:evenHBand="0" w:firstRowFirstColumn="0" w:firstRowLastColumn="0" w:lastRowFirstColumn="0" w:lastRowLastColumn="0"/>
            <w:tcW w:w="2153" w:type="dxa"/>
            <w:vAlign w:val="center"/>
          </w:tcPr>
          <w:p w14:paraId="5C90D89E" w14:textId="15F5C885" w:rsidR="0047600F" w:rsidRPr="00E4291E" w:rsidRDefault="0047600F" w:rsidP="004418F5">
            <w:pPr>
              <w:keepNext/>
              <w:spacing w:before="120"/>
              <w:jc w:val="center"/>
              <w:outlineLvl w:val="1"/>
            </w:pPr>
            <w:r w:rsidRPr="00E4291E">
              <w:t>$3,500,000</w:t>
            </w:r>
          </w:p>
        </w:tc>
        <w:tc>
          <w:tcPr>
            <w:tcW w:w="2153" w:type="dxa"/>
            <w:vAlign w:val="center"/>
          </w:tcPr>
          <w:p w14:paraId="3BD2FF9D" w14:textId="0EB079FD" w:rsidR="0047600F" w:rsidRPr="00E4291E" w:rsidRDefault="0047600F" w:rsidP="004418F5">
            <w:pPr>
              <w:jc w:val="center"/>
              <w:cnfStyle w:val="000000100000" w:firstRow="0" w:lastRow="0" w:firstColumn="0" w:lastColumn="0" w:oddVBand="0" w:evenVBand="0" w:oddHBand="1" w:evenHBand="0" w:firstRowFirstColumn="0" w:firstRowLastColumn="0" w:lastRowFirstColumn="0" w:lastRowLastColumn="0"/>
            </w:pPr>
            <w:r w:rsidRPr="00E4291E">
              <w:t>20%</w:t>
            </w:r>
          </w:p>
        </w:tc>
      </w:tr>
      <w:tr w:rsidR="0047600F" w:rsidRPr="005B073B" w14:paraId="39D15107" w14:textId="77777777" w:rsidTr="004418F5">
        <w:trPr>
          <w:trHeight w:val="440"/>
        </w:trPr>
        <w:tc>
          <w:tcPr>
            <w:cnfStyle w:val="001000000000" w:firstRow="0" w:lastRow="0" w:firstColumn="1" w:lastColumn="0" w:oddVBand="0" w:evenVBand="0" w:oddHBand="0" w:evenHBand="0" w:firstRowFirstColumn="0" w:firstRowLastColumn="0" w:lastRowFirstColumn="0" w:lastRowLastColumn="0"/>
            <w:tcW w:w="1800" w:type="dxa"/>
          </w:tcPr>
          <w:p w14:paraId="5BD20E38" w14:textId="65F529DA" w:rsidR="0047600F" w:rsidRPr="00E4291E" w:rsidRDefault="0047600F" w:rsidP="0047600F">
            <w:r w:rsidRPr="00E4291E">
              <w:t xml:space="preserve">Group 2: Commercial Cold Storage Facilities  </w:t>
            </w:r>
          </w:p>
        </w:tc>
        <w:tc>
          <w:tcPr>
            <w:cnfStyle w:val="000010000000" w:firstRow="0" w:lastRow="0" w:firstColumn="0" w:lastColumn="0" w:oddVBand="1" w:evenVBand="0" w:oddHBand="0" w:evenHBand="0" w:firstRowFirstColumn="0" w:firstRowLastColumn="0" w:lastRowFirstColumn="0" w:lastRowLastColumn="0"/>
            <w:tcW w:w="1800" w:type="dxa"/>
            <w:vAlign w:val="center"/>
          </w:tcPr>
          <w:p w14:paraId="247870CF" w14:textId="65D1AAFC" w:rsidR="0047600F" w:rsidRPr="00E4291E" w:rsidRDefault="0047600F" w:rsidP="004418F5">
            <w:pPr>
              <w:keepNext/>
              <w:spacing w:before="120"/>
              <w:jc w:val="center"/>
              <w:outlineLvl w:val="1"/>
            </w:pPr>
            <w:bookmarkStart w:id="45" w:name="_Toc433981295"/>
            <w:r w:rsidRPr="00E4291E">
              <w:t>$</w:t>
            </w:r>
            <w:bookmarkEnd w:id="45"/>
            <w:r w:rsidRPr="00E4291E">
              <w:t>3,000,000</w:t>
            </w:r>
          </w:p>
        </w:tc>
        <w:tc>
          <w:tcPr>
            <w:tcW w:w="1807" w:type="dxa"/>
            <w:vAlign w:val="center"/>
          </w:tcPr>
          <w:p w14:paraId="3B8C6F58" w14:textId="088CABA9" w:rsidR="0047600F" w:rsidRPr="00E4291E" w:rsidRDefault="0047600F" w:rsidP="004418F5">
            <w:pPr>
              <w:jc w:val="center"/>
              <w:cnfStyle w:val="000000000000" w:firstRow="0" w:lastRow="0" w:firstColumn="0" w:lastColumn="0" w:oddVBand="0" w:evenVBand="0" w:oddHBand="0" w:evenHBand="0" w:firstRowFirstColumn="0" w:firstRowLastColumn="0" w:lastRowFirstColumn="0" w:lastRowLastColumn="0"/>
            </w:pPr>
            <w:r w:rsidRPr="00E4291E">
              <w:t>$500,000</w:t>
            </w:r>
          </w:p>
        </w:tc>
        <w:tc>
          <w:tcPr>
            <w:cnfStyle w:val="000010000000" w:firstRow="0" w:lastRow="0" w:firstColumn="0" w:lastColumn="0" w:oddVBand="1" w:evenVBand="0" w:oddHBand="0" w:evenHBand="0" w:firstRowFirstColumn="0" w:firstRowLastColumn="0" w:lastRowFirstColumn="0" w:lastRowLastColumn="0"/>
            <w:tcW w:w="2153" w:type="dxa"/>
            <w:vAlign w:val="center"/>
          </w:tcPr>
          <w:p w14:paraId="15985B03" w14:textId="584B059F" w:rsidR="0047600F" w:rsidRPr="00E4291E" w:rsidRDefault="0047600F" w:rsidP="004418F5">
            <w:pPr>
              <w:keepNext/>
              <w:spacing w:before="120"/>
              <w:jc w:val="center"/>
              <w:outlineLvl w:val="1"/>
            </w:pPr>
            <w:bookmarkStart w:id="46" w:name="_Toc433981296"/>
            <w:r w:rsidRPr="00E4291E">
              <w:t>$</w:t>
            </w:r>
            <w:bookmarkEnd w:id="46"/>
            <w:r w:rsidRPr="00E4291E">
              <w:t>3,000,000</w:t>
            </w:r>
          </w:p>
        </w:tc>
        <w:tc>
          <w:tcPr>
            <w:tcW w:w="2153" w:type="dxa"/>
            <w:vAlign w:val="center"/>
          </w:tcPr>
          <w:p w14:paraId="10E845FA" w14:textId="5A3B25ED" w:rsidR="0047600F" w:rsidRPr="00E4291E" w:rsidRDefault="0047600F" w:rsidP="004418F5">
            <w:pPr>
              <w:jc w:val="center"/>
              <w:cnfStyle w:val="000000000000" w:firstRow="0" w:lastRow="0" w:firstColumn="0" w:lastColumn="0" w:oddVBand="0" w:evenVBand="0" w:oddHBand="0" w:evenHBand="0" w:firstRowFirstColumn="0" w:firstRowLastColumn="0" w:lastRowFirstColumn="0" w:lastRowLastColumn="0"/>
              <w:rPr>
                <w:b/>
              </w:rPr>
            </w:pPr>
            <w:r w:rsidRPr="00E4291E">
              <w:t>20%</w:t>
            </w:r>
          </w:p>
        </w:tc>
      </w:tr>
      <w:bookmarkEnd w:id="31"/>
      <w:bookmarkEnd w:id="32"/>
      <w:bookmarkEnd w:id="33"/>
    </w:tbl>
    <w:p w14:paraId="79C2A816" w14:textId="77777777" w:rsidR="003F6147" w:rsidRPr="003F6147" w:rsidRDefault="003F6147" w:rsidP="003F6147">
      <w:pPr>
        <w:ind w:left="720"/>
        <w:jc w:val="both"/>
        <w:rPr>
          <w:szCs w:val="22"/>
        </w:rPr>
      </w:pPr>
    </w:p>
    <w:p w14:paraId="3BB75C23" w14:textId="77777777" w:rsidR="003F6147" w:rsidRPr="003F6147" w:rsidRDefault="003F6147" w:rsidP="002427DC">
      <w:pPr>
        <w:numPr>
          <w:ilvl w:val="0"/>
          <w:numId w:val="55"/>
        </w:numPr>
        <w:jc w:val="both"/>
        <w:rPr>
          <w:b/>
          <w:szCs w:val="22"/>
        </w:rPr>
      </w:pPr>
      <w:r w:rsidRPr="003F6147">
        <w:rPr>
          <w:b/>
        </w:rPr>
        <w:t>Match Funding Requirement</w:t>
      </w:r>
    </w:p>
    <w:p w14:paraId="06674A6B" w14:textId="5FEFF7DA" w:rsidR="003F6147" w:rsidRPr="003F6147" w:rsidRDefault="003F6147" w:rsidP="003F6147">
      <w:pPr>
        <w:tabs>
          <w:tab w:val="left" w:pos="1170"/>
        </w:tabs>
        <w:jc w:val="both"/>
        <w:rPr>
          <w:szCs w:val="22"/>
        </w:rPr>
      </w:pPr>
      <w:r w:rsidRPr="003F6147">
        <w:rPr>
          <w:szCs w:val="22"/>
        </w:rPr>
        <w:t>Match funding is required in the amount of at least</w:t>
      </w:r>
      <w:r w:rsidR="0047600F">
        <w:rPr>
          <w:b/>
          <w:color w:val="0070C0"/>
          <w:szCs w:val="22"/>
        </w:rPr>
        <w:t xml:space="preserve"> </w:t>
      </w:r>
      <w:r w:rsidRPr="00E4291E">
        <w:rPr>
          <w:b/>
          <w:szCs w:val="22"/>
        </w:rPr>
        <w:t xml:space="preserve">20% </w:t>
      </w:r>
      <w:r w:rsidR="005B073B">
        <w:rPr>
          <w:szCs w:val="22"/>
        </w:rPr>
        <w:t xml:space="preserve">of the requested </w:t>
      </w:r>
      <w:r w:rsidRPr="003F6147">
        <w:rPr>
          <w:szCs w:val="22"/>
        </w:rPr>
        <w:t>project funds.</w:t>
      </w:r>
    </w:p>
    <w:p w14:paraId="34DE2ABF" w14:textId="15DDA4D3" w:rsidR="003F6147" w:rsidRPr="003F6147" w:rsidRDefault="003F6147" w:rsidP="003F6147">
      <w:pPr>
        <w:tabs>
          <w:tab w:val="left" w:pos="1080"/>
        </w:tabs>
        <w:suppressAutoHyphens/>
        <w:jc w:val="both"/>
      </w:pPr>
      <w:r>
        <w:t>For the definition of match funding</w:t>
      </w:r>
      <w:r w:rsidR="5009FEDD">
        <w:t>,</w:t>
      </w:r>
      <w:r>
        <w:t xml:space="preserve"> see Section </w:t>
      </w:r>
      <w:r w:rsidR="00633997">
        <w:t>I K</w:t>
      </w:r>
      <w:r>
        <w:t>.</w:t>
      </w:r>
    </w:p>
    <w:p w14:paraId="4A1AB468" w14:textId="77777777" w:rsidR="003F6147" w:rsidRPr="003F6147" w:rsidRDefault="003F6147" w:rsidP="002427DC">
      <w:pPr>
        <w:numPr>
          <w:ilvl w:val="0"/>
          <w:numId w:val="55"/>
        </w:numPr>
        <w:tabs>
          <w:tab w:val="num" w:pos="360"/>
        </w:tabs>
        <w:jc w:val="both"/>
      </w:pPr>
      <w:r w:rsidRPr="003F6147">
        <w:rPr>
          <w:b/>
        </w:rPr>
        <w:t>Change in Funding Amount</w:t>
      </w:r>
    </w:p>
    <w:p w14:paraId="7D87DD82" w14:textId="77777777" w:rsidR="003F6147" w:rsidRPr="005B073B" w:rsidRDefault="003F6147" w:rsidP="005B073B">
      <w:pPr>
        <w:tabs>
          <w:tab w:val="left" w:pos="1170"/>
        </w:tabs>
        <w:jc w:val="both"/>
        <w:rPr>
          <w:szCs w:val="22"/>
        </w:rPr>
      </w:pPr>
      <w:r w:rsidRPr="005B073B">
        <w:rPr>
          <w:szCs w:val="22"/>
        </w:rPr>
        <w:t>Along with any other rights and remedies available to it, the California Energy Commission (CEC) reserves the right to:</w:t>
      </w:r>
    </w:p>
    <w:p w14:paraId="6049BB5C" w14:textId="77777777" w:rsidR="003F6147" w:rsidRPr="003F6147" w:rsidRDefault="003F6147" w:rsidP="002427DC">
      <w:pPr>
        <w:numPr>
          <w:ilvl w:val="0"/>
          <w:numId w:val="57"/>
        </w:numPr>
        <w:spacing w:after="0"/>
        <w:ind w:left="720"/>
        <w:jc w:val="both"/>
      </w:pPr>
      <w:r w:rsidRPr="003F6147">
        <w:t>Increase or decrease the available funding and the minimum/maximum award amounts described in this section.</w:t>
      </w:r>
    </w:p>
    <w:p w14:paraId="07A5B16F" w14:textId="77777777" w:rsidR="003F6147" w:rsidRPr="003F6147" w:rsidRDefault="003F6147" w:rsidP="002427DC">
      <w:pPr>
        <w:numPr>
          <w:ilvl w:val="0"/>
          <w:numId w:val="57"/>
        </w:numPr>
        <w:spacing w:after="0"/>
        <w:ind w:left="720"/>
        <w:jc w:val="both"/>
      </w:pPr>
      <w:r w:rsidRPr="003F6147">
        <w:t>Allocate any additional or unawarded funds to passing applications, in rank order.</w:t>
      </w:r>
    </w:p>
    <w:p w14:paraId="7A94B035" w14:textId="51F0915E" w:rsidR="005B073B" w:rsidRDefault="005B073B" w:rsidP="002427DC">
      <w:pPr>
        <w:numPr>
          <w:ilvl w:val="0"/>
          <w:numId w:val="57"/>
        </w:numPr>
        <w:spacing w:after="0"/>
        <w:ind w:left="720"/>
        <w:jc w:val="both"/>
      </w:pPr>
      <w:r w:rsidRPr="00224AFF">
        <w:t xml:space="preserve">Reallocate </w:t>
      </w:r>
      <w:r>
        <w:t xml:space="preserve">funding between any of the </w:t>
      </w:r>
      <w:r w:rsidR="00E4291E">
        <w:t>groups.</w:t>
      </w:r>
      <w:r>
        <w:t xml:space="preserve"> </w:t>
      </w:r>
    </w:p>
    <w:p w14:paraId="3538ECFF" w14:textId="77777777" w:rsidR="003F6147" w:rsidRPr="003F6147" w:rsidRDefault="003F6147" w:rsidP="002427DC">
      <w:pPr>
        <w:numPr>
          <w:ilvl w:val="0"/>
          <w:numId w:val="57"/>
        </w:numPr>
        <w:spacing w:after="0"/>
        <w:ind w:left="720"/>
        <w:jc w:val="both"/>
      </w:pPr>
      <w:r w:rsidRPr="003F6147">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63E8C355" w14:textId="77777777" w:rsidR="003F6147" w:rsidRPr="003F6147" w:rsidRDefault="003F6147" w:rsidP="003F6147">
      <w:pPr>
        <w:spacing w:after="0"/>
        <w:ind w:left="720"/>
        <w:jc w:val="both"/>
      </w:pPr>
    </w:p>
    <w:p w14:paraId="56E8D0E3" w14:textId="542CDAE2" w:rsidR="76E2900B" w:rsidRDefault="76E2900B" w:rsidP="76E2900B">
      <w:pPr>
        <w:spacing w:after="0"/>
        <w:ind w:left="720"/>
        <w:jc w:val="both"/>
      </w:pPr>
    </w:p>
    <w:p w14:paraId="01CD2C88" w14:textId="41B2E59A" w:rsidR="76E2900B" w:rsidRDefault="76E2900B" w:rsidP="76E2900B">
      <w:pPr>
        <w:spacing w:after="0"/>
        <w:jc w:val="both"/>
      </w:pPr>
    </w:p>
    <w:p w14:paraId="739A85C4" w14:textId="77777777" w:rsidR="003F6147" w:rsidRPr="00756BAC" w:rsidRDefault="003F6147" w:rsidP="002427DC">
      <w:pPr>
        <w:pStyle w:val="Heading2"/>
        <w:numPr>
          <w:ilvl w:val="0"/>
          <w:numId w:val="58"/>
        </w:numPr>
      </w:pPr>
      <w:bookmarkStart w:id="47" w:name="_Toc458602325"/>
      <w:bookmarkStart w:id="48" w:name="_Toc143001044"/>
      <w:r w:rsidRPr="00756BAC">
        <w:lastRenderedPageBreak/>
        <w:t>Key Activities Schedule</w:t>
      </w:r>
      <w:bookmarkEnd w:id="47"/>
      <w:bookmarkEnd w:id="48"/>
    </w:p>
    <w:p w14:paraId="0A0AB401" w14:textId="77777777" w:rsidR="003F6147" w:rsidRPr="003F6147" w:rsidRDefault="003F6147" w:rsidP="003F6147">
      <w:pPr>
        <w:spacing w:after="0"/>
        <w:jc w:val="both"/>
        <w:rPr>
          <w:color w:val="00B0F0"/>
        </w:rPr>
      </w:pPr>
      <w:r w:rsidRPr="003F6147">
        <w:t xml:space="preserve">Key activities, dates, and times for this solicitation and for agreements resulting from this solicitation are presented below.  An addendum will be released if the dates change for activities that appear in </w:t>
      </w:r>
      <w:r w:rsidRPr="003F6147">
        <w:rPr>
          <w:b/>
        </w:rPr>
        <w:t>bold.</w:t>
      </w:r>
    </w:p>
    <w:p w14:paraId="57A85152" w14:textId="77777777" w:rsidR="003F6147" w:rsidRPr="003F6147" w:rsidRDefault="003F6147" w:rsidP="003F614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665"/>
        <w:gridCol w:w="2345"/>
        <w:gridCol w:w="1800"/>
      </w:tblGrid>
      <w:tr w:rsidR="00A511B4" w:rsidRPr="00A511B4" w14:paraId="6B4DE808" w14:textId="77777777" w:rsidTr="00DF4CD0">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665" w:type="dxa"/>
            <w:shd w:val="clear" w:color="auto" w:fill="BFBFBF" w:themeFill="background1" w:themeFillShade="BF"/>
          </w:tcPr>
          <w:p w14:paraId="6F449126" w14:textId="77777777" w:rsidR="00A511B4" w:rsidRPr="00A511B4" w:rsidRDefault="00A511B4" w:rsidP="00A511B4">
            <w:pPr>
              <w:keepNext/>
              <w:keepLines/>
              <w:widowControl w:val="0"/>
              <w:jc w:val="both"/>
              <w:rPr>
                <w:b w:val="0"/>
                <w:szCs w:val="22"/>
              </w:rPr>
            </w:pPr>
            <w:r w:rsidRPr="00A511B4">
              <w:rPr>
                <w:szCs w:val="22"/>
              </w:rPr>
              <w:t>ACTIVITY</w:t>
            </w:r>
          </w:p>
        </w:tc>
        <w:tc>
          <w:tcPr>
            <w:tcW w:w="2345" w:type="dxa"/>
            <w:shd w:val="clear" w:color="auto" w:fill="BFBFBF" w:themeFill="background1" w:themeFillShade="BF"/>
          </w:tcPr>
          <w:p w14:paraId="34816142" w14:textId="77777777" w:rsidR="00A511B4" w:rsidRPr="00A511B4"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szCs w:val="22"/>
              </w:rPr>
              <w:t>DATE</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BFBFBF" w:themeFill="background1" w:themeFillShade="BF"/>
          </w:tcPr>
          <w:p w14:paraId="627CDD97" w14:textId="77777777" w:rsidR="00A511B4" w:rsidRPr="00A511B4" w:rsidDel="00D53B51" w:rsidRDefault="1964215F" w:rsidP="00A511B4">
            <w:pPr>
              <w:keepNext/>
              <w:keepLines/>
              <w:widowControl w:val="0"/>
              <w:spacing w:after="0"/>
              <w:jc w:val="both"/>
              <w:rPr>
                <w:b w:val="0"/>
                <w:szCs w:val="22"/>
              </w:rPr>
            </w:pPr>
            <w:r w:rsidRPr="1AD07D6F">
              <w:t>TIME</w:t>
            </w:r>
            <w:r w:rsidR="00A511B4" w:rsidRPr="1AD07D6F">
              <w:rPr>
                <w:rFonts w:cs="Times New Roman"/>
                <w:vertAlign w:val="superscript"/>
              </w:rPr>
              <w:footnoteReference w:id="12"/>
            </w:r>
            <w:r w:rsidRPr="1AD07D6F">
              <w:t xml:space="preserve"> </w:t>
            </w:r>
          </w:p>
        </w:tc>
      </w:tr>
      <w:tr w:rsidR="0047600F" w:rsidRPr="00A511B4" w14:paraId="00CC20E0" w14:textId="77777777" w:rsidTr="00DF4CD0">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665" w:type="dxa"/>
          </w:tcPr>
          <w:p w14:paraId="26CB769D" w14:textId="2254015C" w:rsidR="0047600F" w:rsidRPr="00E4291E" w:rsidRDefault="0047600F" w:rsidP="0047600F">
            <w:pPr>
              <w:keepNext/>
              <w:keepLines/>
              <w:widowControl w:val="0"/>
              <w:jc w:val="both"/>
              <w:rPr>
                <w:szCs w:val="22"/>
              </w:rPr>
            </w:pPr>
            <w:r w:rsidRPr="00E4291E">
              <w:rPr>
                <w:szCs w:val="22"/>
              </w:rPr>
              <w:t>Solicitation Release</w:t>
            </w:r>
          </w:p>
        </w:tc>
        <w:tc>
          <w:tcPr>
            <w:tcW w:w="2345" w:type="dxa"/>
          </w:tcPr>
          <w:p w14:paraId="66923AAD" w14:textId="09EE2125" w:rsidR="0047600F" w:rsidRPr="00E4291E" w:rsidRDefault="005043DA" w:rsidP="0047600F">
            <w:pPr>
              <w:keepNext/>
              <w:keepLines/>
              <w:widowControl w:val="0"/>
              <w:jc w:val="both"/>
              <w:cnfStyle w:val="000000100000" w:firstRow="0" w:lastRow="0" w:firstColumn="0" w:lastColumn="0" w:oddVBand="0" w:evenVBand="0" w:oddHBand="1" w:evenHBand="0" w:firstRowFirstColumn="0" w:firstRowLastColumn="0" w:lastRowFirstColumn="0" w:lastRowLastColumn="0"/>
            </w:pPr>
            <w:r>
              <w:t>August 1</w:t>
            </w:r>
            <w:r w:rsidR="00D6252B">
              <w:t>8</w:t>
            </w:r>
            <w:r>
              <w:t>t</w:t>
            </w:r>
            <w:r w:rsidR="00DF640D" w:rsidRPr="00E4291E">
              <w:t xml:space="preserve">h </w:t>
            </w:r>
            <w:r w:rsidR="0047600F" w:rsidRPr="00E4291E">
              <w:t>2023</w:t>
            </w:r>
          </w:p>
        </w:tc>
        <w:tc>
          <w:tcPr>
            <w:cnfStyle w:val="000010000000" w:firstRow="0" w:lastRow="0" w:firstColumn="0" w:lastColumn="0" w:oddVBand="1" w:evenVBand="0" w:oddHBand="0" w:evenHBand="0" w:firstRowFirstColumn="0" w:firstRowLastColumn="0" w:lastRowFirstColumn="0" w:lastRowLastColumn="0"/>
            <w:tcW w:w="1800" w:type="dxa"/>
          </w:tcPr>
          <w:p w14:paraId="12E1F04B" w14:textId="77777777" w:rsidR="0047600F" w:rsidRPr="00E4291E" w:rsidRDefault="0047600F" w:rsidP="0047600F">
            <w:pPr>
              <w:keepNext/>
              <w:keepLines/>
              <w:widowControl w:val="0"/>
              <w:jc w:val="both"/>
              <w:rPr>
                <w:szCs w:val="22"/>
              </w:rPr>
            </w:pPr>
          </w:p>
        </w:tc>
      </w:tr>
      <w:tr w:rsidR="0047600F" w:rsidRPr="00A511B4" w14:paraId="42C05F9F" w14:textId="77777777" w:rsidTr="00DF4CD0">
        <w:trPr>
          <w:trHeight w:hRule="exact" w:val="288"/>
        </w:trPr>
        <w:tc>
          <w:tcPr>
            <w:cnfStyle w:val="000010000000" w:firstRow="0" w:lastRow="0" w:firstColumn="0" w:lastColumn="0" w:oddVBand="1" w:evenVBand="0" w:oddHBand="0" w:evenHBand="0" w:firstRowFirstColumn="0" w:firstRowLastColumn="0" w:lastRowFirstColumn="0" w:lastRowLastColumn="0"/>
            <w:tcW w:w="5665" w:type="dxa"/>
          </w:tcPr>
          <w:p w14:paraId="3215EA9F" w14:textId="110D9680" w:rsidR="0047600F" w:rsidRPr="00E4291E" w:rsidRDefault="0047600F" w:rsidP="0047600F">
            <w:pPr>
              <w:keepNext/>
              <w:keepLines/>
              <w:widowControl w:val="0"/>
              <w:jc w:val="both"/>
              <w:rPr>
                <w:b/>
                <w:szCs w:val="22"/>
              </w:rPr>
            </w:pPr>
            <w:r w:rsidRPr="00E4291E">
              <w:rPr>
                <w:b/>
                <w:szCs w:val="22"/>
              </w:rPr>
              <w:t>Pre-Application Workshop</w:t>
            </w:r>
          </w:p>
        </w:tc>
        <w:tc>
          <w:tcPr>
            <w:tcW w:w="2345" w:type="dxa"/>
          </w:tcPr>
          <w:p w14:paraId="0DD6A6EA" w14:textId="18F74984" w:rsidR="0047600F" w:rsidRPr="00E4291E" w:rsidRDefault="3C824412" w:rsidP="7196A543">
            <w:pPr>
              <w:keepNext/>
              <w:keepLines/>
              <w:widowControl w:val="0"/>
              <w:jc w:val="both"/>
              <w:cnfStyle w:val="000000000000" w:firstRow="0" w:lastRow="0" w:firstColumn="0" w:lastColumn="0" w:oddVBand="0" w:evenVBand="0" w:oddHBand="0" w:evenHBand="0" w:firstRowFirstColumn="0" w:firstRowLastColumn="0" w:lastRowFirstColumn="0" w:lastRowLastColumn="0"/>
              <w:rPr>
                <w:b/>
                <w:bCs/>
              </w:rPr>
            </w:pPr>
            <w:r w:rsidRPr="00E4291E">
              <w:rPr>
                <w:b/>
                <w:bCs/>
              </w:rPr>
              <w:t>September</w:t>
            </w:r>
            <w:r w:rsidR="0047600F" w:rsidRPr="00E4291E">
              <w:rPr>
                <w:b/>
                <w:bCs/>
              </w:rPr>
              <w:t xml:space="preserve"> </w:t>
            </w:r>
            <w:r w:rsidR="00DF640D" w:rsidRPr="00E4291E">
              <w:rPr>
                <w:b/>
                <w:bCs/>
              </w:rPr>
              <w:t>14</w:t>
            </w:r>
            <w:r w:rsidR="00DF640D" w:rsidRPr="00E4291E">
              <w:rPr>
                <w:b/>
                <w:bCs/>
                <w:vertAlign w:val="superscript"/>
              </w:rPr>
              <w:t>th</w:t>
            </w:r>
            <w:r w:rsidR="00DF640D" w:rsidRPr="00E4291E">
              <w:rPr>
                <w:b/>
                <w:bCs/>
              </w:rPr>
              <w:t xml:space="preserve"> </w:t>
            </w:r>
            <w:r w:rsidR="0047600F" w:rsidRPr="00E4291E">
              <w:rPr>
                <w:b/>
                <w:bCs/>
              </w:rPr>
              <w:t>2023</w:t>
            </w:r>
          </w:p>
        </w:tc>
        <w:tc>
          <w:tcPr>
            <w:cnfStyle w:val="000010000000" w:firstRow="0" w:lastRow="0" w:firstColumn="0" w:lastColumn="0" w:oddVBand="1" w:evenVBand="0" w:oddHBand="0" w:evenHBand="0" w:firstRowFirstColumn="0" w:firstRowLastColumn="0" w:lastRowFirstColumn="0" w:lastRowLastColumn="0"/>
            <w:tcW w:w="1800" w:type="dxa"/>
          </w:tcPr>
          <w:p w14:paraId="7ECE131E" w14:textId="53062F93" w:rsidR="0047600F" w:rsidRPr="00E4291E" w:rsidRDefault="00D61DC5" w:rsidP="0047600F">
            <w:pPr>
              <w:keepNext/>
              <w:keepLines/>
              <w:widowControl w:val="0"/>
              <w:jc w:val="both"/>
              <w:rPr>
                <w:b/>
                <w:szCs w:val="22"/>
              </w:rPr>
            </w:pPr>
            <w:r w:rsidRPr="00E4291E">
              <w:rPr>
                <w:b/>
                <w:szCs w:val="22"/>
              </w:rPr>
              <w:t>10:00 a.m.</w:t>
            </w:r>
          </w:p>
        </w:tc>
      </w:tr>
      <w:tr w:rsidR="0047600F" w:rsidRPr="00A511B4" w14:paraId="5055D2CF" w14:textId="77777777" w:rsidTr="00DF4CD0">
        <w:trPr>
          <w:cnfStyle w:val="000000100000" w:firstRow="0" w:lastRow="0" w:firstColumn="0" w:lastColumn="0" w:oddVBand="0" w:evenVBand="0" w:oddHBand="1" w:evenHBand="0" w:firstRowFirstColumn="0" w:firstRowLastColumn="0" w:lastRowFirstColumn="0" w:lastRowLastColumn="0"/>
          <w:trHeight w:hRule="exact" w:val="892"/>
        </w:trPr>
        <w:tc>
          <w:tcPr>
            <w:cnfStyle w:val="000010000000" w:firstRow="0" w:lastRow="0" w:firstColumn="0" w:lastColumn="0" w:oddVBand="1" w:evenVBand="0" w:oddHBand="0" w:evenHBand="0" w:firstRowFirstColumn="0" w:firstRowLastColumn="0" w:lastRowFirstColumn="0" w:lastRowLastColumn="0"/>
            <w:tcW w:w="5665" w:type="dxa"/>
          </w:tcPr>
          <w:p w14:paraId="6921206A" w14:textId="3705CF42" w:rsidR="0047600F" w:rsidRPr="00E4291E" w:rsidRDefault="0047600F" w:rsidP="0047600F">
            <w:pPr>
              <w:keepNext/>
              <w:keepLines/>
              <w:widowControl w:val="0"/>
              <w:jc w:val="both"/>
              <w:rPr>
                <w:b/>
                <w:szCs w:val="22"/>
              </w:rPr>
            </w:pPr>
            <w:r w:rsidRPr="00E4291E">
              <w:rPr>
                <w:b/>
                <w:bCs/>
              </w:rPr>
              <w:t>Deadline for Written Questions</w:t>
            </w:r>
            <w:r w:rsidRPr="00E4291E">
              <w:rPr>
                <w:rFonts w:cs="Times New Roman"/>
                <w:b/>
                <w:bCs/>
                <w:u w:val="single"/>
                <w:vertAlign w:val="superscript"/>
              </w:rPr>
              <w:footnoteReference w:id="13"/>
            </w:r>
          </w:p>
        </w:tc>
        <w:tc>
          <w:tcPr>
            <w:tcW w:w="2345" w:type="dxa"/>
          </w:tcPr>
          <w:p w14:paraId="36E5718D" w14:textId="79C96D75" w:rsidR="0047600F" w:rsidRPr="00E4291E" w:rsidRDefault="00D67F71" w:rsidP="0046249D">
            <w:pPr>
              <w:keepNext/>
              <w:keepLines/>
              <w:widowControl w:val="0"/>
              <w:cnfStyle w:val="000000100000" w:firstRow="0" w:lastRow="0" w:firstColumn="0" w:lastColumn="0" w:oddVBand="0" w:evenVBand="0" w:oddHBand="1" w:evenHBand="0" w:firstRowFirstColumn="0" w:firstRowLastColumn="0" w:lastRowFirstColumn="0" w:lastRowLastColumn="0"/>
              <w:rPr>
                <w:b/>
                <w:bCs/>
              </w:rPr>
            </w:pPr>
            <w:r w:rsidRPr="00D67F71">
              <w:rPr>
                <w:b/>
                <w:bCs/>
                <w:color w:val="FF0000"/>
                <w:u w:val="single"/>
              </w:rPr>
              <w:t>November 17</w:t>
            </w:r>
            <w:r w:rsidRPr="00D67F71">
              <w:rPr>
                <w:b/>
                <w:bCs/>
                <w:color w:val="FF0000"/>
                <w:u w:val="single"/>
                <w:vertAlign w:val="superscript"/>
              </w:rPr>
              <w:t>th</w:t>
            </w:r>
            <w:r w:rsidRPr="00D67F71">
              <w:rPr>
                <w:color w:val="FF0000"/>
                <w:u w:val="single"/>
              </w:rPr>
              <w:t xml:space="preserve"> </w:t>
            </w:r>
            <w:r w:rsidR="00992FB7" w:rsidRPr="00992FB7">
              <w:rPr>
                <w:u w:val="single"/>
              </w:rPr>
              <w:t>[</w:t>
            </w:r>
            <w:r w:rsidR="000E4DE9" w:rsidRPr="00992FB7">
              <w:rPr>
                <w:b/>
                <w:bCs/>
                <w:strike/>
                <w:u w:val="single"/>
              </w:rPr>
              <w:t>November</w:t>
            </w:r>
            <w:r w:rsidR="0046249D" w:rsidRPr="00992FB7">
              <w:rPr>
                <w:b/>
                <w:bCs/>
                <w:strike/>
                <w:u w:val="single"/>
              </w:rPr>
              <w:t xml:space="preserve"> 3</w:t>
            </w:r>
            <w:r w:rsidR="0046249D" w:rsidRPr="00992FB7">
              <w:rPr>
                <w:b/>
                <w:bCs/>
                <w:strike/>
                <w:u w:val="single"/>
                <w:vertAlign w:val="superscript"/>
              </w:rPr>
              <w:t>rd</w:t>
            </w:r>
            <w:r w:rsidR="00992FB7" w:rsidRPr="00992FB7">
              <w:t>]</w:t>
            </w:r>
            <w:r w:rsidR="008E76D1">
              <w:rPr>
                <w:b/>
                <w:bCs/>
              </w:rPr>
              <w:t xml:space="preserve"> </w:t>
            </w:r>
            <w:r w:rsidR="00C5034B">
              <w:t>[</w:t>
            </w:r>
            <w:r w:rsidR="000E4DE9" w:rsidRPr="000E4DE9">
              <w:rPr>
                <w:b/>
                <w:bCs/>
                <w:strike/>
              </w:rPr>
              <w:t xml:space="preserve">October </w:t>
            </w:r>
            <w:r w:rsidR="00DF640D" w:rsidRPr="008E76D1">
              <w:rPr>
                <w:b/>
                <w:bCs/>
                <w:strike/>
              </w:rPr>
              <w:t>6</w:t>
            </w:r>
            <w:r w:rsidR="00DF640D" w:rsidRPr="008E76D1">
              <w:rPr>
                <w:b/>
                <w:bCs/>
                <w:strike/>
                <w:vertAlign w:val="superscript"/>
              </w:rPr>
              <w:t>th</w:t>
            </w:r>
            <w:r w:rsidR="00C5034B" w:rsidRPr="00C5034B">
              <w:t>]</w:t>
            </w:r>
            <w:r w:rsidR="00C5034B">
              <w:rPr>
                <w:b/>
                <w:bCs/>
              </w:rPr>
              <w:t xml:space="preserve"> </w:t>
            </w:r>
            <w:r w:rsidR="0047600F" w:rsidRPr="00E4291E">
              <w:rPr>
                <w:b/>
                <w:bCs/>
              </w:rPr>
              <w:t>2023</w:t>
            </w:r>
          </w:p>
        </w:tc>
        <w:tc>
          <w:tcPr>
            <w:cnfStyle w:val="000010000000" w:firstRow="0" w:lastRow="0" w:firstColumn="0" w:lastColumn="0" w:oddVBand="1" w:evenVBand="0" w:oddHBand="0" w:evenHBand="0" w:firstRowFirstColumn="0" w:firstRowLastColumn="0" w:lastRowFirstColumn="0" w:lastRowLastColumn="0"/>
            <w:tcW w:w="1800" w:type="dxa"/>
          </w:tcPr>
          <w:p w14:paraId="1B420F68" w14:textId="59E756D2" w:rsidR="0047600F" w:rsidRPr="00E4291E" w:rsidRDefault="00D61DC5" w:rsidP="0047600F">
            <w:pPr>
              <w:keepNext/>
              <w:keepLines/>
              <w:widowControl w:val="0"/>
              <w:jc w:val="both"/>
              <w:rPr>
                <w:b/>
                <w:szCs w:val="22"/>
              </w:rPr>
            </w:pPr>
            <w:r w:rsidRPr="00E4291E">
              <w:rPr>
                <w:b/>
                <w:szCs w:val="22"/>
              </w:rPr>
              <w:t>5</w:t>
            </w:r>
            <w:r w:rsidR="0047600F" w:rsidRPr="00E4291E">
              <w:rPr>
                <w:b/>
                <w:szCs w:val="22"/>
              </w:rPr>
              <w:t xml:space="preserve">:00 </w:t>
            </w:r>
            <w:r w:rsidRPr="00E4291E">
              <w:rPr>
                <w:b/>
                <w:szCs w:val="22"/>
              </w:rPr>
              <w:t>p</w:t>
            </w:r>
            <w:r w:rsidR="0047600F" w:rsidRPr="00E4291E">
              <w:rPr>
                <w:b/>
                <w:szCs w:val="22"/>
              </w:rPr>
              <w:t>.m.</w:t>
            </w:r>
          </w:p>
        </w:tc>
      </w:tr>
      <w:tr w:rsidR="0047600F" w:rsidRPr="00A511B4" w14:paraId="596EC8A6" w14:textId="77777777" w:rsidTr="00DF4CD0">
        <w:trPr>
          <w:trHeight w:hRule="exact" w:val="1072"/>
        </w:trPr>
        <w:tc>
          <w:tcPr>
            <w:cnfStyle w:val="000010000000" w:firstRow="0" w:lastRow="0" w:firstColumn="0" w:lastColumn="0" w:oddVBand="1" w:evenVBand="0" w:oddHBand="0" w:evenHBand="0" w:firstRowFirstColumn="0" w:firstRowLastColumn="0" w:lastRowFirstColumn="0" w:lastRowLastColumn="0"/>
            <w:tcW w:w="5665" w:type="dxa"/>
          </w:tcPr>
          <w:p w14:paraId="07853ABA" w14:textId="7F685E3E" w:rsidR="0047600F" w:rsidRPr="00E4291E" w:rsidRDefault="0047600F" w:rsidP="0047600F">
            <w:pPr>
              <w:widowControl w:val="0"/>
              <w:spacing w:after="0"/>
              <w:jc w:val="both"/>
              <w:rPr>
                <w:szCs w:val="22"/>
              </w:rPr>
            </w:pPr>
            <w:r w:rsidRPr="00E4291E">
              <w:rPr>
                <w:szCs w:val="22"/>
              </w:rPr>
              <w:t>Anticipated Distribution of Questions and Answers (</w:t>
            </w:r>
            <w:r w:rsidRPr="00E4291E">
              <w:rPr>
                <w:i/>
                <w:szCs w:val="22"/>
              </w:rPr>
              <w:t>date should be at least two weeks after the Deadline for Written Questions)</w:t>
            </w:r>
          </w:p>
        </w:tc>
        <w:tc>
          <w:tcPr>
            <w:tcW w:w="2345" w:type="dxa"/>
          </w:tcPr>
          <w:p w14:paraId="611A671B" w14:textId="02CDD9B2" w:rsidR="006E1C95" w:rsidRPr="00083337" w:rsidRDefault="00083337" w:rsidP="0047600F">
            <w:pPr>
              <w:keepNext/>
              <w:keepLines/>
              <w:widowControl w:val="0"/>
              <w:cnfStyle w:val="000000000000" w:firstRow="0" w:lastRow="0" w:firstColumn="0" w:lastColumn="0" w:oddVBand="0" w:evenVBand="0" w:oddHBand="0" w:evenHBand="0" w:firstRowFirstColumn="0" w:firstRowLastColumn="0" w:lastRowFirstColumn="0" w:lastRowLastColumn="0"/>
              <w:rPr>
                <w:b/>
                <w:bCs/>
                <w:color w:val="FF0000"/>
                <w:u w:val="single"/>
              </w:rPr>
            </w:pPr>
            <w:r w:rsidRPr="00083337">
              <w:rPr>
                <w:b/>
                <w:bCs/>
                <w:color w:val="FF0000"/>
                <w:u w:val="single"/>
              </w:rPr>
              <w:t>December 1</w:t>
            </w:r>
            <w:r w:rsidRPr="00083337">
              <w:rPr>
                <w:b/>
                <w:bCs/>
                <w:color w:val="FF0000"/>
                <w:u w:val="single"/>
                <w:vertAlign w:val="superscript"/>
              </w:rPr>
              <w:t>st</w:t>
            </w:r>
            <w:r w:rsidRPr="00083337">
              <w:rPr>
                <w:b/>
                <w:bCs/>
                <w:color w:val="FF0000"/>
                <w:u w:val="single"/>
              </w:rPr>
              <w:t xml:space="preserve"> </w:t>
            </w:r>
            <w:r w:rsidR="006E1C95" w:rsidRPr="00083337">
              <w:rPr>
                <w:b/>
                <w:bCs/>
                <w:color w:val="FF0000"/>
                <w:u w:val="single"/>
              </w:rPr>
              <w:t xml:space="preserve"> </w:t>
            </w:r>
          </w:p>
          <w:p w14:paraId="15FC1446" w14:textId="30B31431" w:rsidR="006E1C95" w:rsidRDefault="00D67F71" w:rsidP="0047600F">
            <w:pPr>
              <w:keepNext/>
              <w:keepLines/>
              <w:widowControl w:val="0"/>
              <w:cnfStyle w:val="000000000000" w:firstRow="0" w:lastRow="0" w:firstColumn="0" w:lastColumn="0" w:oddVBand="0" w:evenVBand="0" w:oddHBand="0" w:evenHBand="0" w:firstRowFirstColumn="0" w:firstRowLastColumn="0" w:lastRowFirstColumn="0" w:lastRowLastColumn="0"/>
            </w:pPr>
            <w:r w:rsidRPr="006E1C95">
              <w:rPr>
                <w:u w:val="single"/>
              </w:rPr>
              <w:t>[</w:t>
            </w:r>
            <w:r w:rsidR="00502E44" w:rsidRPr="006E1C95">
              <w:rPr>
                <w:b/>
                <w:bCs/>
                <w:strike/>
                <w:u w:val="single"/>
              </w:rPr>
              <w:t>November 15</w:t>
            </w:r>
            <w:r w:rsidR="00502E44" w:rsidRPr="006E1C95">
              <w:rPr>
                <w:b/>
                <w:bCs/>
                <w:strike/>
                <w:u w:val="single"/>
                <w:vertAlign w:val="superscript"/>
              </w:rPr>
              <w:t>t</w:t>
            </w:r>
            <w:r w:rsidR="006F30F3" w:rsidRPr="006E1C95">
              <w:rPr>
                <w:b/>
                <w:bCs/>
                <w:strike/>
                <w:u w:val="single"/>
                <w:vertAlign w:val="superscript"/>
              </w:rPr>
              <w:t>h</w:t>
            </w:r>
            <w:r>
              <w:t>]</w:t>
            </w:r>
          </w:p>
          <w:p w14:paraId="1D2A97C9" w14:textId="45C4479C" w:rsidR="0047600F" w:rsidRPr="00E4291E" w:rsidRDefault="00C5034B" w:rsidP="0047600F">
            <w:pPr>
              <w:keepNext/>
              <w:keepLines/>
              <w:widowControl w:val="0"/>
              <w:cnfStyle w:val="000000000000" w:firstRow="0" w:lastRow="0" w:firstColumn="0" w:lastColumn="0" w:oddVBand="0" w:evenVBand="0" w:oddHBand="0" w:evenHBand="0" w:firstRowFirstColumn="0" w:firstRowLastColumn="0" w:lastRowFirstColumn="0" w:lastRowLastColumn="0"/>
            </w:pPr>
            <w:r>
              <w:t>[</w:t>
            </w:r>
            <w:r w:rsidR="00B20339" w:rsidRPr="00B20339">
              <w:rPr>
                <w:strike/>
              </w:rPr>
              <w:t xml:space="preserve">October </w:t>
            </w:r>
            <w:r w:rsidR="00DF640D" w:rsidRPr="00B20339">
              <w:rPr>
                <w:strike/>
              </w:rPr>
              <w:t>2</w:t>
            </w:r>
            <w:r w:rsidR="00DF640D" w:rsidRPr="008E76D1">
              <w:rPr>
                <w:strike/>
              </w:rPr>
              <w:t>0th</w:t>
            </w:r>
            <w:r>
              <w:t xml:space="preserve">] </w:t>
            </w:r>
            <w:r w:rsidR="0047600F" w:rsidRPr="00E4291E">
              <w:t>2023</w:t>
            </w:r>
          </w:p>
        </w:tc>
        <w:tc>
          <w:tcPr>
            <w:cnfStyle w:val="000010000000" w:firstRow="0" w:lastRow="0" w:firstColumn="0" w:lastColumn="0" w:oddVBand="1" w:evenVBand="0" w:oddHBand="0" w:evenHBand="0" w:firstRowFirstColumn="0" w:firstRowLastColumn="0" w:lastRowFirstColumn="0" w:lastRowLastColumn="0"/>
            <w:tcW w:w="1800" w:type="dxa"/>
          </w:tcPr>
          <w:p w14:paraId="060DC5ED" w14:textId="77777777" w:rsidR="0047600F" w:rsidRPr="00E4291E" w:rsidRDefault="0047600F" w:rsidP="0047600F">
            <w:pPr>
              <w:keepNext/>
              <w:keepLines/>
              <w:widowControl w:val="0"/>
              <w:jc w:val="both"/>
              <w:rPr>
                <w:szCs w:val="22"/>
              </w:rPr>
            </w:pPr>
          </w:p>
        </w:tc>
      </w:tr>
      <w:tr w:rsidR="0047600F" w:rsidRPr="00A511B4" w14:paraId="60FA0B14" w14:textId="77777777" w:rsidTr="00DF4CD0">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665" w:type="dxa"/>
          </w:tcPr>
          <w:p w14:paraId="0A1460F3" w14:textId="10280D96" w:rsidR="0047600F" w:rsidRPr="00E4291E" w:rsidRDefault="0047600F" w:rsidP="0047600F">
            <w:pPr>
              <w:keepNext/>
              <w:keepLines/>
              <w:widowControl w:val="0"/>
              <w:jc w:val="both"/>
              <w:rPr>
                <w:b/>
                <w:szCs w:val="22"/>
              </w:rPr>
            </w:pPr>
            <w:r w:rsidRPr="00E4291E">
              <w:rPr>
                <w:b/>
                <w:szCs w:val="22"/>
              </w:rPr>
              <w:t>Deadline to Submit Applications</w:t>
            </w:r>
          </w:p>
        </w:tc>
        <w:tc>
          <w:tcPr>
            <w:tcW w:w="2345" w:type="dxa"/>
          </w:tcPr>
          <w:p w14:paraId="4AD7F92F" w14:textId="03EDE9BE" w:rsidR="0047600F" w:rsidRPr="00E4291E" w:rsidRDefault="5CB3BE74" w:rsidP="7196A543">
            <w:pPr>
              <w:keepNext/>
              <w:keepLines/>
              <w:widowControl w:val="0"/>
              <w:jc w:val="both"/>
              <w:cnfStyle w:val="000000100000" w:firstRow="0" w:lastRow="0" w:firstColumn="0" w:lastColumn="0" w:oddVBand="0" w:evenVBand="0" w:oddHBand="1" w:evenHBand="0" w:firstRowFirstColumn="0" w:firstRowLastColumn="0" w:lastRowFirstColumn="0" w:lastRowLastColumn="0"/>
              <w:rPr>
                <w:b/>
                <w:bCs/>
              </w:rPr>
            </w:pPr>
            <w:r w:rsidRPr="00E4291E">
              <w:rPr>
                <w:b/>
                <w:bCs/>
              </w:rPr>
              <w:t xml:space="preserve">February </w:t>
            </w:r>
            <w:r w:rsidR="00DF640D" w:rsidRPr="00E4291E">
              <w:rPr>
                <w:b/>
                <w:bCs/>
              </w:rPr>
              <w:t>2</w:t>
            </w:r>
            <w:r w:rsidR="00DF640D" w:rsidRPr="00E4291E">
              <w:rPr>
                <w:b/>
                <w:bCs/>
                <w:vertAlign w:val="superscript"/>
              </w:rPr>
              <w:t>nd</w:t>
            </w:r>
            <w:r w:rsidR="00DF640D" w:rsidRPr="00E4291E">
              <w:rPr>
                <w:b/>
                <w:bCs/>
              </w:rPr>
              <w:t xml:space="preserve"> </w:t>
            </w:r>
            <w:r w:rsidRPr="00E4291E">
              <w:rPr>
                <w:b/>
                <w:bCs/>
              </w:rPr>
              <w:t>2024</w:t>
            </w:r>
            <w:r w:rsidR="0047600F" w:rsidRPr="00E4291E">
              <w:rPr>
                <w:b/>
                <w:bCs/>
              </w:rPr>
              <w:t xml:space="preserve"> </w:t>
            </w:r>
          </w:p>
        </w:tc>
        <w:tc>
          <w:tcPr>
            <w:cnfStyle w:val="000010000000" w:firstRow="0" w:lastRow="0" w:firstColumn="0" w:lastColumn="0" w:oddVBand="1" w:evenVBand="0" w:oddHBand="0" w:evenHBand="0" w:firstRowFirstColumn="0" w:firstRowLastColumn="0" w:lastRowFirstColumn="0" w:lastRowLastColumn="0"/>
            <w:tcW w:w="1800" w:type="dxa"/>
          </w:tcPr>
          <w:p w14:paraId="5A7F4EAC" w14:textId="6A867F11" w:rsidR="0047600F" w:rsidRPr="00E4291E" w:rsidRDefault="0047600F" w:rsidP="0047600F">
            <w:pPr>
              <w:keepNext/>
              <w:keepLines/>
              <w:widowControl w:val="0"/>
              <w:jc w:val="both"/>
              <w:rPr>
                <w:szCs w:val="22"/>
              </w:rPr>
            </w:pPr>
            <w:r w:rsidRPr="00E4291E">
              <w:rPr>
                <w:b/>
                <w:szCs w:val="22"/>
              </w:rPr>
              <w:t>11:59 p.m.</w:t>
            </w:r>
          </w:p>
        </w:tc>
      </w:tr>
      <w:tr w:rsidR="0047600F" w:rsidRPr="00A511B4" w14:paraId="4670966A" w14:textId="77777777" w:rsidTr="00DF4CD0">
        <w:trPr>
          <w:trHeight w:hRule="exact" w:val="595"/>
        </w:trPr>
        <w:tc>
          <w:tcPr>
            <w:cnfStyle w:val="000010000000" w:firstRow="0" w:lastRow="0" w:firstColumn="0" w:lastColumn="0" w:oddVBand="1" w:evenVBand="0" w:oddHBand="0" w:evenHBand="0" w:firstRowFirstColumn="0" w:firstRowLastColumn="0" w:lastRowFirstColumn="0" w:lastRowLastColumn="0"/>
            <w:tcW w:w="5665" w:type="dxa"/>
          </w:tcPr>
          <w:p w14:paraId="7387DC00" w14:textId="6F2AEACE" w:rsidR="0047600F" w:rsidRPr="00E4291E" w:rsidRDefault="0047600F" w:rsidP="0047600F">
            <w:pPr>
              <w:keepNext/>
              <w:keepLines/>
              <w:widowControl w:val="0"/>
              <w:jc w:val="both"/>
              <w:rPr>
                <w:szCs w:val="22"/>
              </w:rPr>
            </w:pPr>
            <w:r w:rsidRPr="00E4291E">
              <w:rPr>
                <w:szCs w:val="22"/>
              </w:rPr>
              <w:t>Anticipated Notice of Proposed Award Posting Date</w:t>
            </w:r>
          </w:p>
        </w:tc>
        <w:tc>
          <w:tcPr>
            <w:tcW w:w="2345" w:type="dxa"/>
          </w:tcPr>
          <w:p w14:paraId="3E0FCEC2" w14:textId="4260B2D3" w:rsidR="0047600F" w:rsidRPr="00E4291E" w:rsidRDefault="49747634" w:rsidP="0047600F">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E4291E">
              <w:t xml:space="preserve">April </w:t>
            </w:r>
            <w:r w:rsidR="00DF640D" w:rsidRPr="00E4291E">
              <w:t>4</w:t>
            </w:r>
            <w:r w:rsidR="00DF640D" w:rsidRPr="00E4291E">
              <w:rPr>
                <w:vertAlign w:val="superscript"/>
              </w:rPr>
              <w:t>th</w:t>
            </w:r>
            <w:r w:rsidR="00DF640D" w:rsidRPr="00E4291E">
              <w:t xml:space="preserve"> </w:t>
            </w:r>
            <w:r w:rsidR="0047600F" w:rsidRPr="00E4291E">
              <w:t>2024</w:t>
            </w:r>
          </w:p>
        </w:tc>
        <w:tc>
          <w:tcPr>
            <w:cnfStyle w:val="000010000000" w:firstRow="0" w:lastRow="0" w:firstColumn="0" w:lastColumn="0" w:oddVBand="1" w:evenVBand="0" w:oddHBand="0" w:evenHBand="0" w:firstRowFirstColumn="0" w:firstRowLastColumn="0" w:lastRowFirstColumn="0" w:lastRowLastColumn="0"/>
            <w:tcW w:w="1800" w:type="dxa"/>
          </w:tcPr>
          <w:p w14:paraId="7F7BAB89" w14:textId="77777777" w:rsidR="0047600F" w:rsidRPr="00E4291E" w:rsidRDefault="0047600F" w:rsidP="0047600F">
            <w:pPr>
              <w:keepNext/>
              <w:keepLines/>
              <w:widowControl w:val="0"/>
              <w:jc w:val="both"/>
              <w:rPr>
                <w:szCs w:val="22"/>
              </w:rPr>
            </w:pPr>
          </w:p>
        </w:tc>
      </w:tr>
      <w:tr w:rsidR="0047600F" w:rsidRPr="00A511B4" w14:paraId="76D982D6" w14:textId="77777777" w:rsidTr="00DF4CD0">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665" w:type="dxa"/>
          </w:tcPr>
          <w:p w14:paraId="68472CDC" w14:textId="41F53D73" w:rsidR="0047600F" w:rsidRPr="00E4291E" w:rsidRDefault="0047600F" w:rsidP="0047600F">
            <w:pPr>
              <w:widowControl w:val="0"/>
              <w:jc w:val="both"/>
              <w:rPr>
                <w:szCs w:val="22"/>
              </w:rPr>
            </w:pPr>
            <w:r w:rsidRPr="00E4291E">
              <w:rPr>
                <w:szCs w:val="22"/>
              </w:rPr>
              <w:t>Anticipated Energy Commission Business Meeting Date</w:t>
            </w:r>
          </w:p>
        </w:tc>
        <w:tc>
          <w:tcPr>
            <w:tcW w:w="2345" w:type="dxa"/>
          </w:tcPr>
          <w:p w14:paraId="0D90D149" w14:textId="6214DD8F" w:rsidR="0047600F" w:rsidRPr="00E4291E" w:rsidRDefault="2ED3F424" w:rsidP="0047600F">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E4291E">
              <w:t xml:space="preserve">July </w:t>
            </w:r>
            <w:r w:rsidR="00DF640D" w:rsidRPr="00E4291E">
              <w:t>10</w:t>
            </w:r>
            <w:r w:rsidR="00DF640D" w:rsidRPr="00E4291E">
              <w:rPr>
                <w:vertAlign w:val="superscript"/>
              </w:rPr>
              <w:t>th</w:t>
            </w:r>
            <w:r w:rsidR="00DF640D" w:rsidRPr="00E4291E">
              <w:t xml:space="preserve"> </w:t>
            </w:r>
            <w:r w:rsidR="0047600F" w:rsidRPr="00E4291E">
              <w:t>2024</w:t>
            </w:r>
          </w:p>
        </w:tc>
        <w:tc>
          <w:tcPr>
            <w:cnfStyle w:val="000010000000" w:firstRow="0" w:lastRow="0" w:firstColumn="0" w:lastColumn="0" w:oddVBand="1" w:evenVBand="0" w:oddHBand="0" w:evenHBand="0" w:firstRowFirstColumn="0" w:firstRowLastColumn="0" w:lastRowFirstColumn="0" w:lastRowLastColumn="0"/>
            <w:tcW w:w="1800" w:type="dxa"/>
          </w:tcPr>
          <w:p w14:paraId="07B99D70" w14:textId="77777777" w:rsidR="0047600F" w:rsidRPr="00E4291E" w:rsidRDefault="0047600F" w:rsidP="0047600F">
            <w:pPr>
              <w:keepNext/>
              <w:keepLines/>
              <w:widowControl w:val="0"/>
              <w:jc w:val="both"/>
              <w:rPr>
                <w:szCs w:val="22"/>
              </w:rPr>
            </w:pPr>
          </w:p>
        </w:tc>
      </w:tr>
      <w:tr w:rsidR="0047600F" w:rsidRPr="00A511B4" w14:paraId="778A4170" w14:textId="77777777" w:rsidTr="00DF4CD0">
        <w:trPr>
          <w:trHeight w:hRule="exact" w:val="288"/>
        </w:trPr>
        <w:tc>
          <w:tcPr>
            <w:cnfStyle w:val="000010000000" w:firstRow="0" w:lastRow="0" w:firstColumn="0" w:lastColumn="0" w:oddVBand="1" w:evenVBand="0" w:oddHBand="0" w:evenHBand="0" w:firstRowFirstColumn="0" w:firstRowLastColumn="0" w:lastRowFirstColumn="0" w:lastRowLastColumn="0"/>
            <w:tcW w:w="5665" w:type="dxa"/>
          </w:tcPr>
          <w:p w14:paraId="117D51F1" w14:textId="25645A7A" w:rsidR="0047600F" w:rsidRPr="00E4291E" w:rsidRDefault="0047600F" w:rsidP="0047600F">
            <w:pPr>
              <w:widowControl w:val="0"/>
              <w:jc w:val="both"/>
              <w:rPr>
                <w:szCs w:val="22"/>
              </w:rPr>
            </w:pPr>
            <w:r w:rsidRPr="00E4291E">
              <w:rPr>
                <w:szCs w:val="22"/>
              </w:rPr>
              <w:t>Anticipated Agreement Start Date</w:t>
            </w:r>
          </w:p>
        </w:tc>
        <w:tc>
          <w:tcPr>
            <w:tcW w:w="2345" w:type="dxa"/>
          </w:tcPr>
          <w:p w14:paraId="0FBD4A51" w14:textId="6232866D" w:rsidR="0047600F" w:rsidRPr="00E4291E" w:rsidRDefault="00DF640D" w:rsidP="0047600F">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E4291E">
              <w:t xml:space="preserve">August </w:t>
            </w:r>
            <w:r w:rsidR="0047600F" w:rsidRPr="00E4291E">
              <w:t>2024</w:t>
            </w:r>
          </w:p>
        </w:tc>
        <w:tc>
          <w:tcPr>
            <w:cnfStyle w:val="000010000000" w:firstRow="0" w:lastRow="0" w:firstColumn="0" w:lastColumn="0" w:oddVBand="1" w:evenVBand="0" w:oddHBand="0" w:evenHBand="0" w:firstRowFirstColumn="0" w:firstRowLastColumn="0" w:lastRowFirstColumn="0" w:lastRowLastColumn="0"/>
            <w:tcW w:w="1800" w:type="dxa"/>
          </w:tcPr>
          <w:p w14:paraId="6BD8CF01" w14:textId="77777777" w:rsidR="0047600F" w:rsidRPr="00E4291E" w:rsidRDefault="0047600F" w:rsidP="0047600F">
            <w:pPr>
              <w:keepNext/>
              <w:keepLines/>
              <w:widowControl w:val="0"/>
              <w:jc w:val="both"/>
              <w:rPr>
                <w:szCs w:val="22"/>
              </w:rPr>
            </w:pPr>
          </w:p>
        </w:tc>
      </w:tr>
      <w:tr w:rsidR="0047600F" w:rsidRPr="00A511B4" w14:paraId="10349A5B" w14:textId="77777777" w:rsidTr="00DF4CD0">
        <w:trPr>
          <w:cnfStyle w:val="000000100000" w:firstRow="0" w:lastRow="0" w:firstColumn="0" w:lastColumn="0" w:oddVBand="0" w:evenVBand="0" w:oddHBand="1" w:evenHBand="0" w:firstRowFirstColumn="0" w:firstRowLastColumn="0" w:lastRowFirstColumn="0" w:lastRowLastColumn="0"/>
          <w:trHeight w:hRule="exact" w:val="757"/>
        </w:trPr>
        <w:tc>
          <w:tcPr>
            <w:cnfStyle w:val="000010000000" w:firstRow="0" w:lastRow="0" w:firstColumn="0" w:lastColumn="0" w:oddVBand="1" w:evenVBand="0" w:oddHBand="0" w:evenHBand="0" w:firstRowFirstColumn="0" w:firstRowLastColumn="0" w:lastRowFirstColumn="0" w:lastRowLastColumn="0"/>
            <w:tcW w:w="5665" w:type="dxa"/>
          </w:tcPr>
          <w:p w14:paraId="0DFD4B12" w14:textId="31A0A5E5" w:rsidR="0047600F" w:rsidRPr="00E4291E" w:rsidRDefault="0047600F" w:rsidP="0047600F">
            <w:pPr>
              <w:widowControl w:val="0"/>
              <w:jc w:val="both"/>
              <w:rPr>
                <w:szCs w:val="22"/>
              </w:rPr>
            </w:pPr>
            <w:r w:rsidRPr="00E4291E">
              <w:rPr>
                <w:szCs w:val="22"/>
              </w:rPr>
              <w:t xml:space="preserve">Anticipated Agreement End Date </w:t>
            </w:r>
          </w:p>
        </w:tc>
        <w:tc>
          <w:tcPr>
            <w:tcW w:w="2345" w:type="dxa"/>
          </w:tcPr>
          <w:p w14:paraId="49359BE0" w14:textId="704AEED2" w:rsidR="0047600F" w:rsidRPr="00E4291E" w:rsidRDefault="0047600F" w:rsidP="0047600F">
            <w:pPr>
              <w:keepNext/>
              <w:keepLines/>
              <w:widowControl w:val="0"/>
              <w:jc w:val="both"/>
              <w:cnfStyle w:val="000000100000" w:firstRow="0" w:lastRow="0" w:firstColumn="0" w:lastColumn="0" w:oddVBand="0" w:evenVBand="0" w:oddHBand="1" w:evenHBand="0" w:firstRowFirstColumn="0" w:firstRowLastColumn="0" w:lastRowFirstColumn="0" w:lastRowLastColumn="0"/>
              <w:rPr>
                <w:szCs w:val="22"/>
              </w:rPr>
            </w:pPr>
            <w:r w:rsidRPr="00E4291E">
              <w:t>March 31, 2027</w:t>
            </w:r>
          </w:p>
        </w:tc>
        <w:tc>
          <w:tcPr>
            <w:cnfStyle w:val="000010000000" w:firstRow="0" w:lastRow="0" w:firstColumn="0" w:lastColumn="0" w:oddVBand="1" w:evenVBand="0" w:oddHBand="0" w:evenHBand="0" w:firstRowFirstColumn="0" w:firstRowLastColumn="0" w:lastRowFirstColumn="0" w:lastRowLastColumn="0"/>
            <w:tcW w:w="1800" w:type="dxa"/>
          </w:tcPr>
          <w:p w14:paraId="28A9ABE8" w14:textId="77777777" w:rsidR="0047600F" w:rsidRPr="00E4291E" w:rsidRDefault="0047600F" w:rsidP="0047600F">
            <w:pPr>
              <w:keepNext/>
              <w:keepLines/>
              <w:widowControl w:val="0"/>
              <w:jc w:val="both"/>
              <w:rPr>
                <w:szCs w:val="22"/>
              </w:rPr>
            </w:pPr>
          </w:p>
        </w:tc>
      </w:tr>
    </w:tbl>
    <w:p w14:paraId="4D125BF1" w14:textId="77777777" w:rsidR="003F6147" w:rsidRPr="003F6147" w:rsidRDefault="003F6147" w:rsidP="003F6147">
      <w:pPr>
        <w:spacing w:after="0"/>
        <w:jc w:val="both"/>
      </w:pPr>
    </w:p>
    <w:p w14:paraId="545DFFF2" w14:textId="77777777" w:rsidR="003F6147" w:rsidRPr="00756BAC" w:rsidRDefault="003F6147" w:rsidP="002427DC">
      <w:pPr>
        <w:pStyle w:val="Heading2"/>
        <w:numPr>
          <w:ilvl w:val="0"/>
          <w:numId w:val="58"/>
        </w:numPr>
      </w:pPr>
      <w:bookmarkStart w:id="49" w:name="_Toc458602326"/>
      <w:bookmarkStart w:id="50" w:name="_Toc143001045"/>
      <w:r w:rsidRPr="00756BAC">
        <w:t>Notice of Pre-Application Workshop</w:t>
      </w:r>
      <w:bookmarkEnd w:id="49"/>
      <w:bookmarkEnd w:id="50"/>
    </w:p>
    <w:p w14:paraId="3530C71F" w14:textId="23EC18D7" w:rsidR="003F6147" w:rsidRPr="003F6147" w:rsidRDefault="003F6147" w:rsidP="003F6147">
      <w:pPr>
        <w:jc w:val="both"/>
      </w:pPr>
      <w:r>
        <w:t xml:space="preserve">CEC staff will hold one Pre-Application Workshop to discuss the solicitation with potential applicants. Participation is optional but encouraged.  </w:t>
      </w:r>
      <w:r w:rsidR="00137D9C">
        <w:t xml:space="preserve">The Pre-Application Workshop will be held remotely. </w:t>
      </w:r>
      <w:r>
        <w:t xml:space="preserve">Applicants may attend the workshop via the </w:t>
      </w:r>
      <w:r w:rsidR="00E4291E">
        <w:t>Internet</w:t>
      </w:r>
      <w:r>
        <w:t xml:space="preserve"> (</w:t>
      </w:r>
      <w:r w:rsidR="00636897">
        <w:t>Zoom</w:t>
      </w:r>
      <w:r>
        <w:t xml:space="preserve">, see instructions below), or via conference call on the date and at the time and location listed below.  Please refer to the CEC's website at </w:t>
      </w:r>
      <w:hyperlink r:id="rId19" w:history="1">
        <w:r w:rsidR="00E4291E" w:rsidRPr="000D2963">
          <w:rPr>
            <w:rStyle w:val="Hyperlink"/>
            <w:rFonts w:cs="Arial"/>
          </w:rPr>
          <w:t>www.energy.ca.gov/contracts/index.html</w:t>
        </w:r>
      </w:hyperlink>
      <w:r w:rsidR="00E4291E">
        <w:t xml:space="preserve"> </w:t>
      </w:r>
      <w:r>
        <w:t>to confirm the date and time.</w:t>
      </w:r>
    </w:p>
    <w:p w14:paraId="54073107" w14:textId="77777777" w:rsidR="00624855" w:rsidRDefault="00624855" w:rsidP="003F6147">
      <w:pPr>
        <w:spacing w:after="0"/>
        <w:rPr>
          <w:b/>
        </w:rPr>
      </w:pPr>
    </w:p>
    <w:p w14:paraId="2B53D2CB" w14:textId="21A63484" w:rsidR="003F6147" w:rsidRPr="003F6147" w:rsidRDefault="003F6147" w:rsidP="003F6147">
      <w:pPr>
        <w:spacing w:after="0"/>
        <w:rPr>
          <w:b/>
        </w:rPr>
      </w:pPr>
      <w:r w:rsidRPr="003F6147">
        <w:rPr>
          <w:b/>
        </w:rPr>
        <w:t xml:space="preserve">Date and time: </w:t>
      </w:r>
      <w:r w:rsidR="00D61DC5" w:rsidRPr="00D02C09">
        <w:rPr>
          <w:bCs/>
        </w:rPr>
        <w:t xml:space="preserve">September </w:t>
      </w:r>
      <w:r w:rsidR="00D02C09" w:rsidRPr="00D02C09">
        <w:rPr>
          <w:bCs/>
        </w:rPr>
        <w:t>14</w:t>
      </w:r>
      <w:r w:rsidR="00D02C09" w:rsidRPr="00D02C09">
        <w:rPr>
          <w:bCs/>
          <w:vertAlign w:val="superscript"/>
        </w:rPr>
        <w:t>th</w:t>
      </w:r>
      <w:r w:rsidR="00D02C09" w:rsidRPr="00D02C09">
        <w:rPr>
          <w:bCs/>
        </w:rPr>
        <w:t>, 2023</w:t>
      </w:r>
      <w:r w:rsidR="07A6E909">
        <w:t>,</w:t>
      </w:r>
      <w:r w:rsidR="00D02C09" w:rsidRPr="00D02C09">
        <w:rPr>
          <w:bCs/>
        </w:rPr>
        <w:t xml:space="preserve"> at 10:00 AM</w:t>
      </w:r>
    </w:p>
    <w:p w14:paraId="7822D6A5" w14:textId="77777777" w:rsidR="003F6147" w:rsidRPr="003F6147" w:rsidRDefault="003F6147" w:rsidP="003F6147">
      <w:pPr>
        <w:spacing w:after="0"/>
        <w:jc w:val="both"/>
        <w:rPr>
          <w:b/>
          <w:u w:val="single"/>
        </w:rPr>
      </w:pPr>
    </w:p>
    <w:p w14:paraId="6B916C61" w14:textId="409312EC" w:rsidR="003F6147" w:rsidRPr="003F6147" w:rsidRDefault="00AD7BD9" w:rsidP="003F6147">
      <w:pPr>
        <w:tabs>
          <w:tab w:val="left" w:pos="1080"/>
        </w:tabs>
        <w:jc w:val="both"/>
        <w:rPr>
          <w:b/>
        </w:rPr>
      </w:pPr>
      <w:r>
        <w:rPr>
          <w:b/>
        </w:rPr>
        <w:t>Zoom</w:t>
      </w:r>
      <w:r w:rsidRPr="003F6147">
        <w:rPr>
          <w:b/>
        </w:rPr>
        <w:t xml:space="preserve"> </w:t>
      </w:r>
      <w:r w:rsidR="003F6147" w:rsidRPr="003F6147">
        <w:rPr>
          <w:b/>
        </w:rPr>
        <w:t>Instructions:</w:t>
      </w:r>
    </w:p>
    <w:p w14:paraId="44F7A991" w14:textId="3DDFF5E8" w:rsidR="003F6147" w:rsidRPr="005F101E" w:rsidRDefault="003F6147" w:rsidP="005F101E">
      <w:pPr>
        <w:tabs>
          <w:tab w:val="left" w:pos="810"/>
        </w:tabs>
        <w:jc w:val="both"/>
      </w:pPr>
      <w:r w:rsidRPr="003F6147">
        <w:t xml:space="preserve">To join the </w:t>
      </w:r>
      <w:r w:rsidR="00680379">
        <w:t>Zoom</w:t>
      </w:r>
      <w:r w:rsidRPr="003F6147">
        <w:t xml:space="preserve"> meeting, go to </w:t>
      </w:r>
      <w:hyperlink r:id="rId20" w:history="1">
        <w:r w:rsidR="00E4291E" w:rsidRPr="000D2963">
          <w:rPr>
            <w:rStyle w:val="Hyperlink"/>
            <w:rFonts w:cs="Arial"/>
          </w:rPr>
          <w:t>https://zoom.us/join</w:t>
        </w:r>
      </w:hyperlink>
      <w:r w:rsidR="00E4291E">
        <w:t xml:space="preserve"> </w:t>
      </w:r>
      <w:r w:rsidRPr="003F6147">
        <w:t xml:space="preserve">and enter the </w:t>
      </w:r>
      <w:r w:rsidR="00ED584A">
        <w:t>M</w:t>
      </w:r>
      <w:r w:rsidRPr="003F6147">
        <w:t xml:space="preserve">eeting </w:t>
      </w:r>
      <w:r w:rsidR="0060490D">
        <w:t>ID</w:t>
      </w:r>
      <w:r w:rsidR="0060490D" w:rsidRPr="003F6147">
        <w:t xml:space="preserve"> </w:t>
      </w:r>
      <w:r w:rsidRPr="003F6147">
        <w:t>below</w:t>
      </w:r>
      <w:r w:rsidR="007F3203">
        <w:t xml:space="preserve"> and</w:t>
      </w:r>
      <w:r w:rsidR="00B02478" w:rsidRPr="00B02478">
        <w:t xml:space="preserve"> select “join from your browser.”</w:t>
      </w:r>
      <w:r w:rsidR="007F3203">
        <w:t xml:space="preserve"> </w:t>
      </w:r>
      <w:r w:rsidR="00B02478">
        <w:t xml:space="preserve">Participants will then </w:t>
      </w:r>
      <w:r w:rsidR="00891FAB">
        <w:t>e</w:t>
      </w:r>
      <w:r w:rsidR="00084500">
        <w:t xml:space="preserve">nter the meeting password </w:t>
      </w:r>
      <w:r w:rsidR="00F801F8">
        <w:t xml:space="preserve">listed below </w:t>
      </w:r>
      <w:r w:rsidR="00084500">
        <w:t xml:space="preserve">and </w:t>
      </w:r>
      <w:r w:rsidR="00891FAB">
        <w:t xml:space="preserve">their </w:t>
      </w:r>
      <w:r w:rsidR="00084500">
        <w:t xml:space="preserve">name. </w:t>
      </w:r>
      <w:r w:rsidR="008E7180">
        <w:t>P</w:t>
      </w:r>
      <w:r w:rsidR="00DE090D">
        <w:t>articipants will s</w:t>
      </w:r>
      <w:r w:rsidR="00084500">
        <w:t>elect the “Join” button.</w:t>
      </w:r>
      <w:r w:rsidRPr="003F6147">
        <w:t xml:space="preserve">:  </w:t>
      </w:r>
    </w:p>
    <w:p w14:paraId="6C3101E8" w14:textId="6AFA03A5" w:rsidR="003F6147" w:rsidRPr="003F6147" w:rsidRDefault="003F6147" w:rsidP="003F6147">
      <w:pPr>
        <w:tabs>
          <w:tab w:val="left" w:pos="900"/>
        </w:tabs>
        <w:spacing w:after="0"/>
        <w:ind w:left="720" w:firstLine="360"/>
        <w:rPr>
          <w:b/>
          <w:bCs/>
          <w:color w:val="0070C0"/>
        </w:rPr>
      </w:pPr>
      <w:r w:rsidRPr="003F6147">
        <w:rPr>
          <w:b/>
        </w:rPr>
        <w:lastRenderedPageBreak/>
        <w:t xml:space="preserve">Meeting </w:t>
      </w:r>
      <w:r w:rsidR="0060490D">
        <w:rPr>
          <w:b/>
        </w:rPr>
        <w:t>ID</w:t>
      </w:r>
      <w:r w:rsidRPr="003F6147">
        <w:rPr>
          <w:b/>
        </w:rPr>
        <w:t>:</w:t>
      </w:r>
      <w:r w:rsidRPr="003F6147">
        <w:t xml:space="preserve"> </w:t>
      </w:r>
      <w:r w:rsidR="005A46F5" w:rsidRPr="005A46F5">
        <w:t>826 2500 1563</w:t>
      </w:r>
    </w:p>
    <w:p w14:paraId="2F230024" w14:textId="2B141C59" w:rsidR="003F6147" w:rsidRPr="003F6147" w:rsidRDefault="003F6147" w:rsidP="003F6147">
      <w:pPr>
        <w:spacing w:after="0"/>
        <w:ind w:left="360" w:firstLine="720"/>
        <w:rPr>
          <w:color w:val="0070C0"/>
        </w:rPr>
      </w:pPr>
      <w:r w:rsidRPr="003F6147">
        <w:rPr>
          <w:b/>
        </w:rPr>
        <w:t>Meeting Password:</w:t>
      </w:r>
      <w:r w:rsidRPr="003F6147">
        <w:t xml:space="preserve"> </w:t>
      </w:r>
      <w:r w:rsidR="008E0112">
        <w:rPr>
          <w:rStyle w:val="ui-provider"/>
        </w:rPr>
        <w:t>meeting@10</w:t>
      </w:r>
    </w:p>
    <w:p w14:paraId="6CC93D6B" w14:textId="184443F5" w:rsidR="003F6147" w:rsidRPr="003F6147" w:rsidRDefault="003F6147" w:rsidP="003F6147">
      <w:pPr>
        <w:ind w:left="360" w:firstLine="720"/>
        <w:rPr>
          <w:color w:val="0070C0"/>
        </w:rPr>
      </w:pPr>
      <w:r w:rsidRPr="003F6147">
        <w:rPr>
          <w:b/>
        </w:rPr>
        <w:t>Topic:</w:t>
      </w:r>
      <w:r w:rsidRPr="003F6147">
        <w:rPr>
          <w:color w:val="0070C0"/>
        </w:rPr>
        <w:t xml:space="preserve"> </w:t>
      </w:r>
      <w:r w:rsidR="00B83AB7" w:rsidRPr="00B83AB7">
        <w:rPr>
          <w:rStyle w:val="ui-provider"/>
        </w:rPr>
        <w:t>Pre-Bid Workshop: Energy Efficiency and Load Flexibility in Industrial and Commercial Cold Storage Facilities</w:t>
      </w:r>
    </w:p>
    <w:p w14:paraId="1BD019D4" w14:textId="77777777" w:rsidR="003F6147" w:rsidRPr="003F6147" w:rsidRDefault="003F6147" w:rsidP="005F101E">
      <w:pPr>
        <w:tabs>
          <w:tab w:val="left" w:pos="810"/>
        </w:tabs>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0A374FE0" w14:textId="57CE4F4C" w:rsidR="001C398B" w:rsidRPr="005F101E" w:rsidRDefault="003F6147" w:rsidP="001C398B">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3F6147" w:rsidRDefault="003F6147" w:rsidP="003F6147">
      <w:pPr>
        <w:spacing w:after="0"/>
        <w:jc w:val="both"/>
        <w:rPr>
          <w:color w:val="0000FF"/>
        </w:rPr>
      </w:pPr>
    </w:p>
    <w:p w14:paraId="51B26D7A" w14:textId="77777777" w:rsidR="003F6147" w:rsidRPr="003F6147" w:rsidRDefault="003F6147" w:rsidP="003F6147">
      <w:pPr>
        <w:tabs>
          <w:tab w:val="left" w:pos="1080"/>
        </w:tabs>
        <w:jc w:val="both"/>
        <w:rPr>
          <w:b/>
        </w:rPr>
      </w:pPr>
      <w:r w:rsidRPr="003F6147">
        <w:rPr>
          <w:b/>
        </w:rPr>
        <w:t>Technical Support:</w:t>
      </w:r>
    </w:p>
    <w:p w14:paraId="451EB5EA" w14:textId="77777777" w:rsidR="003F6147" w:rsidRPr="003F6147" w:rsidRDefault="003F6147" w:rsidP="002427DC">
      <w:pPr>
        <w:numPr>
          <w:ilvl w:val="0"/>
          <w:numId w:val="53"/>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51A7444F" w:rsidR="003F6147" w:rsidRPr="003F6147" w:rsidRDefault="003F6147" w:rsidP="0A05142D">
      <w:pPr>
        <w:tabs>
          <w:tab w:val="left" w:pos="810"/>
        </w:tabs>
        <w:spacing w:after="0"/>
        <w:ind w:left="810"/>
        <w:jc w:val="both"/>
        <w:rPr>
          <w:color w:val="0070C0"/>
        </w:rPr>
      </w:pPr>
      <w:r>
        <w:t xml:space="preserve">please call </w:t>
      </w:r>
      <w:r w:rsidR="002D548B">
        <w:t xml:space="preserve">Zoom </w:t>
      </w:r>
      <w:r>
        <w:t xml:space="preserve">Technical Support at </w:t>
      </w:r>
      <w:r w:rsidR="00343A6C" w:rsidRPr="0A05142D">
        <w:rPr>
          <w:b/>
          <w:bCs/>
        </w:rPr>
        <w:t>1-888-799-9666 ext</w:t>
      </w:r>
      <w:r w:rsidR="009A07CF" w:rsidRPr="0A05142D">
        <w:rPr>
          <w:b/>
          <w:bCs/>
        </w:rPr>
        <w:t xml:space="preserve">. </w:t>
      </w:r>
      <w:r w:rsidR="00CF60B7" w:rsidRPr="0A05142D">
        <w:rPr>
          <w:b/>
          <w:bCs/>
        </w:rPr>
        <w:t>2.</w:t>
      </w:r>
      <w:r>
        <w:t xml:space="preserve">  You may also contact </w:t>
      </w:r>
      <w:r w:rsidR="00712C64">
        <w:t>the CEC’s Public Advisor’s Office at publicadvisor@energy.ca.gov, or</w:t>
      </w:r>
      <w:r w:rsidR="00712C64" w:rsidRPr="0A05142D">
        <w:rPr>
          <w:szCs w:val="22"/>
        </w:rPr>
        <w:t xml:space="preserve"> </w:t>
      </w:r>
      <w:r w:rsidR="6AE4B753" w:rsidRPr="0A05142D">
        <w:rPr>
          <w:szCs w:val="22"/>
        </w:rPr>
        <w:t>(916) 957-7910</w:t>
      </w:r>
      <w:r>
        <w:t>.</w:t>
      </w:r>
    </w:p>
    <w:p w14:paraId="1478D0B9" w14:textId="77777777" w:rsidR="003F6147" w:rsidRPr="003F6147" w:rsidRDefault="003F6147" w:rsidP="002427DC">
      <w:pPr>
        <w:numPr>
          <w:ilvl w:val="0"/>
          <w:numId w:val="53"/>
        </w:numPr>
        <w:tabs>
          <w:tab w:val="left" w:pos="810"/>
        </w:tabs>
        <w:spacing w:after="0"/>
        <w:ind w:left="450" w:hanging="90"/>
        <w:jc w:val="both"/>
        <w:rPr>
          <w:b/>
          <w:u w:val="single"/>
        </w:rPr>
      </w:pPr>
      <w:r w:rsidRPr="003F6147">
        <w:t>System Requirements: To determine whether your computer is compatible, visit:</w:t>
      </w:r>
    </w:p>
    <w:p w14:paraId="79EBFD34" w14:textId="48B2108C" w:rsidR="003F6147" w:rsidRPr="005B073B" w:rsidRDefault="003F6147" w:rsidP="003F6147">
      <w:pPr>
        <w:tabs>
          <w:tab w:val="left" w:pos="810"/>
        </w:tabs>
        <w:spacing w:after="0"/>
        <w:ind w:left="720"/>
        <w:jc w:val="both"/>
        <w:rPr>
          <w:color w:val="0000FF"/>
        </w:rPr>
      </w:pPr>
      <w:r w:rsidRPr="003F6147">
        <w:tab/>
      </w:r>
      <w:r w:rsidR="002275CB" w:rsidRPr="002275CB">
        <w:t>https://support.zoom.us/hc/en-us/articles/201362023-System-requirements-for-Windows-macOS-and-Linux</w:t>
      </w:r>
      <w:r w:rsidRPr="005B073B">
        <w:t>.</w:t>
      </w:r>
    </w:p>
    <w:p w14:paraId="2487F463" w14:textId="06CA35CC" w:rsidR="003F6147" w:rsidRPr="00B703F3" w:rsidRDefault="003F6147" w:rsidP="002427DC">
      <w:pPr>
        <w:numPr>
          <w:ilvl w:val="0"/>
          <w:numId w:val="53"/>
        </w:numPr>
        <w:tabs>
          <w:tab w:val="left" w:pos="810"/>
        </w:tabs>
        <w:spacing w:after="0"/>
        <w:ind w:left="810" w:hanging="450"/>
        <w:jc w:val="both"/>
        <w:rPr>
          <w:b/>
          <w:u w:val="single"/>
        </w:rPr>
      </w:pPr>
      <w:r w:rsidRPr="003F6147">
        <w:t>If you have a disability and require assistance to participate, please Erica Rodriguez</w:t>
      </w:r>
      <w:r w:rsidRPr="003F6147" w:rsidDel="00205C49">
        <w:t xml:space="preserve"> </w:t>
      </w:r>
      <w:r w:rsidRPr="003F6147">
        <w:t xml:space="preserve">by e-mail at </w:t>
      </w:r>
      <w:hyperlink r:id="rId21" w:history="1">
        <w:r w:rsidR="00E4291E" w:rsidRPr="000D2963">
          <w:rPr>
            <w:rStyle w:val="Hyperlink"/>
            <w:rFonts w:cs="Arial"/>
          </w:rPr>
          <w:t>Erica.Rodriguez@energy.ca.gov</w:t>
        </w:r>
      </w:hyperlink>
      <w:r w:rsidR="00E4291E">
        <w:t xml:space="preserve"> </w:t>
      </w:r>
      <w:r w:rsidRPr="003F6147">
        <w:t xml:space="preserve">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2427DC">
      <w:pPr>
        <w:pStyle w:val="Heading2"/>
        <w:numPr>
          <w:ilvl w:val="0"/>
          <w:numId w:val="58"/>
        </w:numPr>
      </w:pPr>
      <w:bookmarkStart w:id="51" w:name="_Toc458602327"/>
      <w:bookmarkStart w:id="52" w:name="_Toc143001046"/>
      <w:bookmarkStart w:id="53" w:name="_Toc336443625"/>
      <w:bookmarkStart w:id="54" w:name="_Toc366671181"/>
      <w:bookmarkStart w:id="55" w:name="_Toc219275088"/>
      <w:r w:rsidRPr="00756BAC">
        <w:t>Questions</w:t>
      </w:r>
      <w:bookmarkEnd w:id="51"/>
      <w:bookmarkEnd w:id="52"/>
    </w:p>
    <w:p w14:paraId="73964DFC" w14:textId="77777777" w:rsidR="003F6147" w:rsidRPr="003F6147" w:rsidRDefault="003F6147" w:rsidP="003F6147">
      <w:pPr>
        <w:jc w:val="both"/>
      </w:pPr>
      <w:r w:rsidRPr="003F6147">
        <w:t>During the solicitation process, direct questions to the Commission Agreement Officer listed below:</w:t>
      </w:r>
    </w:p>
    <w:p w14:paraId="683ABD7F" w14:textId="16623300" w:rsidR="003F6147" w:rsidRPr="003F6147" w:rsidRDefault="00E4291E" w:rsidP="003F6147">
      <w:pPr>
        <w:contextualSpacing/>
        <w:jc w:val="center"/>
      </w:pPr>
      <w:r>
        <w:t>Natalie Johnson</w:t>
      </w:r>
      <w:r w:rsidR="003F6147" w:rsidRPr="003F6147">
        <w:t>, Commission Agreement Officer</w:t>
      </w:r>
    </w:p>
    <w:p w14:paraId="3084A234" w14:textId="77777777" w:rsidR="003F6147" w:rsidRPr="003F6147" w:rsidRDefault="003F6147" w:rsidP="003F6147">
      <w:pPr>
        <w:contextualSpacing/>
        <w:jc w:val="center"/>
      </w:pPr>
      <w:r w:rsidRPr="003F6147">
        <w:t>California Energy Commission</w:t>
      </w:r>
    </w:p>
    <w:p w14:paraId="6B4F8266" w14:textId="27CC250E" w:rsidR="003F6147" w:rsidRPr="003F6147" w:rsidRDefault="00B06231" w:rsidP="003F6147">
      <w:pPr>
        <w:contextualSpacing/>
        <w:jc w:val="center"/>
      </w:pPr>
      <w:r w:rsidRPr="00B06231">
        <w:t>715 P</w:t>
      </w:r>
      <w:r w:rsidR="00E4291E">
        <w:t xml:space="preserve"> Street</w:t>
      </w:r>
    </w:p>
    <w:p w14:paraId="644A7744" w14:textId="28386CCA" w:rsidR="003F6147" w:rsidRPr="003F6147" w:rsidRDefault="003F6147" w:rsidP="003F6147">
      <w:pPr>
        <w:contextualSpacing/>
        <w:jc w:val="center"/>
      </w:pPr>
      <w:r w:rsidRPr="003F6147">
        <w:t>Sacramento, California</w:t>
      </w:r>
      <w:r w:rsidR="00624855">
        <w:t>,</w:t>
      </w:r>
      <w:r w:rsidRPr="003F6147">
        <w:t xml:space="preserve"> 95814</w:t>
      </w:r>
    </w:p>
    <w:p w14:paraId="2827A557" w14:textId="3BA9A4F8" w:rsidR="003F6147" w:rsidRPr="003F6147" w:rsidRDefault="003F6147" w:rsidP="003F6147">
      <w:pPr>
        <w:spacing w:after="0"/>
        <w:contextualSpacing/>
        <w:jc w:val="center"/>
      </w:pPr>
      <w:r w:rsidRPr="003F6147">
        <w:t xml:space="preserve">E-mail: </w:t>
      </w:r>
      <w:hyperlink r:id="rId22" w:history="1">
        <w:r w:rsidR="00E4291E" w:rsidRPr="000D2963">
          <w:rPr>
            <w:rStyle w:val="Hyperlink"/>
            <w:rFonts w:cs="Arial"/>
          </w:rPr>
          <w:t>Natalie.johnson@energy.ca.gov</w:t>
        </w:r>
      </w:hyperlink>
      <w:r w:rsidR="00E4291E">
        <w:t xml:space="preserve"> </w:t>
      </w:r>
    </w:p>
    <w:p w14:paraId="13FEBABF" w14:textId="77777777" w:rsidR="003F6147" w:rsidRPr="003F6147" w:rsidRDefault="003F6147" w:rsidP="003F6147">
      <w:pPr>
        <w:spacing w:after="0"/>
        <w:jc w:val="both"/>
      </w:pPr>
    </w:p>
    <w:p w14:paraId="2E4EF772" w14:textId="5B02A8FC" w:rsidR="003F6147" w:rsidRPr="003F6147" w:rsidRDefault="003F6147" w:rsidP="003F6147">
      <w:pPr>
        <w:jc w:val="both"/>
      </w:pPr>
      <w:r>
        <w:t xml:space="preserve">Applicants may ask questions at the Pre-Application Workshop and may submit written questions via </w:t>
      </w:r>
      <w:r w:rsidR="0017584F">
        <w:t>e</w:t>
      </w:r>
      <w:r>
        <w:t xml:space="preserve">mail. However, all </w:t>
      </w:r>
      <w:r w:rsidRPr="741C7C45">
        <w:rPr>
          <w:b/>
        </w:rPr>
        <w:t>technical</w:t>
      </w:r>
      <w: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questions concerning application format requirements or attachment instructions) may be submitted to the Commission Agreement Officer (CAO) at any time prior </w:t>
      </w:r>
      <w:r w:rsidR="00EA0DCF" w:rsidRPr="00EA0DCF">
        <w:t xml:space="preserve">to 5:00 p.m. of </w:t>
      </w:r>
      <w:r w:rsidRPr="003F6147">
        <w:t>the application deadline</w:t>
      </w:r>
      <w:r w:rsidR="005328D6">
        <w:t xml:space="preserve"> date</w:t>
      </w:r>
      <w:r w:rsidRPr="003F6147">
        <w:t xml:space="preserve">. </w:t>
      </w:r>
    </w:p>
    <w:p w14:paraId="2677A3E3" w14:textId="77777777" w:rsidR="003F6147" w:rsidRPr="003F6147" w:rsidRDefault="003F6147" w:rsidP="003F6147">
      <w:pPr>
        <w:spacing w:before="240"/>
        <w:jc w:val="both"/>
      </w:pPr>
      <w:r w:rsidRPr="003F6147">
        <w:t xml:space="preserve">The questions and answers will also be posted on the Commission’s website at: </w:t>
      </w:r>
      <w:r w:rsidR="005B073B" w:rsidRPr="005B073B">
        <w:t>https://www.energy.ca.gov/funding-opportunities/solicitations</w:t>
      </w:r>
    </w:p>
    <w:p w14:paraId="56D6FC47" w14:textId="3381A77B" w:rsidR="003F6147" w:rsidRPr="003F6147" w:rsidRDefault="003F6147" w:rsidP="003F6147">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the applicant may notify the CEC in writing and request modification or clarification of the solicitation. The CEC, at its discretion</w:t>
      </w:r>
      <w:r w:rsidR="00E4291E">
        <w:rPr>
          <w:szCs w:val="22"/>
        </w:rPr>
        <w:t>,</w:t>
      </w:r>
      <w:r w:rsidRPr="003F6147">
        <w:rPr>
          <w:szCs w:val="22"/>
        </w:rPr>
        <w:t xml:space="preserve"> will provide modifications or clarifications by either an addendum to the solicitation or by written notice </w:t>
      </w:r>
      <w:r w:rsidRPr="003F6147">
        <w:rPr>
          <w:szCs w:val="22"/>
        </w:rPr>
        <w:lastRenderedPageBreak/>
        <w:t xml:space="preserve">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E5CB89B" w:rsidR="003F6147" w:rsidRDefault="003F6147" w:rsidP="003F6147">
      <w:pPr>
        <w:spacing w:before="240"/>
        <w:jc w:val="both"/>
        <w:rPr>
          <w:b/>
        </w:rPr>
      </w:pPr>
      <w:r w:rsidRPr="003F6147">
        <w:rPr>
          <w:b/>
        </w:rPr>
        <w:t xml:space="preserve">Any verbal communication with a Commission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BA3BBD" w:rsidRDefault="00BA3BBD" w:rsidP="002427DC">
      <w:pPr>
        <w:pStyle w:val="Heading2"/>
        <w:numPr>
          <w:ilvl w:val="0"/>
          <w:numId w:val="58"/>
        </w:numPr>
        <w:rPr>
          <w:b w:val="0"/>
          <w:smallCaps w:val="0"/>
        </w:rPr>
      </w:pPr>
      <w:bookmarkStart w:id="56" w:name="_Toc522777845"/>
      <w:bookmarkStart w:id="57" w:name="_Toc26361578"/>
      <w:bookmarkStart w:id="58" w:name="_Toc143001047"/>
      <w:r w:rsidRPr="002D46F7">
        <w:t>Applicants’ Admonishment</w:t>
      </w:r>
      <w:bookmarkEnd w:id="56"/>
      <w:bookmarkEnd w:id="57"/>
      <w:bookmarkEnd w:id="58"/>
    </w:p>
    <w:p w14:paraId="0A661823" w14:textId="77777777" w:rsidR="00BA3BBD" w:rsidRPr="00505E89"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w:t>
      </w:r>
      <w:proofErr w:type="gramStart"/>
      <w:r w:rsidRPr="00BA3BBD">
        <w:t>submitting an application</w:t>
      </w:r>
      <w:proofErr w:type="gramEnd"/>
      <w:r w:rsidRPr="00505E89">
        <w:t xml:space="preserve">.  In particular, please carefully read the </w:t>
      </w:r>
      <w:r w:rsidRPr="00505E89">
        <w:rPr>
          <w:b/>
        </w:rPr>
        <w:t>Screening/Scoring Criteria and</w:t>
      </w:r>
      <w:r w:rsidRPr="00505E89">
        <w:t xml:space="preserve"> </w:t>
      </w:r>
      <w:r w:rsidRPr="00505E89">
        <w:rPr>
          <w:b/>
        </w:rPr>
        <w:t xml:space="preserve">Grounds for Rejection </w:t>
      </w:r>
      <w:r w:rsidRPr="00505E89">
        <w:t xml:space="preserve">in Part IV, and the relevant EPIC Grant terms and conditions located at: http://www.energy.ca.gov/research/contractors.html.  </w:t>
      </w:r>
    </w:p>
    <w:p w14:paraId="09B8AB8B" w14:textId="77777777" w:rsidR="00BA3BBD" w:rsidRPr="00505E89" w:rsidRDefault="00BA3BBD" w:rsidP="00BA3BBD">
      <w:pPr>
        <w:jc w:val="both"/>
      </w:pPr>
      <w:bookmarkStart w:id="59" w:name="_Toc433981277"/>
      <w:bookmarkStart w:id="60" w:name="_Toc395180625"/>
      <w:bookmarkStart w:id="61" w:name="_Toc382571127"/>
      <w:bookmarkStart w:id="62" w:name="_Toc381079868"/>
      <w:r w:rsidRPr="00505E89">
        <w:t>Applicants are solely responsible for the cost of developing applications.  This cost cannot be charged to the State.  All submitted documents will become publicly available records upon the posting of the Notice of Proposed Award.</w:t>
      </w:r>
      <w:bookmarkEnd w:id="59"/>
      <w:bookmarkEnd w:id="60"/>
      <w:bookmarkEnd w:id="61"/>
      <w:bookmarkEnd w:id="62"/>
    </w:p>
    <w:p w14:paraId="0C99A926" w14:textId="77777777" w:rsidR="00B703F3" w:rsidRPr="00BA3BBD" w:rsidRDefault="00B703F3" w:rsidP="00BA3BBD">
      <w:pPr>
        <w:jc w:val="both"/>
        <w:rPr>
          <w:b/>
        </w:rPr>
      </w:pPr>
    </w:p>
    <w:p w14:paraId="7DFACC60" w14:textId="50D53F3C" w:rsidR="00BA3BBD" w:rsidRPr="009F6FFB" w:rsidRDefault="009F6FFB" w:rsidP="002427DC">
      <w:pPr>
        <w:pStyle w:val="Heading2"/>
        <w:numPr>
          <w:ilvl w:val="0"/>
          <w:numId w:val="58"/>
        </w:numPr>
      </w:pPr>
      <w:bookmarkStart w:id="63" w:name="_Toc522777846"/>
      <w:bookmarkStart w:id="64" w:name="_Toc26361579"/>
      <w:bookmarkStart w:id="65" w:name="_Toc143001048"/>
      <w:bookmarkStart w:id="66" w:name="AddReq"/>
      <w:r>
        <w:t>A</w:t>
      </w:r>
      <w:r w:rsidR="00BA3BBD" w:rsidRPr="009F6FFB">
        <w:t xml:space="preserve">dditional </w:t>
      </w:r>
      <w:r>
        <w:t>R</w:t>
      </w:r>
      <w:r w:rsidR="00BA3BBD" w:rsidRPr="009F6FFB">
        <w:t>equirements</w:t>
      </w:r>
      <w:bookmarkEnd w:id="63"/>
      <w:bookmarkEnd w:id="64"/>
      <w:bookmarkEnd w:id="65"/>
    </w:p>
    <w:bookmarkEnd w:id="66"/>
    <w:p w14:paraId="197F7A36" w14:textId="32A793E1" w:rsidR="00BA3BBD" w:rsidRPr="00BA3BBD" w:rsidRDefault="00BA3BBD" w:rsidP="002427DC">
      <w:pPr>
        <w:numPr>
          <w:ilvl w:val="0"/>
          <w:numId w:val="66"/>
        </w:numPr>
        <w:spacing w:after="160"/>
        <w:ind w:right="720"/>
        <w:jc w:val="both"/>
      </w:pPr>
      <w:r>
        <w:t>Time is of the essence. Funds available under this solicitation have encumbrance deadlines as early as</w:t>
      </w:r>
      <w:r w:rsidR="00F50EFE" w:rsidRPr="41771188">
        <w:rPr>
          <w:color w:val="0070C0"/>
        </w:rPr>
        <w:t xml:space="preserve"> </w:t>
      </w:r>
      <w:r w:rsidR="00A511B4" w:rsidRPr="00E4291E">
        <w:t>June</w:t>
      </w:r>
      <w:r w:rsidRPr="00E4291E">
        <w:t xml:space="preserve"> 30, </w:t>
      </w:r>
      <w:r w:rsidR="00F50EFE" w:rsidRPr="00E4291E">
        <w:t>2025</w:t>
      </w:r>
      <w:r w:rsidRPr="00E4291E">
        <w:t xml:space="preserve">.  This means that the CEC must approve proposed awards at a business meeting (usually held monthly) prior to </w:t>
      </w:r>
      <w:r w:rsidR="00A511B4" w:rsidRPr="00E4291E">
        <w:t>June</w:t>
      </w:r>
      <w:r w:rsidRPr="00E4291E">
        <w:t xml:space="preserve"> 30, </w:t>
      </w:r>
      <w:r w:rsidR="00F50EFE" w:rsidRPr="00E4291E">
        <w:t>2025</w:t>
      </w:r>
      <w:r w:rsidR="231376D0" w:rsidRPr="00E4291E">
        <w:t>,</w:t>
      </w:r>
      <w:r w:rsidRPr="00E4291E">
        <w:t xml:space="preserve"> to avoid expiration of the funds. Prior to approval and encumbrance, the CEC must comply with the California Environmental Quality Act (CEQA</w:t>
      </w:r>
      <w:r>
        <w:t>). To comply with CEQA, the Commission must have CEQA-related information from applicants and sometimes other entities, such as local governments, in a timely manner.  Unfortunately, even with this information, the Commission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Commission to comply with CEQA and provide all CEQA-related information to the Commission in a timely manner such that the Commission is able to complete its review in time for it to meet its encumbrance deadline.</w:t>
      </w:r>
    </w:p>
    <w:p w14:paraId="4A801C7E" w14:textId="77777777" w:rsidR="00BA3BBD" w:rsidRPr="00BA3BBD" w:rsidRDefault="00BA3BBD" w:rsidP="002427DC">
      <w:pPr>
        <w:numPr>
          <w:ilvl w:val="0"/>
          <w:numId w:val="66"/>
        </w:numPr>
        <w:spacing w:after="160"/>
        <w:ind w:right="720"/>
        <w:jc w:val="both"/>
        <w:rPr>
          <w:szCs w:val="22"/>
        </w:rPr>
      </w:pPr>
      <w:r w:rsidRPr="00BA3BBD">
        <w:rPr>
          <w:szCs w:val="22"/>
        </w:rPr>
        <w:t xml:space="preserve">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Commission’s ability to meet its encumbrance deadline may thereby be jeopardized, the CEC may cancel a proposed award and award funds to the next highest scoring applicant, regardless of the originally proposed applicant’s diligence in submitting information and materials for CEQA </w:t>
      </w:r>
      <w:r w:rsidRPr="00BA3BBD">
        <w:rPr>
          <w:szCs w:val="22"/>
        </w:rPr>
        <w:lastRenderedPageBreak/>
        <w:t xml:space="preserve">review. </w:t>
      </w:r>
      <w:r w:rsidRPr="00BA3BBD">
        <w:t>Examples of situations that may arise related to CEQA review include but are not limited to</w:t>
      </w:r>
      <w:r w:rsidRPr="00BA3BBD">
        <w:rPr>
          <w:szCs w:val="22"/>
        </w:rPr>
        <w:t>:</w:t>
      </w:r>
    </w:p>
    <w:p w14:paraId="2FD1F46D" w14:textId="77777777" w:rsidR="00BA3BBD" w:rsidRPr="00BA3BBD" w:rsidRDefault="00BA3BBD" w:rsidP="002427DC">
      <w:pPr>
        <w:numPr>
          <w:ilvl w:val="0"/>
          <w:numId w:val="33"/>
        </w:numPr>
        <w:spacing w:after="160"/>
        <w:ind w:left="108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2427DC">
      <w:pPr>
        <w:numPr>
          <w:ilvl w:val="0"/>
          <w:numId w:val="33"/>
        </w:numPr>
        <w:spacing w:after="160"/>
        <w:ind w:left="1080" w:right="720"/>
        <w:jc w:val="both"/>
        <w:rPr>
          <w:szCs w:val="22"/>
        </w:rPr>
      </w:pPr>
      <w:r w:rsidRPr="00BA3BBD">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CE0B72" w14:textId="77777777" w:rsidR="00BA3BBD" w:rsidRPr="00BA3BBD" w:rsidRDefault="00BA3BBD" w:rsidP="002427DC">
      <w:pPr>
        <w:numPr>
          <w:ilvl w:val="0"/>
          <w:numId w:val="33"/>
        </w:numPr>
        <w:spacing w:after="160"/>
        <w:ind w:left="1080" w:right="720"/>
        <w:jc w:val="both"/>
        <w:rPr>
          <w:szCs w:val="22"/>
        </w:rPr>
      </w:pPr>
      <w:r w:rsidRPr="00BA3BBD">
        <w:rPr>
          <w:szCs w:val="22"/>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7C560226" w:rsidR="00BA3BBD" w:rsidRPr="00BA3BBD" w:rsidRDefault="00BA3BBD" w:rsidP="002427DC">
      <w:pPr>
        <w:numPr>
          <w:ilvl w:val="0"/>
          <w:numId w:val="33"/>
        </w:numPr>
        <w:spacing w:after="160"/>
        <w:ind w:left="1080" w:right="720"/>
        <w:jc w:val="both"/>
        <w:rPr>
          <w:b/>
        </w:rPr>
      </w:pPr>
      <w:r>
        <w:t>Example 4: If the proposed project clearly falls under a statutory or categorical exemption or is project for which another state agency or local jurisdiction has already adopted a CEQA finding that the project will cause no significant effect on the environment, the project will likely have greater success in attaining rapid completion of CEQA requirements.</w:t>
      </w:r>
    </w:p>
    <w:p w14:paraId="06726CFA" w14:textId="45A2862D" w:rsidR="00BA3BBD" w:rsidRDefault="00BA3BBD" w:rsidP="00BA3BBD">
      <w:pPr>
        <w:spacing w:after="240"/>
        <w:jc w:val="both"/>
      </w:pPr>
      <w:r w:rsidRPr="00BA3BBD">
        <w:t xml:space="preserve">The above examples are not exhaustive of instances in which the CEC may or may not be able to comply with CEQA within the encumbrance deadline and are only provided as further clarification for potential applicants.  Please plan project proposals accordingly.  </w:t>
      </w:r>
    </w:p>
    <w:p w14:paraId="0AEF90FE" w14:textId="77777777" w:rsidR="00BA3BBD" w:rsidRPr="00BA3BBD" w:rsidRDefault="00BA3BBD" w:rsidP="002427DC">
      <w:pPr>
        <w:pStyle w:val="Heading2"/>
        <w:numPr>
          <w:ilvl w:val="0"/>
          <w:numId w:val="58"/>
        </w:numPr>
        <w:rPr>
          <w:b w:val="0"/>
          <w:smallCaps w:val="0"/>
        </w:rPr>
      </w:pPr>
      <w:bookmarkStart w:id="67" w:name="_Toc522777847"/>
      <w:bookmarkStart w:id="68" w:name="_Toc26361580"/>
      <w:bookmarkStart w:id="69" w:name="_Toc143001049"/>
      <w:r w:rsidRPr="002D46F7">
        <w:t>Background</w:t>
      </w:r>
      <w:bookmarkEnd w:id="67"/>
      <w:bookmarkEnd w:id="68"/>
      <w:bookmarkEnd w:id="69"/>
    </w:p>
    <w:p w14:paraId="239A2223" w14:textId="77777777" w:rsidR="00BA3BBD" w:rsidRPr="00BA3BBD" w:rsidRDefault="00BA3BBD" w:rsidP="002427DC">
      <w:pPr>
        <w:numPr>
          <w:ilvl w:val="0"/>
          <w:numId w:val="29"/>
        </w:numPr>
        <w:tabs>
          <w:tab w:val="num" w:pos="360"/>
        </w:tabs>
        <w:rPr>
          <w:b/>
        </w:rPr>
      </w:pPr>
      <w:bookmarkStart w:id="70" w:name="_Toc433981280"/>
      <w:bookmarkStart w:id="71" w:name="_Toc395180627"/>
      <w:bookmarkStart w:id="72" w:name="_Toc382571129"/>
      <w:bookmarkStart w:id="73" w:name="_Toc381079870"/>
      <w:r w:rsidRPr="00BA3BBD">
        <w:rPr>
          <w:b/>
        </w:rPr>
        <w:t>Electric Program Investment Charge (EPIC) Program</w:t>
      </w:r>
      <w:bookmarkEnd w:id="70"/>
      <w:bookmarkEnd w:id="71"/>
      <w:bookmarkEnd w:id="72"/>
      <w:bookmarkEnd w:id="73"/>
    </w:p>
    <w:p w14:paraId="6B1C6597" w14:textId="63DC1CAB" w:rsidR="00BA3BBD" w:rsidRPr="00BA3BBD" w:rsidRDefault="5B0609D8" w:rsidP="00BA3BBD">
      <w:pPr>
        <w:jc w:val="both"/>
      </w:pPr>
      <w:r w:rsidRPr="00BA3BBD">
        <w:t>This solicitation will award projects funded by the EPIC, an electricity ratepayer surcharge established by the California Public Utilities Commission (CPUC) in December 2011.</w:t>
      </w:r>
      <w:r w:rsidR="00BA3BBD" w:rsidRPr="00BA3BBD">
        <w:rPr>
          <w:rFonts w:ascii="Times New Roman" w:hAnsi="Times New Roman" w:cs="Times New Roman"/>
          <w:vertAlign w:val="superscript"/>
        </w:rPr>
        <w:footnoteReference w:id="14"/>
      </w:r>
      <w:r w:rsidRPr="00BA3BBD">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3B71DD62" w:rsidRPr="00BA3BBD">
        <w:t xml:space="preserve">meet the guiding principles of </w:t>
      </w:r>
      <w:r w:rsidR="40AE79C5">
        <w:t>(1) improving safety, (2) increasing reliability, (3) increasing affordability, (4) improving environmental sustainability, and (5) improving equity, all as related to California's electric system.</w:t>
      </w:r>
      <w:r w:rsidR="00606770">
        <w:rPr>
          <w:rStyle w:val="FootnoteReference"/>
        </w:rPr>
        <w:footnoteReference w:id="15"/>
      </w:r>
      <w:r w:rsidR="40AE79C5">
        <w:t xml:space="preserve"> </w:t>
      </w:r>
      <w:r w:rsidRPr="00BA3BBD">
        <w:t xml:space="preserve">In addition to providing IOU ratepayer benefits, funded projects must lead to </w:t>
      </w:r>
      <w:r w:rsidRPr="00BA3BBD">
        <w:lastRenderedPageBreak/>
        <w:t>technological advancement and breakthroughs to overcome the barriers that prevent the achievement of the state’s statutory energy goals.</w:t>
      </w:r>
      <w:r w:rsidR="00BA3BBD" w:rsidRPr="00BA3BBD">
        <w:rPr>
          <w:rFonts w:ascii="Times New Roman" w:hAnsi="Times New Roman" w:cs="Times New Roman"/>
          <w:vertAlign w:val="superscript"/>
        </w:rPr>
        <w:footnoteReference w:id="16"/>
      </w:r>
      <w:r w:rsidRPr="00BA3BBD">
        <w:t xml:space="preserve">  The EPIC program is administered by the CEC and the IOUs.</w:t>
      </w:r>
    </w:p>
    <w:p w14:paraId="67267B86" w14:textId="6D126353" w:rsidR="344D9BA4" w:rsidRDefault="344D9BA4" w:rsidP="344D9BA4">
      <w:pPr>
        <w:jc w:val="both"/>
      </w:pPr>
    </w:p>
    <w:p w14:paraId="3B7239A2" w14:textId="77777777" w:rsidR="00BA3BBD" w:rsidRPr="00BA3BBD" w:rsidRDefault="00BA3BBD" w:rsidP="00BA3BBD">
      <w:pPr>
        <w:jc w:val="both"/>
      </w:pPr>
    </w:p>
    <w:p w14:paraId="2819C55C" w14:textId="77777777" w:rsidR="00BA3BBD" w:rsidRPr="00BA3BBD" w:rsidRDefault="00BA3BBD" w:rsidP="002427DC">
      <w:pPr>
        <w:numPr>
          <w:ilvl w:val="0"/>
          <w:numId w:val="67"/>
        </w:numPr>
        <w:tabs>
          <w:tab w:val="num" w:pos="360"/>
        </w:tabs>
        <w:rPr>
          <w:b/>
        </w:rPr>
      </w:pPr>
      <w:bookmarkStart w:id="74" w:name="PrgmAreas"/>
      <w:bookmarkStart w:id="75" w:name="chkAugment"/>
      <w:r w:rsidRPr="00BA3BBD">
        <w:rPr>
          <w:b/>
        </w:rPr>
        <w:t>Program Areas, Strategic Objectives, and Funding Initiatives</w:t>
      </w:r>
    </w:p>
    <w:bookmarkEnd w:id="74"/>
    <w:p w14:paraId="7FB51529" w14:textId="77777777" w:rsidR="00BA3BBD" w:rsidRPr="00BA3BBD" w:rsidRDefault="00BA3BBD" w:rsidP="004B4105">
      <w:pPr>
        <w:ind w:left="360"/>
        <w:jc w:val="both"/>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rsidP="002427DC">
      <w:pPr>
        <w:numPr>
          <w:ilvl w:val="0"/>
          <w:numId w:val="34"/>
        </w:numPr>
        <w:jc w:val="both"/>
      </w:pPr>
      <w:r w:rsidRPr="00BA3BBD">
        <w:t>Applied research and development;</w:t>
      </w:r>
    </w:p>
    <w:p w14:paraId="6B8763ED" w14:textId="77777777" w:rsidR="00BA3BBD" w:rsidRPr="00BA3BBD" w:rsidRDefault="00BA3BBD" w:rsidP="002427DC">
      <w:pPr>
        <w:numPr>
          <w:ilvl w:val="0"/>
          <w:numId w:val="34"/>
        </w:numPr>
        <w:jc w:val="both"/>
      </w:pPr>
      <w:r w:rsidRPr="00BA3BBD">
        <w:t xml:space="preserve">Technology demonstration and deployment; and </w:t>
      </w:r>
    </w:p>
    <w:p w14:paraId="441174A2" w14:textId="1277E5F3" w:rsidR="00BA3BBD" w:rsidRPr="00BA3BBD" w:rsidRDefault="00BA3BBD" w:rsidP="002427DC">
      <w:pPr>
        <w:numPr>
          <w:ilvl w:val="0"/>
          <w:numId w:val="34"/>
        </w:numPr>
        <w:jc w:val="both"/>
      </w:pPr>
      <w:r w:rsidRPr="00BA3BBD">
        <w:t>Market facilitation</w:t>
      </w:r>
      <w:r w:rsidR="006B7447">
        <w:t>.</w:t>
      </w:r>
    </w:p>
    <w:p w14:paraId="6CB4364D" w14:textId="0B564FDE" w:rsidR="00BA3BBD" w:rsidRPr="00BA3BBD" w:rsidRDefault="5B0609D8" w:rsidP="00BA3BBD">
      <w:pPr>
        <w:jc w:val="both"/>
        <w:rPr>
          <w:szCs w:val="22"/>
        </w:rPr>
      </w:pPr>
      <w:r w:rsidRPr="00BA3BBD">
        <w:t>In addition, projects must fall within one of the general focus areas (</w:t>
      </w:r>
      <w:r w:rsidRPr="1AD07D6F">
        <w:rPr>
          <w:b/>
          <w:bCs/>
        </w:rPr>
        <w:t>“strategic objectives”</w:t>
      </w:r>
      <w:r w:rsidRPr="00BA3BBD">
        <w:t>) identified in the CEC’s EPIC Investment Plans</w:t>
      </w:r>
      <w:r w:rsidR="003D6602">
        <w:rPr>
          <w:rStyle w:val="FootnoteReference"/>
        </w:rPr>
        <w:footnoteReference w:id="17"/>
      </w:r>
      <w:r w:rsidR="00BA3BBD" w:rsidRPr="00BA3BBD">
        <w:rPr>
          <w:vertAlign w:val="superscript"/>
        </w:rPr>
        <w:footnoteReference w:id="18"/>
      </w:r>
      <w:r w:rsidRPr="00BA3BBD">
        <w:t xml:space="preserve"> </w:t>
      </w:r>
      <w:r w:rsidR="00BA3BBD" w:rsidRPr="00BA3BBD">
        <w:rPr>
          <w:rFonts w:cs="Times New Roman"/>
          <w:vertAlign w:val="superscript"/>
        </w:rPr>
        <w:footnoteReference w:id="19"/>
      </w:r>
      <w:r w:rsidRPr="00BA3BBD">
        <w:t xml:space="preserve"> and within one or more specific focus areas (</w:t>
      </w:r>
      <w:r w:rsidRPr="1AD07D6F">
        <w:rPr>
          <w:b/>
          <w:bCs/>
        </w:rPr>
        <w:t>“funding initiatives”</w:t>
      </w:r>
      <w:r w:rsidRPr="00BA3BBD">
        <w:t>) identified in the plan.  This solicitation targets the following</w:t>
      </w:r>
      <w:r w:rsidRPr="3F455C4E">
        <w:t xml:space="preserve"> program area</w:t>
      </w:r>
      <w:r w:rsidR="7139ECDC" w:rsidRPr="3F455C4E">
        <w:rPr>
          <w:color w:val="0070C0"/>
        </w:rPr>
        <w:t>,</w:t>
      </w:r>
      <w:r w:rsidRPr="3F455C4E">
        <w:t xml:space="preserve"> strategic objective</w:t>
      </w:r>
      <w:r w:rsidR="7139ECDC" w:rsidRPr="3F455C4E">
        <w:rPr>
          <w:color w:val="0070C0"/>
        </w:rPr>
        <w:t>,</w:t>
      </w:r>
      <w:r w:rsidRPr="3F455C4E">
        <w:t xml:space="preserve"> and funding initiative</w:t>
      </w:r>
      <w:r w:rsidR="7139ECDC" w:rsidRPr="3F455C4E">
        <w:rPr>
          <w:color w:val="0070C0"/>
        </w:rPr>
        <w:t>:</w:t>
      </w:r>
    </w:p>
    <w:p w14:paraId="589424CD" w14:textId="28544E9E" w:rsidR="00BA3BBD" w:rsidRPr="00A8284B" w:rsidRDefault="00F50EFE" w:rsidP="00BA3BBD">
      <w:pPr>
        <w:jc w:val="both"/>
        <w:rPr>
          <w:b/>
        </w:rPr>
      </w:pPr>
      <w:r w:rsidRPr="00E4291E">
        <w:rPr>
          <w:b/>
        </w:rPr>
        <w:t>Electric Program Investment Charge Interim Investment Plan 2021</w:t>
      </w:r>
    </w:p>
    <w:p w14:paraId="4654BDFD" w14:textId="7F219581" w:rsidR="00BA3BBD" w:rsidRPr="00E4291E" w:rsidRDefault="00BA3BBD" w:rsidP="002427DC">
      <w:pPr>
        <w:numPr>
          <w:ilvl w:val="0"/>
          <w:numId w:val="35"/>
        </w:numPr>
        <w:jc w:val="both"/>
      </w:pPr>
      <w:bookmarkStart w:id="76" w:name="_Toc395180628"/>
      <w:bookmarkStart w:id="77" w:name="_Toc382571130"/>
      <w:bookmarkStart w:id="78" w:name="_Toc381079871"/>
      <w:r w:rsidRPr="00E4291E">
        <w:rPr>
          <w:b/>
        </w:rPr>
        <w:t>Program Area</w:t>
      </w:r>
      <w:r w:rsidRPr="00E4291E">
        <w:t xml:space="preserve">: </w:t>
      </w:r>
      <w:bookmarkEnd w:id="76"/>
      <w:bookmarkEnd w:id="77"/>
      <w:bookmarkEnd w:id="78"/>
      <w:r w:rsidR="00F50EFE" w:rsidRPr="00E4291E">
        <w:t>Technology Demonstration and Deployment</w:t>
      </w:r>
    </w:p>
    <w:p w14:paraId="3C0973DE" w14:textId="39796EEB" w:rsidR="00BA3BBD" w:rsidRPr="00E4291E" w:rsidRDefault="00BA3BBD" w:rsidP="002427DC">
      <w:pPr>
        <w:numPr>
          <w:ilvl w:val="0"/>
          <w:numId w:val="35"/>
        </w:numPr>
        <w:jc w:val="both"/>
        <w:rPr>
          <w:sz w:val="16"/>
          <w:szCs w:val="16"/>
        </w:rPr>
      </w:pPr>
      <w:bookmarkStart w:id="79" w:name="_Toc395180629"/>
      <w:bookmarkStart w:id="80" w:name="_Toc382571131"/>
      <w:bookmarkStart w:id="81" w:name="_Toc381079872"/>
      <w:r w:rsidRPr="00E4291E">
        <w:rPr>
          <w:b/>
        </w:rPr>
        <w:t>Strategic Objective</w:t>
      </w:r>
      <w:r w:rsidRPr="00E4291E">
        <w:t xml:space="preserve"> </w:t>
      </w:r>
      <w:bookmarkEnd w:id="79"/>
      <w:bookmarkEnd w:id="80"/>
      <w:bookmarkEnd w:id="81"/>
      <w:r w:rsidR="00F50EFE" w:rsidRPr="00E4291E">
        <w:t>Decarbonization, and Resilience and Reliability</w:t>
      </w:r>
    </w:p>
    <w:p w14:paraId="51AEE723" w14:textId="192BC32B" w:rsidR="00BA3BBD" w:rsidRPr="00E4291E" w:rsidRDefault="00BA3BBD" w:rsidP="002427DC">
      <w:pPr>
        <w:numPr>
          <w:ilvl w:val="1"/>
          <w:numId w:val="35"/>
        </w:numPr>
        <w:jc w:val="both"/>
        <w:rPr>
          <w:sz w:val="16"/>
          <w:szCs w:val="16"/>
        </w:rPr>
      </w:pPr>
      <w:bookmarkStart w:id="82" w:name="_Toc395180630"/>
      <w:bookmarkStart w:id="83" w:name="_Toc382571132"/>
      <w:bookmarkStart w:id="84" w:name="_Toc381079873"/>
      <w:r w:rsidRPr="00E4291E">
        <w:rPr>
          <w:b/>
        </w:rPr>
        <w:t xml:space="preserve">Funding Initiative </w:t>
      </w:r>
      <w:bookmarkEnd w:id="82"/>
      <w:bookmarkEnd w:id="83"/>
      <w:bookmarkEnd w:id="84"/>
      <w:r w:rsidR="00F50EFE" w:rsidRPr="00E4291E">
        <w:t>2: Energy Efficiency and Demand Response in Industrial and Commercial Cold Storage</w:t>
      </w:r>
    </w:p>
    <w:p w14:paraId="4FAEA642" w14:textId="3AC1403D" w:rsidR="00671E33" w:rsidRDefault="00AD2E9F" w:rsidP="00AD2E9F">
      <w:pPr>
        <w:jc w:val="both"/>
        <w:rPr>
          <w:b/>
          <w:bCs/>
          <w:szCs w:val="22"/>
        </w:rPr>
      </w:pPr>
      <w:r w:rsidRPr="00AD2E9F">
        <w:rPr>
          <w:b/>
          <w:bCs/>
          <w:szCs w:val="22"/>
        </w:rPr>
        <w:t>Reference Document</w:t>
      </w:r>
    </w:p>
    <w:p w14:paraId="5E31BC10" w14:textId="18637933" w:rsidR="00671E33" w:rsidRPr="00A8284B" w:rsidRDefault="00785270" w:rsidP="00785270">
      <w:pPr>
        <w:pStyle w:val="ListParagraph"/>
        <w:numPr>
          <w:ilvl w:val="0"/>
          <w:numId w:val="86"/>
        </w:numPr>
        <w:jc w:val="both"/>
        <w:rPr>
          <w:b/>
          <w:bCs/>
          <w:color w:val="FF0000"/>
          <w:szCs w:val="22"/>
          <w:u w:val="single"/>
        </w:rPr>
      </w:pPr>
      <w:r w:rsidRPr="00A8284B">
        <w:rPr>
          <w:rFonts w:ascii="Tahoma" w:eastAsia="Calibri" w:hAnsi="Tahoma" w:cs="Tahoma"/>
          <w:b/>
          <w:bCs/>
          <w:color w:val="FF0000"/>
          <w:szCs w:val="22"/>
          <w:u w:val="single"/>
          <w:shd w:val="clear" w:color="auto" w:fill="FFFFFF"/>
        </w:rPr>
        <w:t xml:space="preserve">Amarnath, Ammi, Andrea </w:t>
      </w:r>
      <w:proofErr w:type="spellStart"/>
      <w:r w:rsidRPr="00A8284B">
        <w:rPr>
          <w:rFonts w:ascii="Tahoma" w:eastAsia="Calibri" w:hAnsi="Tahoma" w:cs="Tahoma"/>
          <w:b/>
          <w:bCs/>
          <w:color w:val="FF0000"/>
          <w:szCs w:val="22"/>
          <w:u w:val="single"/>
          <w:shd w:val="clear" w:color="auto" w:fill="FFFFFF"/>
        </w:rPr>
        <w:t>Mammoli</w:t>
      </w:r>
      <w:proofErr w:type="spellEnd"/>
      <w:r w:rsidRPr="00A8284B">
        <w:rPr>
          <w:rFonts w:ascii="Tahoma" w:eastAsia="Calibri" w:hAnsi="Tahoma" w:cs="Tahoma"/>
          <w:b/>
          <w:bCs/>
          <w:color w:val="FF0000"/>
          <w:szCs w:val="22"/>
          <w:u w:val="single"/>
          <w:shd w:val="clear" w:color="auto" w:fill="FFFFFF"/>
        </w:rPr>
        <w:t xml:space="preserve">, Angela Chuang, David </w:t>
      </w:r>
      <w:proofErr w:type="spellStart"/>
      <w:r w:rsidRPr="00A8284B">
        <w:rPr>
          <w:rFonts w:ascii="Tahoma" w:eastAsia="Calibri" w:hAnsi="Tahoma" w:cs="Tahoma"/>
          <w:b/>
          <w:bCs/>
          <w:color w:val="FF0000"/>
          <w:szCs w:val="22"/>
          <w:u w:val="single"/>
          <w:shd w:val="clear" w:color="auto" w:fill="FFFFFF"/>
        </w:rPr>
        <w:t>Showunmi</w:t>
      </w:r>
      <w:proofErr w:type="spellEnd"/>
      <w:r w:rsidRPr="00A8284B">
        <w:rPr>
          <w:rFonts w:ascii="Tahoma" w:eastAsia="Calibri" w:hAnsi="Tahoma" w:cs="Tahoma"/>
          <w:b/>
          <w:bCs/>
          <w:color w:val="FF0000"/>
          <w:szCs w:val="22"/>
          <w:u w:val="single"/>
          <w:shd w:val="clear" w:color="auto" w:fill="FFFFFF"/>
        </w:rPr>
        <w:t xml:space="preserve">, Don </w:t>
      </w:r>
      <w:proofErr w:type="spellStart"/>
      <w:r w:rsidRPr="00A8284B">
        <w:rPr>
          <w:rFonts w:ascii="Tahoma" w:eastAsia="Calibri" w:hAnsi="Tahoma" w:cs="Tahoma"/>
          <w:b/>
          <w:bCs/>
          <w:color w:val="FF0000"/>
          <w:szCs w:val="22"/>
          <w:u w:val="single"/>
          <w:shd w:val="clear" w:color="auto" w:fill="FFFFFF"/>
        </w:rPr>
        <w:t>Shirey</w:t>
      </w:r>
      <w:proofErr w:type="spellEnd"/>
      <w:r w:rsidRPr="00A8284B">
        <w:rPr>
          <w:rFonts w:ascii="Tahoma" w:eastAsia="Calibri" w:hAnsi="Tahoma" w:cs="Tahoma"/>
          <w:b/>
          <w:bCs/>
          <w:color w:val="FF0000"/>
          <w:szCs w:val="22"/>
          <w:u w:val="single"/>
          <w:shd w:val="clear" w:color="auto" w:fill="FFFFFF"/>
        </w:rPr>
        <w:t xml:space="preserve">, Colin Lee, </w:t>
      </w:r>
      <w:proofErr w:type="spellStart"/>
      <w:r w:rsidRPr="00A8284B">
        <w:rPr>
          <w:rFonts w:ascii="Tahoma" w:eastAsia="Calibri" w:hAnsi="Tahoma" w:cs="Tahoma"/>
          <w:b/>
          <w:bCs/>
          <w:color w:val="FF0000"/>
          <w:szCs w:val="22"/>
          <w:u w:val="single"/>
          <w:shd w:val="clear" w:color="auto" w:fill="FFFFFF"/>
        </w:rPr>
        <w:t>Alekhya</w:t>
      </w:r>
      <w:proofErr w:type="spellEnd"/>
      <w:r w:rsidRPr="00A8284B">
        <w:rPr>
          <w:rFonts w:ascii="Tahoma" w:eastAsia="Calibri" w:hAnsi="Tahoma" w:cs="Tahoma"/>
          <w:b/>
          <w:bCs/>
          <w:color w:val="FF0000"/>
          <w:szCs w:val="22"/>
          <w:u w:val="single"/>
          <w:shd w:val="clear" w:color="auto" w:fill="FFFFFF"/>
        </w:rPr>
        <w:t xml:space="preserve"> </w:t>
      </w:r>
      <w:proofErr w:type="spellStart"/>
      <w:r w:rsidRPr="00A8284B">
        <w:rPr>
          <w:rFonts w:ascii="Tahoma" w:eastAsia="Calibri" w:hAnsi="Tahoma" w:cs="Tahoma"/>
          <w:b/>
          <w:bCs/>
          <w:color w:val="FF0000"/>
          <w:szCs w:val="22"/>
          <w:u w:val="single"/>
          <w:shd w:val="clear" w:color="auto" w:fill="FFFFFF"/>
        </w:rPr>
        <w:t>Vaddiraj</w:t>
      </w:r>
      <w:proofErr w:type="spellEnd"/>
      <w:r w:rsidRPr="00A8284B">
        <w:rPr>
          <w:rFonts w:ascii="Tahoma" w:eastAsia="Calibri" w:hAnsi="Tahoma" w:cs="Tahoma"/>
          <w:b/>
          <w:bCs/>
          <w:color w:val="FF0000"/>
          <w:szCs w:val="22"/>
          <w:u w:val="single"/>
          <w:shd w:val="clear" w:color="auto" w:fill="FFFFFF"/>
        </w:rPr>
        <w:t xml:space="preserve">, and Steve Hoffman. 2022. </w:t>
      </w:r>
      <w:r w:rsidRPr="00A8284B">
        <w:rPr>
          <w:rFonts w:ascii="Tahoma" w:eastAsia="Calibri" w:hAnsi="Tahoma" w:cs="Tahoma"/>
          <w:b/>
          <w:bCs/>
          <w:i/>
          <w:iCs/>
          <w:color w:val="FF0000"/>
          <w:szCs w:val="22"/>
          <w:u w:val="single"/>
          <w:shd w:val="clear" w:color="auto" w:fill="FFFFFF"/>
        </w:rPr>
        <w:t>Develop and Field Test Flexible Demand Response Control Strategies for Water Pumping Station and Industrial Refrigeration Plant</w:t>
      </w:r>
      <w:r w:rsidRPr="00A8284B">
        <w:rPr>
          <w:rFonts w:ascii="Tahoma" w:eastAsia="Calibri" w:hAnsi="Tahoma" w:cs="Tahoma"/>
          <w:b/>
          <w:bCs/>
          <w:color w:val="FF0000"/>
          <w:szCs w:val="22"/>
          <w:u w:val="single"/>
          <w:shd w:val="clear" w:color="auto" w:fill="FFFFFF"/>
        </w:rPr>
        <w:t>. California Energy Commission. Publication Number CEC-500-2023-060.</w:t>
      </w:r>
      <w:r w:rsidR="00035975">
        <w:rPr>
          <w:rStyle w:val="FootnoteReference"/>
          <w:rFonts w:ascii="Tahoma" w:eastAsia="Calibri" w:hAnsi="Tahoma"/>
          <w:b/>
          <w:bCs/>
          <w:color w:val="FF0000"/>
          <w:szCs w:val="22"/>
          <w:u w:val="single"/>
          <w:shd w:val="clear" w:color="auto" w:fill="FFFFFF"/>
        </w:rPr>
        <w:footnoteReference w:id="20"/>
      </w:r>
    </w:p>
    <w:p w14:paraId="5B4545AD" w14:textId="77777777" w:rsidR="00AD2E9F" w:rsidRPr="00E4291E" w:rsidRDefault="00AD2E9F" w:rsidP="00AD2E9F">
      <w:pPr>
        <w:jc w:val="both"/>
        <w:rPr>
          <w:sz w:val="16"/>
          <w:szCs w:val="16"/>
        </w:rPr>
      </w:pPr>
    </w:p>
    <w:p w14:paraId="532E031C" w14:textId="77777777" w:rsidR="00BA3BBD" w:rsidRPr="00BA3BBD" w:rsidRDefault="00BA3BBD" w:rsidP="002427DC">
      <w:pPr>
        <w:pStyle w:val="Heading2"/>
        <w:numPr>
          <w:ilvl w:val="0"/>
          <w:numId w:val="58"/>
        </w:numPr>
        <w:rPr>
          <w:b w:val="0"/>
          <w:smallCaps w:val="0"/>
        </w:rPr>
      </w:pPr>
      <w:bookmarkStart w:id="85" w:name="_Toc522777848"/>
      <w:bookmarkStart w:id="86" w:name="_Toc26361581"/>
      <w:bookmarkStart w:id="87" w:name="_Toc143001050"/>
      <w:r w:rsidRPr="002D46F7">
        <w:lastRenderedPageBreak/>
        <w:t>Match Funding</w:t>
      </w:r>
      <w:bookmarkEnd w:id="85"/>
      <w:bookmarkEnd w:id="86"/>
      <w:bookmarkEnd w:id="87"/>
    </w:p>
    <w:bookmarkEnd w:id="75"/>
    <w:p w14:paraId="273A2243" w14:textId="77777777" w:rsidR="00BA3BBD" w:rsidRPr="00BA3BBD" w:rsidRDefault="00BA3BBD" w:rsidP="002427DC">
      <w:pPr>
        <w:numPr>
          <w:ilvl w:val="0"/>
          <w:numId w:val="19"/>
        </w:numPr>
        <w:tabs>
          <w:tab w:val="left" w:pos="1080"/>
        </w:tabs>
        <w:ind w:left="1080"/>
        <w:jc w:val="both"/>
        <w:rPr>
          <w:szCs w:val="22"/>
        </w:rPr>
      </w:pPr>
      <w:r w:rsidRPr="00BA3BBD">
        <w:rPr>
          <w:b/>
          <w:szCs w:val="22"/>
        </w:rPr>
        <w:t>“Match funds”</w:t>
      </w:r>
      <w:r w:rsidRPr="00BA3BBD">
        <w:rPr>
          <w:szCs w:val="22"/>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14:paraId="7C413D0D" w14:textId="56CC9DA1" w:rsidR="00BA3BBD" w:rsidRPr="006F0F0B" w:rsidRDefault="00BA3BBD" w:rsidP="00BA3BBD">
      <w:pPr>
        <w:tabs>
          <w:tab w:val="left" w:pos="1080"/>
        </w:tabs>
        <w:ind w:left="1080"/>
        <w:jc w:val="both"/>
        <w:rPr>
          <w:szCs w:val="22"/>
        </w:rPr>
      </w:pPr>
      <w:r w:rsidRPr="00BA3BBD">
        <w:rPr>
          <w:szCs w:val="22"/>
        </w:rPr>
        <w:t xml:space="preserve">“Match funds” </w:t>
      </w:r>
      <w:r w:rsidRPr="00BA3BBD">
        <w:rPr>
          <w:szCs w:val="22"/>
          <w:u w:val="single"/>
        </w:rPr>
        <w:t>do not</w:t>
      </w:r>
      <w:r w:rsidRPr="00BA3BBD">
        <w:rPr>
          <w:szCs w:val="22"/>
        </w:rPr>
        <w:t xml:space="preserve"> </w:t>
      </w:r>
      <w:proofErr w:type="gramStart"/>
      <w:r w:rsidRPr="00BA3BBD">
        <w:rPr>
          <w:szCs w:val="22"/>
        </w:rPr>
        <w:t>include:</w:t>
      </w:r>
      <w:proofErr w:type="gramEnd"/>
      <w:r w:rsidRPr="00BA3BBD">
        <w:rPr>
          <w:szCs w:val="22"/>
        </w:rPr>
        <w:t xml:space="preserve"> CEC awards, EPIC funds received from other sources, future/contingent awards from other entities (public or private), the cost or value of the project work site</w:t>
      </w:r>
      <w:r w:rsidRPr="006F0F0B">
        <w:rPr>
          <w:szCs w:val="22"/>
        </w:rPr>
        <w:t>, or the cost or value of structures or other improvements</w:t>
      </w:r>
      <w:r w:rsidR="00306D68">
        <w:rPr>
          <w:szCs w:val="22"/>
        </w:rPr>
        <w:t xml:space="preserve"> </w:t>
      </w:r>
      <w:r w:rsidR="00306D68" w:rsidRPr="00306D68">
        <w:rPr>
          <w:b/>
          <w:bCs/>
          <w:szCs w:val="22"/>
          <w:u w:val="single"/>
        </w:rPr>
        <w:t xml:space="preserve">that do not provide value to the </w:t>
      </w:r>
      <w:r w:rsidR="00306D68" w:rsidRPr="00976C6A">
        <w:rPr>
          <w:b/>
          <w:bCs/>
          <w:szCs w:val="22"/>
          <w:u w:val="single"/>
        </w:rPr>
        <w:t>project</w:t>
      </w:r>
      <w:r w:rsidR="00976C6A">
        <w:rPr>
          <w:szCs w:val="22"/>
        </w:rPr>
        <w:t xml:space="preserve">. </w:t>
      </w:r>
      <w:r w:rsidR="00670BB8">
        <w:rPr>
          <w:szCs w:val="22"/>
        </w:rPr>
        <w:t xml:space="preserve">[ </w:t>
      </w:r>
      <w:r w:rsidRPr="00670BB8">
        <w:rPr>
          <w:strike/>
          <w:szCs w:val="22"/>
        </w:rPr>
        <w:t>affixed to the project work site permanently or for an indefinite period of time (e.g., photovoltaic systems)</w:t>
      </w:r>
      <w:r w:rsidR="00670BB8">
        <w:rPr>
          <w:szCs w:val="22"/>
        </w:rPr>
        <w:t xml:space="preserve"> ]</w:t>
      </w:r>
    </w:p>
    <w:p w14:paraId="6DD01E52" w14:textId="77777777" w:rsidR="00BA3BBD" w:rsidRPr="00BA3BBD" w:rsidRDefault="00BA3BBD" w:rsidP="00BA3BBD">
      <w:pPr>
        <w:tabs>
          <w:tab w:val="left" w:pos="1080"/>
        </w:tabs>
        <w:ind w:left="1080"/>
        <w:jc w:val="both"/>
        <w:rPr>
          <w:szCs w:val="22"/>
        </w:rPr>
      </w:pPr>
      <w:r w:rsidRPr="00BA3BBD">
        <w:rPr>
          <w:szCs w:val="22"/>
        </w:rPr>
        <w:t>Definitions of “match funding” categories are listed below:</w:t>
      </w:r>
    </w:p>
    <w:p w14:paraId="642820B4" w14:textId="77777777" w:rsidR="00BA3BBD" w:rsidRPr="00BA3BBD" w:rsidRDefault="00EC2034" w:rsidP="002427DC">
      <w:pPr>
        <w:numPr>
          <w:ilvl w:val="2"/>
          <w:numId w:val="19"/>
        </w:numPr>
        <w:tabs>
          <w:tab w:val="left" w:pos="1080"/>
          <w:tab w:val="left" w:pos="1440"/>
          <w:tab w:val="left" w:pos="1530"/>
        </w:tabs>
        <w:spacing w:before="120"/>
        <w:ind w:left="162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727B8F66" w14:textId="77777777" w:rsidR="00BA3BBD" w:rsidRPr="00BA3BBD" w:rsidRDefault="00BA3BBD" w:rsidP="002427DC">
      <w:pPr>
        <w:numPr>
          <w:ilvl w:val="2"/>
          <w:numId w:val="19"/>
        </w:numPr>
        <w:tabs>
          <w:tab w:val="left" w:pos="1080"/>
          <w:tab w:val="left" w:pos="1440"/>
          <w:tab w:val="left" w:pos="1530"/>
        </w:tabs>
        <w:spacing w:before="120"/>
        <w:ind w:left="1620"/>
        <w:jc w:val="both"/>
        <w:rPr>
          <w:szCs w:val="22"/>
        </w:rPr>
      </w:pPr>
      <w:r w:rsidRPr="00BA3BBD">
        <w:rPr>
          <w:b/>
          <w:szCs w:val="22"/>
        </w:rPr>
        <w:t>“In-Kind”</w:t>
      </w:r>
      <w:r w:rsidRPr="00BA3BBD">
        <w:rPr>
          <w:szCs w:val="22"/>
        </w:rPr>
        <w:t xml:space="preserve"> </w:t>
      </w:r>
      <w:r w:rsidRPr="00BA3BBD">
        <w:rPr>
          <w:b/>
          <w:szCs w:val="22"/>
        </w:rPr>
        <w:t>match</w:t>
      </w:r>
      <w:r w:rsidRPr="00BA3BBD">
        <w:rPr>
          <w:szCs w:val="22"/>
        </w:rPr>
        <w:t xml:space="preserve"> is typically in the form of the value of personnel, goods, and services, including direct and indirect costs. This can include equipment, facilities, and other property as long as the value of the contribution is based on documented market values or book values, prorated for its use in the project, and depreciated or amortized over the term of the project using generally accepted accounting principles (GAAP).</w:t>
      </w:r>
    </w:p>
    <w:p w14:paraId="6823458A" w14:textId="07023555" w:rsidR="00BA3BBD" w:rsidRPr="00BA3BBD" w:rsidRDefault="00BA3BBD" w:rsidP="002427DC">
      <w:pPr>
        <w:numPr>
          <w:ilvl w:val="0"/>
          <w:numId w:val="19"/>
        </w:numPr>
        <w:tabs>
          <w:tab w:val="left" w:pos="1080"/>
        </w:tabs>
        <w:spacing w:after="0"/>
        <w:ind w:left="1080"/>
        <w:jc w:val="both"/>
      </w:pPr>
      <w:r w:rsidRPr="00BA3BBD">
        <w:t>Match funds m</w:t>
      </w:r>
      <w:r w:rsidR="00CE3E28">
        <w:t>ust</w:t>
      </w:r>
      <w:r w:rsidRPr="00BA3BBD">
        <w:t xml:space="preserve"> be spent only during the agreement term, either before or concurrently with EPIC funds. Match funds also must be </w:t>
      </w:r>
      <w:r w:rsidRPr="00BA3BBD">
        <w:rPr>
          <w:szCs w:val="22"/>
        </w:rPr>
        <w:t>r</w:t>
      </w:r>
      <w:r w:rsidRPr="00BA3BBD">
        <w:t>eported in invoices submitted to the CEC.</w:t>
      </w:r>
      <w:r w:rsidRPr="00BA3BBD">
        <w:rPr>
          <w:b/>
        </w:rPr>
        <w:t xml:space="preserve"> </w:t>
      </w:r>
    </w:p>
    <w:p w14:paraId="2C2F9B99" w14:textId="77777777" w:rsidR="00BA3BBD" w:rsidRPr="00BA3BBD" w:rsidRDefault="00BA3BBD" w:rsidP="002427DC">
      <w:pPr>
        <w:numPr>
          <w:ilvl w:val="0"/>
          <w:numId w:val="19"/>
        </w:numPr>
        <w:tabs>
          <w:tab w:val="left" w:pos="1080"/>
        </w:tabs>
        <w:suppressAutoHyphens/>
        <w:ind w:left="1080"/>
        <w:jc w:val="both"/>
        <w:rPr>
          <w:szCs w:val="22"/>
        </w:rPr>
      </w:pPr>
      <w:r w:rsidRPr="00BA3BBD">
        <w:rPr>
          <w:szCs w:val="22"/>
        </w:rPr>
        <w:t xml:space="preserve">All applicants providing match funds must submit commitment letters, </w:t>
      </w:r>
      <w:r w:rsidRPr="00BA3BBD">
        <w:rPr>
          <w:b/>
          <w:szCs w:val="22"/>
        </w:rPr>
        <w:t>including prime and subcontractors</w:t>
      </w:r>
      <w:r w:rsidRPr="00BA3BBD">
        <w:rPr>
          <w:szCs w:val="22"/>
        </w:rPr>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Attachment 11, Commitment and Support Letter Form. Commitment and support letters must be submitted with the application to be considered. </w:t>
      </w:r>
    </w:p>
    <w:p w14:paraId="3970F59A" w14:textId="77777777" w:rsidR="00BA3BBD" w:rsidRPr="00BA3BBD" w:rsidRDefault="00BA3BBD" w:rsidP="002427DC">
      <w:pPr>
        <w:numPr>
          <w:ilvl w:val="0"/>
          <w:numId w:val="19"/>
        </w:numPr>
        <w:tabs>
          <w:tab w:val="left" w:pos="1080"/>
        </w:tabs>
        <w:suppressAutoHyphens/>
        <w:ind w:left="1080"/>
        <w:jc w:val="both"/>
        <w:rPr>
          <w:szCs w:val="22"/>
        </w:rPr>
      </w:pPr>
      <w:r w:rsidRPr="00BA3BBD">
        <w:rPr>
          <w:color w:val="000000" w:themeColor="text1"/>
          <w:szCs w:val="22"/>
        </w:rPr>
        <w:t>Any match pledged in Attachment 1 must be consistent with the amount or dollar value described in the commitment letter(s) (e.g., if $5,000 “cash in hand” funds are pledged in a commitment letter, Attachment 1 must match this amount).  Only the total amount pledged in the commitment letter(s) will be considered for match funding points.</w:t>
      </w:r>
    </w:p>
    <w:p w14:paraId="3D8AF78D" w14:textId="77777777" w:rsidR="00B2692C" w:rsidRPr="00BA3BBD" w:rsidRDefault="00B2692C" w:rsidP="00B2692C">
      <w:pPr>
        <w:tabs>
          <w:tab w:val="left" w:pos="1080"/>
          <w:tab w:val="left" w:pos="1440"/>
          <w:tab w:val="left" w:pos="1530"/>
        </w:tabs>
        <w:spacing w:after="60"/>
        <w:jc w:val="both"/>
        <w:rPr>
          <w:szCs w:val="22"/>
        </w:rPr>
      </w:pPr>
      <w:r w:rsidRPr="00BA3BBD">
        <w:rPr>
          <w:szCs w:val="22"/>
        </w:rPr>
        <w:t>Examples of preferred match share:</w:t>
      </w:r>
    </w:p>
    <w:p w14:paraId="1747B790" w14:textId="5892A22B" w:rsidR="00B2692C" w:rsidRDefault="00B2692C" w:rsidP="002427DC">
      <w:pPr>
        <w:numPr>
          <w:ilvl w:val="2"/>
          <w:numId w:val="19"/>
        </w:numPr>
        <w:tabs>
          <w:tab w:val="left" w:pos="1620"/>
        </w:tabs>
        <w:spacing w:before="120"/>
        <w:ind w:left="1620"/>
        <w:jc w:val="both"/>
        <w:rPr>
          <w:szCs w:val="22"/>
        </w:rPr>
      </w:pPr>
      <w:r w:rsidRPr="00BA3BBD">
        <w:rPr>
          <w:b/>
          <w:szCs w:val="22"/>
        </w:rPr>
        <w:t xml:space="preserve">“Travel” </w:t>
      </w:r>
      <w:r w:rsidRPr="00BA3BBD">
        <w:rPr>
          <w:szCs w:val="22"/>
        </w:rPr>
        <w:t>refers to all travel required to complete the tasks identified in the Scope of Work. Travel includes in-state and out-of-state</w:t>
      </w:r>
      <w:r w:rsidR="00580534">
        <w:rPr>
          <w:szCs w:val="22"/>
        </w:rPr>
        <w:t xml:space="preserve">, </w:t>
      </w:r>
      <w:r w:rsidRPr="00BA3BBD">
        <w:rPr>
          <w:szCs w:val="22"/>
        </w:rPr>
        <w:t xml:space="preserve">and travel to conferences. EPIC funds are limited to lodging and any form of transportation (e.g., airfare, rental car, public transit, parking, mileage). Use of match funds for out-of-state travel is encouraged, </w:t>
      </w:r>
      <w:r w:rsidR="00580534">
        <w:rPr>
          <w:szCs w:val="22"/>
        </w:rPr>
        <w:t>as</w:t>
      </w:r>
      <w:r w:rsidRPr="00BA3BBD">
        <w:rPr>
          <w:szCs w:val="22"/>
        </w:rPr>
        <w:t xml:space="preserve"> the CEC </w:t>
      </w:r>
      <w:r w:rsidR="00580534">
        <w:rPr>
          <w:szCs w:val="22"/>
        </w:rPr>
        <w:t>discourages and may</w:t>
      </w:r>
      <w:r w:rsidRPr="00BA3BBD">
        <w:rPr>
          <w:szCs w:val="22"/>
        </w:rPr>
        <w:t xml:space="preserve"> not approve the use of its funds for such travel. If an applicant plans to travel to conferences, including </w:t>
      </w:r>
      <w:r w:rsidRPr="00BA3BBD">
        <w:rPr>
          <w:szCs w:val="22"/>
        </w:rPr>
        <w:lastRenderedPageBreak/>
        <w:t xml:space="preserve">registration fees, they must use match funds.  Applicants shall adhere to travel restrictions of using state funds to travel to certain other states pursuant to AB 1887 (2016) and codified at California Government Code Section 11139.8. All applicants are encouraged to </w:t>
      </w:r>
      <w:r w:rsidR="00580534">
        <w:rPr>
          <w:szCs w:val="22"/>
        </w:rPr>
        <w:t xml:space="preserve">consider </w:t>
      </w:r>
      <w:r w:rsidRPr="00BA3BBD">
        <w:rPr>
          <w:szCs w:val="22"/>
        </w:rPr>
        <w:t xml:space="preserve">the Attorney General’s website </w:t>
      </w:r>
      <w:r w:rsidRPr="00EC2034">
        <w:rPr>
          <w:szCs w:val="22"/>
        </w:rPr>
        <w:t>https://oag.ca.gov/ab1887 for</w:t>
      </w:r>
      <w:r w:rsidRPr="00BA3BBD">
        <w:rPr>
          <w:szCs w:val="22"/>
        </w:rPr>
        <w:t xml:space="preserve"> a current list of states subject to travel restrictions.  </w:t>
      </w:r>
      <w:r w:rsidR="00580534">
        <w:rPr>
          <w:szCs w:val="22"/>
        </w:rPr>
        <w:t xml:space="preserve">Awarded </w:t>
      </w:r>
      <w:r w:rsidRPr="00BA3BBD">
        <w:rPr>
          <w:szCs w:val="22"/>
        </w:rPr>
        <w:t>Grants under this solicitation shall not contain travel paid for with Commission funds (applicants can instead use match funds) to the listed states unless the Commission approves in writing that the trip falls within one of the exceptions under the law.</w:t>
      </w:r>
    </w:p>
    <w:p w14:paraId="3559D2E6" w14:textId="6ECBFF8F" w:rsidR="00B2692C" w:rsidRPr="00BA3BBD" w:rsidRDefault="00B2692C" w:rsidP="002427DC">
      <w:pPr>
        <w:numPr>
          <w:ilvl w:val="2"/>
          <w:numId w:val="19"/>
        </w:numPr>
        <w:tabs>
          <w:tab w:val="left" w:pos="1620"/>
        </w:tabs>
        <w:spacing w:before="120"/>
        <w:ind w:left="1620"/>
        <w:jc w:val="both"/>
      </w:pPr>
      <w:r w:rsidRPr="741C7C45">
        <w:rPr>
          <w:b/>
        </w:rPr>
        <w:t xml:space="preserve">“Equipment” is </w:t>
      </w:r>
      <w:r w:rsidRPr="741C7C45">
        <w:rPr>
          <w:snapToGrid w:val="0"/>
        </w:rPr>
        <w:t xml:space="preserve">an item </w:t>
      </w:r>
      <w:r w:rsidRPr="741C7C45">
        <w:t>with a unit cost of at least $5,000 and a useful life of at least one ye</w:t>
      </w:r>
      <w:r w:rsidRPr="741C7C45">
        <w:rPr>
          <w:snapToGrid w:val="0"/>
        </w:rPr>
        <w:t xml:space="preserve">ar. </w:t>
      </w:r>
      <w:r w:rsidRPr="741C7C45">
        <w:rPr>
          <w:b/>
          <w:snapToGrid w:val="0"/>
        </w:rPr>
        <w:t>Purchasing equipment with match funding is encouraged</w:t>
      </w:r>
      <w:r w:rsidR="339C3D30" w:rsidRPr="741C7C45">
        <w:rPr>
          <w:b/>
          <w:bCs/>
          <w:snapToGrid w:val="0"/>
        </w:rPr>
        <w:t>,</w:t>
      </w:r>
      <w:r w:rsidR="00580534">
        <w:rPr>
          <w:snapToGrid w:val="0"/>
          <w:szCs w:val="22"/>
        </w:rPr>
        <w:t xml:space="preserve"> </w:t>
      </w:r>
      <w:r w:rsidR="00580534" w:rsidRPr="741C7C45">
        <w:rPr>
          <w:snapToGrid w:val="0"/>
        </w:rPr>
        <w:t>as</w:t>
      </w:r>
      <w:r w:rsidRPr="741C7C45">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1C1C2654" w:rsidR="00B2692C" w:rsidRPr="00B2692C" w:rsidRDefault="00B2692C" w:rsidP="002427DC">
      <w:pPr>
        <w:numPr>
          <w:ilvl w:val="2"/>
          <w:numId w:val="19"/>
        </w:numPr>
        <w:tabs>
          <w:tab w:val="left" w:pos="1620"/>
        </w:tabs>
        <w:spacing w:before="120"/>
        <w:ind w:left="1620"/>
        <w:jc w:val="both"/>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 xml:space="preserve">tablets is encouraged, as Energy Commission funds </w:t>
      </w:r>
      <w:r w:rsidR="003A2FCD">
        <w:rPr>
          <w:b/>
          <w:szCs w:val="22"/>
        </w:rPr>
        <w:t>for these purchases is not allowed</w:t>
      </w:r>
      <w:r w:rsidR="00974CF0" w:rsidRPr="00E47EF6">
        <w:rPr>
          <w:b/>
          <w:szCs w:val="22"/>
        </w:rPr>
        <w:t>.</w:t>
      </w:r>
      <w:r w:rsidR="00974CF0">
        <w:rPr>
          <w:szCs w:val="22"/>
        </w:rPr>
        <w:t xml:space="preserve">  </w:t>
      </w:r>
      <w:r w:rsidRPr="00E47EF6">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BA3BBD" w:rsidRDefault="00BA3BBD" w:rsidP="002427DC">
      <w:pPr>
        <w:pStyle w:val="Heading2"/>
        <w:numPr>
          <w:ilvl w:val="0"/>
          <w:numId w:val="58"/>
        </w:numPr>
        <w:rPr>
          <w:b w:val="0"/>
          <w:smallCaps w:val="0"/>
        </w:rPr>
      </w:pPr>
      <w:bookmarkStart w:id="88" w:name="_Toc26361582"/>
      <w:bookmarkStart w:id="89" w:name="_Toc143001051"/>
      <w:r w:rsidRPr="002D46F7">
        <w:t>Funds Spent in California</w:t>
      </w:r>
      <w:bookmarkEnd w:id="88"/>
      <w:bookmarkEnd w:id="89"/>
    </w:p>
    <w:p w14:paraId="0B507BF3" w14:textId="77777777" w:rsidR="00BA3BBD" w:rsidRPr="00BA3BBD" w:rsidRDefault="00BA3BBD" w:rsidP="002427DC">
      <w:pPr>
        <w:keepNext/>
        <w:keepLines/>
        <w:numPr>
          <w:ilvl w:val="0"/>
          <w:numId w:val="39"/>
        </w:numPr>
        <w:spacing w:before="60" w:after="60"/>
        <w:jc w:val="both"/>
        <w:outlineLvl w:val="2"/>
        <w:rPr>
          <w:b/>
        </w:rPr>
      </w:pPr>
      <w:r w:rsidRPr="00BA3BBD">
        <w:t>Only CEC reimbursable funds counts towards funds spent in California total.</w:t>
      </w:r>
    </w:p>
    <w:p w14:paraId="29AFD2E6" w14:textId="77777777" w:rsidR="00BA3BBD" w:rsidRPr="00BA3BBD" w:rsidRDefault="00BA3BBD" w:rsidP="002427DC">
      <w:pPr>
        <w:keepNext/>
        <w:keepLines/>
        <w:numPr>
          <w:ilvl w:val="0"/>
          <w:numId w:val="39"/>
        </w:numPr>
        <w:spacing w:before="60" w:after="60"/>
        <w:jc w:val="both"/>
        <w:outlineLvl w:val="2"/>
      </w:pPr>
      <w:r w:rsidRPr="00BA3BBD">
        <w:t xml:space="preserve">"Spent in California" means that: </w:t>
      </w:r>
    </w:p>
    <w:p w14:paraId="593A8F2E" w14:textId="77777777" w:rsidR="00BA3BBD" w:rsidRPr="00BA3BBD" w:rsidRDefault="00BA3BBD" w:rsidP="002427DC">
      <w:pPr>
        <w:keepNext/>
        <w:keepLines/>
        <w:numPr>
          <w:ilvl w:val="1"/>
          <w:numId w:val="39"/>
        </w:numPr>
        <w:spacing w:before="60" w:after="6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2427DC">
      <w:pPr>
        <w:keepNext/>
        <w:keepLines/>
        <w:numPr>
          <w:ilvl w:val="1"/>
          <w:numId w:val="39"/>
        </w:numPr>
        <w:spacing w:before="60" w:after="60"/>
        <w:jc w:val="both"/>
        <w:outlineLvl w:val="2"/>
      </w:pPr>
      <w:r w:rsidRPr="00BA3BBD">
        <w:t xml:space="preserve">(2) Business transactions (e.g., material and equipment purchases, leases, and rentals) are entered into with a business located in California. </w:t>
      </w:r>
    </w:p>
    <w:p w14:paraId="5C17B3FF" w14:textId="77777777" w:rsidR="00BA3BBD" w:rsidRPr="00BA3BBD" w:rsidRDefault="00BA3BBD" w:rsidP="002427DC">
      <w:pPr>
        <w:keepNext/>
        <w:keepLines/>
        <w:numPr>
          <w:ilvl w:val="1"/>
          <w:numId w:val="39"/>
        </w:numPr>
        <w:spacing w:before="60" w:after="60"/>
        <w:jc w:val="both"/>
        <w:outlineLvl w:val="2"/>
        <w:rPr>
          <w:b/>
        </w:rPr>
      </w:pPr>
      <w:r w:rsidRPr="00BA3BBD">
        <w:t>(3) Total should include any applicable subcontractors.</w:t>
      </w:r>
    </w:p>
    <w:p w14:paraId="14611B86" w14:textId="77777777" w:rsidR="00BA3BBD" w:rsidRPr="00BA3BBD" w:rsidRDefault="00BA3BBD" w:rsidP="00BA3BBD">
      <w:pPr>
        <w:tabs>
          <w:tab w:val="left" w:pos="1170"/>
        </w:tabs>
        <w:autoSpaceDE w:val="0"/>
        <w:autoSpaceDN w:val="0"/>
        <w:adjustRightInd w:val="0"/>
        <w:spacing w:after="0"/>
        <w:ind w:left="720"/>
        <w:jc w:val="both"/>
      </w:pPr>
    </w:p>
    <w:p w14:paraId="6C69AE02" w14:textId="38FBD1DF" w:rsidR="00BA3BBD" w:rsidRPr="00BA3BBD" w:rsidRDefault="00BA3BBD" w:rsidP="002427DC">
      <w:pPr>
        <w:keepNext/>
        <w:keepLines/>
        <w:numPr>
          <w:ilvl w:val="0"/>
          <w:numId w:val="39"/>
        </w:numPr>
        <w:spacing w:before="60" w:after="60"/>
        <w:jc w:val="both"/>
        <w:outlineLvl w:val="2"/>
      </w:pPr>
      <w:r>
        <w:t>Airline ticket purchases for out-of-state travel and payments made to out-of-state workers are not considered funds “spent in California.” However, funds spent by out-of-state workers in California (e.g.</w:t>
      </w:r>
      <w:r w:rsidR="6DB95137">
        <w:t>,</w:t>
      </w:r>
      <w:r>
        <w:t xml:space="preserve">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77777777" w:rsidR="00BA3BBD" w:rsidRPr="00BA3BBD" w:rsidRDefault="00BA3BBD" w:rsidP="002427DC">
      <w:pPr>
        <w:numPr>
          <w:ilvl w:val="1"/>
          <w:numId w:val="39"/>
        </w:numPr>
        <w:tabs>
          <w:tab w:val="left" w:pos="1800"/>
        </w:tabs>
        <w:autoSpaceDE w:val="0"/>
        <w:autoSpaceDN w:val="0"/>
        <w:adjustRightInd w:val="0"/>
        <w:jc w:val="both"/>
        <w:rPr>
          <w:szCs w:val="22"/>
        </w:rPr>
      </w:pPr>
      <w:r w:rsidRPr="00BA3BBD">
        <w:rPr>
          <w:szCs w:val="22"/>
        </w:rPr>
        <w:t xml:space="preserve">Example 1: Grant funds will be spent on temperature sensors.  The temperature sensors are manufactured in Texas. The recipient orders the temperature sensors directly from a CA based supply house.  The invoice shows that the transaction </w:t>
      </w:r>
      <w:r w:rsidRPr="00BA3BBD">
        <w:rPr>
          <w:szCs w:val="22"/>
        </w:rPr>
        <w:lastRenderedPageBreak/>
        <w:t>occurred with the CA based supply house. This transaction is eligible and can be counted as funds spent in CA.</w:t>
      </w:r>
    </w:p>
    <w:p w14:paraId="563ADD18" w14:textId="55C1A49B" w:rsidR="003F6147" w:rsidRPr="00E4291E" w:rsidRDefault="00BA3BBD" w:rsidP="00E4291E">
      <w:pPr>
        <w:numPr>
          <w:ilvl w:val="1"/>
          <w:numId w:val="39"/>
        </w:numPr>
        <w:tabs>
          <w:tab w:val="left" w:pos="1800"/>
        </w:tabs>
        <w:autoSpaceDE w:val="0"/>
        <w:autoSpaceDN w:val="0"/>
        <w:adjustRightInd w:val="0"/>
        <w:jc w:val="both"/>
        <w:rPr>
          <w:szCs w:val="22"/>
        </w:rPr>
      </w:pPr>
      <w:r w:rsidRPr="00BA3BBD">
        <w:rPr>
          <w:szCs w:val="22"/>
        </w:rPr>
        <w:t>Example 2: Grant funds will be spent on temperature sensors. The temperature sensors are manufactured in Texas. The recipient orders the temperature sensors directly from Texas.  The manufacturer has training centers in CA that instructs purchasers on how to use the sensors. The invoice shows that the transaction occurred in Texas. This transaction is not eligible and cannot be counted as funds spent in CA.</w:t>
      </w:r>
      <w:r w:rsidR="003F6147" w:rsidRPr="00E4291E">
        <w:rPr>
          <w:b/>
        </w:rPr>
        <w:br w:type="page"/>
      </w:r>
    </w:p>
    <w:p w14:paraId="2B40CFCA" w14:textId="77777777" w:rsidR="0061342D" w:rsidRDefault="001C2D56" w:rsidP="0061342D">
      <w:pPr>
        <w:pStyle w:val="Heading1"/>
        <w:keepLines w:val="0"/>
        <w:spacing w:before="0" w:after="120"/>
        <w:jc w:val="both"/>
      </w:pPr>
      <w:bookmarkStart w:id="90" w:name="_Toc336443618"/>
      <w:bookmarkStart w:id="91" w:name="_Toc366671173"/>
      <w:bookmarkStart w:id="92" w:name="_Toc143001052"/>
      <w:bookmarkStart w:id="93" w:name="_Toc310513471"/>
      <w:bookmarkStart w:id="94" w:name="_Toc198951306"/>
      <w:bookmarkStart w:id="95" w:name="_Toc201713533"/>
      <w:bookmarkStart w:id="96" w:name="_Toc217726087"/>
      <w:bookmarkStart w:id="97" w:name="_Toc219275083"/>
      <w:bookmarkEnd w:id="1"/>
      <w:bookmarkEnd w:id="2"/>
      <w:bookmarkEnd w:id="3"/>
      <w:bookmarkEnd w:id="4"/>
      <w:bookmarkEnd w:id="5"/>
      <w:bookmarkEnd w:id="6"/>
      <w:bookmarkEnd w:id="53"/>
      <w:bookmarkEnd w:id="54"/>
      <w:bookmarkEnd w:id="55"/>
      <w:r w:rsidRPr="00C31C1D">
        <w:lastRenderedPageBreak/>
        <w:t>II.</w:t>
      </w:r>
      <w:r w:rsidRPr="00C31C1D">
        <w:tab/>
        <w:t>Eligibility Requirements</w:t>
      </w:r>
      <w:bookmarkEnd w:id="90"/>
      <w:bookmarkEnd w:id="91"/>
      <w:bookmarkEnd w:id="92"/>
    </w:p>
    <w:p w14:paraId="70704BB3" w14:textId="77777777" w:rsidR="0067542B" w:rsidRPr="00756BAC" w:rsidRDefault="0067542B" w:rsidP="002427DC">
      <w:pPr>
        <w:pStyle w:val="Heading2"/>
        <w:numPr>
          <w:ilvl w:val="0"/>
          <w:numId w:val="59"/>
        </w:numPr>
      </w:pPr>
      <w:bookmarkStart w:id="98" w:name="_Toc336443619"/>
      <w:bookmarkStart w:id="99" w:name="_Toc366671174"/>
      <w:bookmarkStart w:id="100" w:name="_Toc143001053"/>
      <w:bookmarkEnd w:id="93"/>
      <w:r w:rsidRPr="00756BAC">
        <w:t>Applicant</w:t>
      </w:r>
      <w:bookmarkEnd w:id="98"/>
      <w:bookmarkEnd w:id="99"/>
      <w:r w:rsidRPr="00756BAC">
        <w:t xml:space="preserve"> Requirements</w:t>
      </w:r>
      <w:bookmarkEnd w:id="100"/>
    </w:p>
    <w:p w14:paraId="1F1511A2" w14:textId="77777777" w:rsidR="00DE1CBD" w:rsidRPr="00BE64A5" w:rsidRDefault="00DE1CBD" w:rsidP="002427DC">
      <w:pPr>
        <w:numPr>
          <w:ilvl w:val="0"/>
          <w:numId w:val="26"/>
        </w:numPr>
        <w:spacing w:before="240"/>
        <w:jc w:val="both"/>
        <w:rPr>
          <w:b/>
          <w:szCs w:val="22"/>
        </w:rPr>
      </w:pPr>
      <w:bookmarkStart w:id="101" w:name="Elig"/>
      <w:r w:rsidRPr="00BE64A5">
        <w:rPr>
          <w:b/>
          <w:szCs w:val="22"/>
        </w:rPr>
        <w:t>Eligibility</w:t>
      </w:r>
    </w:p>
    <w:bookmarkEnd w:id="101"/>
    <w:p w14:paraId="1AA9FCF2" w14:textId="77777777" w:rsidR="00527202" w:rsidRPr="00527202" w:rsidRDefault="0DD20FA4" w:rsidP="00527202">
      <w:pPr>
        <w:jc w:val="both"/>
        <w:rPr>
          <w:szCs w:val="22"/>
        </w:rPr>
      </w:pPr>
      <w:r w:rsidRPr="3F455C4E">
        <w:t xml:space="preserve">This solicitation is open to all public and </w:t>
      </w:r>
      <w:r w:rsidR="30D45799" w:rsidRPr="3F455C4E">
        <w:t>private entities</w:t>
      </w:r>
      <w:r w:rsidRPr="3F455C4E">
        <w:t xml:space="preserve"> with the exception of </w:t>
      </w:r>
      <w:r w:rsidR="1FB750F9" w:rsidRPr="3F455C4E">
        <w:t xml:space="preserve">local </w:t>
      </w:r>
      <w:r w:rsidRPr="3F455C4E">
        <w:t>publicly</w:t>
      </w:r>
      <w:r w:rsidR="1FB750F9">
        <w:rPr>
          <w:szCs w:val="22"/>
        </w:rPr>
        <w:t xml:space="preserve"> </w:t>
      </w:r>
      <w:r w:rsidRPr="3F455C4E">
        <w:t xml:space="preserve">owned </w:t>
      </w:r>
      <w:r w:rsidR="1FB750F9" w:rsidRPr="3F455C4E">
        <w:t xml:space="preserve">electric </w:t>
      </w:r>
      <w:r w:rsidRPr="3F455C4E">
        <w:t>utilities.</w:t>
      </w:r>
      <w:r w:rsidR="00BB7B2E" w:rsidRPr="3F455C4E">
        <w:rPr>
          <w:rStyle w:val="FootnoteReference"/>
        </w:rPr>
        <w:footnoteReference w:id="21"/>
      </w:r>
      <w:r w:rsidRPr="00527202">
        <w:rPr>
          <w:szCs w:val="22"/>
        </w:rPr>
        <w:t xml:space="preserve"> </w:t>
      </w:r>
      <w:r w:rsidR="5C17507B">
        <w:rPr>
          <w:szCs w:val="22"/>
        </w:rPr>
        <w:t xml:space="preserve"> </w:t>
      </w:r>
      <w:r w:rsidRPr="3F455C4E">
        <w:t xml:space="preserve">In accordance with CPUC Decision 12-05-037, funds administered by the </w:t>
      </w:r>
      <w:r w:rsidR="6ED82C73" w:rsidRPr="3F455C4E">
        <w:t>CEC</w:t>
      </w:r>
      <w:r w:rsidRPr="3F455C4E">
        <w:t xml:space="preserve"> may not be used for any purposes associated with </w:t>
      </w:r>
      <w:r w:rsidR="5C17507B" w:rsidRPr="3F455C4E">
        <w:t xml:space="preserve">local </w:t>
      </w:r>
      <w:r w:rsidRPr="3F455C4E">
        <w:t>publicly</w:t>
      </w:r>
      <w:r w:rsidR="5C17507B">
        <w:rPr>
          <w:szCs w:val="22"/>
        </w:rPr>
        <w:t xml:space="preserve"> </w:t>
      </w:r>
      <w:r w:rsidRPr="3F455C4E">
        <w:t xml:space="preserve">owned </w:t>
      </w:r>
      <w:r w:rsidR="5C17507B" w:rsidRPr="3F455C4E">
        <w:t xml:space="preserve">electric </w:t>
      </w:r>
      <w:r w:rsidRPr="3F455C4E">
        <w:t xml:space="preserve">utility activities. </w:t>
      </w:r>
    </w:p>
    <w:p w14:paraId="3FC9E9BE" w14:textId="77777777" w:rsidR="00B13BC2" w:rsidRPr="00EB4A0E" w:rsidRDefault="001C2D56" w:rsidP="002427DC">
      <w:pPr>
        <w:numPr>
          <w:ilvl w:val="0"/>
          <w:numId w:val="26"/>
        </w:numPr>
        <w:spacing w:before="240"/>
        <w:jc w:val="both"/>
        <w:rPr>
          <w:rFonts w:ascii="Arial Bold" w:hAnsi="Arial Bold"/>
          <w:b/>
          <w:smallCaps/>
          <w:u w:val="single"/>
        </w:rPr>
      </w:pPr>
      <w:bookmarkStart w:id="102" w:name="_Toc381079914"/>
      <w:bookmarkStart w:id="103" w:name="_Toc382571176"/>
      <w:bookmarkStart w:id="104" w:name="_Toc395180678"/>
      <w:bookmarkStart w:id="105" w:name="_Toc433981305"/>
      <w:r w:rsidRPr="00C07F85">
        <w:rPr>
          <w:b/>
        </w:rPr>
        <w:t>Terms and Conditions</w:t>
      </w:r>
      <w:bookmarkEnd w:id="102"/>
      <w:bookmarkEnd w:id="103"/>
      <w:bookmarkEnd w:id="104"/>
      <w:bookmarkEnd w:id="105"/>
    </w:p>
    <w:p w14:paraId="74D89435" w14:textId="61E0DF1A" w:rsidR="00706FF5" w:rsidRDefault="00706FF5" w:rsidP="008B21DC">
      <w:pPr>
        <w:jc w:val="both"/>
      </w:pPr>
      <w:r>
        <w:t xml:space="preserve">Each grant agreement resulting from this solicitation will include terms and conditions that set forth the recipient’s rights and responsibilities. By signing the Application Form (Attachment 1), each applicant agrees to </w:t>
      </w:r>
      <w:r w:rsidRPr="348FBD91">
        <w:rPr>
          <w:rStyle w:val="Style10pt"/>
        </w:rPr>
        <w:t>enter into an agreement with the CEC to conduct the proposed project according to the terms and conditions that correspond to its organization, without negotiation</w:t>
      </w:r>
      <w:r>
        <w:t xml:space="preserve">: (1) University of California and California State University terms and conditions; (2) U.S. Department of Energy terms and conditions; (3) special terms and conditions for Tribes and tribal corporations; </w:t>
      </w:r>
      <w:r w:rsidR="0073313D">
        <w:t>or</w:t>
      </w:r>
      <w:r>
        <w:t xml:space="preserve"> (4) </w:t>
      </w:r>
      <w:r w:rsidR="0073313D">
        <w:t xml:space="preserve">CEC’s / the State of California’s </w:t>
      </w:r>
      <w:r>
        <w:t xml:space="preserve">standard terms and conditions. All terms and conditions are located at http://www.energy.ca.gov/research/contractors.html, with the exception of special terms and conditions for California Native American Tribe (Tribe) or a California Tribal Organization (Tribal Organization), which will be posted on this GFO website. Please refer to the applicable EPIC Grant terms and conditions. Failure to agree to the terms and conditions by taking actions such as failing to sign the Application Form or indicating that acceptance is based on modification of the terms will result in </w:t>
      </w:r>
      <w:r w:rsidRPr="00706FF5">
        <w:rPr>
          <w:b/>
          <w:bCs/>
        </w:rPr>
        <w:t>rejection</w:t>
      </w:r>
      <w:r>
        <w:t xml:space="preserve"> of the application. Applicants </w:t>
      </w:r>
      <w:r w:rsidRPr="00706FF5">
        <w:rPr>
          <w:b/>
          <w:bCs/>
        </w:rPr>
        <w:t>must</w:t>
      </w:r>
      <w:r>
        <w:t xml:space="preserve"> </w:t>
      </w:r>
      <w:r w:rsidRPr="00706FF5">
        <w:rPr>
          <w:b/>
          <w:bCs/>
        </w:rPr>
        <w:t xml:space="preserve">read </w:t>
      </w:r>
      <w:r>
        <w:t>the terms and conditions carefully.</w:t>
      </w:r>
      <w:r w:rsidRPr="00706FF5">
        <w:rPr>
          <w:b/>
          <w:bCs/>
        </w:rPr>
        <w:t xml:space="preserve"> </w:t>
      </w:r>
      <w:r>
        <w:t>The CEC reserves the right to modify the terms and conditions</w:t>
      </w:r>
      <w:r w:rsidRPr="00706FF5">
        <w:rPr>
          <w:b/>
          <w:bCs/>
        </w:rPr>
        <w:t xml:space="preserve"> </w:t>
      </w:r>
      <w:r>
        <w:t xml:space="preserve">prior to executing grant agreements.  </w:t>
      </w:r>
    </w:p>
    <w:p w14:paraId="519A844E" w14:textId="0E7BCD2A" w:rsidR="4237CB70" w:rsidRDefault="4237CB70" w:rsidP="008B21DC">
      <w:pPr>
        <w:jc w:val="both"/>
        <w:rPr>
          <w:rFonts w:eastAsia="Arial"/>
          <w:szCs w:val="22"/>
        </w:rPr>
      </w:pPr>
      <w:r w:rsidRPr="41771188">
        <w:rPr>
          <w:rFonts w:eastAsia="Arial"/>
          <w:szCs w:val="22"/>
        </w:rPr>
        <w:t xml:space="preserve">If a Tribe or Tribal Organization with sovereign immunity is listed as a proposed awardee in the Notice of Proposed Awards (NOPA), CEC staff must receive the following before bringing the proposed award to </w:t>
      </w:r>
      <w:r w:rsidR="3BC7C3A4" w:rsidRPr="41771188">
        <w:rPr>
          <w:rFonts w:eastAsia="Arial"/>
          <w:szCs w:val="22"/>
        </w:rPr>
        <w:t xml:space="preserve">a </w:t>
      </w:r>
      <w:r w:rsidRPr="41771188">
        <w:rPr>
          <w:rFonts w:eastAsia="Arial"/>
          <w:szCs w:val="22"/>
        </w:rPr>
        <w:t xml:space="preserve">Business Meeting: </w:t>
      </w:r>
    </w:p>
    <w:p w14:paraId="0D06F249" w14:textId="2BE45A41" w:rsidR="4237CB70" w:rsidRDefault="4237CB70" w:rsidP="008B21DC">
      <w:pPr>
        <w:tabs>
          <w:tab w:val="left" w:pos="810"/>
        </w:tabs>
        <w:ind w:left="360" w:hanging="360"/>
        <w:jc w:val="both"/>
        <w:rPr>
          <w:rFonts w:eastAsia="Arial"/>
          <w:szCs w:val="22"/>
        </w:rPr>
      </w:pPr>
      <w:r w:rsidRPr="41771188">
        <w:rPr>
          <w:rFonts w:eastAsia="Arial"/>
          <w:szCs w:val="22"/>
        </w:rPr>
        <w:t>1.</w:t>
      </w:r>
      <w:r>
        <w:tab/>
      </w:r>
      <w:r w:rsidRPr="41771188">
        <w:rPr>
          <w:rFonts w:eastAsia="Arial"/>
          <w:szCs w:val="22"/>
        </w:rPr>
        <w:t xml:space="preserve">A resolution or other authorizing document by the governing body of the Tribe or Tribal Organization authorizing the Tribe or Tribal Organization to enter into the proposed agreement, including accepting the Special Terms and Conditions for California Native American Tribes and California Tribal Organizations with Sovereign Immunity (see Attachment </w:t>
      </w:r>
      <w:r w:rsidR="00AC695D">
        <w:rPr>
          <w:rFonts w:eastAsia="Arial"/>
          <w:szCs w:val="22"/>
        </w:rPr>
        <w:t>13</w:t>
      </w:r>
      <w:r w:rsidRPr="41771188">
        <w:rPr>
          <w:rFonts w:eastAsia="Arial"/>
          <w:szCs w:val="22"/>
        </w:rPr>
        <w:t>).</w:t>
      </w:r>
    </w:p>
    <w:p w14:paraId="4BE3F268" w14:textId="616110F6" w:rsidR="4237CB70" w:rsidRDefault="4237CB70" w:rsidP="008B21DC">
      <w:pPr>
        <w:tabs>
          <w:tab w:val="left" w:pos="810"/>
        </w:tabs>
        <w:ind w:left="360" w:hanging="360"/>
        <w:jc w:val="both"/>
        <w:rPr>
          <w:rFonts w:eastAsia="Arial"/>
          <w:szCs w:val="22"/>
        </w:rPr>
      </w:pPr>
      <w:r w:rsidRPr="41771188">
        <w:rPr>
          <w:rFonts w:eastAsia="Arial"/>
          <w:szCs w:val="22"/>
        </w:rPr>
        <w:t>2.</w:t>
      </w:r>
      <w:r>
        <w:tab/>
      </w:r>
      <w:r w:rsidRPr="41771188">
        <w:rPr>
          <w:rFonts w:eastAsia="Arial"/>
          <w:szCs w:val="22"/>
        </w:rPr>
        <w:t xml:space="preserve">A limited waiver of sovereign immunity in the form and manner required by tribal law; and </w:t>
      </w:r>
    </w:p>
    <w:p w14:paraId="1FBD5728" w14:textId="101EABF7" w:rsidR="4237CB70" w:rsidRDefault="4237CB70" w:rsidP="008B21DC">
      <w:pPr>
        <w:tabs>
          <w:tab w:val="left" w:pos="810"/>
        </w:tabs>
        <w:ind w:left="360" w:hanging="360"/>
        <w:jc w:val="both"/>
        <w:rPr>
          <w:rFonts w:eastAsia="Arial"/>
          <w:szCs w:val="22"/>
        </w:rPr>
      </w:pPr>
      <w:r w:rsidRPr="41771188">
        <w:rPr>
          <w:rFonts w:eastAsia="Arial"/>
          <w:szCs w:val="22"/>
        </w:rPr>
        <w:t>3.</w:t>
      </w:r>
      <w:r>
        <w:tab/>
      </w:r>
      <w:r w:rsidRPr="41771188">
        <w:rPr>
          <w:rFonts w:eastAsia="Arial"/>
          <w:szCs w:val="22"/>
        </w:rPr>
        <w:t xml:space="preserve">A resolution or other authorizing document delegating authority to execute the agreement to an appropriate individual. </w:t>
      </w:r>
    </w:p>
    <w:p w14:paraId="0D9FFC6A" w14:textId="350D8CF6" w:rsidR="4237CB70" w:rsidRDefault="4237CB70" w:rsidP="008B21DC">
      <w:pPr>
        <w:jc w:val="both"/>
        <w:rPr>
          <w:rFonts w:eastAsia="Arial"/>
          <w:szCs w:val="22"/>
        </w:rPr>
      </w:pPr>
      <w:r w:rsidRPr="41771188">
        <w:rPr>
          <w:rFonts w:eastAsia="Arial"/>
          <w:szCs w:val="22"/>
        </w:rPr>
        <w:t xml:space="preserve">The above requirements may be provided in one or more documents. The document(s) will be included as an exhibit to the resulting grant agreement. </w:t>
      </w:r>
    </w:p>
    <w:p w14:paraId="649A2B68" w14:textId="3EAA14FF" w:rsidR="4237CB70" w:rsidRDefault="4237CB70" w:rsidP="008B21DC">
      <w:pPr>
        <w:jc w:val="both"/>
        <w:rPr>
          <w:rFonts w:eastAsia="Arial"/>
          <w:szCs w:val="22"/>
        </w:rPr>
      </w:pPr>
      <w:r w:rsidRPr="41771188">
        <w:rPr>
          <w:rFonts w:eastAsia="Arial"/>
          <w:szCs w:val="22"/>
        </w:rPr>
        <w:t>Delay in award. Any delay in the Tribe or Tribal Organization’s ability to provide such documentation may result in delayed award of the grant agreement.</w:t>
      </w:r>
    </w:p>
    <w:p w14:paraId="30E2CC89" w14:textId="77777777" w:rsidR="00706FF5" w:rsidRDefault="00706FF5" w:rsidP="002C206F">
      <w:pPr>
        <w:jc w:val="both"/>
        <w:rPr>
          <w:szCs w:val="22"/>
        </w:rPr>
      </w:pPr>
    </w:p>
    <w:p w14:paraId="1A623A05" w14:textId="77777777" w:rsidR="001C2D56" w:rsidRPr="00C07F85" w:rsidRDefault="001C2D56" w:rsidP="002427DC">
      <w:pPr>
        <w:numPr>
          <w:ilvl w:val="0"/>
          <w:numId w:val="26"/>
        </w:numPr>
        <w:spacing w:before="240"/>
        <w:jc w:val="both"/>
        <w:rPr>
          <w:b/>
          <w:szCs w:val="22"/>
        </w:rPr>
      </w:pPr>
      <w:r w:rsidRPr="00C07F85">
        <w:rPr>
          <w:b/>
          <w:szCs w:val="22"/>
        </w:rPr>
        <w:lastRenderedPageBreak/>
        <w:t>California Secretary of State Registration</w:t>
      </w:r>
    </w:p>
    <w:p w14:paraId="45588212" w14:textId="77777777" w:rsidR="00EE3573" w:rsidRDefault="00896485" w:rsidP="00A10CB4">
      <w:pPr>
        <w:jc w:val="both"/>
      </w:pPr>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5A2DF5">
        <w:rPr>
          <w:rFonts w:cs="Times New Roman"/>
        </w:rPr>
        <w:t>www.sos.ca.gov</w:t>
      </w:r>
      <w:r>
        <w:t xml:space="preserve">.  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6F82C57A" w14:textId="14301AA5" w:rsidR="009F702B" w:rsidRPr="001B1CC0" w:rsidRDefault="009F702B" w:rsidP="001B1CC0">
      <w:pPr>
        <w:pStyle w:val="ListParagraph"/>
        <w:numPr>
          <w:ilvl w:val="0"/>
          <w:numId w:val="26"/>
        </w:numPr>
        <w:spacing w:before="240" w:line="259" w:lineRule="auto"/>
        <w:jc w:val="both"/>
        <w:rPr>
          <w:b/>
        </w:rPr>
      </w:pPr>
      <w:r w:rsidRPr="001B1CC0">
        <w:rPr>
          <w:b/>
        </w:rPr>
        <w:t xml:space="preserve">Disadvantaged &amp; Low-income Communities </w:t>
      </w:r>
    </w:p>
    <w:p w14:paraId="06DECA77" w14:textId="77777777" w:rsidR="009F702B" w:rsidRPr="009F702B" w:rsidRDefault="0D80FECF" w:rsidP="009F702B">
      <w:pPr>
        <w:jc w:val="both"/>
        <w:rPr>
          <w:bCs/>
        </w:rPr>
      </w:pPr>
      <w:r w:rsidRPr="1AD07D6F">
        <w:t>A</w:t>
      </w:r>
      <w:r w:rsidR="1E02C133" w:rsidRPr="1AD07D6F">
        <w:t xml:space="preserve">t least 25% of available Electric Program Investment Charge (EPIC) technology demonstration and deployment funding </w:t>
      </w:r>
      <w:r w:rsidRPr="1AD07D6F">
        <w:t xml:space="preserve">must </w:t>
      </w:r>
      <w:r w:rsidR="1E02C133" w:rsidRPr="1AD07D6F">
        <w:t xml:space="preserve">be allocated to project sites located in, and benefiting, disadvantaged communities; and an additional minimum 10% of funds </w:t>
      </w:r>
      <w:r w:rsidRPr="1AD07D6F">
        <w:t xml:space="preserve">must </w:t>
      </w:r>
      <w:r w:rsidR="1E02C133" w:rsidRPr="1AD07D6F">
        <w:t>be allocated to projects sites located in and benefiting low-income communities.</w:t>
      </w:r>
      <w:r w:rsidR="00951531" w:rsidRPr="1AD07D6F">
        <w:rPr>
          <w:rStyle w:val="FootnoteReference"/>
        </w:rPr>
        <w:footnoteReference w:id="22"/>
      </w:r>
      <w:r w:rsidR="1E02C133" w:rsidRPr="009F702B">
        <w:t xml:space="preserve"> </w:t>
      </w:r>
      <w:r w:rsidR="45564A04" w:rsidRPr="1AD07D6F">
        <w:t xml:space="preserve">The Energy Commission in administering </w:t>
      </w:r>
      <w:r w:rsidR="1E02C133" w:rsidRPr="1AD07D6F">
        <w:t xml:space="preserve">EPIC </w:t>
      </w:r>
      <w:r w:rsidR="45564A04" w:rsidRPr="1AD07D6F">
        <w:t xml:space="preserve">must also </w:t>
      </w:r>
      <w:r w:rsidR="1E02C133" w:rsidRPr="1AD07D6F">
        <w:t>take into account adverse localized health impacts of proposed projects to the greatest extent possible,</w:t>
      </w:r>
      <w:r w:rsidR="0081043E" w:rsidRPr="1AD07D6F">
        <w:rPr>
          <w:rStyle w:val="FootnoteReference"/>
        </w:rPr>
        <w:footnoteReference w:id="23"/>
      </w:r>
      <w:r w:rsidR="1E02C133" w:rsidRPr="1AD07D6F">
        <w:t xml:space="preserve"> and give preference for funding to clean energy projects that benefit residents of low-income or disadvantaged communities.</w:t>
      </w:r>
      <w:r w:rsidR="0081043E" w:rsidRPr="1AD07D6F">
        <w:rPr>
          <w:rStyle w:val="FootnoteReference"/>
        </w:rPr>
        <w:footnoteReference w:id="24"/>
      </w:r>
    </w:p>
    <w:p w14:paraId="698C063E" w14:textId="22ACFDE9" w:rsidR="009F702B" w:rsidRPr="009F702B" w:rsidRDefault="009F702B" w:rsidP="00442BF1">
      <w:pPr>
        <w:autoSpaceDE w:val="0"/>
        <w:autoSpaceDN w:val="0"/>
        <w:adjustRightInd w:val="0"/>
        <w:spacing w:after="240"/>
        <w:jc w:val="both"/>
        <w:rPr>
          <w:bCs/>
          <w:color w:val="000000"/>
          <w:szCs w:val="22"/>
        </w:rPr>
      </w:pPr>
    </w:p>
    <w:p w14:paraId="2072CD1A" w14:textId="48C161A5" w:rsidR="009F702B" w:rsidRPr="009F702B" w:rsidRDefault="00541B38" w:rsidP="006116A3">
      <w:pPr>
        <w:spacing w:after="0"/>
        <w:jc w:val="both"/>
      </w:pPr>
      <w:r w:rsidRPr="00541B38">
        <w:t xml:space="preserve">Disadvantaged Communities are those designated pursuant to Health and Safety Code section 39711 as representing the 25% highest scoring census tracts in </w:t>
      </w:r>
      <w:proofErr w:type="spellStart"/>
      <w:r w:rsidRPr="00541B38">
        <w:t>CalEnviroScreen</w:t>
      </w:r>
      <w:proofErr w:type="spellEnd"/>
      <w:r w:rsidRPr="00541B38">
        <w:t xml:space="preserve"> or other areas with high amounts of pollution and low populations as identified by CalEPA.  Please see https://calepa.ca.gov/envjustice/ghginvest/ for the most current CalEPA designations. </w:t>
      </w:r>
    </w:p>
    <w:p w14:paraId="6F331A4F" w14:textId="77777777" w:rsidR="009F702B" w:rsidRPr="009F702B" w:rsidRDefault="009F702B" w:rsidP="006116A3">
      <w:pPr>
        <w:autoSpaceDE w:val="0"/>
        <w:autoSpaceDN w:val="0"/>
        <w:adjustRightInd w:val="0"/>
        <w:spacing w:after="0"/>
        <w:jc w:val="both"/>
      </w:pPr>
    </w:p>
    <w:p w14:paraId="16854DED" w14:textId="77777777" w:rsidR="009F702B" w:rsidRPr="009F702B" w:rsidRDefault="009F702B" w:rsidP="009F702B">
      <w:pPr>
        <w:shd w:val="clear" w:color="auto" w:fill="FFFFFF"/>
        <w:jc w:val="both"/>
        <w:textAlignment w:val="baseline"/>
      </w:pPr>
      <w:r w:rsidRPr="009F702B">
        <w:t>“Low-income communities” are defined as communities within census tracts with median household incomes at or below either of the following levels:</w:t>
      </w:r>
    </w:p>
    <w:p w14:paraId="130B2F14" w14:textId="77777777" w:rsidR="009F702B" w:rsidRPr="009F702B" w:rsidRDefault="009F702B" w:rsidP="002427DC">
      <w:pPr>
        <w:numPr>
          <w:ilvl w:val="0"/>
          <w:numId w:val="63"/>
        </w:numPr>
        <w:shd w:val="clear" w:color="auto" w:fill="FFFFFF"/>
        <w:jc w:val="both"/>
        <w:textAlignment w:val="baseline"/>
      </w:pPr>
      <w:r w:rsidRPr="009F702B">
        <w:t>Eighty percent of the statewide median income.</w:t>
      </w:r>
    </w:p>
    <w:p w14:paraId="2F19CBA9" w14:textId="77777777" w:rsidR="009F702B" w:rsidRPr="009F702B" w:rsidRDefault="009F702B" w:rsidP="002427DC">
      <w:pPr>
        <w:numPr>
          <w:ilvl w:val="0"/>
          <w:numId w:val="63"/>
        </w:numPr>
        <w:shd w:val="clear" w:color="auto" w:fill="FFFFFF"/>
        <w:jc w:val="both"/>
        <w:textAlignment w:val="baseline"/>
      </w:pPr>
      <w:r w:rsidRPr="009F702B">
        <w:t>The applicable low-income threshold listed in the state income limits updated by the Department of Housing and Community Development and filed with the Office of Administrative Law pursuant to subdivision (c) of Section 50093 of the Health and Safety Code.</w:t>
      </w:r>
    </w:p>
    <w:p w14:paraId="0BA6F17B" w14:textId="331E6D4E" w:rsidR="006116A3" w:rsidRDefault="006116A3" w:rsidP="006116A3">
      <w:pPr>
        <w:spacing w:after="0"/>
        <w:jc w:val="both"/>
      </w:pPr>
      <w:r>
        <w:t>Visit the California Department of Housing &amp; Community Development site for the current HCD State Income Limits</w:t>
      </w:r>
      <w:r w:rsidR="006558A6">
        <w:t xml:space="preserve"> at</w:t>
      </w:r>
      <w:r>
        <w:t xml:space="preserve">: http://www.hcd.ca.gov/grants-funding/income-limits/index.shtml.  Disadvantaged communities are defined as areas representing census tracts scoring in the top 25% in </w:t>
      </w:r>
      <w:proofErr w:type="spellStart"/>
      <w:r>
        <w:t>CalEnviroScreen</w:t>
      </w:r>
      <w:proofErr w:type="spellEnd"/>
      <w:r>
        <w:t>. For more information on disadvantaged communities and to determine if your project is in a disadvantaged community, use the California Communities Environmental Health Screening tool (</w:t>
      </w:r>
      <w:proofErr w:type="spellStart"/>
      <w:r>
        <w:t>CalEnviroScreen</w:t>
      </w:r>
      <w:proofErr w:type="spellEnd"/>
      <w:r>
        <w:t>)</w:t>
      </w:r>
      <w:r w:rsidR="00974E41">
        <w:t xml:space="preserve"> at</w:t>
      </w:r>
      <w:r>
        <w:t>:</w:t>
      </w:r>
    </w:p>
    <w:p w14:paraId="1E8AC26B" w14:textId="0429A346" w:rsidR="009F702B" w:rsidRPr="009F702B" w:rsidRDefault="006116A3" w:rsidP="006116A3">
      <w:pPr>
        <w:spacing w:after="0"/>
        <w:jc w:val="both"/>
        <w:rPr>
          <w:rFonts w:cs="Times New Roman"/>
          <w:bCs/>
        </w:rPr>
      </w:pPr>
      <w:r>
        <w:t>https://oehha.ca.gov/calenviroscreen/report/calenviroscreen-</w:t>
      </w:r>
      <w:r w:rsidR="00C43F0B">
        <w:t>4</w:t>
      </w:r>
      <w:r>
        <w:t>0</w:t>
      </w:r>
    </w:p>
    <w:p w14:paraId="4C514854" w14:textId="77777777" w:rsidR="009F702B" w:rsidRPr="009F702B" w:rsidRDefault="009F702B" w:rsidP="009F702B">
      <w:pPr>
        <w:spacing w:after="0"/>
        <w:jc w:val="both"/>
        <w:rPr>
          <w:rFonts w:cs="Times New Roman"/>
          <w:bCs/>
        </w:rPr>
      </w:pPr>
    </w:p>
    <w:p w14:paraId="6550A6F7" w14:textId="77777777" w:rsidR="009F702B" w:rsidRPr="009F702B" w:rsidRDefault="009F702B" w:rsidP="009F702B">
      <w:pPr>
        <w:jc w:val="both"/>
        <w:rPr>
          <w:bCs/>
        </w:rPr>
      </w:pPr>
      <w:r w:rsidRPr="009F702B">
        <w:rPr>
          <w:rFonts w:cs="Times New Roman"/>
          <w:bCs/>
        </w:rPr>
        <w:lastRenderedPageBreak/>
        <w:t>Another resource is the Healthy Places Index Tool for California, located at: https://healthyplacesindex.org/</w:t>
      </w:r>
      <w:r w:rsidRPr="009F702B">
        <w:rPr>
          <w:bCs/>
        </w:rPr>
        <w:t xml:space="preserve"> </w:t>
      </w:r>
    </w:p>
    <w:p w14:paraId="62223383" w14:textId="77777777" w:rsidR="0081409B" w:rsidRPr="00C31C1D" w:rsidRDefault="0081409B" w:rsidP="00A10CB4">
      <w:pPr>
        <w:jc w:val="both"/>
        <w:rPr>
          <w:szCs w:val="22"/>
        </w:rPr>
      </w:pPr>
    </w:p>
    <w:p w14:paraId="551F0400" w14:textId="77777777" w:rsidR="005E52CD" w:rsidRPr="00CF6DED" w:rsidRDefault="001C2D56" w:rsidP="002427DC">
      <w:pPr>
        <w:pStyle w:val="Heading2"/>
        <w:numPr>
          <w:ilvl w:val="0"/>
          <w:numId w:val="59"/>
        </w:numPr>
      </w:pPr>
      <w:bookmarkStart w:id="106" w:name="_Toc336443620"/>
      <w:bookmarkStart w:id="107" w:name="_Toc366671175"/>
      <w:bookmarkStart w:id="108" w:name="_Toc143001054"/>
      <w:bookmarkStart w:id="109" w:name="PrjReq"/>
      <w:r w:rsidRPr="00CF6DED">
        <w:t>Project</w:t>
      </w:r>
      <w:bookmarkEnd w:id="106"/>
      <w:bookmarkEnd w:id="107"/>
      <w:r w:rsidRPr="00CF6DED">
        <w:t xml:space="preserve"> Requirements</w:t>
      </w:r>
      <w:bookmarkEnd w:id="108"/>
    </w:p>
    <w:p w14:paraId="21E964EB" w14:textId="694B1123" w:rsidR="0067542B" w:rsidRPr="003E3D8C" w:rsidRDefault="0067542B" w:rsidP="002427DC">
      <w:pPr>
        <w:numPr>
          <w:ilvl w:val="0"/>
          <w:numId w:val="25"/>
        </w:numPr>
        <w:ind w:left="720"/>
        <w:jc w:val="both"/>
        <w:rPr>
          <w:b/>
          <w:szCs w:val="22"/>
        </w:rPr>
      </w:pPr>
      <w:bookmarkStart w:id="110" w:name="_Toc433981307"/>
      <w:bookmarkEnd w:id="109"/>
      <w:r w:rsidRPr="00E4291E">
        <w:rPr>
          <w:b/>
          <w:szCs w:val="22"/>
        </w:rPr>
        <w:t>Technology Demonstration and Deployment</w:t>
      </w:r>
      <w:r w:rsidR="00B775BD" w:rsidRPr="00E4291E">
        <w:rPr>
          <w:b/>
          <w:szCs w:val="22"/>
        </w:rPr>
        <w:t xml:space="preserve"> </w:t>
      </w:r>
      <w:r w:rsidRPr="003E3D8C">
        <w:rPr>
          <w:b/>
          <w:szCs w:val="22"/>
        </w:rPr>
        <w:t>Stage</w:t>
      </w:r>
    </w:p>
    <w:p w14:paraId="36B98353" w14:textId="6195AB4F" w:rsidR="00C83737" w:rsidRDefault="52C99B91" w:rsidP="008B21DC">
      <w:pPr>
        <w:ind w:left="720"/>
      </w:pPr>
      <w:bookmarkStart w:id="111" w:name="_Toc395180684"/>
      <w:bookmarkStart w:id="112" w:name="_Toc433981311"/>
      <w:bookmarkStart w:id="113" w:name="_Toc395180682"/>
      <w:bookmarkStart w:id="114" w:name="_Toc433981309"/>
      <w:bookmarkEnd w:id="110"/>
      <w:r>
        <w:t>Projects must fall within the “technology demonstration and deployment” stage, which involves the installation and operation of pre-commercial technologies or strategies at a scale sufficiently large and in conditions sufficiently reflective of anticipated actual operating environments to enable appraisal of operational and performance characteristics and of financial risks.</w:t>
      </w:r>
      <w:r w:rsidR="00C83737">
        <w:rPr>
          <w:rStyle w:val="FootnoteReference"/>
          <w:b/>
          <w:szCs w:val="22"/>
        </w:rPr>
        <w:footnoteReference w:id="25"/>
      </w:r>
      <w:bookmarkEnd w:id="111"/>
      <w:bookmarkEnd w:id="112"/>
    </w:p>
    <w:p w14:paraId="78913740" w14:textId="29237746" w:rsidR="00ED5203" w:rsidRDefault="4D25C7B1" w:rsidP="00312DAD">
      <w:r>
        <w:t xml:space="preserve">  </w:t>
      </w:r>
      <w:bookmarkEnd w:id="113"/>
      <w:bookmarkEnd w:id="114"/>
    </w:p>
    <w:p w14:paraId="249B20AD" w14:textId="77777777" w:rsidR="001C2D56" w:rsidRDefault="001C2D56" w:rsidP="00A84811">
      <w:pPr>
        <w:ind w:left="720"/>
      </w:pPr>
      <w:bookmarkStart w:id="115" w:name="_Toc366671176"/>
    </w:p>
    <w:p w14:paraId="58EEEE97" w14:textId="77777777" w:rsidR="00F8271B" w:rsidRPr="009F702B" w:rsidRDefault="00F8271B" w:rsidP="00F8271B">
      <w:pPr>
        <w:numPr>
          <w:ilvl w:val="0"/>
          <w:numId w:val="25"/>
        </w:numPr>
        <w:ind w:left="720"/>
        <w:jc w:val="both"/>
        <w:rPr>
          <w:b/>
        </w:rPr>
      </w:pPr>
      <w:bookmarkStart w:id="116" w:name="_Toc381079916"/>
      <w:bookmarkStart w:id="117" w:name="_Toc382571178"/>
      <w:bookmarkStart w:id="118" w:name="_Toc395180687"/>
      <w:bookmarkStart w:id="119" w:name="_Toc433981316"/>
      <w:bookmarkStart w:id="120" w:name="TechKnow"/>
      <w:bookmarkStart w:id="121" w:name="_Toc395180693"/>
      <w:bookmarkStart w:id="122" w:name="_Toc433981322"/>
      <w:bookmarkStart w:id="123" w:name="_Toc381079922"/>
      <w:bookmarkStart w:id="124" w:name="_Toc382571183"/>
      <w:r w:rsidRPr="009F702B">
        <w:rPr>
          <w:b/>
        </w:rPr>
        <w:t>Ratepayer Benefits, Technological Advancements, and Breakthroughs</w:t>
      </w:r>
      <w:bookmarkEnd w:id="116"/>
      <w:bookmarkEnd w:id="117"/>
      <w:bookmarkEnd w:id="118"/>
      <w:bookmarkEnd w:id="119"/>
    </w:p>
    <w:p w14:paraId="61440D51" w14:textId="77777777" w:rsidR="00F8271B" w:rsidRDefault="00F8271B" w:rsidP="00F8271B">
      <w:pPr>
        <w:ind w:left="720"/>
      </w:pPr>
      <w:bookmarkStart w:id="125" w:name="_Toc381079917"/>
      <w:bookmarkStart w:id="126" w:name="_Toc382571179"/>
      <w:bookmarkStart w:id="127" w:name="_Toc395180688"/>
      <w:bookmarkStart w:id="128" w:name="_Toc433981317"/>
      <w:r w:rsidRPr="00C31C1D">
        <w:t>California Public Resources Code Section 25711.5(a) requires EPIC-funded projects to:</w:t>
      </w:r>
      <w:bookmarkEnd w:id="125"/>
      <w:bookmarkEnd w:id="126"/>
      <w:bookmarkEnd w:id="127"/>
      <w:bookmarkEnd w:id="128"/>
    </w:p>
    <w:p w14:paraId="0ABFBCF0" w14:textId="77777777" w:rsidR="00F8271B" w:rsidRDefault="00F8271B" w:rsidP="00F8271B">
      <w:pPr>
        <w:pStyle w:val="ListParagraph"/>
        <w:numPr>
          <w:ilvl w:val="0"/>
          <w:numId w:val="82"/>
        </w:numPr>
      </w:pPr>
      <w:bookmarkStart w:id="129" w:name="_Toc381079918"/>
      <w:bookmarkStart w:id="130" w:name="_Toc382571180"/>
      <w:bookmarkStart w:id="131" w:name="_Toc395180689"/>
      <w:bookmarkStart w:id="132" w:name="_Toc433981318"/>
      <w:r w:rsidRPr="00E843E2">
        <w:t xml:space="preserve">Benefit electricity ratepayers; </w:t>
      </w:r>
      <w:r>
        <w:t>and</w:t>
      </w:r>
      <w:bookmarkEnd w:id="129"/>
      <w:bookmarkEnd w:id="130"/>
      <w:bookmarkEnd w:id="131"/>
      <w:bookmarkEnd w:id="132"/>
      <w:r>
        <w:t xml:space="preserve"> </w:t>
      </w:r>
    </w:p>
    <w:p w14:paraId="78BFF4DD" w14:textId="77777777" w:rsidR="00F8271B" w:rsidRDefault="00F8271B" w:rsidP="00F8271B">
      <w:pPr>
        <w:pStyle w:val="ListParagraph"/>
        <w:numPr>
          <w:ilvl w:val="0"/>
          <w:numId w:val="82"/>
        </w:numPr>
      </w:pPr>
      <w:bookmarkStart w:id="133" w:name="_Toc381079919"/>
      <w:bookmarkStart w:id="134" w:name="_Toc382571181"/>
      <w:bookmarkStart w:id="135" w:name="_Toc395180690"/>
      <w:bookmarkStart w:id="136" w:name="_Toc433981319"/>
      <w:r w:rsidRPr="00E843E2">
        <w:t>Lead to technological advancement and breakthroughs to overcome the barriers that prevent the achievement of the state’</w:t>
      </w:r>
      <w:r>
        <w:t>s statutory energy goals.</w:t>
      </w:r>
      <w:bookmarkEnd w:id="133"/>
      <w:bookmarkEnd w:id="134"/>
      <w:bookmarkEnd w:id="135"/>
      <w:bookmarkEnd w:id="136"/>
      <w:r w:rsidRPr="00E843E2">
        <w:t xml:space="preserve"> </w:t>
      </w:r>
    </w:p>
    <w:p w14:paraId="7721AC88" w14:textId="2B831185" w:rsidR="00F8271B" w:rsidRDefault="16BF47E6" w:rsidP="00F8271B">
      <w:pPr>
        <w:ind w:left="720"/>
      </w:pPr>
      <w:bookmarkStart w:id="137" w:name="_Toc395180691"/>
      <w:bookmarkStart w:id="138" w:name="_Toc433981320"/>
      <w:bookmarkStart w:id="139" w:name="_Toc381079920"/>
      <w:bookmarkStart w:id="140" w:name="_Toc382571182"/>
      <w:r>
        <w:t xml:space="preserve">EPIC's mandatory guiding principle </w:t>
      </w:r>
      <w:r w:rsidR="2C79829B">
        <w:t>is</w:t>
      </w:r>
      <w:r>
        <w:t xml:space="preserve"> to provide ratepayer benefits, which </w:t>
      </w:r>
      <w:r w:rsidR="3CFEEC23">
        <w:t>are</w:t>
      </w:r>
      <w:r>
        <w:t xml:space="preserve"> defined as (1) improving safety, (2) increasing reliability, (3) increasing affordability, (4) improving environmental sustainability, and (5) improving equity, all as related to California's electric system.</w:t>
      </w:r>
      <w:r w:rsidR="00F8271B">
        <w:rPr>
          <w:rStyle w:val="FootnoteReference"/>
        </w:rPr>
        <w:footnoteReference w:id="26"/>
      </w:r>
      <w:r>
        <w:t xml:space="preserve"> </w:t>
      </w:r>
      <w:bookmarkStart w:id="141" w:name="_Toc395180692"/>
      <w:bookmarkStart w:id="142" w:name="_Toc433981321"/>
      <w:bookmarkEnd w:id="137"/>
      <w:bookmarkEnd w:id="138"/>
    </w:p>
    <w:p w14:paraId="2F7A5EB0" w14:textId="36AE12EC" w:rsidR="0039736C" w:rsidRPr="00E4291E" w:rsidRDefault="16BF47E6" w:rsidP="008B21DC">
      <w:pPr>
        <w:ind w:left="720"/>
        <w:jc w:val="both"/>
      </w:pPr>
      <w:r>
        <w:t xml:space="preserve">Accordingly, the Project Narrative Form (Attachment) and the “Goals and Objectives” section of the Scope of Work Template (Attachment) must describe how the project will: (1) benefit California </w:t>
      </w:r>
      <w:r w:rsidR="6FF942A0">
        <w:t xml:space="preserve">electric </w:t>
      </w:r>
      <w:r>
        <w:t>IOU ratepayers by improving safety, increasing reliability, increasing affordability, improving environmental sustainability, and improving equity, all as related to California's electric system; and (2) lead to technological advancement and breakthroughs to overcome barriers to achieving the state’s statutory energy goals.</w:t>
      </w:r>
      <w:bookmarkEnd w:id="139"/>
      <w:bookmarkEnd w:id="140"/>
      <w:bookmarkEnd w:id="141"/>
      <w:bookmarkEnd w:id="142"/>
      <w:r>
        <w:t xml:space="preserve">  Any estimates of energy and water savings or GHG impacts must be </w:t>
      </w:r>
      <w:r w:rsidRPr="00E4291E">
        <w:t xml:space="preserve">calculated </w:t>
      </w:r>
      <w:r w:rsidR="795369F8" w:rsidRPr="00E4291E">
        <w:t>as described in Section II.</w:t>
      </w:r>
    </w:p>
    <w:p w14:paraId="6E414F88" w14:textId="5E43E412" w:rsidR="001D15BA" w:rsidRPr="00186264" w:rsidRDefault="18B6A45D" w:rsidP="002427DC">
      <w:pPr>
        <w:numPr>
          <w:ilvl w:val="0"/>
          <w:numId w:val="25"/>
        </w:numPr>
        <w:ind w:left="720"/>
        <w:jc w:val="both"/>
      </w:pPr>
      <w:r w:rsidRPr="7196A543">
        <w:rPr>
          <w:b/>
          <w:bCs/>
        </w:rPr>
        <w:t>Technology Transfer Expenditures</w:t>
      </w:r>
      <w:r w:rsidR="12606D30">
        <w:t xml:space="preserve"> </w:t>
      </w:r>
      <w:bookmarkEnd w:id="120"/>
    </w:p>
    <w:p w14:paraId="5A950792" w14:textId="493CDE53" w:rsidR="001D15BA" w:rsidRDefault="008D3624" w:rsidP="00AE1140">
      <w:pPr>
        <w:pStyle w:val="HeadingNew1"/>
        <w:numPr>
          <w:ilvl w:val="0"/>
          <w:numId w:val="0"/>
        </w:numPr>
        <w:ind w:left="720"/>
        <w:rPr>
          <w:b w:val="0"/>
        </w:rPr>
      </w:pPr>
      <w:r>
        <w:rPr>
          <w:b w:val="0"/>
        </w:rPr>
        <w:t xml:space="preserve">To maximize the impact of EPIC projects and to promote the further development and deployment of EPIC-funded technologies, a minimum of 5 percent of </w:t>
      </w:r>
      <w:r w:rsidR="008F4A0E">
        <w:rPr>
          <w:b w:val="0"/>
        </w:rPr>
        <w:t>CEC</w:t>
      </w:r>
      <w:r>
        <w:rPr>
          <w:b w:val="0"/>
        </w:rPr>
        <w:t xml:space="preserve"> funds requested should go towards </w:t>
      </w:r>
      <w:r w:rsidRPr="00E4291E">
        <w:rPr>
          <w:b w:val="0"/>
          <w:szCs w:val="20"/>
        </w:rPr>
        <w:t>technology</w:t>
      </w:r>
      <w:r w:rsidRPr="00B775BD">
        <w:rPr>
          <w:b w:val="0"/>
          <w:color w:val="9BBB59" w:themeColor="accent3"/>
        </w:rPr>
        <w:t xml:space="preserve"> </w:t>
      </w:r>
      <w:r>
        <w:rPr>
          <w:b w:val="0"/>
        </w:rPr>
        <w:t xml:space="preserve">transfer activities. Appropriate </w:t>
      </w:r>
      <w:r w:rsidRPr="00E4291E">
        <w:rPr>
          <w:b w:val="0"/>
          <w:szCs w:val="20"/>
        </w:rPr>
        <w:t>technology</w:t>
      </w:r>
      <w:r w:rsidRPr="00B775BD">
        <w:rPr>
          <w:b w:val="0"/>
          <w:color w:val="9BBB59" w:themeColor="accent3"/>
        </w:rPr>
        <w:t xml:space="preserve"> </w:t>
      </w:r>
      <w:r>
        <w:rPr>
          <w:b w:val="0"/>
        </w:rPr>
        <w:t xml:space="preserve">transfer activities for this solicitation are listed in the Scope of Work Template </w:t>
      </w:r>
      <w:r>
        <w:rPr>
          <w:b w:val="0"/>
        </w:rPr>
        <w:lastRenderedPageBreak/>
        <w:t xml:space="preserve">(Attachment). The Budget Forms (Attachment) should clearly distinguish funds dedicated for </w:t>
      </w:r>
      <w:r w:rsidRPr="00E4291E">
        <w:rPr>
          <w:b w:val="0"/>
          <w:szCs w:val="20"/>
        </w:rPr>
        <w:t>technology</w:t>
      </w:r>
      <w:r w:rsidRPr="00B775BD">
        <w:rPr>
          <w:b w:val="0"/>
          <w:color w:val="9BBB59" w:themeColor="accent3"/>
        </w:rPr>
        <w:t xml:space="preserve"> </w:t>
      </w:r>
      <w:r>
        <w:rPr>
          <w:b w:val="0"/>
        </w:rPr>
        <w:t>transfer.</w:t>
      </w:r>
    </w:p>
    <w:p w14:paraId="22504CEC" w14:textId="77777777" w:rsidR="001D15BA" w:rsidRPr="005332F2" w:rsidRDefault="001D15BA" w:rsidP="005332F2">
      <w:pPr>
        <w:pStyle w:val="HeadingNew1"/>
        <w:numPr>
          <w:ilvl w:val="0"/>
          <w:numId w:val="0"/>
        </w:numPr>
        <w:ind w:left="990" w:hanging="360"/>
        <w:rPr>
          <w:b w:val="0"/>
        </w:rPr>
      </w:pPr>
    </w:p>
    <w:p w14:paraId="7DA3CE40" w14:textId="201434C3" w:rsidR="001C2D56" w:rsidRPr="00C07F85" w:rsidRDefault="001C2D56" w:rsidP="009F702B">
      <w:pPr>
        <w:pStyle w:val="HeadingNew1"/>
        <w:ind w:left="720"/>
        <w:rPr>
          <w:b w:val="0"/>
        </w:rPr>
      </w:pPr>
      <w:bookmarkStart w:id="143" w:name="MandV"/>
      <w:r>
        <w:t>Measurement and Verification Plan</w:t>
      </w:r>
      <w:bookmarkEnd w:id="121"/>
      <w:bookmarkEnd w:id="122"/>
      <w:r>
        <w:t xml:space="preserve"> </w:t>
      </w:r>
      <w:bookmarkEnd w:id="123"/>
      <w:bookmarkEnd w:id="124"/>
      <w:bookmarkEnd w:id="143"/>
    </w:p>
    <w:p w14:paraId="102C6942" w14:textId="1F200C60" w:rsidR="00D157D1" w:rsidRDefault="661FE22A" w:rsidP="00D157D1">
      <w:pPr>
        <w:ind w:left="720"/>
      </w:pPr>
      <w:bookmarkStart w:id="144" w:name="_Toc381079923"/>
      <w:bookmarkStart w:id="145" w:name="_Toc382571184"/>
      <w:bookmarkStart w:id="146" w:name="_Toc395180694"/>
      <w:bookmarkStart w:id="147" w:name="_Toc433981323"/>
      <w:r>
        <w:t>The Project Narrative (Attachment) must i</w:t>
      </w:r>
      <w:r w:rsidRPr="00596283">
        <w:t>nclude a Measurement and Verification Plan</w:t>
      </w:r>
      <w:r>
        <w:t xml:space="preserve"> that</w:t>
      </w:r>
      <w:r w:rsidRPr="00D328D4">
        <w:t xml:space="preserve"> </w:t>
      </w:r>
      <w:r w:rsidRPr="002A75BD">
        <w:t>descri</w:t>
      </w:r>
      <w:r>
        <w:t>bes</w:t>
      </w:r>
      <w:r w:rsidRPr="002A75BD">
        <w:t xml:space="preserve"> </w:t>
      </w:r>
      <w:r>
        <w:t xml:space="preserve">how actual </w:t>
      </w:r>
      <w:r w:rsidRPr="00CE3194">
        <w:t>project benefits will be measured and quantified</w:t>
      </w:r>
      <w:r>
        <w:t xml:space="preserve">, </w:t>
      </w:r>
      <w:r w:rsidRPr="00E4291E">
        <w:t xml:space="preserve">such as by </w:t>
      </w:r>
      <w:r w:rsidR="59AD60BE" w:rsidRPr="00E4291E">
        <w:t>identifying measurable and quantifiable project benefit metrics that are applicable to the project groups</w:t>
      </w:r>
      <w:r w:rsidR="285A1048" w:rsidRPr="00E4291E">
        <w:t xml:space="preserve"> as indicated in Section I.C</w:t>
      </w:r>
      <w:r w:rsidR="59AD60BE" w:rsidRPr="00E4291E">
        <w:t>. For example, energy efficiency load reduction projects may identify pre</w:t>
      </w:r>
      <w:r w:rsidR="4B3D636A" w:rsidRPr="00E4291E">
        <w:t>-</w:t>
      </w:r>
      <w:r w:rsidR="59AD60BE" w:rsidRPr="00E4291E">
        <w:t xml:space="preserve"> and post</w:t>
      </w:r>
      <w:r w:rsidR="6D0C19ED" w:rsidRPr="00E4291E">
        <w:t>-</w:t>
      </w:r>
      <w:r w:rsidR="59AD60BE" w:rsidRPr="00E4291E">
        <w:t>project energy use (kilowatt hours, kilowatt), cooling capacity, energy cost</w:t>
      </w:r>
      <w:r w:rsidR="5566515C" w:rsidRPr="00E4291E">
        <w:t>,</w:t>
      </w:r>
      <w:r w:rsidR="59AD60BE" w:rsidRPr="00E4291E">
        <w:t xml:space="preserve"> and other benefits. </w:t>
      </w:r>
      <w:r w:rsidR="00C5034B">
        <w:t>[</w:t>
      </w:r>
      <w:r w:rsidR="59AD60BE" w:rsidRPr="008E76D1">
        <w:rPr>
          <w:strike/>
        </w:rPr>
        <w:t>Energy and cost savings must be based on T</w:t>
      </w:r>
      <w:r w:rsidR="1AE1D530" w:rsidRPr="008E76D1">
        <w:rPr>
          <w:strike/>
        </w:rPr>
        <w:t xml:space="preserve">ime </w:t>
      </w:r>
      <w:r w:rsidR="59AD60BE" w:rsidRPr="008E76D1">
        <w:rPr>
          <w:strike/>
        </w:rPr>
        <w:t>D</w:t>
      </w:r>
      <w:r w:rsidR="36CB4000" w:rsidRPr="008E76D1">
        <w:rPr>
          <w:strike/>
        </w:rPr>
        <w:t xml:space="preserve">ependent </w:t>
      </w:r>
      <w:r w:rsidR="59AD60BE" w:rsidRPr="008E76D1">
        <w:rPr>
          <w:strike/>
        </w:rPr>
        <w:t>V</w:t>
      </w:r>
      <w:r w:rsidR="7E838EE1" w:rsidRPr="008E76D1">
        <w:rPr>
          <w:strike/>
        </w:rPr>
        <w:t>aluation</w:t>
      </w:r>
      <w:r w:rsidR="59AD60BE" w:rsidRPr="008E76D1">
        <w:rPr>
          <w:strike/>
        </w:rPr>
        <w:t>.</w:t>
      </w:r>
      <w:bookmarkEnd w:id="144"/>
      <w:r w:rsidR="00DC2549" w:rsidRPr="008E76D1">
        <w:rPr>
          <w:rStyle w:val="FootnoteReference"/>
          <w:strike/>
        </w:rPr>
        <w:footnoteReference w:id="27"/>
      </w:r>
      <w:r w:rsidR="00C5034B">
        <w:t xml:space="preserve">] </w:t>
      </w:r>
      <w:r>
        <w:t xml:space="preserve">The activities proposed in the Measurement and Verification Plan must be included in the “Technical Tasks” section of the Scope of Work Template (Attachment) </w:t>
      </w:r>
      <w:bookmarkEnd w:id="145"/>
      <w:bookmarkEnd w:id="146"/>
      <w:bookmarkEnd w:id="147"/>
    </w:p>
    <w:bookmarkEnd w:id="94"/>
    <w:bookmarkEnd w:id="95"/>
    <w:bookmarkEnd w:id="96"/>
    <w:bookmarkEnd w:id="97"/>
    <w:bookmarkEnd w:id="115"/>
    <w:p w14:paraId="266CA25E" w14:textId="593B0C9C" w:rsidR="001C2D56" w:rsidRPr="009F702B" w:rsidRDefault="001C2D56" w:rsidP="344D9BA4">
      <w:pPr>
        <w:shd w:val="clear" w:color="auto" w:fill="FFFFFF" w:themeFill="background1"/>
        <w:spacing w:after="0"/>
        <w:jc w:val="both"/>
        <w:textAlignment w:val="baseline"/>
        <w:rPr>
          <w:szCs w:val="22"/>
        </w:rPr>
      </w:pPr>
    </w:p>
    <w:p w14:paraId="309DBC47" w14:textId="77777777" w:rsidR="0061342D" w:rsidRDefault="001C2D56" w:rsidP="0061342D">
      <w:pPr>
        <w:pStyle w:val="Heading1"/>
        <w:keepLines w:val="0"/>
        <w:spacing w:before="0" w:after="120"/>
        <w:jc w:val="both"/>
      </w:pPr>
      <w:bookmarkStart w:id="148" w:name="_Toc12770892"/>
      <w:bookmarkStart w:id="149" w:name="_Toc219275109"/>
      <w:bookmarkStart w:id="150" w:name="_Toc336443626"/>
      <w:bookmarkStart w:id="151" w:name="_Toc366671182"/>
      <w:bookmarkStart w:id="152" w:name="_Toc143001055"/>
      <w:bookmarkStart w:id="153" w:name="_Toc219275098"/>
      <w:r w:rsidRPr="00C31C1D">
        <w:t>III.</w:t>
      </w:r>
      <w:r w:rsidRPr="00C31C1D">
        <w:tab/>
      </w:r>
      <w:bookmarkEnd w:id="148"/>
      <w:r w:rsidRPr="00C31C1D">
        <w:t xml:space="preserve">Application Organization and Submission </w:t>
      </w:r>
      <w:bookmarkEnd w:id="149"/>
      <w:bookmarkEnd w:id="150"/>
      <w:bookmarkEnd w:id="151"/>
      <w:r w:rsidRPr="00C31C1D">
        <w:t>Instructions</w:t>
      </w:r>
      <w:bookmarkEnd w:id="152"/>
    </w:p>
    <w:p w14:paraId="2E4CB840" w14:textId="77777777" w:rsidR="001C2D56" w:rsidRPr="00CF6DED" w:rsidRDefault="001C2D56" w:rsidP="002427DC">
      <w:pPr>
        <w:pStyle w:val="Heading2"/>
        <w:numPr>
          <w:ilvl w:val="0"/>
          <w:numId w:val="60"/>
        </w:numPr>
      </w:pPr>
      <w:bookmarkStart w:id="154" w:name="_Toc201713573"/>
      <w:bookmarkStart w:id="155" w:name="_Toc143001056"/>
      <w:bookmarkStart w:id="156" w:name="_Toc219275111"/>
      <w:bookmarkStart w:id="157" w:name="_Toc336443628"/>
      <w:bookmarkStart w:id="158" w:name="_Toc366671184"/>
      <w:r w:rsidRPr="00CF6DED">
        <w:t>Application Format</w:t>
      </w:r>
      <w:bookmarkEnd w:id="154"/>
      <w:r w:rsidRPr="00CF6DED">
        <w:t>, Page Limits, and Number of Copies</w:t>
      </w:r>
      <w:bookmarkEnd w:id="155"/>
      <w:r w:rsidRPr="00CF6DED">
        <w:t xml:space="preserve"> </w:t>
      </w:r>
      <w:bookmarkEnd w:id="156"/>
      <w:bookmarkEnd w:id="157"/>
      <w:bookmarkEnd w:id="158"/>
    </w:p>
    <w:p w14:paraId="50453B87" w14:textId="77777777" w:rsidR="001C2D56" w:rsidRPr="00C31C1D" w:rsidRDefault="001C2D56" w:rsidP="00BD0EC0">
      <w:pPr>
        <w:keepLines/>
        <w:widowControl w:val="0"/>
        <w:spacing w:after="0"/>
        <w:jc w:val="both"/>
        <w:rPr>
          <w:szCs w:val="22"/>
        </w:rPr>
      </w:pPr>
      <w:r w:rsidRPr="00C31C1D">
        <w:rPr>
          <w:szCs w:val="22"/>
        </w:rPr>
        <w:t xml:space="preserve">The following table summarizes the </w:t>
      </w:r>
      <w:r>
        <w:rPr>
          <w:szCs w:val="22"/>
        </w:rPr>
        <w:t>application</w:t>
      </w:r>
      <w:r w:rsidRPr="00C31C1D">
        <w:rPr>
          <w:szCs w:val="22"/>
        </w:rPr>
        <w:t xml:space="preserve"> formatting and page limit </w:t>
      </w:r>
      <w:r w:rsidR="0081409B">
        <w:rPr>
          <w:szCs w:val="22"/>
        </w:rPr>
        <w:t>recommendations</w:t>
      </w:r>
      <w:r w:rsidRPr="00C31C1D">
        <w:rPr>
          <w:szCs w:val="22"/>
        </w:rPr>
        <w:t>:</w:t>
      </w:r>
    </w:p>
    <w:p w14:paraId="0B098070" w14:textId="4EE18373" w:rsidR="001C2D56" w:rsidRDefault="001C2D56" w:rsidP="00BD0EC0">
      <w:pPr>
        <w:keepLines/>
        <w:widowControl w:val="0"/>
        <w:spacing w:after="0"/>
        <w:jc w:val="both"/>
        <w:rPr>
          <w:szCs w:val="22"/>
        </w:rPr>
      </w:pPr>
    </w:p>
    <w:p w14:paraId="1EABA226" w14:textId="77777777" w:rsidR="00624855" w:rsidRDefault="00624855" w:rsidP="00624855">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7CA187" w14:textId="678ABC0E" w:rsidR="00624855" w:rsidRDefault="00624855" w:rsidP="00BD0EC0">
      <w:pPr>
        <w:keepLines/>
        <w:widowControl w:val="0"/>
        <w:spacing w:after="0"/>
        <w:jc w:val="both"/>
        <w:rPr>
          <w:szCs w:val="22"/>
        </w:rPr>
      </w:pPr>
    </w:p>
    <w:p w14:paraId="505D5362" w14:textId="77777777" w:rsidR="00624855" w:rsidRPr="00C31C1D" w:rsidRDefault="00624855" w:rsidP="00BD0EC0">
      <w:pPr>
        <w:keepLines/>
        <w:widowControl w:val="0"/>
        <w:spacing w:after="0"/>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7057"/>
      </w:tblGrid>
      <w:tr w:rsidR="001C2D56" w:rsidRPr="00C31C1D" w14:paraId="3D2E1B02" w14:textId="77777777" w:rsidTr="002A7931">
        <w:trPr>
          <w:trHeight w:val="2980"/>
        </w:trPr>
        <w:tc>
          <w:tcPr>
            <w:tcW w:w="2185" w:type="dxa"/>
          </w:tcPr>
          <w:p w14:paraId="06910CBA" w14:textId="77777777" w:rsidR="001C2D56" w:rsidRPr="00C31C1D" w:rsidRDefault="001C2D56" w:rsidP="005F0C5F">
            <w:pPr>
              <w:jc w:val="both"/>
              <w:rPr>
                <w:b/>
                <w:szCs w:val="24"/>
              </w:rPr>
            </w:pPr>
            <w:r w:rsidRPr="00C31C1D">
              <w:rPr>
                <w:b/>
                <w:szCs w:val="24"/>
              </w:rPr>
              <w:t>Format</w:t>
            </w:r>
          </w:p>
        </w:tc>
        <w:tc>
          <w:tcPr>
            <w:tcW w:w="7057" w:type="dxa"/>
          </w:tcPr>
          <w:p w14:paraId="05A1EC5A" w14:textId="77777777" w:rsidR="001C2D56" w:rsidRDefault="001C2D56" w:rsidP="00734C0C">
            <w:pPr>
              <w:numPr>
                <w:ilvl w:val="0"/>
                <w:numId w:val="13"/>
              </w:numPr>
              <w:spacing w:after="0"/>
              <w:jc w:val="both"/>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Default="001C2D56" w:rsidP="00734C0C">
            <w:pPr>
              <w:numPr>
                <w:ilvl w:val="0"/>
                <w:numId w:val="13"/>
              </w:numPr>
              <w:spacing w:after="0"/>
              <w:jc w:val="both"/>
              <w:rPr>
                <w:szCs w:val="24"/>
              </w:rPr>
            </w:pPr>
            <w:r w:rsidRPr="00CE3194">
              <w:rPr>
                <w:b/>
                <w:szCs w:val="24"/>
              </w:rPr>
              <w:t>Margins:</w:t>
            </w:r>
            <w:r>
              <w:rPr>
                <w:szCs w:val="24"/>
              </w:rPr>
              <w:t xml:space="preserve"> </w:t>
            </w:r>
            <w:r w:rsidR="006465F7">
              <w:rPr>
                <w:szCs w:val="24"/>
              </w:rPr>
              <w:t>N</w:t>
            </w:r>
            <w:r w:rsidR="0035406F">
              <w:rPr>
                <w:szCs w:val="24"/>
              </w:rPr>
              <w:t xml:space="preserve">o less than </w:t>
            </w:r>
            <w:r w:rsidR="0026009C">
              <w:rPr>
                <w:szCs w:val="24"/>
              </w:rPr>
              <w:t>one inch</w:t>
            </w:r>
            <w:r>
              <w:rPr>
                <w:szCs w:val="24"/>
              </w:rPr>
              <w:t xml:space="preserve"> on all sides (excluding headers and footers)</w:t>
            </w:r>
          </w:p>
          <w:p w14:paraId="6382353B" w14:textId="77777777" w:rsidR="001C2D56" w:rsidRPr="00C31C1D" w:rsidRDefault="001C2D56" w:rsidP="00734C0C">
            <w:pPr>
              <w:numPr>
                <w:ilvl w:val="0"/>
                <w:numId w:val="13"/>
              </w:numPr>
              <w:spacing w:after="0"/>
              <w:jc w:val="both"/>
              <w:rPr>
                <w:szCs w:val="24"/>
              </w:rPr>
            </w:pPr>
            <w:r>
              <w:rPr>
                <w:b/>
                <w:szCs w:val="24"/>
              </w:rPr>
              <w:t>Spacing</w:t>
            </w:r>
            <w:r w:rsidRPr="008D33BE">
              <w:rPr>
                <w:b/>
                <w:szCs w:val="24"/>
              </w:rPr>
              <w:t>:</w:t>
            </w:r>
            <w:r>
              <w:rPr>
                <w:szCs w:val="24"/>
              </w:rPr>
              <w:t xml:space="preserve">  S</w:t>
            </w:r>
            <w:r w:rsidRPr="00C31C1D">
              <w:rPr>
                <w:szCs w:val="24"/>
              </w:rPr>
              <w:t xml:space="preserve">ingle spaced, </w:t>
            </w:r>
            <w:r>
              <w:rPr>
                <w:szCs w:val="24"/>
              </w:rPr>
              <w:t xml:space="preserve">with a </w:t>
            </w:r>
            <w:r w:rsidRPr="00C31C1D">
              <w:rPr>
                <w:szCs w:val="24"/>
              </w:rPr>
              <w:t xml:space="preserve">blank line between </w:t>
            </w:r>
            <w:r>
              <w:rPr>
                <w:szCs w:val="24"/>
              </w:rPr>
              <w:t xml:space="preserve">each </w:t>
            </w:r>
            <w:r w:rsidRPr="00C31C1D">
              <w:rPr>
                <w:szCs w:val="24"/>
              </w:rPr>
              <w:t>paragraph</w:t>
            </w:r>
          </w:p>
          <w:p w14:paraId="1540FF8A" w14:textId="77777777" w:rsidR="00FB5A02" w:rsidRPr="00FB5A02" w:rsidRDefault="00FB5A02" w:rsidP="00FB5A02">
            <w:pPr>
              <w:numPr>
                <w:ilvl w:val="0"/>
                <w:numId w:val="13"/>
              </w:numPr>
              <w:spacing w:after="0"/>
              <w:jc w:val="both"/>
              <w:rPr>
                <w:szCs w:val="24"/>
              </w:rPr>
            </w:pPr>
            <w:r w:rsidRPr="00FB5A02">
              <w:rPr>
                <w:b/>
                <w:szCs w:val="24"/>
              </w:rPr>
              <w:t>Signatures</w:t>
            </w:r>
            <w:r w:rsidRPr="00FB5A02">
              <w:rPr>
                <w:szCs w:val="24"/>
              </w:rPr>
              <w:t xml:space="preserve">: </w:t>
            </w:r>
            <w:r w:rsidR="000B5232">
              <w:rPr>
                <w:szCs w:val="24"/>
              </w:rPr>
              <w:t>Wet signatures only</w:t>
            </w:r>
            <w:r w:rsidR="000B5232" w:rsidRPr="00FB5A02">
              <w:rPr>
                <w:szCs w:val="24"/>
              </w:rPr>
              <w:t xml:space="preserve"> </w:t>
            </w:r>
            <w:r w:rsidRPr="00FB5A02">
              <w:rPr>
                <w:szCs w:val="24"/>
              </w:rPr>
              <w:t>(i.e., not electronic)</w:t>
            </w:r>
          </w:p>
          <w:p w14:paraId="79980235" w14:textId="77777777" w:rsidR="001C2D56" w:rsidRPr="005E76CE" w:rsidRDefault="001C2D56" w:rsidP="00734C0C">
            <w:pPr>
              <w:numPr>
                <w:ilvl w:val="0"/>
                <w:numId w:val="13"/>
              </w:numPr>
              <w:spacing w:after="0"/>
              <w:jc w:val="both"/>
              <w:rPr>
                <w:szCs w:val="24"/>
              </w:rPr>
            </w:pPr>
            <w:r w:rsidRPr="005E76CE">
              <w:rPr>
                <w:b/>
                <w:szCs w:val="24"/>
              </w:rPr>
              <w:t>File Format:</w:t>
            </w:r>
            <w:r w:rsidRPr="005E76CE">
              <w:rPr>
                <w:szCs w:val="24"/>
              </w:rPr>
              <w:t xml:space="preserve"> MS Word </w:t>
            </w:r>
            <w:r w:rsidR="005E76CE">
              <w:rPr>
                <w:szCs w:val="24"/>
              </w:rPr>
              <w:t xml:space="preserve">version 2007 or later </w:t>
            </w:r>
            <w:r w:rsidRPr="005E76CE">
              <w:rPr>
                <w:szCs w:val="24"/>
              </w:rPr>
              <w:t xml:space="preserve">(.doc </w:t>
            </w:r>
            <w:r w:rsidR="005E76CE">
              <w:rPr>
                <w:szCs w:val="24"/>
              </w:rPr>
              <w:t xml:space="preserve">or .docx </w:t>
            </w:r>
            <w:r w:rsidRPr="005E76CE">
              <w:rPr>
                <w:szCs w:val="24"/>
              </w:rPr>
              <w:t xml:space="preserve">format), </w:t>
            </w:r>
            <w:r w:rsidR="0035406F" w:rsidRPr="005E76CE">
              <w:rPr>
                <w:szCs w:val="24"/>
              </w:rPr>
              <w:t xml:space="preserve">excluding </w:t>
            </w:r>
            <w:r w:rsidR="00FB5A02">
              <w:rPr>
                <w:szCs w:val="24"/>
              </w:rPr>
              <w:t>E</w:t>
            </w:r>
            <w:r w:rsidR="0035406F" w:rsidRPr="005E76CE">
              <w:rPr>
                <w:szCs w:val="24"/>
              </w:rPr>
              <w:t>xcel spreadsheets</w:t>
            </w:r>
            <w:r w:rsidR="00FB5A02">
              <w:rPr>
                <w:szCs w:val="24"/>
              </w:rPr>
              <w:t xml:space="preserve"> and commitment or support letters (PDF files are acceptable for the letters)</w:t>
            </w:r>
          </w:p>
          <w:p w14:paraId="5799AA7B" w14:textId="77777777" w:rsidR="00624F21" w:rsidRPr="0044145F" w:rsidRDefault="001C2D56" w:rsidP="000B5232">
            <w:pPr>
              <w:numPr>
                <w:ilvl w:val="0"/>
                <w:numId w:val="13"/>
              </w:numPr>
              <w:spacing w:after="0"/>
              <w:jc w:val="both"/>
              <w:rPr>
                <w:szCs w:val="24"/>
              </w:rPr>
            </w:pPr>
            <w:r w:rsidRPr="004925D4">
              <w:rPr>
                <w:b/>
                <w:szCs w:val="24"/>
              </w:rPr>
              <w:t>File Storage:</w:t>
            </w:r>
            <w:r w:rsidRPr="00C31C1D">
              <w:rPr>
                <w:szCs w:val="24"/>
              </w:rPr>
              <w:t xml:space="preserve"> </w:t>
            </w:r>
            <w:r>
              <w:rPr>
                <w:szCs w:val="24"/>
              </w:rPr>
              <w:t>E</w:t>
            </w:r>
            <w:r w:rsidRPr="00C31C1D">
              <w:rPr>
                <w:szCs w:val="24"/>
              </w:rPr>
              <w:t xml:space="preserve">lectronic files of the application </w:t>
            </w:r>
            <w:r>
              <w:rPr>
                <w:szCs w:val="24"/>
              </w:rPr>
              <w:t xml:space="preserve">must be submitted </w:t>
            </w:r>
            <w:r w:rsidRPr="00C31C1D">
              <w:rPr>
                <w:szCs w:val="24"/>
              </w:rPr>
              <w:t xml:space="preserve">on </w:t>
            </w:r>
            <w:r>
              <w:rPr>
                <w:szCs w:val="24"/>
              </w:rPr>
              <w:t xml:space="preserve">a </w:t>
            </w:r>
            <w:r w:rsidRPr="00C31C1D">
              <w:rPr>
                <w:szCs w:val="24"/>
              </w:rPr>
              <w:t>USB memory stick</w:t>
            </w:r>
            <w:r w:rsidR="00315BDB">
              <w:rPr>
                <w:szCs w:val="24"/>
              </w:rPr>
              <w:t xml:space="preserve"> when submitting via </w:t>
            </w:r>
            <w:r w:rsidR="00315BDB" w:rsidRPr="003A0A6F">
              <w:rPr>
                <w:b/>
                <w:szCs w:val="24"/>
              </w:rPr>
              <w:t>hard copy</w:t>
            </w:r>
            <w:r w:rsidR="00443957">
              <w:rPr>
                <w:b/>
                <w:szCs w:val="24"/>
              </w:rPr>
              <w:t>.</w:t>
            </w:r>
          </w:p>
        </w:tc>
      </w:tr>
      <w:tr w:rsidR="001C2D56" w:rsidRPr="00C31C1D" w14:paraId="071DF560" w14:textId="77777777" w:rsidTr="002A7931">
        <w:tc>
          <w:tcPr>
            <w:tcW w:w="2185" w:type="dxa"/>
          </w:tcPr>
          <w:p w14:paraId="2CCEEBE7" w14:textId="77777777" w:rsidR="001C2D56" w:rsidRPr="00C31C1D" w:rsidRDefault="002E65B5" w:rsidP="00CC1385">
            <w:pPr>
              <w:rPr>
                <w:b/>
                <w:szCs w:val="24"/>
              </w:rPr>
            </w:pPr>
            <w:r>
              <w:rPr>
                <w:b/>
                <w:szCs w:val="24"/>
              </w:rPr>
              <w:t xml:space="preserve">Maximum </w:t>
            </w:r>
            <w:r w:rsidR="001C2D56" w:rsidRPr="00C31C1D">
              <w:rPr>
                <w:b/>
                <w:szCs w:val="24"/>
              </w:rPr>
              <w:t>Page Limit</w:t>
            </w:r>
            <w:r w:rsidR="00DF20D4">
              <w:rPr>
                <w:b/>
                <w:szCs w:val="24"/>
              </w:rPr>
              <w:t xml:space="preserve"> Recommendation</w:t>
            </w:r>
            <w:r w:rsidR="001C2D56" w:rsidRPr="00C31C1D">
              <w:rPr>
                <w:b/>
                <w:szCs w:val="24"/>
              </w:rPr>
              <w:t>s</w:t>
            </w:r>
          </w:p>
        </w:tc>
        <w:tc>
          <w:tcPr>
            <w:tcW w:w="7057" w:type="dxa"/>
          </w:tcPr>
          <w:p w14:paraId="193CBE09" w14:textId="77777777" w:rsidR="001C2D56" w:rsidRPr="00C31C1D" w:rsidRDefault="001C2D56" w:rsidP="00B32815">
            <w:pPr>
              <w:spacing w:after="0"/>
              <w:ind w:left="360"/>
              <w:jc w:val="both"/>
              <w:rPr>
                <w:szCs w:val="24"/>
              </w:rPr>
            </w:pPr>
          </w:p>
          <w:p w14:paraId="4A530CD3" w14:textId="77777777" w:rsidR="005E52CD" w:rsidRDefault="001C2D56" w:rsidP="00B32815">
            <w:pPr>
              <w:numPr>
                <w:ilvl w:val="0"/>
                <w:numId w:val="14"/>
              </w:numPr>
              <w:spacing w:after="0"/>
              <w:jc w:val="both"/>
              <w:rPr>
                <w:szCs w:val="24"/>
              </w:rPr>
            </w:pPr>
            <w:r w:rsidRPr="00BA7A1D">
              <w:rPr>
                <w:b/>
                <w:szCs w:val="24"/>
              </w:rPr>
              <w:t>Executive Summary</w:t>
            </w:r>
            <w:r>
              <w:rPr>
                <w:b/>
                <w:szCs w:val="24"/>
              </w:rPr>
              <w:t xml:space="preserve"> </w:t>
            </w:r>
            <w:r w:rsidRPr="00C020D7">
              <w:rPr>
                <w:szCs w:val="24"/>
              </w:rPr>
              <w:t>(Attachment):</w:t>
            </w:r>
            <w:r w:rsidRPr="00C31C1D">
              <w:rPr>
                <w:szCs w:val="24"/>
              </w:rPr>
              <w:t xml:space="preserve"> </w:t>
            </w:r>
            <w:r w:rsidRPr="00907E7C">
              <w:rPr>
                <w:b/>
                <w:szCs w:val="24"/>
              </w:rPr>
              <w:t>two</w:t>
            </w:r>
            <w:r w:rsidRPr="00C31C1D">
              <w:rPr>
                <w:szCs w:val="24"/>
              </w:rPr>
              <w:t xml:space="preserve"> page</w:t>
            </w:r>
            <w:r>
              <w:rPr>
                <w:szCs w:val="24"/>
              </w:rPr>
              <w:t>s</w:t>
            </w:r>
            <w:r w:rsidRPr="00C31C1D">
              <w:rPr>
                <w:szCs w:val="24"/>
              </w:rPr>
              <w:t xml:space="preserve"> </w:t>
            </w:r>
          </w:p>
          <w:p w14:paraId="6F1FE546" w14:textId="77777777" w:rsidR="005E52CD" w:rsidRDefault="001C2D56" w:rsidP="00B32815">
            <w:pPr>
              <w:numPr>
                <w:ilvl w:val="0"/>
                <w:numId w:val="14"/>
              </w:numPr>
              <w:spacing w:after="0"/>
              <w:jc w:val="both"/>
              <w:rPr>
                <w:szCs w:val="24"/>
              </w:rPr>
            </w:pPr>
            <w:r w:rsidRPr="00BA7A1D">
              <w:rPr>
                <w:b/>
                <w:szCs w:val="24"/>
              </w:rPr>
              <w:lastRenderedPageBreak/>
              <w:t>Project Narrative Form</w:t>
            </w:r>
            <w:r>
              <w:rPr>
                <w:b/>
                <w:szCs w:val="24"/>
              </w:rPr>
              <w:t xml:space="preserve"> </w:t>
            </w:r>
            <w:r w:rsidRPr="00C020D7">
              <w:rPr>
                <w:szCs w:val="24"/>
              </w:rPr>
              <w:t xml:space="preserve">(Attachment): </w:t>
            </w:r>
            <w:r w:rsidR="0026009C" w:rsidRPr="00907E7C">
              <w:rPr>
                <w:b/>
                <w:szCs w:val="24"/>
              </w:rPr>
              <w:t>t</w:t>
            </w:r>
            <w:r w:rsidR="00BA7C19">
              <w:rPr>
                <w:b/>
                <w:szCs w:val="24"/>
              </w:rPr>
              <w:t>w</w:t>
            </w:r>
            <w:r w:rsidR="0026009C" w:rsidRPr="00907E7C">
              <w:rPr>
                <w:b/>
                <w:szCs w:val="24"/>
              </w:rPr>
              <w:t>en</w:t>
            </w:r>
            <w:r w:rsidR="00BA7C19">
              <w:rPr>
                <w:b/>
                <w:szCs w:val="24"/>
              </w:rPr>
              <w:t>ty</w:t>
            </w:r>
            <w:r w:rsidRPr="00C31C1D">
              <w:rPr>
                <w:szCs w:val="24"/>
              </w:rPr>
              <w:t xml:space="preserve"> pages </w:t>
            </w:r>
            <w:r w:rsidR="0013362C">
              <w:rPr>
                <w:szCs w:val="24"/>
              </w:rPr>
              <w:t>excluding documentation for CEQA</w:t>
            </w:r>
          </w:p>
          <w:p w14:paraId="35AB9A7A" w14:textId="77777777" w:rsidR="005E52CD" w:rsidRDefault="001C2D56" w:rsidP="00B32815">
            <w:pPr>
              <w:numPr>
                <w:ilvl w:val="0"/>
                <w:numId w:val="14"/>
              </w:numPr>
              <w:spacing w:after="0"/>
              <w:jc w:val="both"/>
              <w:rPr>
                <w:szCs w:val="24"/>
              </w:rPr>
            </w:pPr>
            <w:r w:rsidRPr="00B35C99">
              <w:rPr>
                <w:b/>
                <w:szCs w:val="24"/>
              </w:rPr>
              <w:t>Project Team Form</w:t>
            </w:r>
            <w:r>
              <w:rPr>
                <w:szCs w:val="24"/>
              </w:rPr>
              <w:t xml:space="preserve"> (Attachment): </w:t>
            </w:r>
            <w:r w:rsidRPr="00907E7C">
              <w:rPr>
                <w:b/>
                <w:szCs w:val="24"/>
              </w:rPr>
              <w:t>two</w:t>
            </w:r>
            <w:r>
              <w:rPr>
                <w:szCs w:val="24"/>
              </w:rPr>
              <w:t xml:space="preserve"> pages for each resume</w:t>
            </w:r>
          </w:p>
          <w:p w14:paraId="13521177" w14:textId="77777777" w:rsidR="005E52CD" w:rsidRDefault="001C2D56" w:rsidP="00B32815">
            <w:pPr>
              <w:numPr>
                <w:ilvl w:val="0"/>
                <w:numId w:val="14"/>
              </w:numPr>
              <w:spacing w:after="0"/>
              <w:jc w:val="both"/>
              <w:rPr>
                <w:szCs w:val="24"/>
              </w:rPr>
            </w:pPr>
            <w:r w:rsidRPr="00BA7A1D">
              <w:rPr>
                <w:b/>
                <w:szCs w:val="24"/>
              </w:rPr>
              <w:t xml:space="preserve">Reference </w:t>
            </w:r>
            <w:r>
              <w:rPr>
                <w:b/>
                <w:szCs w:val="24"/>
              </w:rPr>
              <w:t xml:space="preserve">and Work Product </w:t>
            </w:r>
            <w:r w:rsidRPr="00BA7A1D">
              <w:rPr>
                <w:b/>
                <w:szCs w:val="24"/>
              </w:rPr>
              <w:t>Form</w:t>
            </w:r>
            <w:r>
              <w:rPr>
                <w:szCs w:val="24"/>
              </w:rPr>
              <w:t xml:space="preserve"> (Attachment</w:t>
            </w:r>
            <w:r w:rsidRPr="00C31C1D">
              <w:rPr>
                <w:szCs w:val="24"/>
              </w:rPr>
              <w:t>)</w:t>
            </w:r>
            <w:r w:rsidR="00B72CD2">
              <w:rPr>
                <w:szCs w:val="24"/>
              </w:rPr>
              <w:t xml:space="preserve">: </w:t>
            </w:r>
            <w:r w:rsidR="00FB5A02" w:rsidRPr="00311141">
              <w:rPr>
                <w:b/>
                <w:szCs w:val="24"/>
              </w:rPr>
              <w:t>one</w:t>
            </w:r>
            <w:r w:rsidR="00FB5A02">
              <w:rPr>
                <w:szCs w:val="24"/>
              </w:rPr>
              <w:t xml:space="preserve"> page for each reference, </w:t>
            </w:r>
            <w:r w:rsidRPr="00907E7C">
              <w:rPr>
                <w:b/>
                <w:szCs w:val="24"/>
              </w:rPr>
              <w:t>two</w:t>
            </w:r>
            <w:r>
              <w:rPr>
                <w:szCs w:val="24"/>
              </w:rPr>
              <w:t xml:space="preserve"> pages for </w:t>
            </w:r>
            <w:r w:rsidR="00FB5A02">
              <w:rPr>
                <w:szCs w:val="24"/>
              </w:rPr>
              <w:t xml:space="preserve">each </w:t>
            </w:r>
            <w:r>
              <w:rPr>
                <w:szCs w:val="24"/>
              </w:rPr>
              <w:t>project description</w:t>
            </w:r>
          </w:p>
          <w:p w14:paraId="4E74BF39" w14:textId="77777777" w:rsidR="005E52CD" w:rsidRDefault="001C2D56" w:rsidP="00B32815">
            <w:pPr>
              <w:numPr>
                <w:ilvl w:val="0"/>
                <w:numId w:val="14"/>
              </w:numPr>
              <w:jc w:val="both"/>
              <w:rPr>
                <w:szCs w:val="24"/>
              </w:rPr>
            </w:pPr>
            <w:r w:rsidRPr="00D23107">
              <w:rPr>
                <w:b/>
                <w:szCs w:val="24"/>
              </w:rPr>
              <w:t>Commitment and Support</w:t>
            </w:r>
            <w:r>
              <w:rPr>
                <w:b/>
                <w:szCs w:val="24"/>
              </w:rPr>
              <w:t xml:space="preserve"> Letter</w:t>
            </w:r>
            <w:r w:rsidR="006520E3">
              <w:rPr>
                <w:b/>
                <w:szCs w:val="24"/>
              </w:rPr>
              <w:t xml:space="preserve"> Form</w:t>
            </w:r>
            <w:r>
              <w:rPr>
                <w:b/>
                <w:szCs w:val="24"/>
              </w:rPr>
              <w:t xml:space="preserve"> </w:t>
            </w:r>
            <w:r>
              <w:rPr>
                <w:szCs w:val="24"/>
              </w:rPr>
              <w:t>(Attachment</w:t>
            </w:r>
            <w:r w:rsidRPr="00D23107">
              <w:rPr>
                <w:szCs w:val="24"/>
              </w:rPr>
              <w:t>)</w:t>
            </w:r>
            <w:r>
              <w:rPr>
                <w:szCs w:val="24"/>
              </w:rPr>
              <w:t xml:space="preserve">: </w:t>
            </w:r>
            <w:r w:rsidRPr="00907E7C">
              <w:rPr>
                <w:b/>
                <w:szCs w:val="24"/>
              </w:rPr>
              <w:t>two</w:t>
            </w:r>
            <w:r>
              <w:rPr>
                <w:szCs w:val="24"/>
              </w:rPr>
              <w:t xml:space="preserve"> pages, excluding </w:t>
            </w:r>
            <w:r w:rsidR="008153B5">
              <w:rPr>
                <w:szCs w:val="24"/>
              </w:rPr>
              <w:t xml:space="preserve">the </w:t>
            </w:r>
            <w:r>
              <w:rPr>
                <w:szCs w:val="24"/>
              </w:rPr>
              <w:t>cover page</w:t>
            </w:r>
          </w:p>
          <w:p w14:paraId="6FD8C200" w14:textId="77777777" w:rsidR="003B24B0" w:rsidRDefault="003B24B0" w:rsidP="00B32815">
            <w:pPr>
              <w:numPr>
                <w:ilvl w:val="0"/>
                <w:numId w:val="14"/>
              </w:numPr>
              <w:jc w:val="both"/>
              <w:rPr>
                <w:szCs w:val="24"/>
              </w:rPr>
            </w:pPr>
            <w:r>
              <w:rPr>
                <w:b/>
                <w:szCs w:val="24"/>
              </w:rPr>
              <w:t>Scope of Work</w:t>
            </w:r>
            <w:r>
              <w:rPr>
                <w:szCs w:val="24"/>
              </w:rPr>
              <w:t xml:space="preserve"> (Attachment): </w:t>
            </w:r>
            <w:r>
              <w:rPr>
                <w:b/>
                <w:szCs w:val="24"/>
              </w:rPr>
              <w:t>thirty</w:t>
            </w:r>
            <w:r>
              <w:rPr>
                <w:szCs w:val="24"/>
              </w:rPr>
              <w:t xml:space="preserve"> pages</w:t>
            </w:r>
          </w:p>
          <w:p w14:paraId="69976119" w14:textId="77777777" w:rsidR="003B24B0" w:rsidRDefault="003B24B0" w:rsidP="00B32815">
            <w:pPr>
              <w:numPr>
                <w:ilvl w:val="0"/>
                <w:numId w:val="14"/>
              </w:numPr>
              <w:jc w:val="both"/>
              <w:rPr>
                <w:szCs w:val="24"/>
              </w:rPr>
            </w:pPr>
            <w:r>
              <w:rPr>
                <w:b/>
                <w:szCs w:val="24"/>
              </w:rPr>
              <w:t>Project Schedule</w:t>
            </w:r>
            <w:r>
              <w:rPr>
                <w:szCs w:val="24"/>
              </w:rPr>
              <w:t xml:space="preserve"> (Attachment): </w:t>
            </w:r>
            <w:r>
              <w:rPr>
                <w:b/>
                <w:szCs w:val="24"/>
              </w:rPr>
              <w:t>four</w:t>
            </w:r>
            <w:r>
              <w:rPr>
                <w:szCs w:val="24"/>
              </w:rPr>
              <w:t xml:space="preserve"> pages</w:t>
            </w:r>
          </w:p>
          <w:p w14:paraId="6F74F9E2" w14:textId="77777777" w:rsidR="001C2D56" w:rsidRPr="00C31C1D" w:rsidRDefault="001C2D56" w:rsidP="00734C0C">
            <w:pPr>
              <w:numPr>
                <w:ilvl w:val="0"/>
                <w:numId w:val="14"/>
              </w:numPr>
              <w:spacing w:after="0"/>
              <w:jc w:val="both"/>
              <w:rPr>
                <w:szCs w:val="24"/>
              </w:rPr>
            </w:pPr>
            <w:r>
              <w:rPr>
                <w:szCs w:val="24"/>
              </w:rPr>
              <w:t>There are no p</w:t>
            </w:r>
            <w:r w:rsidRPr="00C31C1D">
              <w:rPr>
                <w:szCs w:val="24"/>
              </w:rPr>
              <w:t>age limit</w:t>
            </w:r>
            <w:r>
              <w:rPr>
                <w:szCs w:val="24"/>
              </w:rPr>
              <w:t>s</w:t>
            </w:r>
            <w:r w:rsidRPr="00C31C1D">
              <w:rPr>
                <w:szCs w:val="24"/>
              </w:rPr>
              <w:t xml:space="preserve"> </w:t>
            </w:r>
            <w:r>
              <w:rPr>
                <w:szCs w:val="24"/>
              </w:rPr>
              <w:t>for</w:t>
            </w:r>
            <w:r w:rsidRPr="00C31C1D">
              <w:rPr>
                <w:szCs w:val="24"/>
              </w:rPr>
              <w:t xml:space="preserve"> the following</w:t>
            </w:r>
            <w:r>
              <w:rPr>
                <w:szCs w:val="24"/>
              </w:rPr>
              <w:t>:</w:t>
            </w:r>
          </w:p>
          <w:p w14:paraId="75A35254" w14:textId="77777777" w:rsidR="005E52CD" w:rsidRDefault="001C2D56" w:rsidP="00734C0C">
            <w:pPr>
              <w:numPr>
                <w:ilvl w:val="1"/>
                <w:numId w:val="14"/>
              </w:numPr>
              <w:spacing w:after="0"/>
              <w:ind w:left="702"/>
              <w:jc w:val="both"/>
              <w:rPr>
                <w:szCs w:val="24"/>
              </w:rPr>
            </w:pPr>
            <w:r w:rsidRPr="00BA7A1D">
              <w:rPr>
                <w:b/>
                <w:szCs w:val="24"/>
              </w:rPr>
              <w:t>Application Form</w:t>
            </w:r>
            <w:r>
              <w:rPr>
                <w:szCs w:val="24"/>
              </w:rPr>
              <w:t xml:space="preserve"> (Attachment</w:t>
            </w:r>
            <w:r w:rsidRPr="00C31C1D">
              <w:rPr>
                <w:szCs w:val="24"/>
              </w:rPr>
              <w:t xml:space="preserve">) </w:t>
            </w:r>
          </w:p>
          <w:p w14:paraId="159A4AD7" w14:textId="77777777" w:rsidR="005E52CD" w:rsidRDefault="001C2D56" w:rsidP="00734C0C">
            <w:pPr>
              <w:numPr>
                <w:ilvl w:val="1"/>
                <w:numId w:val="14"/>
              </w:numPr>
              <w:spacing w:after="0"/>
              <w:ind w:left="702"/>
              <w:jc w:val="both"/>
              <w:rPr>
                <w:szCs w:val="24"/>
              </w:rPr>
            </w:pPr>
            <w:r w:rsidRPr="00BA7A1D">
              <w:rPr>
                <w:b/>
                <w:szCs w:val="24"/>
              </w:rPr>
              <w:t>Budget Forms</w:t>
            </w:r>
            <w:r>
              <w:rPr>
                <w:szCs w:val="24"/>
              </w:rPr>
              <w:t xml:space="preserve"> (Attachment</w:t>
            </w:r>
            <w:r w:rsidRPr="00C31C1D">
              <w:rPr>
                <w:szCs w:val="24"/>
              </w:rPr>
              <w:t>)</w:t>
            </w:r>
          </w:p>
          <w:p w14:paraId="5B35EA5A" w14:textId="77777777" w:rsidR="004C7AB4" w:rsidRDefault="001C2D56" w:rsidP="003A0A6F">
            <w:pPr>
              <w:numPr>
                <w:ilvl w:val="1"/>
                <w:numId w:val="14"/>
              </w:numPr>
              <w:spacing w:after="0"/>
              <w:ind w:left="702"/>
              <w:jc w:val="both"/>
              <w:rPr>
                <w:szCs w:val="24"/>
              </w:rPr>
            </w:pPr>
            <w:r w:rsidRPr="00BA7A1D">
              <w:rPr>
                <w:b/>
                <w:szCs w:val="24"/>
              </w:rPr>
              <w:t>CEQA Compliance Form</w:t>
            </w:r>
            <w:r>
              <w:rPr>
                <w:szCs w:val="24"/>
              </w:rPr>
              <w:t xml:space="preserve"> (Attachment</w:t>
            </w:r>
            <w:r w:rsidRPr="00C31C1D">
              <w:rPr>
                <w:szCs w:val="24"/>
              </w:rPr>
              <w:t>)</w:t>
            </w:r>
            <w:r w:rsidR="004C7AB4">
              <w:rPr>
                <w:szCs w:val="24"/>
              </w:rPr>
              <w:t xml:space="preserve"> </w:t>
            </w:r>
          </w:p>
          <w:p w14:paraId="3E6C6D24" w14:textId="77777777" w:rsidR="004C7AB4" w:rsidRDefault="004C7AB4" w:rsidP="003A0A6F">
            <w:pPr>
              <w:numPr>
                <w:ilvl w:val="1"/>
                <w:numId w:val="14"/>
              </w:numPr>
              <w:spacing w:after="0"/>
              <w:ind w:left="702"/>
              <w:jc w:val="both"/>
              <w:rPr>
                <w:szCs w:val="24"/>
              </w:rPr>
            </w:pPr>
            <w:r w:rsidRPr="008964A1">
              <w:rPr>
                <w:b/>
                <w:szCs w:val="24"/>
              </w:rPr>
              <w:t>Project Performance Metrics</w:t>
            </w:r>
            <w:r>
              <w:rPr>
                <w:szCs w:val="24"/>
              </w:rPr>
              <w:t xml:space="preserve"> (Attachment)</w:t>
            </w:r>
          </w:p>
          <w:p w14:paraId="60A3CDE0" w14:textId="77777777" w:rsidR="005E52CD" w:rsidRDefault="005E52CD" w:rsidP="003A0A6F">
            <w:pPr>
              <w:spacing w:after="0"/>
              <w:jc w:val="both"/>
              <w:rPr>
                <w:szCs w:val="24"/>
              </w:rPr>
            </w:pPr>
          </w:p>
        </w:tc>
      </w:tr>
    </w:tbl>
    <w:p w14:paraId="13972EC0" w14:textId="77777777" w:rsidR="001C2D56" w:rsidRPr="00C31C1D" w:rsidRDefault="001C2D56" w:rsidP="00A10CB4">
      <w:pPr>
        <w:spacing w:after="0"/>
        <w:ind w:left="360"/>
        <w:jc w:val="both"/>
        <w:rPr>
          <w:szCs w:val="22"/>
        </w:rPr>
      </w:pPr>
    </w:p>
    <w:p w14:paraId="29E94867" w14:textId="6D2C6FB5" w:rsidR="0090258A" w:rsidRPr="00CF6DED" w:rsidRDefault="0090258A" w:rsidP="002427DC">
      <w:pPr>
        <w:pStyle w:val="Heading2"/>
        <w:numPr>
          <w:ilvl w:val="0"/>
          <w:numId w:val="60"/>
        </w:numPr>
      </w:pPr>
      <w:bookmarkStart w:id="159" w:name="_Toc428191083"/>
      <w:bookmarkStart w:id="160" w:name="_Toc143001057"/>
      <w:bookmarkStart w:id="161" w:name="_Toc201713575"/>
      <w:bookmarkStart w:id="162" w:name="_Toc219275113"/>
      <w:bookmarkStart w:id="163" w:name="_Toc336443630"/>
      <w:bookmarkStart w:id="164" w:name="_Toc366671186"/>
      <w:r w:rsidRPr="00CF6DED">
        <w:t>Method For Delivery</w:t>
      </w:r>
      <w:bookmarkEnd w:id="159"/>
      <w:bookmarkEnd w:id="160"/>
    </w:p>
    <w:p w14:paraId="758B6A49" w14:textId="5D04E09C" w:rsidR="0090258A" w:rsidRDefault="0090258A" w:rsidP="00387A14">
      <w:pPr>
        <w:keepNext/>
        <w:jc w:val="both"/>
        <w:rPr>
          <w:b/>
        </w:rPr>
      </w:pPr>
      <w:r>
        <w:t xml:space="preserve">The </w:t>
      </w:r>
      <w:r w:rsidR="00D005C2">
        <w:t xml:space="preserve">only </w:t>
      </w:r>
      <w:r>
        <w:t xml:space="preserve">method of </w:t>
      </w:r>
      <w:r w:rsidR="00E77625">
        <w:t>submitting applications</w:t>
      </w:r>
      <w:r w:rsidR="0096573A">
        <w:t xml:space="preserve"> to</w:t>
      </w:r>
      <w:r>
        <w:t xml:space="preserve"> this solicitation is the </w:t>
      </w:r>
      <w:r w:rsidR="0096573A">
        <w:t>CEC</w:t>
      </w:r>
      <w:r>
        <w:t xml:space="preserve"> Grant Solicitation System</w:t>
      </w:r>
      <w:r w:rsidR="00E81542">
        <w:t xml:space="preserve"> (GSS)</w:t>
      </w:r>
      <w:r>
        <w:t xml:space="preserve">, available at: </w:t>
      </w:r>
      <w:r w:rsidRPr="00616F23">
        <w:rPr>
          <w:rFonts w:cs="Times New Roman"/>
        </w:rPr>
        <w:t>https://gss.energy.ca.gov/</w:t>
      </w:r>
      <w:r w:rsidR="00387A14">
        <w:t>.</w:t>
      </w:r>
      <w:r>
        <w:t xml:space="preserve"> This online tool allows applicants to submit their electronic documents to the </w:t>
      </w:r>
      <w:r w:rsidR="008F4A0E">
        <w:t>CEC</w:t>
      </w:r>
      <w:r>
        <w:t xml:space="preserve"> prior to the date and time specified in this solicitation</w:t>
      </w:r>
      <w:r w:rsidR="00387A14">
        <w:t>.</w:t>
      </w:r>
      <w:r>
        <w:t xml:space="preserve"> Electronic files must be in Microsoft Word XP (.doc format) </w:t>
      </w:r>
      <w:r w:rsidR="00CE6606">
        <w:t xml:space="preserve">or newer </w:t>
      </w:r>
      <w:r>
        <w:t xml:space="preserve">and Excel Office Suite formats unless originally provided in the solicitation in another format.  Attachments requiring signatures may be scanned and submitted in PDF format.  Completed Budget Forms, </w:t>
      </w:r>
      <w:r w:rsidR="0084752E">
        <w:t>(</w:t>
      </w:r>
      <w:r w:rsidRPr="001212D2">
        <w:t>Attachment</w:t>
      </w:r>
      <w:r w:rsidR="0084752E">
        <w:t>)</w:t>
      </w:r>
      <w:r w:rsidRPr="001212D2">
        <w:t>,</w:t>
      </w:r>
      <w:r>
        <w:t xml:space="preserve"> must be in Excel format.  </w:t>
      </w:r>
    </w:p>
    <w:p w14:paraId="140C1D08" w14:textId="77777777" w:rsidR="00FA17A4" w:rsidRPr="00FA17A4" w:rsidRDefault="00FA17A4" w:rsidP="00387A14">
      <w:pPr>
        <w:keepNext/>
        <w:jc w:val="both"/>
        <w:rPr>
          <w:bCs/>
        </w:rPr>
      </w:pPr>
      <w:r w:rsidRPr="00FA17A4">
        <w:rPr>
          <w:bCs/>
        </w:rPr>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5C5EBD5C" w14:textId="77777777" w:rsidR="00FA17A4" w:rsidRPr="00FA17A4" w:rsidRDefault="00FA17A4" w:rsidP="00387A14">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07E467AE" w:rsidR="0090258A" w:rsidRDefault="00FA17A4" w:rsidP="00387A14">
      <w:pPr>
        <w:keepNext/>
        <w:jc w:val="both"/>
      </w:pPr>
      <w:r w:rsidRPr="00FA17A4">
        <w:rPr>
          <w:bCs/>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https://www.energy.ca.gov/media/1654. </w:t>
      </w:r>
    </w:p>
    <w:p w14:paraId="4D97BBF0" w14:textId="7FF07555" w:rsidR="0090258A" w:rsidRPr="00C07F85" w:rsidRDefault="0090258A" w:rsidP="00387A14">
      <w:pPr>
        <w:keepNext/>
        <w:jc w:val="both"/>
      </w:pPr>
      <w:r>
        <w:t xml:space="preserve">First time users must register as a new user to access the system. Applicants will receive a confirmation email after all required documents have been successfully uploaded.  A tutorial of </w:t>
      </w:r>
      <w:r>
        <w:lastRenderedPageBreak/>
        <w:t xml:space="preserve">the system will be provided at the pre-application </w:t>
      </w:r>
      <w:r w:rsidR="00D41E27">
        <w:t>workshop,</w:t>
      </w:r>
      <w:r>
        <w:t xml:space="preserve"> and you may contact the Commission Agreement Officer identified in the Questions section of the solicitation for more assistance.</w:t>
      </w:r>
    </w:p>
    <w:p w14:paraId="517A7FA1" w14:textId="151E4C90" w:rsidR="00344986" w:rsidRPr="00CF6DED" w:rsidRDefault="001C2D56" w:rsidP="002427DC">
      <w:pPr>
        <w:pStyle w:val="Heading2"/>
        <w:numPr>
          <w:ilvl w:val="0"/>
          <w:numId w:val="60"/>
        </w:numPr>
      </w:pPr>
      <w:bookmarkStart w:id="165" w:name="_Toc143001058"/>
      <w:bookmarkStart w:id="166" w:name="_Toc219275114"/>
      <w:bookmarkStart w:id="167" w:name="_Toc336443632"/>
      <w:bookmarkStart w:id="168" w:name="_Toc366671188"/>
      <w:bookmarkEnd w:id="161"/>
      <w:bookmarkEnd w:id="162"/>
      <w:bookmarkEnd w:id="163"/>
      <w:bookmarkEnd w:id="164"/>
      <w:r w:rsidRPr="00CF6DED">
        <w:t>Application Content</w:t>
      </w:r>
      <w:bookmarkEnd w:id="165"/>
    </w:p>
    <w:p w14:paraId="16F31403" w14:textId="5B34620E" w:rsidR="001C2D56" w:rsidRPr="00C31C1D" w:rsidRDefault="001C2D56" w:rsidP="0034260F">
      <w:bookmarkStart w:id="169" w:name="_Toc381079929"/>
      <w:bookmarkStart w:id="170" w:name="_Toc382571192"/>
      <w:bookmarkStart w:id="171" w:name="_Toc395180702"/>
      <w:bookmarkStart w:id="172" w:name="_Toc433981331"/>
      <w:bookmarkStart w:id="173" w:name="_Toc35074593"/>
      <w:bookmarkStart w:id="174" w:name="_Toc366671191"/>
      <w:bookmarkEnd w:id="166"/>
      <w:bookmarkEnd w:id="167"/>
      <w:bookmarkEnd w:id="168"/>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69"/>
      <w:bookmarkEnd w:id="170"/>
      <w:bookmarkEnd w:id="171"/>
      <w:bookmarkEnd w:id="172"/>
      <w:r w:rsidR="00BF6C04">
        <w:t>.</w:t>
      </w:r>
    </w:p>
    <w:bookmarkEnd w:id="173"/>
    <w:bookmarkEnd w:id="174"/>
    <w:p w14:paraId="06536639" w14:textId="77777777" w:rsidR="005E52CD" w:rsidRPr="007065BB" w:rsidRDefault="001C2D56" w:rsidP="002427DC">
      <w:pPr>
        <w:pStyle w:val="HeadingNew1"/>
        <w:numPr>
          <w:ilvl w:val="0"/>
          <w:numId w:val="36"/>
        </w:numPr>
        <w:ind w:left="360"/>
      </w:pPr>
      <w:r w:rsidRPr="007065BB">
        <w:t>Application Form (Attachment 1)</w:t>
      </w:r>
    </w:p>
    <w:p w14:paraId="488555D9" w14:textId="7BB44D10" w:rsidR="001C2D56" w:rsidRPr="00C31C1D" w:rsidRDefault="001C2D56" w:rsidP="00271699">
      <w:pPr>
        <w:widowControl w:val="0"/>
        <w:spacing w:after="0"/>
        <w:ind w:left="360"/>
        <w:jc w:val="both"/>
      </w:pPr>
      <w:r>
        <w:t xml:space="preserve">This form requests basic information about the applicant and the project.  </w:t>
      </w:r>
      <w:r w:rsidRPr="00C31C1D">
        <w:t xml:space="preserve">The application </w:t>
      </w:r>
      <w:r w:rsidR="00D055DE">
        <w:t xml:space="preserve">must </w:t>
      </w:r>
      <w:r w:rsidRPr="00C31C1D">
        <w:t xml:space="preserve">include an original </w:t>
      </w:r>
      <w:r w:rsidR="00B513CA" w:rsidRPr="00B513CA">
        <w:t>Application</w:t>
      </w:r>
      <w:r w:rsidR="00B513CA" w:rsidRPr="00B513CA">
        <w:rPr>
          <w:color w:val="0078D4"/>
          <w:szCs w:val="22"/>
          <w:shd w:val="clear" w:color="auto" w:fill="FFFFFF"/>
        </w:rPr>
        <w:t xml:space="preserve"> </w:t>
      </w:r>
      <w:r w:rsidR="00B513CA">
        <w:t>F</w:t>
      </w:r>
      <w:r w:rsidRPr="00C31C1D">
        <w:t xml:space="preserve">orm </w:t>
      </w:r>
      <w:r>
        <w:t>that includes all requested information</w:t>
      </w:r>
      <w:r w:rsidR="00686D5C">
        <w:t xml:space="preserve">.  The </w:t>
      </w:r>
      <w:r w:rsidR="00B449E1" w:rsidRPr="00B449E1">
        <w:t>Application Form</w:t>
      </w:r>
      <w:r w:rsidR="00686D5C">
        <w:t xml:space="preserve"> must be</w:t>
      </w:r>
      <w:r>
        <w:t xml:space="preserve"> </w:t>
      </w:r>
      <w:r w:rsidRPr="00C31C1D">
        <w:t>signed by an au</w:t>
      </w:r>
      <w:r>
        <w:t>thorized representative of the a</w:t>
      </w:r>
      <w:r w:rsidRPr="00C31C1D">
        <w:t>pplicant’s organization</w:t>
      </w:r>
      <w:r w:rsidR="00686D5C">
        <w:t xml:space="preserve"> or will be failed as indicated in Section IV.E</w:t>
      </w:r>
      <w:r w:rsidRPr="00C31C1D">
        <w:rPr>
          <w:noProof/>
        </w:rPr>
        <w:t>.</w:t>
      </w:r>
      <w:r w:rsidRPr="00C31C1D">
        <w:t xml:space="preserve"> </w:t>
      </w:r>
    </w:p>
    <w:p w14:paraId="3E3B4810" w14:textId="39704D63" w:rsidR="001C2D56" w:rsidRDefault="001C2D56" w:rsidP="00A10CB4">
      <w:pPr>
        <w:spacing w:after="0"/>
        <w:ind w:left="720"/>
        <w:jc w:val="both"/>
      </w:pPr>
    </w:p>
    <w:p w14:paraId="4C82629D" w14:textId="77777777" w:rsidR="00624855" w:rsidRDefault="00624855" w:rsidP="00624855">
      <w:pPr>
        <w:spacing w:after="0"/>
        <w:ind w:left="36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24559819" w14:textId="77777777" w:rsidR="00624855" w:rsidRPr="00C31C1D" w:rsidRDefault="00624855" w:rsidP="00A10CB4">
      <w:pPr>
        <w:spacing w:after="0"/>
        <w:ind w:left="720"/>
        <w:jc w:val="both"/>
      </w:pPr>
    </w:p>
    <w:p w14:paraId="03486CAD" w14:textId="77777777" w:rsidR="005E52CD" w:rsidRPr="007065BB" w:rsidRDefault="001C2D56" w:rsidP="002427DC">
      <w:pPr>
        <w:pStyle w:val="HeadingNew1"/>
        <w:numPr>
          <w:ilvl w:val="0"/>
          <w:numId w:val="36"/>
        </w:numPr>
        <w:ind w:left="360"/>
      </w:pPr>
      <w:r w:rsidRPr="007065BB">
        <w:t>Executive Summary Form (Attachment 2)</w:t>
      </w:r>
    </w:p>
    <w:p w14:paraId="0C7DDAAE" w14:textId="77777777" w:rsidR="001C2D56" w:rsidRDefault="001C2D56" w:rsidP="00271699">
      <w:pPr>
        <w:spacing w:after="0"/>
        <w:ind w:left="360"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77777777" w:rsidR="005E52CD" w:rsidRPr="007065BB" w:rsidRDefault="001C2D56" w:rsidP="002427DC">
      <w:pPr>
        <w:pStyle w:val="HeadingNew1"/>
        <w:numPr>
          <w:ilvl w:val="0"/>
          <w:numId w:val="36"/>
        </w:numPr>
        <w:ind w:left="360"/>
      </w:pPr>
      <w:r w:rsidRPr="007065BB">
        <w:t xml:space="preserve">Project Narrative Form (Attachment </w:t>
      </w:r>
      <w:r w:rsidR="003B24B0">
        <w:t>3</w:t>
      </w:r>
      <w:r w:rsidRPr="007065BB">
        <w:t xml:space="preserve">) </w:t>
      </w:r>
    </w:p>
    <w:p w14:paraId="200F990C" w14:textId="77777777" w:rsidR="00142AAE" w:rsidRPr="00142AAE" w:rsidRDefault="00C2239B" w:rsidP="00142AAE">
      <w:pPr>
        <w:ind w:left="360" w:right="360"/>
        <w:jc w:val="both"/>
      </w:pPr>
      <w:r>
        <w:t>T</w:t>
      </w:r>
      <w:r w:rsidRPr="00C31C1D">
        <w:t>h</w:t>
      </w:r>
      <w:r>
        <w:t>is</w:t>
      </w:r>
      <w:r w:rsidRPr="00C31C1D">
        <w:t xml:space="preserve"> </w:t>
      </w:r>
      <w:r>
        <w:t>f</w:t>
      </w:r>
      <w:r w:rsidRPr="00C31C1D">
        <w:t>orm</w:t>
      </w:r>
      <w:r>
        <w:t xml:space="preserve"> will include the majority of the applicant’s responses to the Scoring Criteria in </w:t>
      </w:r>
      <w:r w:rsidR="00076BD7">
        <w:t xml:space="preserve">Section </w:t>
      </w:r>
      <w:r>
        <w:t>IV</w:t>
      </w:r>
      <w:r w:rsidR="00142AAE" w:rsidRPr="00142AAE">
        <w:t>, including the following which must be addressed for both Applied Research &amp; Technology Demonstration projects:</w:t>
      </w:r>
    </w:p>
    <w:p w14:paraId="116F2C97" w14:textId="6DFF8B4A" w:rsidR="007065BB" w:rsidRPr="00142AAE" w:rsidRDefault="007065BB" w:rsidP="002427DC">
      <w:pPr>
        <w:numPr>
          <w:ilvl w:val="1"/>
          <w:numId w:val="26"/>
        </w:numPr>
        <w:tabs>
          <w:tab w:val="left" w:pos="288"/>
        </w:tabs>
        <w:spacing w:after="0"/>
        <w:ind w:left="1350" w:hanging="450"/>
        <w:rPr>
          <w:rFonts w:eastAsia="MS Mincho" w:cs="Times New Roman"/>
          <w:szCs w:val="24"/>
        </w:rPr>
      </w:pPr>
      <w:r w:rsidRPr="00142AAE">
        <w:rPr>
          <w:rFonts w:eastAsia="MS Mincho" w:cs="Times New Roman"/>
          <w:b/>
          <w:szCs w:val="24"/>
        </w:rPr>
        <w:t>Group Specific Questions</w:t>
      </w:r>
      <w:r>
        <w:rPr>
          <w:rFonts w:eastAsia="MS Mincho" w:cs="Times New Roman"/>
          <w:b/>
          <w:szCs w:val="24"/>
        </w:rPr>
        <w:t xml:space="preserve"> </w:t>
      </w:r>
    </w:p>
    <w:p w14:paraId="710E5E6A" w14:textId="77777777" w:rsidR="007065BB" w:rsidRPr="00142AAE" w:rsidRDefault="007065BB" w:rsidP="002427DC">
      <w:pPr>
        <w:numPr>
          <w:ilvl w:val="2"/>
          <w:numId w:val="26"/>
        </w:numPr>
        <w:tabs>
          <w:tab w:val="left" w:pos="288"/>
        </w:tabs>
        <w:ind w:left="1886" w:hanging="446"/>
        <w:rPr>
          <w:rFonts w:eastAsia="MS Mincho" w:cs="Times New Roman"/>
          <w:sz w:val="24"/>
          <w:szCs w:val="24"/>
        </w:rPr>
      </w:pPr>
      <w:r w:rsidRPr="00142AAE">
        <w:rPr>
          <w:rFonts w:eastAsia="MS Mincho" w:cs="Times New Roman"/>
          <w:szCs w:val="24"/>
        </w:rPr>
        <w:t>Include required group specific information (see Section I.</w:t>
      </w:r>
      <w:r w:rsidR="003A07F9">
        <w:rPr>
          <w:rFonts w:eastAsia="MS Mincho" w:cs="Times New Roman"/>
          <w:szCs w:val="24"/>
        </w:rPr>
        <w:t>C.</w:t>
      </w:r>
      <w:r w:rsidRPr="00142AAE">
        <w:rPr>
          <w:rFonts w:eastAsia="MS Mincho" w:cs="Times New Roman"/>
          <w:sz w:val="24"/>
          <w:szCs w:val="24"/>
        </w:rPr>
        <w:t xml:space="preserve">) in the specified sections. </w:t>
      </w:r>
    </w:p>
    <w:p w14:paraId="4F49063D" w14:textId="77777777" w:rsidR="007065BB" w:rsidRPr="00142AAE" w:rsidRDefault="007065BB" w:rsidP="002427DC">
      <w:pPr>
        <w:numPr>
          <w:ilvl w:val="1"/>
          <w:numId w:val="26"/>
        </w:numPr>
        <w:tabs>
          <w:tab w:val="left" w:pos="288"/>
        </w:tabs>
        <w:spacing w:after="0"/>
        <w:ind w:left="1350" w:hanging="450"/>
        <w:rPr>
          <w:rFonts w:eastAsia="MS Mincho" w:cs="Times New Roman"/>
          <w:sz w:val="24"/>
          <w:szCs w:val="24"/>
        </w:rPr>
      </w:pPr>
      <w:r w:rsidRPr="00142AAE">
        <w:rPr>
          <w:rFonts w:eastAsia="MS Mincho" w:cs="Times New Roman"/>
          <w:b/>
          <w:bCs/>
          <w:color w:val="000000"/>
          <w:szCs w:val="22"/>
        </w:rPr>
        <w:t>Project Readiness</w:t>
      </w:r>
    </w:p>
    <w:p w14:paraId="3F812435" w14:textId="4E6E5036" w:rsidR="007065BB" w:rsidRPr="00453F01" w:rsidRDefault="007065BB" w:rsidP="002427DC">
      <w:pPr>
        <w:numPr>
          <w:ilvl w:val="2"/>
          <w:numId w:val="26"/>
        </w:numPr>
        <w:tabs>
          <w:tab w:val="left" w:pos="288"/>
        </w:tabs>
        <w:spacing w:after="0"/>
        <w:ind w:left="1890" w:hanging="450"/>
        <w:rPr>
          <w:rFonts w:eastAsia="MS Mincho" w:cs="Times New Roman"/>
          <w:sz w:val="24"/>
          <w:szCs w:val="24"/>
        </w:rPr>
      </w:pPr>
      <w:r w:rsidRPr="721BCCCA">
        <w:rPr>
          <w:rFonts w:eastAsia="MS Mincho" w:cs="Times New Roman"/>
        </w:rPr>
        <w:t>Include information about 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this solicitation (see Section I.</w:t>
      </w:r>
      <w:r w:rsidR="00735F30" w:rsidRPr="721BCCCA">
        <w:rPr>
          <w:rFonts w:eastAsia="MS Mincho" w:cs="Times New Roman"/>
        </w:rPr>
        <w:t>E</w:t>
      </w:r>
      <w:r w:rsidRPr="721BCCCA">
        <w:rPr>
          <w:rFonts w:eastAsia="MS Mincho" w:cs="Times New Roman"/>
        </w:rPr>
        <w:t>).</w:t>
      </w:r>
      <w:r w:rsidRPr="00453F01">
        <w:rPr>
          <w:rFonts w:cs="Times New Roman"/>
        </w:rPr>
        <w:t xml:space="preserve"> All supporting documentation must be included in Attachment 8.</w:t>
      </w:r>
    </w:p>
    <w:p w14:paraId="5856DB1F" w14:textId="77777777" w:rsidR="001C2D56" w:rsidRPr="00C31C1D" w:rsidRDefault="001C2D56" w:rsidP="00A10CB4">
      <w:pPr>
        <w:spacing w:after="0"/>
        <w:ind w:left="770" w:right="360"/>
        <w:jc w:val="both"/>
        <w:rPr>
          <w:b/>
        </w:rPr>
      </w:pPr>
    </w:p>
    <w:p w14:paraId="1721143F" w14:textId="77777777" w:rsidR="005E52CD" w:rsidRPr="007065BB" w:rsidRDefault="001C2D56" w:rsidP="002427DC">
      <w:pPr>
        <w:pStyle w:val="HeadingNew1"/>
        <w:numPr>
          <w:ilvl w:val="0"/>
          <w:numId w:val="36"/>
        </w:numPr>
        <w:ind w:left="360"/>
      </w:pPr>
      <w:r w:rsidRPr="007065BB">
        <w:t xml:space="preserve">Project Team Form (Attachment </w:t>
      </w:r>
      <w:r w:rsidR="003B24B0">
        <w:t>4</w:t>
      </w:r>
      <w:r w:rsidRPr="007065BB">
        <w:t>)</w:t>
      </w:r>
    </w:p>
    <w:p w14:paraId="6B128283" w14:textId="77777777" w:rsidR="001C2D56" w:rsidRPr="00C31C1D" w:rsidRDefault="001C2D56" w:rsidP="00C6007B">
      <w:pPr>
        <w:keepLines/>
        <w:widowControl w:val="0"/>
        <w:tabs>
          <w:tab w:val="left" w:pos="1170"/>
        </w:tabs>
        <w:spacing w:after="0"/>
        <w:ind w:left="360"/>
        <w:jc w:val="both"/>
        <w:rPr>
          <w:szCs w:val="22"/>
        </w:rPr>
      </w:pPr>
      <w:r w:rsidRPr="3F455C4E">
        <w:lastRenderedPageBreak/>
        <w:t>Identify by name all key personnel</w:t>
      </w:r>
      <w:r w:rsidRPr="3F455C4E">
        <w:rPr>
          <w:rStyle w:val="FootnoteReference"/>
          <w:rFonts w:cs="Arial"/>
        </w:rPr>
        <w:footnoteReference w:id="28"/>
      </w:r>
      <w:r w:rsidRPr="3F455C4E">
        <w:t xml:space="preserve"> assigned to the project, including the project manager and principal investigator (if applicable)</w:t>
      </w:r>
      <w:r w:rsidR="3C709F42">
        <w:rPr>
          <w:szCs w:val="22"/>
        </w:rPr>
        <w:t xml:space="preserve">, </w:t>
      </w:r>
      <w:r w:rsidR="031D0E8F" w:rsidRPr="3F455C4E">
        <w:t xml:space="preserve">and individuals employed by any major subcontractor (a </w:t>
      </w:r>
      <w:r w:rsidR="00DF20D4" w:rsidRPr="3F455C4E">
        <w:t xml:space="preserve">major </w:t>
      </w:r>
      <w:r w:rsidR="031D0E8F" w:rsidRPr="3F455C4E">
        <w:t>subcontractor</w:t>
      </w:r>
      <w:r w:rsidR="00DF20D4" w:rsidRPr="3F455C4E">
        <w:t xml:space="preserve"> is a su</w:t>
      </w:r>
      <w:r w:rsidR="4C7B8712" w:rsidRPr="3F455C4E">
        <w:t>b</w:t>
      </w:r>
      <w:r w:rsidR="00DF20D4" w:rsidRPr="3F455C4E">
        <w:t>contractor</w:t>
      </w:r>
      <w:r w:rsidR="031D0E8F" w:rsidRPr="3F455C4E">
        <w:t xml:space="preserve"> receiving at least 25% of Commission funds or $100,000, whichever is less)</w:t>
      </w:r>
      <w:r>
        <w:rPr>
          <w:szCs w:val="22"/>
        </w:rPr>
        <w:t xml:space="preserve">. </w:t>
      </w:r>
      <w:r w:rsidRPr="3F455C4E">
        <w:t>Clearly describe their individual areas of responsibility.</w:t>
      </w:r>
      <w:r w:rsidRPr="00C31C1D">
        <w:rPr>
          <w:szCs w:val="22"/>
        </w:rPr>
        <w:t xml:space="preserve"> </w:t>
      </w:r>
      <w:r w:rsidRPr="3F455C4E">
        <w:t>Include the information required for each individual, including</w:t>
      </w:r>
      <w:r w:rsidRPr="00C31C1D">
        <w:rPr>
          <w:szCs w:val="22"/>
        </w:rPr>
        <w:t xml:space="preserve"> </w:t>
      </w:r>
      <w:r w:rsidRPr="3F455C4E">
        <w:t>a resume (maximum two pages</w:t>
      </w:r>
      <w:r w:rsidRPr="00C31C1D">
        <w:rPr>
          <w:szCs w:val="22"/>
        </w:rPr>
        <w:t xml:space="preserve">, </w:t>
      </w:r>
      <w:r w:rsidRPr="3F455C4E">
        <w:t>printed double-sided)</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77777777" w:rsidR="005E52CD" w:rsidRPr="007065BB" w:rsidRDefault="001C2D56" w:rsidP="002427DC">
      <w:pPr>
        <w:pStyle w:val="HeadingNew1"/>
        <w:numPr>
          <w:ilvl w:val="0"/>
          <w:numId w:val="36"/>
        </w:numPr>
        <w:ind w:left="360"/>
      </w:pPr>
      <w:r w:rsidRPr="007065BB">
        <w:t>Scope of Work Template (Attachment</w:t>
      </w:r>
      <w:r w:rsidR="00713198" w:rsidRPr="007065BB">
        <w:t>s</w:t>
      </w:r>
      <w:r w:rsidRPr="007065BB">
        <w:t xml:space="preserve"> </w:t>
      </w:r>
      <w:r w:rsidR="003B24B0">
        <w:t>5</w:t>
      </w:r>
      <w:r w:rsidRPr="007065BB">
        <w:t>)</w:t>
      </w:r>
    </w:p>
    <w:p w14:paraId="2EC5240E" w14:textId="77777777" w:rsidR="001C2D56" w:rsidRPr="00C31C1D" w:rsidRDefault="001C2D56" w:rsidP="000B3DB3">
      <w:pPr>
        <w:pStyle w:val="BulletedList"/>
        <w:spacing w:after="0"/>
        <w:ind w:left="360" w:firstLine="0"/>
        <w:jc w:val="both"/>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r w:rsidR="00076A0E">
        <w:t xml:space="preserve">See requirements in section III.A. </w:t>
      </w:r>
    </w:p>
    <w:p w14:paraId="5C04F34B" w14:textId="77777777" w:rsidR="001C2D56" w:rsidRPr="00C31C1D" w:rsidRDefault="001C2D56" w:rsidP="00A10CB4">
      <w:pPr>
        <w:pStyle w:val="BulletedList"/>
        <w:spacing w:after="0"/>
        <w:ind w:left="720" w:firstLine="0"/>
        <w:jc w:val="both"/>
      </w:pPr>
    </w:p>
    <w:p w14:paraId="44F67CA8" w14:textId="77777777" w:rsidR="001970B9" w:rsidRPr="00142AAE" w:rsidRDefault="001C2D56" w:rsidP="00142AAE">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10CB4">
      <w:pPr>
        <w:pStyle w:val="BulletedList"/>
        <w:spacing w:after="0"/>
        <w:ind w:left="720" w:firstLine="0"/>
        <w:jc w:val="both"/>
        <w:rPr>
          <w:b/>
        </w:rPr>
      </w:pPr>
    </w:p>
    <w:p w14:paraId="3F5D6D8A" w14:textId="77777777" w:rsidR="00A14C92" w:rsidRDefault="00A14C92" w:rsidP="002427DC">
      <w:pPr>
        <w:pStyle w:val="HeadingNew1"/>
        <w:numPr>
          <w:ilvl w:val="0"/>
          <w:numId w:val="36"/>
        </w:numPr>
        <w:ind w:left="360"/>
      </w:pPr>
      <w:bookmarkStart w:id="175" w:name="_Toc35074602"/>
      <w:r>
        <w:t>Project Schedule (Attachment 6)</w:t>
      </w:r>
    </w:p>
    <w:p w14:paraId="7E4014C1" w14:textId="34359FAF" w:rsidR="00A14C92" w:rsidRDefault="003B24B0" w:rsidP="00CC1385">
      <w:pPr>
        <w:pStyle w:val="HeadingNew1"/>
        <w:numPr>
          <w:ilvl w:val="0"/>
          <w:numId w:val="0"/>
        </w:numPr>
        <w:ind w:left="360"/>
        <w:rPr>
          <w:b w:val="0"/>
        </w:rPr>
      </w:pPr>
      <w:r>
        <w:rPr>
          <w:b w:val="0"/>
        </w:rPr>
        <w:t>The Project Schedule includes a list of all product</w:t>
      </w:r>
      <w:r w:rsidR="55D221F2">
        <w:rPr>
          <w:b w:val="0"/>
        </w:rPr>
        <w:t>s</w:t>
      </w:r>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CC1385">
      <w:pPr>
        <w:pStyle w:val="HeadingNew1"/>
        <w:numPr>
          <w:ilvl w:val="0"/>
          <w:numId w:val="0"/>
        </w:numPr>
        <w:ind w:left="360"/>
        <w:rPr>
          <w:b w:val="0"/>
        </w:rPr>
      </w:pPr>
      <w:r>
        <w:rPr>
          <w:b w:val="0"/>
        </w:rPr>
        <w:t xml:space="preserve">Electronic files for the Project schedule must be in </w:t>
      </w:r>
      <w:r w:rsidRPr="00CC1385">
        <w:t>MS Excel</w:t>
      </w:r>
      <w:r>
        <w:rPr>
          <w:b w:val="0"/>
        </w:rPr>
        <w:t xml:space="preserve"> file format.</w:t>
      </w:r>
    </w:p>
    <w:p w14:paraId="0E77D947" w14:textId="77777777" w:rsidR="005E52CD" w:rsidRPr="007065BB" w:rsidRDefault="001C2D56" w:rsidP="002427DC">
      <w:pPr>
        <w:pStyle w:val="HeadingNew1"/>
        <w:numPr>
          <w:ilvl w:val="0"/>
          <w:numId w:val="36"/>
        </w:numPr>
        <w:ind w:left="360"/>
      </w:pPr>
      <w:r w:rsidRPr="007065BB">
        <w:t>Budget Forms (Attachment 7)</w:t>
      </w:r>
    </w:p>
    <w:bookmarkEnd w:id="175"/>
    <w:p w14:paraId="26D7375C" w14:textId="77777777" w:rsidR="00142AAE" w:rsidRPr="004D354D" w:rsidRDefault="00142AAE" w:rsidP="00142AAE">
      <w:pPr>
        <w:pStyle w:val="BulletedList"/>
        <w:ind w:left="360" w:firstLine="0"/>
        <w:jc w:val="both"/>
      </w:pPr>
      <w:r w:rsidRPr="00C31C1D">
        <w:t xml:space="preserve">The </w:t>
      </w:r>
      <w:r>
        <w:t xml:space="preserve">budget </w:t>
      </w:r>
      <w:r w:rsidRPr="00C31C1D">
        <w:t xml:space="preserve">forms are in </w:t>
      </w:r>
      <w:r>
        <w:t xml:space="preserve">MS </w:t>
      </w:r>
      <w:r w:rsidRPr="00C31C1D">
        <w:t>Excel format.</w:t>
      </w:r>
      <w:r>
        <w:t xml:space="preserve">  </w:t>
      </w:r>
      <w:r w:rsidRPr="00C31C1D">
        <w:t>Detailed i</w:t>
      </w:r>
      <w:r>
        <w:t xml:space="preserve">nstructions for completing them </w:t>
      </w:r>
      <w:r w:rsidRPr="00C31C1D">
        <w:t xml:space="preserve">are included at the beginning of </w:t>
      </w:r>
      <w:r>
        <w:t>A</w:t>
      </w:r>
      <w:r w:rsidRPr="00B6089E">
        <w:t>ttachment</w:t>
      </w:r>
      <w:r>
        <w:t xml:space="preserve"> 7</w:t>
      </w:r>
      <w:r w:rsidRPr="00C31C1D">
        <w:t xml:space="preserve">. </w:t>
      </w:r>
      <w:r>
        <w:rPr>
          <w:b/>
        </w:rPr>
        <w:t xml:space="preserve"> R</w:t>
      </w:r>
      <w:r w:rsidRPr="00C31C1D">
        <w:rPr>
          <w:b/>
        </w:rPr>
        <w:t>ead the</w:t>
      </w:r>
      <w:r>
        <w:rPr>
          <w:b/>
        </w:rPr>
        <w:t xml:space="preserve"> </w:t>
      </w:r>
      <w:r w:rsidRPr="00C31C1D">
        <w:rPr>
          <w:b/>
        </w:rPr>
        <w:t xml:space="preserve">instructions before </w:t>
      </w:r>
      <w:r>
        <w:rPr>
          <w:b/>
        </w:rPr>
        <w:t>completing</w:t>
      </w:r>
      <w:r w:rsidRPr="00C31C1D">
        <w:rPr>
          <w:b/>
        </w:rPr>
        <w:t xml:space="preserve"> the</w:t>
      </w:r>
      <w:r>
        <w:rPr>
          <w:b/>
        </w:rPr>
        <w:t xml:space="preserve"> worksheets</w:t>
      </w:r>
      <w:r w:rsidRPr="00C31C1D">
        <w:t>.</w:t>
      </w:r>
      <w:r w:rsidRPr="005F0C5F">
        <w:t xml:space="preserve"> </w:t>
      </w:r>
      <w:r>
        <w:t>C</w:t>
      </w:r>
      <w:r w:rsidRPr="00C31C1D">
        <w:t xml:space="preserve">omplete and submit information on </w:t>
      </w:r>
      <w:r w:rsidRPr="00D11C88">
        <w:rPr>
          <w:b/>
        </w:rPr>
        <w:t>all</w:t>
      </w:r>
      <w:r w:rsidRPr="005522EA">
        <w:t xml:space="preserve"> </w:t>
      </w:r>
      <w:r w:rsidRPr="00C31C1D">
        <w:t>budget worksheets</w:t>
      </w:r>
      <w:r>
        <w:t xml:space="preserve">. </w:t>
      </w:r>
      <w:r w:rsidRPr="004D354D">
        <w:t xml:space="preserve">The salaries, rates, </w:t>
      </w:r>
      <w:r>
        <w:t>and other costs entered on the</w:t>
      </w:r>
      <w:r w:rsidRPr="004D354D">
        <w:t xml:space="preserve"> worksheets will become a part of the final agreement.  </w:t>
      </w:r>
    </w:p>
    <w:p w14:paraId="2973919A" w14:textId="77777777" w:rsidR="005E52CD" w:rsidRDefault="001C2D56" w:rsidP="00734C0C">
      <w:pPr>
        <w:keepLines/>
        <w:widowControl w:val="0"/>
        <w:numPr>
          <w:ilvl w:val="0"/>
          <w:numId w:val="12"/>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approved </w:t>
      </w:r>
      <w:r>
        <w:rPr>
          <w:szCs w:val="22"/>
        </w:rPr>
        <w:t xml:space="preserve">agreement </w:t>
      </w:r>
      <w:r w:rsidRPr="00C31C1D">
        <w:rPr>
          <w:szCs w:val="22"/>
        </w:rPr>
        <w:t xml:space="preserve">term.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 xml:space="preserve">Part I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77777777" w:rsidR="005E52CD" w:rsidRDefault="001C2D56" w:rsidP="00734C0C">
      <w:pPr>
        <w:keepLines/>
        <w:widowControl w:val="0"/>
        <w:numPr>
          <w:ilvl w:val="0"/>
          <w:numId w:val="12"/>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53F45EF5" w14:textId="77777777" w:rsidR="005E52CD" w:rsidRDefault="001C2D56" w:rsidP="00734C0C">
      <w:pPr>
        <w:keepLines/>
        <w:numPr>
          <w:ilvl w:val="0"/>
          <w:numId w:val="12"/>
        </w:numPr>
        <w:tabs>
          <w:tab w:val="left" w:pos="1080"/>
        </w:tabs>
        <w:spacing w:after="60"/>
        <w:ind w:left="1080"/>
        <w:jc w:val="both"/>
        <w:rPr>
          <w:szCs w:val="22"/>
        </w:rPr>
      </w:pPr>
      <w:r w:rsidRPr="00C31C1D">
        <w:rPr>
          <w:szCs w:val="22"/>
        </w:rPr>
        <w:t xml:space="preserve">The proposed rates are considered capped and </w:t>
      </w:r>
      <w:r>
        <w:rPr>
          <w:szCs w:val="22"/>
        </w:rPr>
        <w:t xml:space="preserve">may not change during the </w:t>
      </w:r>
      <w:r w:rsidRPr="00F03208">
        <w:rPr>
          <w:szCs w:val="22"/>
        </w:rPr>
        <w:t>agreement</w:t>
      </w:r>
      <w:r>
        <w:rPr>
          <w:szCs w:val="22"/>
        </w:rPr>
        <w:t xml:space="preserve"> term</w:t>
      </w:r>
      <w:r w:rsidRPr="00F03208">
        <w:rPr>
          <w:szCs w:val="22"/>
        </w:rPr>
        <w:t xml:space="preserve">.  </w:t>
      </w:r>
      <w:r w:rsidRPr="00850149">
        <w:rPr>
          <w:spacing w:val="-3"/>
          <w:szCs w:val="22"/>
        </w:rPr>
        <w:t xml:space="preserve">The Recipient will only be reimbursed for </w:t>
      </w:r>
      <w:r w:rsidRPr="00EC213B">
        <w:rPr>
          <w:b/>
          <w:spacing w:val="-3"/>
          <w:szCs w:val="22"/>
        </w:rPr>
        <w:t>actual</w:t>
      </w:r>
      <w:r w:rsidRPr="00850149">
        <w:rPr>
          <w:spacing w:val="-3"/>
          <w:szCs w:val="22"/>
        </w:rPr>
        <w:t xml:space="preserve"> rates up to the rate caps.  </w:t>
      </w:r>
    </w:p>
    <w:p w14:paraId="60EBB8A4" w14:textId="77777777" w:rsidR="005E52CD" w:rsidRDefault="001C2D56" w:rsidP="00B32815">
      <w:pPr>
        <w:keepLines/>
        <w:widowControl w:val="0"/>
        <w:numPr>
          <w:ilvl w:val="0"/>
          <w:numId w:val="12"/>
        </w:numPr>
        <w:tabs>
          <w:tab w:val="left" w:pos="1080"/>
        </w:tabs>
        <w:spacing w:after="60"/>
        <w:ind w:left="1080"/>
        <w:jc w:val="both"/>
        <w:rPr>
          <w:szCs w:val="22"/>
        </w:rPr>
      </w:pPr>
      <w:r>
        <w:rPr>
          <w:szCs w:val="22"/>
        </w:rPr>
        <w:t>The b</w:t>
      </w:r>
      <w:r w:rsidRPr="00C31C1D">
        <w:rPr>
          <w:szCs w:val="22"/>
        </w:rPr>
        <w:t xml:space="preserve">udget must </w:t>
      </w:r>
      <w:r w:rsidRPr="00B32815">
        <w:rPr>
          <w:szCs w:val="22"/>
        </w:rPr>
        <w:t>NOT</w:t>
      </w:r>
      <w:r w:rsidRPr="00C31C1D">
        <w:rPr>
          <w:szCs w:val="22"/>
        </w:rPr>
        <w:t xml:space="preserve"> include any </w:t>
      </w:r>
      <w:r w:rsidR="004F4641">
        <w:rPr>
          <w:szCs w:val="22"/>
        </w:rPr>
        <w:t xml:space="preserve">Recipient </w:t>
      </w:r>
      <w:r w:rsidRPr="00C31C1D">
        <w:rPr>
          <w:szCs w:val="22"/>
        </w:rPr>
        <w:t xml:space="preserve">profit from the proposed project, either as a reimbursed item, match share, or as part </w:t>
      </w:r>
      <w:r>
        <w:rPr>
          <w:szCs w:val="22"/>
        </w:rPr>
        <w:t xml:space="preserve">of </w:t>
      </w:r>
      <w:r w:rsidRPr="00C31C1D">
        <w:rPr>
          <w:szCs w:val="22"/>
        </w:rPr>
        <w:t>overhead or general and administrative expenses</w:t>
      </w:r>
      <w:r w:rsidR="004F4641">
        <w:rPr>
          <w:szCs w:val="22"/>
        </w:rPr>
        <w:t xml:space="preserve"> (subcontractor profit is allowable</w:t>
      </w:r>
      <w:r w:rsidR="00866389">
        <w:rPr>
          <w:szCs w:val="22"/>
        </w:rPr>
        <w:t>, though t</w:t>
      </w:r>
      <w:r w:rsidR="00AA737D">
        <w:rPr>
          <w:szCs w:val="22"/>
        </w:rPr>
        <w:t xml:space="preserve">he maximum percentage allowed is 10 </w:t>
      </w:r>
      <w:r w:rsidR="00162357">
        <w:rPr>
          <w:szCs w:val="22"/>
        </w:rPr>
        <w:t>%</w:t>
      </w:r>
      <w:r w:rsidR="004E58A4">
        <w:rPr>
          <w:szCs w:val="22"/>
        </w:rPr>
        <w:t xml:space="preserve"> of </w:t>
      </w:r>
      <w:r w:rsidR="00DF20D4" w:rsidRPr="00DF20D4">
        <w:rPr>
          <w:szCs w:val="22"/>
        </w:rPr>
        <w:t>the total subcontractor rates for labor, and other direct and indirect costs as indicated in the Category Budget form</w:t>
      </w:r>
      <w:r w:rsidR="00866389">
        <w:rPr>
          <w:szCs w:val="22"/>
        </w:rPr>
        <w:t>)</w:t>
      </w:r>
      <w:r w:rsidR="00AA737D">
        <w:rPr>
          <w:szCs w:val="22"/>
        </w:rPr>
        <w:t xml:space="preserve">. </w:t>
      </w:r>
      <w:r w:rsidRPr="00C31C1D">
        <w:rPr>
          <w:szCs w:val="22"/>
        </w:rPr>
        <w:t xml:space="preserve">Please review the </w:t>
      </w:r>
      <w:r>
        <w:rPr>
          <w:szCs w:val="22"/>
        </w:rPr>
        <w:t>t</w:t>
      </w:r>
      <w:r w:rsidRPr="00C31C1D">
        <w:rPr>
          <w:szCs w:val="22"/>
        </w:rPr>
        <w:t xml:space="preserve">erms and </w:t>
      </w:r>
      <w:r>
        <w:rPr>
          <w:szCs w:val="22"/>
        </w:rPr>
        <w:t>c</w:t>
      </w:r>
      <w:r w:rsidRPr="00C31C1D">
        <w:rPr>
          <w:szCs w:val="22"/>
        </w:rPr>
        <w:t xml:space="preserve">onditions </w:t>
      </w:r>
      <w:r w:rsidR="004F4641">
        <w:rPr>
          <w:szCs w:val="22"/>
        </w:rPr>
        <w:t xml:space="preserve">and budget forms </w:t>
      </w:r>
      <w:r w:rsidRPr="00C31C1D">
        <w:rPr>
          <w:szCs w:val="22"/>
        </w:rPr>
        <w:t xml:space="preserve">for additional </w:t>
      </w:r>
      <w:r w:rsidR="005E76CE">
        <w:rPr>
          <w:szCs w:val="22"/>
        </w:rPr>
        <w:t xml:space="preserve">restrictions and </w:t>
      </w:r>
      <w:r w:rsidRPr="00C31C1D">
        <w:rPr>
          <w:szCs w:val="22"/>
        </w:rPr>
        <w:t>requirements.</w:t>
      </w:r>
    </w:p>
    <w:p w14:paraId="4E174B09" w14:textId="77777777" w:rsidR="005E52CD" w:rsidRDefault="001C2D56" w:rsidP="00734C0C">
      <w:pPr>
        <w:keepLines/>
        <w:widowControl w:val="0"/>
        <w:numPr>
          <w:ilvl w:val="0"/>
          <w:numId w:val="12"/>
        </w:numPr>
        <w:tabs>
          <w:tab w:val="left" w:pos="1080"/>
        </w:tabs>
        <w:spacing w:after="60"/>
        <w:ind w:left="1080"/>
        <w:jc w:val="both"/>
        <w:rPr>
          <w:szCs w:val="22"/>
        </w:rPr>
      </w:pPr>
      <w:r>
        <w:rPr>
          <w:szCs w:val="22"/>
        </w:rPr>
        <w:lastRenderedPageBreak/>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Commission Agreement Manager</w:t>
      </w:r>
      <w:r w:rsidRPr="00C31C1D">
        <w:rPr>
          <w:szCs w:val="22"/>
        </w:rPr>
        <w:t>.</w:t>
      </w:r>
    </w:p>
    <w:p w14:paraId="6EA681D7" w14:textId="77777777" w:rsidR="005E52CD" w:rsidRDefault="00C36BFE" w:rsidP="00734C0C">
      <w:pPr>
        <w:keepLines/>
        <w:widowControl w:val="0"/>
        <w:numPr>
          <w:ilvl w:val="0"/>
          <w:numId w:val="12"/>
        </w:numPr>
        <w:spacing w:after="60"/>
        <w:ind w:left="1080"/>
        <w:jc w:val="both"/>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Permit costs and the expenses associated with obtaining permits are not reimbursable under this Agreement</w:t>
      </w:r>
      <w:r w:rsidR="006758FA">
        <w:rPr>
          <w:szCs w:val="22"/>
        </w:rPr>
        <w:t xml:space="preserve"> with </w:t>
      </w:r>
      <w:r w:rsidR="008F4A0E">
        <w:rPr>
          <w:szCs w:val="22"/>
        </w:rPr>
        <w:t>CEC</w:t>
      </w:r>
      <w:r w:rsidR="006758FA">
        <w:rPr>
          <w:szCs w:val="22"/>
        </w:rPr>
        <w:t xml:space="preserve"> funds</w:t>
      </w:r>
      <w:r w:rsidR="006758FA" w:rsidRPr="002B474F">
        <w:rPr>
          <w:szCs w:val="22"/>
        </w:rPr>
        <w:t>, with the exception of costs incurred by University of California recipients.</w:t>
      </w:r>
      <w:r w:rsidR="001C2D56">
        <w:rPr>
          <w:szCs w:val="22"/>
        </w:rPr>
        <w:t xml:space="preserve"> </w:t>
      </w:r>
    </w:p>
    <w:p w14:paraId="04D012B0" w14:textId="77777777" w:rsidR="003A4967" w:rsidRPr="00A16CE4" w:rsidRDefault="003A4967" w:rsidP="00734C0C">
      <w:pPr>
        <w:keepLines/>
        <w:widowControl w:val="0"/>
        <w:numPr>
          <w:ilvl w:val="0"/>
          <w:numId w:val="12"/>
        </w:numPr>
        <w:spacing w:after="60"/>
        <w:ind w:left="1080"/>
        <w:jc w:val="both"/>
        <w:rPr>
          <w:szCs w:val="22"/>
        </w:rPr>
      </w:pPr>
      <w:r w:rsidRPr="003A4967">
        <w:rPr>
          <w:bCs/>
        </w:rPr>
        <w:t>The budget must NOT identify that EPIC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3D69ADE6" w14:textId="77777777" w:rsidR="001B277D" w:rsidRPr="003A4967" w:rsidRDefault="001B277D" w:rsidP="001B277D">
      <w:pPr>
        <w:keepLines/>
        <w:widowControl w:val="0"/>
        <w:numPr>
          <w:ilvl w:val="0"/>
          <w:numId w:val="12"/>
        </w:numPr>
        <w:spacing w:after="60"/>
        <w:ind w:left="1080"/>
        <w:jc w:val="both"/>
        <w:rPr>
          <w:szCs w:val="22"/>
        </w:rPr>
      </w:pPr>
      <w:r w:rsidRPr="001B277D">
        <w:rPr>
          <w:szCs w:val="22"/>
        </w:rPr>
        <w:t>All applicants should go to the Attorney General’s website https://oag.ca.gov/ab1887 for a current list of states subject to travel restrictions.   Grants awarded under this solicitation shall not contain travel paid for with Commission funds (applicants can instead use match funds) to the listed states unless the Commission approves in writing that the trip falls within one of the except</w:t>
      </w:r>
      <w:r>
        <w:rPr>
          <w:szCs w:val="22"/>
        </w:rPr>
        <w:t>ions under the law</w:t>
      </w:r>
      <w:r w:rsidR="001A3ECA">
        <w:rPr>
          <w:szCs w:val="22"/>
        </w:rPr>
        <w:t>.</w:t>
      </w:r>
    </w:p>
    <w:p w14:paraId="1A4120BB" w14:textId="77777777" w:rsidR="00AD2D4A" w:rsidRPr="00AD2D4A" w:rsidRDefault="00A8248C" w:rsidP="00DF34CF">
      <w:pPr>
        <w:keepLines/>
        <w:widowControl w:val="0"/>
        <w:numPr>
          <w:ilvl w:val="0"/>
          <w:numId w:val="12"/>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77777777" w:rsidR="006A2B28" w:rsidRDefault="006A2B28" w:rsidP="00DF34CF">
      <w:pPr>
        <w:keepNext/>
        <w:keepLines/>
        <w:widowControl w:val="0"/>
        <w:autoSpaceDE w:val="0"/>
        <w:autoSpaceDN w:val="0"/>
        <w:adjustRightInd w:val="0"/>
        <w:ind w:left="1440"/>
        <w:rPr>
          <w:rFonts w:eastAsia="Calibri"/>
          <w:szCs w:val="24"/>
        </w:rPr>
      </w:pPr>
      <w:r>
        <w:rPr>
          <w:rFonts w:eastAsia="Calibri"/>
          <w:szCs w:val="24"/>
        </w:rPr>
        <w:t>By accepting this grant, Recipient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Pr>
          <w:rFonts w:eastAsia="Calibri"/>
          <w:szCs w:val="24"/>
        </w:rPr>
        <w:t>Recipient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2427DC">
      <w:pPr>
        <w:keepLines/>
        <w:widowControl w:val="0"/>
        <w:numPr>
          <w:ilvl w:val="0"/>
          <w:numId w:val="37"/>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rsidP="002427DC">
      <w:pPr>
        <w:keepLines/>
        <w:widowControl w:val="0"/>
        <w:numPr>
          <w:ilvl w:val="0"/>
          <w:numId w:val="37"/>
        </w:numPr>
        <w:autoSpaceDE w:val="0"/>
        <w:autoSpaceDN w:val="0"/>
        <w:adjustRightInd w:val="0"/>
        <w:ind w:left="2160"/>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rsidP="002427DC">
      <w:pPr>
        <w:keepLines/>
        <w:widowControl w:val="0"/>
        <w:numPr>
          <w:ilvl w:val="0"/>
          <w:numId w:val="37"/>
        </w:numPr>
        <w:autoSpaceDE w:val="0"/>
        <w:autoSpaceDN w:val="0"/>
        <w:adjustRightInd w:val="0"/>
        <w:ind w:left="2160"/>
        <w:rPr>
          <w:rFonts w:ascii="ArialMT" w:eastAsia="Calibri" w:hAnsi="ArialMT" w:cs="ArialMT"/>
          <w:szCs w:val="24"/>
        </w:rPr>
      </w:pPr>
      <w:r>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obligations; </w:t>
      </w:r>
    </w:p>
    <w:p w14:paraId="3C2A32D0" w14:textId="77777777" w:rsidR="006A2B28" w:rsidRDefault="006A2B28" w:rsidP="006A2B28">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77777777" w:rsidR="00AD2D4A" w:rsidRPr="00DF34CF" w:rsidRDefault="006A2B28" w:rsidP="00DF34CF">
      <w:pPr>
        <w:keepLines/>
        <w:widowControl w:val="0"/>
        <w:spacing w:after="60"/>
        <w:ind w:left="1080"/>
        <w:jc w:val="both"/>
        <w:rPr>
          <w:bCs/>
        </w:rPr>
      </w:pPr>
      <w:r>
        <w:rPr>
          <w:rFonts w:eastAsia="Calibri"/>
          <w:szCs w:val="24"/>
        </w:rPr>
        <w:t xml:space="preserve"> (b)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77777777" w:rsidR="00FB7DFE" w:rsidRPr="007065BB" w:rsidRDefault="00FB7DFE" w:rsidP="002427DC">
      <w:pPr>
        <w:pStyle w:val="HeadingNew1"/>
        <w:numPr>
          <w:ilvl w:val="0"/>
          <w:numId w:val="36"/>
        </w:numPr>
        <w:ind w:left="360"/>
      </w:pPr>
      <w:r w:rsidRPr="007065BB">
        <w:t>California Environmental Quality Act (CEQA) Compliance Form</w:t>
      </w:r>
      <w:r w:rsidRPr="007065BB" w:rsidDel="00E3682B">
        <w:t xml:space="preserve"> </w:t>
      </w:r>
      <w:r w:rsidRPr="007065BB">
        <w:t>(Attachment 8)</w:t>
      </w:r>
    </w:p>
    <w:p w14:paraId="502BF9DA" w14:textId="77777777" w:rsidR="00FB7DFE" w:rsidRPr="0075281F" w:rsidRDefault="00FB7DFE" w:rsidP="00FB7DFE">
      <w:pPr>
        <w:keepLines/>
        <w:widowControl w:val="0"/>
        <w:spacing w:after="0"/>
        <w:ind w:left="720"/>
        <w:jc w:val="both"/>
        <w:rPr>
          <w:i/>
          <w:szCs w:val="22"/>
        </w:rPr>
      </w:pPr>
      <w:r w:rsidRPr="00424A73">
        <w:rPr>
          <w:szCs w:val="22"/>
        </w:rPr>
        <w:lastRenderedPageBreak/>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FB7DFE">
      <w:pPr>
        <w:keepLines/>
        <w:widowControl w:val="0"/>
        <w:spacing w:after="0"/>
        <w:ind w:left="720"/>
        <w:jc w:val="both"/>
        <w:rPr>
          <w:szCs w:val="22"/>
        </w:rPr>
      </w:pPr>
    </w:p>
    <w:p w14:paraId="6BB40852" w14:textId="77777777" w:rsidR="00FB7DFE" w:rsidRPr="00C31C1D" w:rsidRDefault="00FB7DFE" w:rsidP="00FB7DFE">
      <w:pPr>
        <w:keepLines/>
        <w:widowControl w:val="0"/>
        <w:spacing w:after="0"/>
        <w:ind w:left="720"/>
        <w:jc w:val="both"/>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 xml:space="preserve">may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77777777" w:rsidR="001C2D56" w:rsidRPr="00C31C1D" w:rsidRDefault="001C2D56" w:rsidP="002427DC">
      <w:pPr>
        <w:pStyle w:val="HeadingNew1"/>
        <w:numPr>
          <w:ilvl w:val="0"/>
          <w:numId w:val="36"/>
        </w:numPr>
        <w:ind w:left="360"/>
        <w:rPr>
          <w:b w:val="0"/>
        </w:rPr>
      </w:pPr>
      <w:r w:rsidRPr="007065BB">
        <w:t>Reference and Work Product Form (Attachment 9)</w:t>
      </w:r>
    </w:p>
    <w:p w14:paraId="18EEE686" w14:textId="77777777" w:rsidR="007065BB" w:rsidRDefault="007065BB" w:rsidP="002427DC">
      <w:pPr>
        <w:keepLines/>
        <w:widowControl w:val="0"/>
        <w:numPr>
          <w:ilvl w:val="2"/>
          <w:numId w:val="20"/>
        </w:numPr>
        <w:tabs>
          <w:tab w:val="left" w:pos="1080"/>
        </w:tabs>
        <w:spacing w:after="0"/>
        <w:ind w:left="1080"/>
        <w:jc w:val="both"/>
        <w:rPr>
          <w:szCs w:val="22"/>
        </w:rPr>
      </w:pPr>
      <w:r w:rsidRPr="00765AAF">
        <w:rPr>
          <w:szCs w:val="24"/>
          <w:u w:val="single"/>
        </w:rPr>
        <w:t>Section 1</w:t>
      </w:r>
      <w:r>
        <w:rPr>
          <w:szCs w:val="24"/>
        </w:rPr>
        <w:t xml:space="preserve">: </w:t>
      </w:r>
      <w:r w:rsidRPr="00C31C1D">
        <w:rPr>
          <w:szCs w:val="24"/>
        </w:rPr>
        <w:t xml:space="preserve">Provide </w:t>
      </w:r>
      <w:r>
        <w:rPr>
          <w:szCs w:val="24"/>
        </w:rPr>
        <w:t xml:space="preserve">applicant and </w:t>
      </w:r>
      <w:r w:rsidRPr="00FA06D7">
        <w:rPr>
          <w:szCs w:val="24"/>
        </w:rPr>
        <w:t>subcontractor</w:t>
      </w:r>
      <w:r>
        <w:rPr>
          <w:szCs w:val="24"/>
        </w:rPr>
        <w:t xml:space="preserve"> </w:t>
      </w:r>
      <w:r w:rsidRPr="00FA06D7">
        <w:rPr>
          <w:szCs w:val="24"/>
        </w:rPr>
        <w:t xml:space="preserve">references </w:t>
      </w:r>
      <w:r>
        <w:rPr>
          <w:szCs w:val="24"/>
        </w:rPr>
        <w:t>as instructed</w:t>
      </w:r>
      <w:r w:rsidRPr="00FA06D7">
        <w:rPr>
          <w:szCs w:val="24"/>
        </w:rPr>
        <w:t xml:space="preserve">. </w:t>
      </w:r>
    </w:p>
    <w:p w14:paraId="200E5555" w14:textId="77777777" w:rsidR="007065BB" w:rsidRDefault="007065BB" w:rsidP="002427DC">
      <w:pPr>
        <w:keepLines/>
        <w:widowControl w:val="0"/>
        <w:numPr>
          <w:ilvl w:val="2"/>
          <w:numId w:val="20"/>
        </w:numPr>
        <w:tabs>
          <w:tab w:val="left" w:pos="720"/>
          <w:tab w:val="left" w:pos="1080"/>
        </w:tabs>
        <w:spacing w:after="0"/>
        <w:ind w:hanging="1260"/>
        <w:jc w:val="both"/>
        <w:rPr>
          <w:szCs w:val="22"/>
        </w:rPr>
      </w:pPr>
      <w:r w:rsidRPr="00D8053E">
        <w:rPr>
          <w:szCs w:val="22"/>
          <w:u w:val="single"/>
        </w:rPr>
        <w:t>Section 2</w:t>
      </w:r>
      <w:r w:rsidRPr="00D8053E">
        <w:rPr>
          <w:szCs w:val="22"/>
        </w:rPr>
        <w:t xml:space="preserve">:  Provide a list of past projects detailing technical and business experience </w:t>
      </w:r>
    </w:p>
    <w:p w14:paraId="60EC6FA0" w14:textId="77777777" w:rsidR="007065BB" w:rsidRPr="00753051" w:rsidRDefault="007065BB" w:rsidP="007065BB">
      <w:pPr>
        <w:keepLines/>
        <w:widowControl w:val="0"/>
        <w:tabs>
          <w:tab w:val="left" w:pos="720"/>
          <w:tab w:val="left" w:pos="1080"/>
        </w:tabs>
        <w:spacing w:after="0"/>
        <w:ind w:left="1080"/>
        <w:jc w:val="both"/>
        <w:rPr>
          <w:szCs w:val="22"/>
        </w:rPr>
      </w:pPr>
      <w:r w:rsidRPr="00D8053E">
        <w:rPr>
          <w:szCs w:val="22"/>
        </w:rPr>
        <w:t xml:space="preserve">of the applicant (or any member of the project team) that is related to the proposed work.  </w:t>
      </w:r>
      <w:r w:rsidRPr="00E5496D">
        <w:rPr>
          <w:szCs w:val="22"/>
        </w:rPr>
        <w:t xml:space="preserve">Identify </w:t>
      </w:r>
      <w:r>
        <w:rPr>
          <w:szCs w:val="22"/>
        </w:rPr>
        <w:t xml:space="preserve">past projects that resulted in </w:t>
      </w:r>
      <w:r w:rsidRPr="00E5496D">
        <w:rPr>
          <w:szCs w:val="22"/>
        </w:rPr>
        <w:t xml:space="preserve">market-ready technology, advancement of codes and standards, </w:t>
      </w:r>
      <w:r w:rsidRPr="00A6529F">
        <w:rPr>
          <w:szCs w:val="22"/>
        </w:rPr>
        <w:t xml:space="preserve">and/or advancement of state energy policy.  </w:t>
      </w:r>
      <w:r w:rsidRPr="00C31C1D">
        <w:t xml:space="preserve">Include copies of </w:t>
      </w:r>
      <w:r>
        <w:t xml:space="preserve">up to three of the applicant or team member’s </w:t>
      </w:r>
      <w:r w:rsidRPr="00C31C1D">
        <w:t xml:space="preserve">recent publications in scientific or technical journals related to the proposed </w:t>
      </w:r>
      <w:r>
        <w:t>project, as applicable.</w:t>
      </w:r>
    </w:p>
    <w:p w14:paraId="69832D7B" w14:textId="77777777" w:rsidR="001C2D56" w:rsidRDefault="001C2D56" w:rsidP="00EE24D3">
      <w:pPr>
        <w:spacing w:after="0"/>
        <w:jc w:val="both"/>
        <w:rPr>
          <w:szCs w:val="24"/>
        </w:rPr>
      </w:pPr>
    </w:p>
    <w:p w14:paraId="6874B826" w14:textId="77777777" w:rsidR="001C2D56" w:rsidRPr="007065BB" w:rsidRDefault="001C2D56" w:rsidP="002427DC">
      <w:pPr>
        <w:pStyle w:val="HeadingNew1"/>
        <w:numPr>
          <w:ilvl w:val="0"/>
          <w:numId w:val="36"/>
        </w:numPr>
        <w:ind w:left="360"/>
      </w:pPr>
      <w:r w:rsidRPr="00E74B5A">
        <w:rPr>
          <w:b w:val="0"/>
          <w:szCs w:val="24"/>
        </w:rPr>
        <w:t xml:space="preserve"> </w:t>
      </w:r>
      <w:bookmarkStart w:id="176" w:name="CommLttr"/>
      <w:r w:rsidR="006760F9" w:rsidRPr="007065BB">
        <w:t>Commitment and Su</w:t>
      </w:r>
      <w:r w:rsidR="000B648E">
        <w:t>pport Letter Form (Attachment 10</w:t>
      </w:r>
      <w:r w:rsidR="006760F9" w:rsidRPr="007065BB">
        <w:t>)</w:t>
      </w:r>
      <w:bookmarkEnd w:id="176"/>
    </w:p>
    <w:p w14:paraId="60C97C4B" w14:textId="77777777" w:rsidR="001C2D56" w:rsidRDefault="001C2D56" w:rsidP="00455888">
      <w:pPr>
        <w:tabs>
          <w:tab w:val="left" w:pos="720"/>
          <w:tab w:val="left" w:pos="810"/>
          <w:tab w:val="left" w:pos="1080"/>
        </w:tabs>
        <w:ind w:left="806"/>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2427DC">
      <w:pPr>
        <w:numPr>
          <w:ilvl w:val="2"/>
          <w:numId w:val="20"/>
        </w:numPr>
        <w:tabs>
          <w:tab w:val="left" w:pos="720"/>
          <w:tab w:val="left" w:pos="1080"/>
          <w:tab w:val="left" w:pos="1170"/>
        </w:tabs>
        <w:spacing w:after="0"/>
        <w:ind w:left="1170"/>
        <w:jc w:val="both"/>
        <w:rPr>
          <w:b/>
          <w:u w:val="single"/>
        </w:rPr>
      </w:pPr>
      <w:r w:rsidRPr="00992EBB">
        <w:rPr>
          <w:szCs w:val="22"/>
          <w:u w:val="single"/>
        </w:rPr>
        <w:t>Commitment Letters</w:t>
      </w:r>
      <w:r>
        <w:rPr>
          <w:szCs w:val="22"/>
          <w:u w:val="single"/>
        </w:rPr>
        <w:t xml:space="preserve"> </w:t>
      </w:r>
    </w:p>
    <w:p w14:paraId="4C1DB074" w14:textId="77777777" w:rsidR="006D5C5E" w:rsidRPr="0075281F" w:rsidRDefault="006D5C5E" w:rsidP="006D5C5E">
      <w:pPr>
        <w:tabs>
          <w:tab w:val="left" w:pos="720"/>
          <w:tab w:val="left" w:pos="1080"/>
          <w:tab w:val="left" w:pos="1170"/>
          <w:tab w:val="left" w:pos="1620"/>
        </w:tabs>
        <w:spacing w:after="0"/>
        <w:ind w:left="1620"/>
        <w:jc w:val="both"/>
        <w:rPr>
          <w:b/>
          <w:szCs w:val="22"/>
        </w:rPr>
      </w:pPr>
      <w:r w:rsidRPr="0075281F">
        <w:rPr>
          <w:szCs w:val="22"/>
        </w:rPr>
        <w:t xml:space="preserve">Applicants must submit a </w:t>
      </w:r>
      <w:r w:rsidRPr="0075281F">
        <w:rPr>
          <w:b/>
          <w:szCs w:val="22"/>
        </w:rPr>
        <w:t>match funding</w:t>
      </w:r>
      <w:r w:rsidRPr="0075281F">
        <w:rPr>
          <w:szCs w:val="22"/>
        </w:rPr>
        <w:t xml:space="preserve"> commitment letter signed</w:t>
      </w:r>
      <w:r w:rsidRPr="0075281F">
        <w:rPr>
          <w:b/>
          <w:szCs w:val="22"/>
        </w:rPr>
        <w:t xml:space="preserve"> </w:t>
      </w:r>
      <w:r w:rsidRPr="0075281F">
        <w:rPr>
          <w:szCs w:val="22"/>
        </w:rPr>
        <w:t xml:space="preserve">by </w:t>
      </w:r>
      <w:r w:rsidRPr="0075281F">
        <w:rPr>
          <w:szCs w:val="22"/>
          <w:u w:val="single"/>
        </w:rPr>
        <w:t>each</w:t>
      </w:r>
      <w:r w:rsidRPr="0075281F">
        <w:rPr>
          <w:b/>
          <w:szCs w:val="22"/>
        </w:rPr>
        <w:t xml:space="preserve"> </w:t>
      </w:r>
      <w:r w:rsidRPr="0075281F">
        <w:rPr>
          <w:szCs w:val="22"/>
        </w:rPr>
        <w:t xml:space="preserve">representative of the entity </w:t>
      </w:r>
      <w:r w:rsidRPr="0075281F">
        <w:rPr>
          <w:szCs w:val="22"/>
          <w:u w:val="single"/>
        </w:rPr>
        <w:t>or i</w:t>
      </w:r>
      <w:r w:rsidRPr="0075281F">
        <w:rPr>
          <w:szCs w:val="22"/>
        </w:rPr>
        <w:t>ndividual that is committing to providing match funding. The letter must: (1) identify the source(s) of the funds; and (2) guarantee the availability of the funds for the project.</w:t>
      </w:r>
    </w:p>
    <w:p w14:paraId="2A072889" w14:textId="6DA60784" w:rsidR="006D5C5E" w:rsidRPr="0075281F" w:rsidRDefault="006D5C5E" w:rsidP="002427DC">
      <w:pPr>
        <w:numPr>
          <w:ilvl w:val="0"/>
          <w:numId w:val="38"/>
        </w:numPr>
        <w:tabs>
          <w:tab w:val="left" w:pos="720"/>
          <w:tab w:val="left" w:pos="1170"/>
          <w:tab w:val="left" w:pos="1260"/>
          <w:tab w:val="left" w:pos="1620"/>
        </w:tabs>
        <w:spacing w:after="0"/>
        <w:ind w:left="1627"/>
        <w:jc w:val="both"/>
        <w:rPr>
          <w:b/>
          <w:bCs/>
        </w:rPr>
      </w:pPr>
      <w:r>
        <w:t xml:space="preserve">If the project involves </w:t>
      </w:r>
      <w:r w:rsidRPr="00E4291E">
        <w:rPr>
          <w:b/>
          <w:bCs/>
        </w:rPr>
        <w:t xml:space="preserve">demonstration/deployment </w:t>
      </w:r>
      <w:r w:rsidRPr="00E4291E">
        <w:t xml:space="preserve">activities, the applicant must include a site commitment letter signed by an authorized representative of the proposed demonstration/deployment </w:t>
      </w:r>
      <w:r>
        <w:t xml:space="preserve">site. The letter </w:t>
      </w:r>
      <w:r w:rsidR="71C1E241">
        <w:t>should</w:t>
      </w:r>
      <w:r>
        <w:t xml:space="preserve">: (1) identify the location of the site (street address, parcel number, tract map, plot map, etc.) which must be consistent with Attachments 1 and 8. and (2) commit to providing the site for the proposed activities.  </w:t>
      </w:r>
    </w:p>
    <w:p w14:paraId="6FAAD3CD" w14:textId="157B52A2" w:rsidR="006D5C5E" w:rsidRPr="0075281F" w:rsidRDefault="006D5C5E" w:rsidP="002427DC">
      <w:pPr>
        <w:numPr>
          <w:ilvl w:val="0"/>
          <w:numId w:val="38"/>
        </w:numPr>
        <w:tabs>
          <w:tab w:val="left" w:pos="720"/>
          <w:tab w:val="left" w:pos="1170"/>
          <w:tab w:val="left" w:pos="1260"/>
          <w:tab w:val="left" w:pos="1620"/>
        </w:tabs>
        <w:ind w:left="1627"/>
        <w:jc w:val="both"/>
        <w:rPr>
          <w:b/>
        </w:rPr>
      </w:pPr>
      <w:r w:rsidRPr="0075281F">
        <w:rPr>
          <w:b/>
        </w:rPr>
        <w:t>Project partners</w:t>
      </w:r>
      <w:r w:rsidRPr="0075281F">
        <w:t xml:space="preserve"> that are making contributions other than match funding or a </w:t>
      </w:r>
      <w:r w:rsidRPr="00E4291E">
        <w:t>demonstration/deployment</w:t>
      </w:r>
      <w:r w:rsidR="00B775BD" w:rsidRPr="00B775BD">
        <w:rPr>
          <w:color w:val="9BBB59" w:themeColor="accent3"/>
        </w:rPr>
        <w:t xml:space="preserve"> </w:t>
      </w:r>
      <w:r w:rsidRPr="0075281F">
        <w:t>site</w:t>
      </w:r>
      <w:r>
        <w:t>,</w:t>
      </w:r>
      <w:r w:rsidRPr="0075281F">
        <w:t xml:space="preserve"> </w:t>
      </w:r>
      <w:r>
        <w:t xml:space="preserve">and are not receiving </w:t>
      </w:r>
      <w:r w:rsidR="008F4A0E">
        <w:t>CEC</w:t>
      </w:r>
      <w:r>
        <w:t xml:space="preserve"> funds, </w:t>
      </w:r>
      <w:r w:rsidRPr="0075281F">
        <w:t xml:space="preserve">must submit a commitment letter signed by an authorized representative that: (1) identifies how the partner will contribute to the project; and (2) commits to making the contribution. </w:t>
      </w:r>
    </w:p>
    <w:p w14:paraId="078C5CFB" w14:textId="77777777" w:rsidR="006D5C5E" w:rsidRDefault="006D5C5E" w:rsidP="002427DC">
      <w:pPr>
        <w:numPr>
          <w:ilvl w:val="2"/>
          <w:numId w:val="20"/>
        </w:numPr>
        <w:tabs>
          <w:tab w:val="left" w:pos="720"/>
          <w:tab w:val="left" w:pos="1170"/>
          <w:tab w:val="left" w:pos="1260"/>
        </w:tabs>
        <w:spacing w:after="0"/>
        <w:ind w:left="1170"/>
        <w:jc w:val="both"/>
        <w:rPr>
          <w:b/>
          <w:u w:val="single"/>
        </w:rPr>
      </w:pPr>
      <w:r w:rsidRPr="00992EBB">
        <w:rPr>
          <w:szCs w:val="22"/>
          <w:u w:val="single"/>
        </w:rPr>
        <w:t>Support Letters</w:t>
      </w:r>
    </w:p>
    <w:p w14:paraId="2ED7C640" w14:textId="371DD81C" w:rsidR="006D5C5E" w:rsidRPr="00E4291E" w:rsidRDefault="006D5C5E" w:rsidP="006D5C5E">
      <w:pPr>
        <w:tabs>
          <w:tab w:val="left" w:pos="720"/>
          <w:tab w:val="left" w:pos="1170"/>
          <w:tab w:val="left" w:pos="1260"/>
        </w:tabs>
        <w:spacing w:after="0"/>
        <w:ind w:left="1170"/>
        <w:jc w:val="both"/>
      </w:pPr>
      <w:r>
        <w:t xml:space="preserve">All applicants must include at least one support letter from a project stakeholder (i.e., an entity or individual that will benefit from or be involved in the project) that: (1) </w:t>
      </w:r>
      <w:r>
        <w:lastRenderedPageBreak/>
        <w:t xml:space="preserve">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 </w:t>
      </w:r>
      <w:r w:rsidRPr="00E4291E">
        <w:t>demonstration/deployment site.</w:t>
      </w:r>
    </w:p>
    <w:p w14:paraId="26DD6084" w14:textId="013F06CD" w:rsidR="00BD4343" w:rsidRPr="00E4291E" w:rsidRDefault="00BD4343" w:rsidP="006D5C5E">
      <w:pPr>
        <w:tabs>
          <w:tab w:val="left" w:pos="720"/>
          <w:tab w:val="left" w:pos="1170"/>
          <w:tab w:val="left" w:pos="1260"/>
        </w:tabs>
        <w:spacing w:after="0"/>
        <w:ind w:left="1170"/>
        <w:jc w:val="both"/>
        <w:rPr>
          <w:b/>
        </w:rPr>
      </w:pPr>
    </w:p>
    <w:p w14:paraId="18D6C292" w14:textId="77777777" w:rsidR="00624855" w:rsidRDefault="00624855" w:rsidP="00624855">
      <w:pPr>
        <w:spacing w:after="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69F4A2CA" w14:textId="77777777" w:rsidR="00624855" w:rsidRPr="00B152AA" w:rsidRDefault="00624855" w:rsidP="006D5C5E">
      <w:pPr>
        <w:tabs>
          <w:tab w:val="left" w:pos="720"/>
          <w:tab w:val="left" w:pos="1170"/>
          <w:tab w:val="left" w:pos="1260"/>
        </w:tabs>
        <w:spacing w:after="0"/>
        <w:ind w:left="1170"/>
        <w:jc w:val="both"/>
        <w:rPr>
          <w:b/>
        </w:rPr>
      </w:pPr>
    </w:p>
    <w:p w14:paraId="15CC6493" w14:textId="77777777" w:rsidR="00BD4343" w:rsidRPr="00943E11" w:rsidRDefault="00BD4343" w:rsidP="002427DC">
      <w:pPr>
        <w:pStyle w:val="HeadingNew1"/>
        <w:numPr>
          <w:ilvl w:val="0"/>
          <w:numId w:val="36"/>
        </w:numPr>
        <w:ind w:left="360"/>
      </w:pPr>
      <w:r w:rsidRPr="00943E11">
        <w:t>Project Performance Metrics</w:t>
      </w:r>
      <w:r w:rsidR="00943E11">
        <w:t xml:space="preserve"> (Attachment 11</w:t>
      </w:r>
      <w:r w:rsidR="00943E11" w:rsidRPr="007065BB">
        <w:t>)</w:t>
      </w:r>
    </w:p>
    <w:p w14:paraId="5D3B0CDB" w14:textId="77777777" w:rsidR="004B2FDF" w:rsidRDefault="007A2434" w:rsidP="00B1686C">
      <w:pPr>
        <w:spacing w:after="0"/>
      </w:pPr>
      <w:r w:rsidRPr="007A2434">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Default="004B2FDF" w:rsidP="007A2434">
      <w:pPr>
        <w:spacing w:after="0"/>
        <w:ind w:left="720"/>
      </w:pPr>
    </w:p>
    <w:p w14:paraId="00A12D7E" w14:textId="77777777" w:rsidR="004B2FDF" w:rsidRPr="007065BB" w:rsidRDefault="004B2FDF" w:rsidP="002427DC">
      <w:pPr>
        <w:pStyle w:val="HeadingNew1"/>
        <w:numPr>
          <w:ilvl w:val="0"/>
          <w:numId w:val="36"/>
        </w:numPr>
        <w:ind w:left="360"/>
      </w:pPr>
      <w:r>
        <w:t>Applicant Declaration</w:t>
      </w:r>
      <w:r w:rsidR="002953A8">
        <w:t xml:space="preserve"> (Attachment 12</w:t>
      </w:r>
      <w:r w:rsidR="002953A8" w:rsidRPr="007065BB">
        <w:t>)</w:t>
      </w:r>
    </w:p>
    <w:p w14:paraId="4E9D8DA2" w14:textId="77777777" w:rsidR="00624855" w:rsidRDefault="00260970">
      <w:pPr>
        <w:spacing w:after="0"/>
        <w:contextualSpacing/>
      </w:pPr>
      <w:r w:rsidRPr="00342998">
        <w:rPr>
          <w:szCs w:val="24"/>
        </w:rPr>
        <w:t xml:space="preserve">This form requests the applicant declare that they: are not delinquent on taxes nor suspended by the California Franchise Tax Board; are not being sued by any public agency or entity; are in compliance with the terms of all settlement agreements, if any, entered into with the Energy Commission or another public agency or entity; are in compliance with all judgments, if any, issued against the Applicant in any matter to which the Energy Commission or another public agency or entity is a party; </w:t>
      </w:r>
      <w:r w:rsidR="003A0A6F">
        <w:rPr>
          <w:szCs w:val="24"/>
        </w:rPr>
        <w:t xml:space="preserve">are </w:t>
      </w:r>
      <w:r w:rsidR="003A0A6F" w:rsidRPr="00122853">
        <w:t>complying with any demand letter made on the Applicant by the Energy Commission or another public agency or entity</w:t>
      </w:r>
      <w:r w:rsidRPr="00122853">
        <w:rPr>
          <w:szCs w:val="24"/>
        </w:rPr>
        <w:t xml:space="preserve">; and are </w:t>
      </w:r>
      <w:r w:rsidRPr="00342998">
        <w:rPr>
          <w:szCs w:val="24"/>
        </w:rPr>
        <w:t>not in active litigation with the Energy Commission regarding the Applicant’s actions under a current or past contract, grant, or loan with the Energy Commission. The declaration must be signed under penalty of perjury by an authorized representative of the applicant’s organization.</w:t>
      </w:r>
      <w:r w:rsidR="00616F23" w:rsidRPr="00616F23">
        <w:t xml:space="preserve"> </w:t>
      </w:r>
    </w:p>
    <w:p w14:paraId="57FFE930" w14:textId="77777777" w:rsidR="00624855" w:rsidRDefault="00624855">
      <w:pPr>
        <w:spacing w:after="0"/>
        <w:contextualSpacing/>
      </w:pPr>
    </w:p>
    <w:p w14:paraId="25ED1839" w14:textId="0F4789C8" w:rsidR="00624855" w:rsidRDefault="00624855" w:rsidP="00624855">
      <w:pPr>
        <w:spacing w:after="0"/>
        <w:jc w:val="both"/>
      </w:pPr>
      <w:r w:rsidRPr="007E563A">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72B5FB6E" w14:textId="77777777" w:rsidR="00146242" w:rsidRDefault="00146242" w:rsidP="00624855">
      <w:pPr>
        <w:spacing w:after="0"/>
        <w:jc w:val="both"/>
      </w:pPr>
    </w:p>
    <w:p w14:paraId="2E551ACA" w14:textId="5DD26485" w:rsidR="00146242" w:rsidRDefault="00146242" w:rsidP="008B21DC">
      <w:pPr>
        <w:pStyle w:val="HeadingNew1"/>
        <w:numPr>
          <w:ilvl w:val="0"/>
          <w:numId w:val="36"/>
        </w:numPr>
        <w:tabs>
          <w:tab w:val="left" w:pos="360"/>
        </w:tabs>
        <w:spacing w:after="0"/>
        <w:ind w:left="0" w:firstLine="0"/>
      </w:pPr>
      <w:r>
        <w:t>Special Terms and Conditions for California Native American Tribes and Tribal Organizations with Sovereign</w:t>
      </w:r>
      <w:r w:rsidR="008D03DC">
        <w:t xml:space="preserve"> Immunity</w:t>
      </w:r>
      <w:r w:rsidR="00661A53">
        <w:t xml:space="preserve"> (Attachment 13)</w:t>
      </w:r>
    </w:p>
    <w:p w14:paraId="0F40D775" w14:textId="77777777" w:rsidR="00661A53" w:rsidRPr="00F35007" w:rsidRDefault="00661A53" w:rsidP="008B21DC">
      <w:pPr>
        <w:pStyle w:val="HeadingNew1"/>
        <w:numPr>
          <w:ilvl w:val="0"/>
          <w:numId w:val="0"/>
        </w:numPr>
        <w:spacing w:after="0"/>
        <w:jc w:val="left"/>
      </w:pPr>
    </w:p>
    <w:p w14:paraId="467D65E5" w14:textId="1A047C11" w:rsidR="009D1F77" w:rsidRDefault="000A0737" w:rsidP="00624855">
      <w:pPr>
        <w:spacing w:after="0"/>
        <w:jc w:val="both"/>
      </w:pPr>
      <w:r>
        <w:t>This attachment contains special terms and condit</w:t>
      </w:r>
      <w:r w:rsidR="00F35007">
        <w:t>io</w:t>
      </w:r>
      <w:r>
        <w:t xml:space="preserve">ns </w:t>
      </w:r>
      <w:r w:rsidR="00F35007">
        <w:t xml:space="preserve">and must be completed </w:t>
      </w:r>
      <w:r w:rsidR="0012372E">
        <w:t xml:space="preserve">by </w:t>
      </w:r>
      <w:r w:rsidR="00F35007">
        <w:t>California Native American Tribes and Tribal Organizations with Sovereign Immunity.</w:t>
      </w:r>
    </w:p>
    <w:p w14:paraId="425AD885" w14:textId="00B918FA" w:rsidR="004B2FDF" w:rsidRPr="00B45766" w:rsidRDefault="004B2FDF">
      <w:pPr>
        <w:spacing w:after="0"/>
        <w:contextualSpacing/>
      </w:pPr>
      <w:r w:rsidRPr="00B45766">
        <w:br w:type="page"/>
      </w:r>
    </w:p>
    <w:p w14:paraId="3231446E" w14:textId="77777777" w:rsidR="001C2D56" w:rsidRPr="00C31C1D" w:rsidRDefault="001C2D56" w:rsidP="006F35ED">
      <w:pPr>
        <w:spacing w:after="0"/>
        <w:rPr>
          <w:szCs w:val="24"/>
        </w:rPr>
      </w:pPr>
    </w:p>
    <w:p w14:paraId="271AF44C" w14:textId="77777777" w:rsidR="001C2D56" w:rsidRPr="00C31C1D" w:rsidRDefault="001C2D56" w:rsidP="00636A3D">
      <w:pPr>
        <w:pStyle w:val="Heading1"/>
        <w:spacing w:before="0" w:after="120"/>
        <w:jc w:val="both"/>
      </w:pPr>
      <w:bookmarkStart w:id="177" w:name="_Toc143001059"/>
      <w:bookmarkStart w:id="178" w:name="_Toc336443635"/>
      <w:bookmarkStart w:id="179" w:name="_Toc366671192"/>
      <w:r w:rsidRPr="00C31C1D">
        <w:t>IV.</w:t>
      </w:r>
      <w:r w:rsidRPr="00C31C1D">
        <w:tab/>
        <w:t xml:space="preserve">Evaluation </w:t>
      </w:r>
      <w:r>
        <w:t xml:space="preserve">and Award </w:t>
      </w:r>
      <w:r w:rsidRPr="00C31C1D">
        <w:t>Process</w:t>
      </w:r>
      <w:bookmarkEnd w:id="177"/>
      <w:r w:rsidRPr="00C31C1D">
        <w:t xml:space="preserve"> </w:t>
      </w:r>
      <w:bookmarkEnd w:id="153"/>
      <w:bookmarkEnd w:id="178"/>
      <w:bookmarkEnd w:id="179"/>
    </w:p>
    <w:p w14:paraId="501AD443" w14:textId="77777777" w:rsidR="003417AD" w:rsidRPr="00CF6DED" w:rsidRDefault="003417AD" w:rsidP="002427DC">
      <w:pPr>
        <w:pStyle w:val="Heading2"/>
        <w:numPr>
          <w:ilvl w:val="0"/>
          <w:numId w:val="61"/>
        </w:numPr>
      </w:pPr>
      <w:bookmarkStart w:id="180" w:name="_Toc339284338"/>
      <w:bookmarkStart w:id="181" w:name="_Toc366671194"/>
      <w:bookmarkStart w:id="182" w:name="_Toc143001060"/>
      <w:bookmarkStart w:id="183" w:name="_Toc338162913"/>
      <w:bookmarkStart w:id="184" w:name="_Toc35074632"/>
      <w:bookmarkStart w:id="185" w:name="_Toc219275099"/>
      <w:bookmarkStart w:id="186" w:name="_Toc336443636"/>
      <w:r w:rsidRPr="00CF6DED">
        <w:t>Application Evaluation</w:t>
      </w:r>
      <w:bookmarkEnd w:id="180"/>
      <w:bookmarkEnd w:id="181"/>
      <w:bookmarkEnd w:id="182"/>
    </w:p>
    <w:bookmarkEnd w:id="183"/>
    <w:p w14:paraId="304DE136" w14:textId="77777777"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on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s primarily</w:t>
      </w:r>
      <w:r w:rsidRPr="00C31C1D">
        <w:rPr>
          <w:szCs w:val="24"/>
        </w:rPr>
        <w:t xml:space="preserve"> of </w:t>
      </w:r>
      <w:r w:rsidR="008F4A0E">
        <w:rPr>
          <w:szCs w:val="24"/>
        </w:rPr>
        <w:t>CEC</w:t>
      </w:r>
      <w:r w:rsidRPr="00C31C1D">
        <w:rPr>
          <w:szCs w:val="24"/>
        </w:rPr>
        <w:t xml:space="preserve"> staff.  The E</w:t>
      </w:r>
      <w:r>
        <w:rPr>
          <w:szCs w:val="24"/>
        </w:rPr>
        <w:t>valuation Committee may us</w:t>
      </w:r>
      <w:r w:rsidRPr="00C31C1D">
        <w:rPr>
          <w:szCs w:val="24"/>
        </w:rPr>
        <w:t>e technical expert reviewers to provide an analysis of applications.</w:t>
      </w:r>
      <w:r>
        <w:rPr>
          <w:szCs w:val="24"/>
        </w:rPr>
        <w:t xml:space="preserve">  </w:t>
      </w:r>
      <w:r w:rsidRPr="00C31C1D">
        <w:t>Applications will be evaluated in two stages:</w:t>
      </w:r>
    </w:p>
    <w:p w14:paraId="36C5AA69" w14:textId="77777777" w:rsidR="0061342D" w:rsidRPr="00E13674" w:rsidRDefault="001C2D56" w:rsidP="002427DC">
      <w:pPr>
        <w:pStyle w:val="ListParagraph"/>
        <w:numPr>
          <w:ilvl w:val="0"/>
          <w:numId w:val="30"/>
        </w:numPr>
        <w:tabs>
          <w:tab w:val="num" w:pos="360"/>
        </w:tabs>
        <w:rPr>
          <w:b/>
        </w:rPr>
      </w:pPr>
      <w:bookmarkStart w:id="187" w:name="_Toc381079932"/>
      <w:bookmarkStart w:id="188" w:name="_Toc382571195"/>
      <w:bookmarkStart w:id="189" w:name="_Toc395180705"/>
      <w:bookmarkStart w:id="190" w:name="_Toc433981334"/>
      <w:bookmarkStart w:id="191" w:name="_Toc360545784"/>
      <w:bookmarkStart w:id="192" w:name="_Toc366671195"/>
      <w:bookmarkStart w:id="193" w:name="_Toc339284339"/>
      <w:r w:rsidRPr="00E13674">
        <w:rPr>
          <w:b/>
        </w:rPr>
        <w:t>Stage One:  Application Screening</w:t>
      </w:r>
      <w:bookmarkEnd w:id="187"/>
      <w:bookmarkEnd w:id="188"/>
      <w:bookmarkEnd w:id="189"/>
      <w:bookmarkEnd w:id="190"/>
      <w:r w:rsidRPr="00E13674">
        <w:rPr>
          <w:b/>
        </w:rPr>
        <w:t xml:space="preserve"> </w:t>
      </w:r>
      <w:bookmarkEnd w:id="191"/>
      <w:bookmarkEnd w:id="192"/>
    </w:p>
    <w:p w14:paraId="58275728" w14:textId="158A4396" w:rsidR="00125E7A" w:rsidRPr="00125E7A" w:rsidRDefault="001C2D56" w:rsidP="00B32815">
      <w:pPr>
        <w:spacing w:after="0"/>
        <w:ind w:left="360"/>
        <w:jc w:val="both"/>
        <w:rPr>
          <w:u w:val="single"/>
        </w:rPr>
      </w:pPr>
      <w:r w:rsidRPr="00C31C1D">
        <w:t>The Contracts, Grants</w:t>
      </w:r>
      <w:r>
        <w:t>,</w:t>
      </w:r>
      <w:r w:rsidRPr="00C31C1D">
        <w:t xml:space="preserve"> and Loans Office </w:t>
      </w:r>
      <w:r>
        <w:t xml:space="preserve">and/or the 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94" w:name="_Toc339284340"/>
      <w:bookmarkEnd w:id="193"/>
      <w:r w:rsidR="00125E7A">
        <w:rPr>
          <w:b/>
        </w:rPr>
        <w:t xml:space="preserve"> </w:t>
      </w:r>
      <w:r w:rsidR="00125E7A" w:rsidRPr="00125E7A">
        <w:t xml:space="preserve">The Evaluation Committee may conduct optional telephone </w:t>
      </w:r>
      <w:r w:rsidR="00032904" w:rsidRPr="00032904">
        <w:rPr>
          <w:b/>
        </w:rPr>
        <w:t>Clarification Interviews</w:t>
      </w:r>
      <w:r w:rsidR="00125E7A" w:rsidRPr="00125E7A">
        <w:t xml:space="preserve"> with applicants during the </w:t>
      </w:r>
      <w:r w:rsidR="00032904">
        <w:t>screening</w:t>
      </w:r>
      <w:r w:rsidR="00125E7A" w:rsidRPr="00125E7A">
        <w:t xml:space="preserve"> process to clarify and/or verify information submitted in the application. However, these interviews may not be used to change or add to the content of the original application.  Applicants will not be reimbursed for time spent answering clarifying questions.</w:t>
      </w:r>
    </w:p>
    <w:p w14:paraId="784791A3" w14:textId="77777777" w:rsidR="001C2D56" w:rsidRDefault="001C2D56" w:rsidP="001D3021">
      <w:pPr>
        <w:spacing w:after="240"/>
        <w:jc w:val="both"/>
      </w:pPr>
    </w:p>
    <w:p w14:paraId="6CAB20EF" w14:textId="77777777" w:rsidR="0061342D" w:rsidRPr="008E38AF" w:rsidRDefault="001C2D56" w:rsidP="002427DC">
      <w:pPr>
        <w:pStyle w:val="ListParagraph"/>
        <w:numPr>
          <w:ilvl w:val="0"/>
          <w:numId w:val="30"/>
        </w:numPr>
        <w:tabs>
          <w:tab w:val="num" w:pos="360"/>
        </w:tabs>
        <w:rPr>
          <w:b/>
        </w:rPr>
      </w:pPr>
      <w:bookmarkStart w:id="195" w:name="_Toc381079933"/>
      <w:bookmarkStart w:id="196" w:name="_Toc382571196"/>
      <w:bookmarkStart w:id="197" w:name="_Toc395180706"/>
      <w:bookmarkStart w:id="198" w:name="_Toc433981335"/>
      <w:bookmarkStart w:id="199" w:name="_Toc360545785"/>
      <w:bookmarkStart w:id="200" w:name="_Toc366671198"/>
      <w:bookmarkStart w:id="201" w:name="Stg2AppScr"/>
      <w:r w:rsidRPr="008E38AF">
        <w:rPr>
          <w:b/>
        </w:rPr>
        <w:t>Stage Two:  Application Scoring</w:t>
      </w:r>
      <w:bookmarkEnd w:id="195"/>
      <w:bookmarkEnd w:id="196"/>
      <w:bookmarkEnd w:id="197"/>
      <w:bookmarkEnd w:id="198"/>
      <w:r w:rsidRPr="008E38AF">
        <w:rPr>
          <w:b/>
        </w:rPr>
        <w:t xml:space="preserve"> </w:t>
      </w:r>
      <w:bookmarkEnd w:id="199"/>
      <w:bookmarkEnd w:id="200"/>
    </w:p>
    <w:bookmarkEnd w:id="201"/>
    <w:p w14:paraId="7C1B6170" w14:textId="77777777" w:rsidR="001C2D56" w:rsidRPr="003E6D28" w:rsidRDefault="001C2D56" w:rsidP="00EE24D3">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01C2D56" w:rsidP="002427DC">
      <w:pPr>
        <w:numPr>
          <w:ilvl w:val="0"/>
          <w:numId w:val="27"/>
        </w:numPr>
        <w:spacing w:after="0"/>
        <w:ind w:left="720"/>
        <w:jc w:val="both"/>
      </w:pPr>
      <w:r w:rsidRPr="004B1445">
        <w:t xml:space="preserve">The scores for each application will be the average of the combined scores of all Evaluation Committee members. </w:t>
      </w:r>
    </w:p>
    <w:p w14:paraId="70110852" w14:textId="0E10B70E" w:rsidR="008C0A71" w:rsidRPr="00624855" w:rsidRDefault="008C0A71" w:rsidP="002427DC">
      <w:pPr>
        <w:numPr>
          <w:ilvl w:val="0"/>
          <w:numId w:val="27"/>
        </w:numPr>
        <w:spacing w:after="0"/>
        <w:ind w:left="720"/>
        <w:jc w:val="both"/>
        <w:rPr>
          <w:u w:val="single"/>
        </w:rPr>
      </w:pPr>
      <w:r w:rsidRPr="004B1445">
        <w:t>Clarification Interviews:  The Evaluation Committee may conduct optional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579688ED" w14:textId="496B6D70" w:rsidR="000E5180" w:rsidRDefault="000E5180" w:rsidP="002427DC">
      <w:pPr>
        <w:numPr>
          <w:ilvl w:val="0"/>
          <w:numId w:val="27"/>
        </w:numPr>
        <w:spacing w:after="0"/>
        <w:ind w:left="720"/>
        <w:jc w:val="both"/>
      </w:pPr>
      <w:r w:rsidRPr="00402415">
        <w:rPr>
          <w:b/>
          <w:bCs/>
        </w:rPr>
        <w:t xml:space="preserve">A minimum score of </w:t>
      </w:r>
      <w:r w:rsidR="4F5E2A57" w:rsidRPr="00402415">
        <w:rPr>
          <w:b/>
          <w:bCs/>
        </w:rPr>
        <w:t>70</w:t>
      </w:r>
      <w:r w:rsidRPr="00402415">
        <w:rPr>
          <w:b/>
          <w:bCs/>
        </w:rPr>
        <w:t xml:space="preserve"> points </w:t>
      </w:r>
      <w:r w:rsidRPr="00402415">
        <w:t>is</w:t>
      </w:r>
      <w:r>
        <w:t xml:space="preserve"> required for</w:t>
      </w:r>
      <w:r w:rsidR="00B9661B">
        <w:t xml:space="preserve"> criteria </w:t>
      </w:r>
      <w:r w:rsidR="008B5B91">
        <w:t>1</w:t>
      </w:r>
      <w:r w:rsidR="0077205A">
        <w:t>-</w:t>
      </w:r>
      <w:r w:rsidR="27E5F29E">
        <w:t>7</w:t>
      </w:r>
      <w:r w:rsidR="004B1445">
        <w:t xml:space="preserve"> </w:t>
      </w:r>
      <w:r>
        <w:t xml:space="preserve">to be eligible for funding.  In addition, the application must receive a minimum score of </w:t>
      </w:r>
      <w:r w:rsidR="00B9661B" w:rsidRPr="2975AC9C">
        <w:rPr>
          <w:b/>
          <w:bCs/>
        </w:rPr>
        <w:t>52</w:t>
      </w:r>
      <w:r w:rsidRPr="2975AC9C">
        <w:rPr>
          <w:b/>
          <w:bCs/>
        </w:rPr>
        <w:t>.</w:t>
      </w:r>
      <w:r w:rsidR="00B9661B" w:rsidRPr="2975AC9C">
        <w:rPr>
          <w:b/>
          <w:bCs/>
        </w:rPr>
        <w:t>5</w:t>
      </w:r>
      <w:r w:rsidRPr="2975AC9C">
        <w:rPr>
          <w:b/>
          <w:bCs/>
        </w:rPr>
        <w:t xml:space="preserve">0 points for criteria </w:t>
      </w:r>
      <w:r w:rsidR="00D72DF9" w:rsidRPr="2975AC9C">
        <w:rPr>
          <w:b/>
          <w:bCs/>
        </w:rPr>
        <w:t>1</w:t>
      </w:r>
      <w:r w:rsidRPr="2975AC9C">
        <w:rPr>
          <w:b/>
          <w:bCs/>
        </w:rPr>
        <w:t>−</w:t>
      </w:r>
      <w:r w:rsidR="00D72DF9" w:rsidRPr="2975AC9C">
        <w:rPr>
          <w:b/>
          <w:bCs/>
        </w:rPr>
        <w:t>4</w:t>
      </w:r>
      <w:r w:rsidRPr="2975AC9C">
        <w:rPr>
          <w:b/>
          <w:bCs/>
        </w:rPr>
        <w:t xml:space="preserve"> </w:t>
      </w:r>
      <w:r>
        <w:t>to be eligible for funding.</w:t>
      </w:r>
    </w:p>
    <w:p w14:paraId="450FC929" w14:textId="77777777" w:rsidR="00122853" w:rsidRPr="004B1445" w:rsidRDefault="00122853" w:rsidP="00122853">
      <w:pPr>
        <w:spacing w:after="0"/>
        <w:ind w:left="720"/>
        <w:jc w:val="both"/>
      </w:pPr>
    </w:p>
    <w:p w14:paraId="09A4F44D" w14:textId="77777777" w:rsidR="001C2D56" w:rsidRPr="00CF6DED" w:rsidRDefault="001C2D56" w:rsidP="002427DC">
      <w:pPr>
        <w:pStyle w:val="Heading2"/>
        <w:numPr>
          <w:ilvl w:val="0"/>
          <w:numId w:val="61"/>
        </w:numPr>
      </w:pPr>
      <w:bookmarkStart w:id="202" w:name="_Toc143001061"/>
      <w:r w:rsidRPr="00CF6DED">
        <w:t>Ranking, Notice of Proposed Award, and Agreement Development</w:t>
      </w:r>
      <w:bookmarkEnd w:id="202"/>
    </w:p>
    <w:p w14:paraId="183CEF9D" w14:textId="77777777" w:rsidR="003417AD" w:rsidRPr="008E38AF" w:rsidRDefault="003417AD" w:rsidP="002427DC">
      <w:pPr>
        <w:numPr>
          <w:ilvl w:val="0"/>
          <w:numId w:val="24"/>
        </w:numPr>
        <w:tabs>
          <w:tab w:val="left" w:pos="720"/>
        </w:tabs>
        <w:ind w:left="360" w:firstLine="0"/>
        <w:jc w:val="both"/>
        <w:rPr>
          <w:b/>
        </w:rPr>
      </w:pPr>
      <w:r w:rsidRPr="008E38AF">
        <w:rPr>
          <w:b/>
        </w:rPr>
        <w:t>Ranking and Notice of Proposed Award</w:t>
      </w:r>
    </w:p>
    <w:p w14:paraId="74C11201" w14:textId="77777777"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Pr="00C31C1D">
        <w:t xml:space="preserve"> </w:t>
      </w:r>
    </w:p>
    <w:p w14:paraId="2DDCA481" w14:textId="77777777" w:rsidR="003417AD" w:rsidRPr="00F14D0E" w:rsidRDefault="008F4A0E" w:rsidP="002427DC">
      <w:pPr>
        <w:numPr>
          <w:ilvl w:val="0"/>
          <w:numId w:val="22"/>
        </w:numPr>
        <w:spacing w:after="0"/>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w:t>
      </w:r>
      <w:r w:rsidR="003417AD">
        <w:rPr>
          <w:szCs w:val="22"/>
        </w:rPr>
        <w:t>the</w:t>
      </w:r>
      <w:r w:rsidR="003417AD" w:rsidRPr="0004356A">
        <w:rPr>
          <w:szCs w:val="22"/>
        </w:rPr>
        <w:t xml:space="preserve"> </w:t>
      </w:r>
      <w:r w:rsidR="003417AD">
        <w:rPr>
          <w:szCs w:val="22"/>
        </w:rPr>
        <w:t xml:space="preserve">total </w:t>
      </w:r>
      <w:r w:rsidR="003417AD" w:rsidRPr="0004356A">
        <w:rPr>
          <w:szCs w:val="22"/>
        </w:rPr>
        <w:t>proposed fun</w:t>
      </w:r>
      <w:r w:rsidR="003417AD">
        <w:rPr>
          <w:szCs w:val="22"/>
        </w:rPr>
        <w:t>ding amount; (2) the rank order of applicants;</w:t>
      </w:r>
      <w:r w:rsidR="003417AD" w:rsidRPr="0004356A">
        <w:rPr>
          <w:szCs w:val="22"/>
        </w:rPr>
        <w:t xml:space="preserve"> and </w:t>
      </w:r>
      <w:r w:rsidR="003417AD">
        <w:rPr>
          <w:szCs w:val="22"/>
        </w:rPr>
        <w:t xml:space="preserve">(3) </w:t>
      </w:r>
      <w:r w:rsidR="003417AD" w:rsidRPr="0004356A">
        <w:rPr>
          <w:szCs w:val="22"/>
        </w:rPr>
        <w:t>the amount of each proposed award</w:t>
      </w:r>
      <w:r w:rsidR="003417AD">
        <w:rPr>
          <w:szCs w:val="22"/>
        </w:rPr>
        <w:t>. The C</w:t>
      </w:r>
      <w:r w:rsidR="008C0A71">
        <w:rPr>
          <w:szCs w:val="22"/>
        </w:rPr>
        <w:t>EC</w:t>
      </w:r>
      <w:r w:rsidR="003417AD">
        <w:rPr>
          <w:szCs w:val="22"/>
        </w:rPr>
        <w:t xml:space="preserve"> will post the NOPA at its</w:t>
      </w:r>
      <w:r w:rsidR="003417AD" w:rsidRPr="0004356A">
        <w:rPr>
          <w:szCs w:val="22"/>
        </w:rPr>
        <w:t xml:space="preserve"> headquarters in S</w:t>
      </w:r>
      <w:r w:rsidR="003417AD">
        <w:rPr>
          <w:szCs w:val="22"/>
        </w:rPr>
        <w:t xml:space="preserve">acramento and on its </w:t>
      </w:r>
      <w:proofErr w:type="gramStart"/>
      <w:r w:rsidR="003417AD">
        <w:rPr>
          <w:szCs w:val="22"/>
        </w:rPr>
        <w:t>w</w:t>
      </w:r>
      <w:r w:rsidR="003417AD" w:rsidRPr="0004356A">
        <w:rPr>
          <w:szCs w:val="22"/>
        </w:rPr>
        <w:t>eb</w:t>
      </w:r>
      <w:r w:rsidR="003417AD">
        <w:rPr>
          <w:szCs w:val="22"/>
        </w:rPr>
        <w:t>s</w:t>
      </w:r>
      <w:r w:rsidR="003417AD" w:rsidRPr="0004356A">
        <w:rPr>
          <w:szCs w:val="22"/>
        </w:rPr>
        <w:t>ite, and</w:t>
      </w:r>
      <w:proofErr w:type="gramEnd"/>
      <w:r w:rsidR="003417AD" w:rsidRPr="0004356A">
        <w:rPr>
          <w:szCs w:val="22"/>
        </w:rPr>
        <w:t xml:space="preserve"> will mail </w:t>
      </w:r>
      <w:r w:rsidR="003417AD">
        <w:rPr>
          <w:szCs w:val="22"/>
        </w:rPr>
        <w:t>it</w:t>
      </w:r>
      <w:r w:rsidR="003417AD" w:rsidRPr="0004356A">
        <w:rPr>
          <w:szCs w:val="22"/>
        </w:rPr>
        <w:t xml:space="preserve"> to all </w:t>
      </w:r>
      <w:r w:rsidR="003417AD">
        <w:rPr>
          <w:szCs w:val="22"/>
        </w:rPr>
        <w:t>entities</w:t>
      </w:r>
      <w:r w:rsidR="003417AD" w:rsidRPr="0004356A">
        <w:rPr>
          <w:szCs w:val="22"/>
        </w:rPr>
        <w:t xml:space="preserve"> that submitted an application</w:t>
      </w:r>
      <w:r w:rsidR="003417AD" w:rsidRPr="0004356A">
        <w:rPr>
          <w:szCs w:val="24"/>
        </w:rPr>
        <w:t xml:space="preserve">.  </w:t>
      </w:r>
      <w:r w:rsidR="003417AD">
        <w:rPr>
          <w:szCs w:val="24"/>
        </w:rPr>
        <w:t>Proposed awards must be approved by the C</w:t>
      </w:r>
      <w:r w:rsidR="008C0A71">
        <w:rPr>
          <w:szCs w:val="24"/>
        </w:rPr>
        <w:t>EC</w:t>
      </w:r>
      <w:r w:rsidR="003417AD">
        <w:rPr>
          <w:szCs w:val="24"/>
        </w:rPr>
        <w:t xml:space="preserve"> at a business meeting.</w:t>
      </w:r>
    </w:p>
    <w:p w14:paraId="049FB153" w14:textId="77777777" w:rsidR="003417AD" w:rsidRDefault="003417AD" w:rsidP="002427DC">
      <w:pPr>
        <w:numPr>
          <w:ilvl w:val="0"/>
          <w:numId w:val="23"/>
        </w:numPr>
        <w:spacing w:after="0"/>
        <w:ind w:left="360" w:firstLine="0"/>
        <w:jc w:val="both"/>
      </w:pPr>
      <w:r w:rsidRPr="00DD53E9">
        <w:rPr>
          <w:b/>
        </w:rPr>
        <w:t>Debriefings:</w:t>
      </w:r>
      <w:r>
        <w:t xml:space="preserve">  </w:t>
      </w:r>
      <w:r w:rsidRPr="00DD53E9">
        <w:rPr>
          <w:szCs w:val="22"/>
        </w:rPr>
        <w:t>Unsuccessful applicants may request a debriefing after the release of the</w:t>
      </w:r>
    </w:p>
    <w:p w14:paraId="7D626310" w14:textId="77777777" w:rsidR="003417AD" w:rsidRPr="00BC0F1F" w:rsidRDefault="003417AD" w:rsidP="003417AD">
      <w:pPr>
        <w:spacing w:after="0"/>
        <w:ind w:left="720"/>
        <w:jc w:val="both"/>
      </w:pPr>
      <w:r w:rsidRPr="00DD53E9">
        <w:rPr>
          <w:szCs w:val="22"/>
        </w:rPr>
        <w:t>NOPA</w:t>
      </w:r>
      <w:r>
        <w:rPr>
          <w:szCs w:val="22"/>
        </w:rPr>
        <w:t xml:space="preserve"> by contacting the Commission Agreement Officer listed in Part I</w:t>
      </w:r>
      <w:r w:rsidRPr="00DD53E9">
        <w:rPr>
          <w:szCs w:val="22"/>
        </w:rPr>
        <w:t xml:space="preserve">.  A request for debriefing must be received </w:t>
      </w:r>
      <w:r w:rsidRPr="00DD53E9">
        <w:rPr>
          <w:b/>
          <w:szCs w:val="22"/>
        </w:rPr>
        <w:t xml:space="preserve">no later than </w:t>
      </w:r>
      <w:r>
        <w:rPr>
          <w:b/>
          <w:szCs w:val="22"/>
        </w:rPr>
        <w:t>30</w:t>
      </w:r>
      <w:r w:rsidRPr="00A11850">
        <w:rPr>
          <w:b/>
          <w:szCs w:val="22"/>
        </w:rPr>
        <w:t xml:space="preserve"> </w:t>
      </w:r>
      <w:r>
        <w:rPr>
          <w:b/>
          <w:szCs w:val="22"/>
        </w:rPr>
        <w:t xml:space="preserve">calendar </w:t>
      </w:r>
      <w:r w:rsidRPr="00A11850">
        <w:rPr>
          <w:b/>
          <w:szCs w:val="22"/>
        </w:rPr>
        <w:t>days</w:t>
      </w:r>
      <w:r w:rsidRPr="00DD53E9">
        <w:rPr>
          <w:szCs w:val="22"/>
        </w:rPr>
        <w:t xml:space="preserve"> after the NOPA is released.</w:t>
      </w:r>
    </w:p>
    <w:p w14:paraId="427F5991" w14:textId="77777777" w:rsidR="003417AD" w:rsidRDefault="003417AD" w:rsidP="002427DC">
      <w:pPr>
        <w:numPr>
          <w:ilvl w:val="0"/>
          <w:numId w:val="23"/>
        </w:numPr>
        <w:spacing w:after="0"/>
        <w:ind w:left="360" w:firstLine="0"/>
        <w:jc w:val="both"/>
      </w:pPr>
      <w:r>
        <w:lastRenderedPageBreak/>
        <w:t>In addition to any of its other rights, t</w:t>
      </w:r>
      <w:r w:rsidRPr="0093474F">
        <w:t xml:space="preserve">he </w:t>
      </w:r>
      <w:r w:rsidR="008F4A0E">
        <w:t>CEC</w:t>
      </w:r>
      <w:r w:rsidRPr="0093474F">
        <w:t xml:space="preserve"> reserves the right to:</w:t>
      </w:r>
    </w:p>
    <w:p w14:paraId="2A9BFA27" w14:textId="77777777" w:rsidR="003417AD" w:rsidRDefault="003417AD" w:rsidP="002427DC">
      <w:pPr>
        <w:numPr>
          <w:ilvl w:val="1"/>
          <w:numId w:val="23"/>
        </w:numPr>
        <w:tabs>
          <w:tab w:val="left" w:pos="1440"/>
        </w:tabs>
        <w:spacing w:after="0"/>
        <w:ind w:left="1440" w:hanging="270"/>
        <w:jc w:val="both"/>
      </w:pPr>
      <w:r w:rsidRPr="0093474F">
        <w:t>Allocate any additional funds to passing applications</w:t>
      </w:r>
      <w:r>
        <w:t>, in rank order</w:t>
      </w:r>
      <w:r w:rsidRPr="0093474F">
        <w:t>;</w:t>
      </w:r>
      <w:r>
        <w:t xml:space="preserve"> and</w:t>
      </w:r>
    </w:p>
    <w:p w14:paraId="3CD861EA" w14:textId="77777777" w:rsidR="00DB723D" w:rsidRDefault="003417AD" w:rsidP="002427DC">
      <w:pPr>
        <w:numPr>
          <w:ilvl w:val="1"/>
          <w:numId w:val="23"/>
        </w:numPr>
        <w:tabs>
          <w:tab w:val="left" w:pos="1440"/>
        </w:tabs>
        <w:spacing w:after="0"/>
        <w:ind w:left="1440" w:hanging="270"/>
        <w:jc w:val="both"/>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 xml:space="preserve">project team entity that will receive the award,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2427DC">
      <w:pPr>
        <w:numPr>
          <w:ilvl w:val="0"/>
          <w:numId w:val="24"/>
        </w:numPr>
        <w:tabs>
          <w:tab w:val="left" w:pos="720"/>
        </w:tabs>
        <w:ind w:left="360" w:firstLine="0"/>
        <w:jc w:val="both"/>
      </w:pPr>
      <w:r w:rsidRPr="004C668B">
        <w:rPr>
          <w:b/>
        </w:rPr>
        <w:t xml:space="preserve"> </w:t>
      </w:r>
      <w:r w:rsidRPr="00E13674">
        <w:rPr>
          <w:b/>
        </w:rPr>
        <w:t>Agreements</w:t>
      </w:r>
    </w:p>
    <w:p w14:paraId="368CD362" w14:textId="77777777" w:rsidR="001C2D56" w:rsidRDefault="001C2D56" w:rsidP="00930FF1">
      <w:pPr>
        <w:jc w:val="both"/>
      </w:pPr>
      <w:r w:rsidRPr="00C31C1D">
        <w:t xml:space="preserve">Applications recommended for funding 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Pr="00BB6E63">
        <w:t xml:space="preserve">Recipients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 Recipient and the </w:t>
      </w:r>
      <w:r w:rsidR="008F4A0E">
        <w:t>CEC</w:t>
      </w:r>
      <w:r>
        <w:t>)</w:t>
      </w:r>
      <w:r w:rsidRPr="00BB6E63">
        <w:t>.</w:t>
      </w:r>
    </w:p>
    <w:p w14:paraId="53961983" w14:textId="77777777" w:rsidR="001C2D56" w:rsidRPr="00BB6E63" w:rsidRDefault="00E4013B" w:rsidP="002427DC">
      <w:pPr>
        <w:numPr>
          <w:ilvl w:val="0"/>
          <w:numId w:val="21"/>
        </w:numPr>
        <w:spacing w:after="0"/>
        <w:jc w:val="both"/>
      </w:pPr>
      <w:r w:rsidRPr="00E4013B">
        <w:rPr>
          <w:b/>
        </w:rPr>
        <w:t>Agreement Development:</w:t>
      </w:r>
      <w:r>
        <w:t xml:space="preserve"> </w:t>
      </w:r>
      <w:r w:rsidR="001D57CC">
        <w:t>T</w:t>
      </w:r>
      <w:r w:rsidR="001C2D56">
        <w:t xml:space="preserve">he Contracts, Grants, and Loans Office will send the Recipient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1C2D56" w:rsidRPr="00BB6E63">
        <w:t>terms and conditions</w:t>
      </w:r>
      <w:r w:rsidR="001C2D56">
        <w:t>) prior to executing any agreement.</w:t>
      </w:r>
    </w:p>
    <w:p w14:paraId="405D984C" w14:textId="77777777" w:rsidR="001C2D56" w:rsidRDefault="00E4013B" w:rsidP="002427DC">
      <w:pPr>
        <w:numPr>
          <w:ilvl w:val="0"/>
          <w:numId w:val="21"/>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61A8700D" w14:textId="77777777" w:rsidR="001C2D56" w:rsidRPr="00CF6DED" w:rsidRDefault="001C2D56" w:rsidP="002427DC">
      <w:pPr>
        <w:pStyle w:val="Heading2"/>
        <w:numPr>
          <w:ilvl w:val="0"/>
          <w:numId w:val="61"/>
        </w:numPr>
      </w:pPr>
      <w:bookmarkStart w:id="203" w:name="_Toc143001062"/>
      <w:bookmarkStart w:id="204" w:name="_Toc366671196"/>
      <w:r w:rsidRPr="00CF6DED">
        <w:t>Grounds to Reject an Application or Cancel an Award</w:t>
      </w:r>
      <w:bookmarkEnd w:id="203"/>
    </w:p>
    <w:bookmarkEnd w:id="204"/>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8D60A8">
      <w:pPr>
        <w:numPr>
          <w:ilvl w:val="0"/>
          <w:numId w:val="9"/>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8D60A8">
      <w:pPr>
        <w:numPr>
          <w:ilvl w:val="0"/>
          <w:numId w:val="9"/>
        </w:numPr>
        <w:spacing w:after="0"/>
        <w:jc w:val="both"/>
      </w:pPr>
      <w:r w:rsidRPr="00C31C1D">
        <w:t>The</w:t>
      </w:r>
      <w:r>
        <w:t xml:space="preserve"> a</w:t>
      </w:r>
      <w:r w:rsidRPr="00C31C1D">
        <w:t xml:space="preserve">pplication is intended to </w:t>
      </w:r>
      <w:proofErr w:type="gramStart"/>
      <w:r w:rsidRPr="00C31C1D">
        <w:t>erroneously and fallaciously mislead the State</w:t>
      </w:r>
      <w:proofErr w:type="gramEnd"/>
      <w:r w:rsidRPr="00C31C1D">
        <w:t xml:space="preserve"> in </w:t>
      </w:r>
      <w:r w:rsidR="00A80987">
        <w:t xml:space="preserve">any way.  </w:t>
      </w:r>
    </w:p>
    <w:p w14:paraId="74C0E404" w14:textId="77777777" w:rsidR="001C2D56" w:rsidRDefault="001C2D56" w:rsidP="008D60A8">
      <w:pPr>
        <w:numPr>
          <w:ilvl w:val="0"/>
          <w:numId w:val="9"/>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77777777" w:rsidR="001C2D56" w:rsidRPr="00C31C1D" w:rsidRDefault="001C2D56" w:rsidP="008D60A8">
      <w:pPr>
        <w:numPr>
          <w:ilvl w:val="0"/>
          <w:numId w:val="10"/>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recipients of their obligations to pay royalties</w:t>
      </w:r>
      <w:r>
        <w:rPr>
          <w:szCs w:val="22"/>
        </w:rPr>
        <w:t>)</w:t>
      </w:r>
      <w:r w:rsidRPr="00C31C1D">
        <w:rPr>
          <w:szCs w:val="22"/>
        </w:rPr>
        <w:t>, and has not responded to the letter or is otherwise not in compliance with repaying royalties.</w:t>
      </w:r>
    </w:p>
    <w:p w14:paraId="1F9CE582" w14:textId="77777777" w:rsidR="001C2D56" w:rsidRDefault="001C2D56" w:rsidP="008D60A8">
      <w:pPr>
        <w:numPr>
          <w:ilvl w:val="0"/>
          <w:numId w:val="10"/>
        </w:numPr>
        <w:spacing w:after="0"/>
        <w:jc w:val="both"/>
      </w:pPr>
      <w:r>
        <w:t>The a</w:t>
      </w:r>
      <w:r w:rsidRPr="00C31C1D">
        <w:t xml:space="preserve">pplicant has received unsatisfactory </w:t>
      </w:r>
      <w:r w:rsidR="002209B3">
        <w:t xml:space="preserve">agreement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8D60A8">
      <w:pPr>
        <w:numPr>
          <w:ilvl w:val="0"/>
          <w:numId w:val="10"/>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6643EF">
      <w:pPr>
        <w:numPr>
          <w:ilvl w:val="0"/>
          <w:numId w:val="10"/>
        </w:numPr>
        <w:spacing w:after="0"/>
        <w:jc w:val="both"/>
      </w:pPr>
      <w:r>
        <w:t>The a</w:t>
      </w:r>
      <w:r w:rsidRPr="00C31C1D">
        <w:t>pplicant has not demonstrated that it has the financial capability to complete the project.</w:t>
      </w:r>
    </w:p>
    <w:p w14:paraId="11141402" w14:textId="77777777" w:rsidR="00C47F3C" w:rsidRDefault="00C47F3C" w:rsidP="00C47F3C">
      <w:pPr>
        <w:numPr>
          <w:ilvl w:val="0"/>
          <w:numId w:val="10"/>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4A50464D" w14:textId="77777777" w:rsidR="007B3F78" w:rsidRDefault="007B3F78" w:rsidP="007B3F78">
      <w:pPr>
        <w:numPr>
          <w:ilvl w:val="0"/>
          <w:numId w:val="10"/>
        </w:numPr>
        <w:spacing w:after="0"/>
        <w:jc w:val="both"/>
      </w:pPr>
      <w:r w:rsidRPr="007B3F78">
        <w:t>The applicant has included a statement or otherwise indicated that it will not accept the terms and conditions, or that acceptance is based on modifications to the terms and conditions.</w:t>
      </w:r>
    </w:p>
    <w:p w14:paraId="04A5CCF2" w14:textId="77777777" w:rsidR="005A6240" w:rsidRPr="00CE1D19" w:rsidRDefault="005A6240" w:rsidP="005A6240">
      <w:pPr>
        <w:numPr>
          <w:ilvl w:val="0"/>
          <w:numId w:val="10"/>
        </w:numPr>
        <w:spacing w:after="0"/>
        <w:jc w:val="both"/>
      </w:pPr>
      <w:r w:rsidRPr="005A6240">
        <w:t>The application contain</w:t>
      </w:r>
      <w:r w:rsidR="003A78C1">
        <w:t>s</w:t>
      </w:r>
      <w:r w:rsidRPr="005A6240">
        <w:t xml:space="preserve"> confidential information or identif</w:t>
      </w:r>
      <w:r w:rsidR="00050EB6">
        <w:t>ies</w:t>
      </w:r>
      <w:r w:rsidRPr="005A6240">
        <w:t xml:space="preserve"> any portion of the application as confidential.</w:t>
      </w:r>
    </w:p>
    <w:p w14:paraId="67B412A3" w14:textId="77777777" w:rsidR="001D57CC" w:rsidRDefault="001D57CC" w:rsidP="006643EF">
      <w:pPr>
        <w:spacing w:after="0"/>
        <w:ind w:left="720"/>
        <w:jc w:val="both"/>
      </w:pPr>
    </w:p>
    <w:p w14:paraId="023BF64C" w14:textId="77777777" w:rsidR="001C2D56" w:rsidRPr="00CF6DED" w:rsidRDefault="001C2D56" w:rsidP="002427DC">
      <w:pPr>
        <w:pStyle w:val="Heading2"/>
        <w:numPr>
          <w:ilvl w:val="0"/>
          <w:numId w:val="61"/>
        </w:numPr>
      </w:pPr>
      <w:bookmarkStart w:id="205" w:name="_Toc143001063"/>
      <w:r w:rsidRPr="00CF6DED">
        <w:lastRenderedPageBreak/>
        <w:t>Miscellaneous</w:t>
      </w:r>
      <w:bookmarkEnd w:id="205"/>
    </w:p>
    <w:p w14:paraId="5164777B" w14:textId="77777777" w:rsidR="000E331F" w:rsidRPr="00CF255E" w:rsidRDefault="001C2D56" w:rsidP="002427DC">
      <w:pPr>
        <w:pStyle w:val="ListParagraph"/>
        <w:numPr>
          <w:ilvl w:val="0"/>
          <w:numId w:val="31"/>
        </w:numPr>
        <w:tabs>
          <w:tab w:val="num" w:pos="360"/>
        </w:tabs>
        <w:rPr>
          <w:b/>
        </w:rPr>
      </w:pPr>
      <w:bookmarkStart w:id="206" w:name="_Toc381079937"/>
      <w:bookmarkStart w:id="207" w:name="_Toc382571200"/>
      <w:bookmarkStart w:id="208" w:name="_Toc395180710"/>
      <w:bookmarkStart w:id="209" w:name="_Toc433981339"/>
      <w:r w:rsidRPr="00CF255E">
        <w:rPr>
          <w:b/>
        </w:rPr>
        <w:t>Solicitation Cancellation and Amendment</w:t>
      </w:r>
      <w:bookmarkEnd w:id="206"/>
      <w:bookmarkEnd w:id="207"/>
      <w:bookmarkEnd w:id="208"/>
      <w:bookmarkEnd w:id="209"/>
    </w:p>
    <w:p w14:paraId="16489A88" w14:textId="77777777" w:rsidR="00344986" w:rsidRDefault="001C2D56" w:rsidP="00BC0A05">
      <w:bookmarkStart w:id="210" w:name="_Toc381079938"/>
      <w:bookmarkStart w:id="211" w:name="_Toc382571201"/>
      <w:bookmarkStart w:id="212"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210"/>
      <w:bookmarkEnd w:id="211"/>
      <w:bookmarkEnd w:id="212"/>
    </w:p>
    <w:p w14:paraId="7A5D0CA6" w14:textId="77777777" w:rsidR="005E52CD" w:rsidRDefault="001C2D56" w:rsidP="008D60A8">
      <w:pPr>
        <w:numPr>
          <w:ilvl w:val="0"/>
          <w:numId w:val="11"/>
        </w:numPr>
        <w:spacing w:after="0"/>
        <w:ind w:left="810" w:hanging="450"/>
        <w:jc w:val="both"/>
        <w:rPr>
          <w:szCs w:val="22"/>
        </w:rPr>
      </w:pPr>
      <w:r w:rsidRPr="00D35C41">
        <w:rPr>
          <w:szCs w:val="22"/>
        </w:rPr>
        <w:t>Cancel this solicitation;</w:t>
      </w:r>
    </w:p>
    <w:p w14:paraId="5EBB33D0" w14:textId="77777777" w:rsidR="005E52CD" w:rsidRDefault="001C2D56" w:rsidP="008D60A8">
      <w:pPr>
        <w:numPr>
          <w:ilvl w:val="0"/>
          <w:numId w:val="11"/>
        </w:numPr>
        <w:spacing w:after="0"/>
        <w:ind w:left="810" w:hanging="450"/>
        <w:jc w:val="both"/>
        <w:rPr>
          <w:szCs w:val="22"/>
        </w:rPr>
      </w:pPr>
      <w:r w:rsidRPr="00D35C41">
        <w:rPr>
          <w:szCs w:val="22"/>
        </w:rPr>
        <w:t>Revise the amount of funds available under this solicitation;</w:t>
      </w:r>
    </w:p>
    <w:p w14:paraId="4EBFA7F9" w14:textId="77777777" w:rsidR="005E52CD" w:rsidRDefault="001C2D56" w:rsidP="008D60A8">
      <w:pPr>
        <w:numPr>
          <w:ilvl w:val="0"/>
          <w:numId w:val="11"/>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8D60A8">
      <w:pPr>
        <w:numPr>
          <w:ilvl w:val="0"/>
          <w:numId w:val="11"/>
        </w:numPr>
        <w:ind w:left="810" w:hanging="450"/>
        <w:jc w:val="both"/>
        <w:rPr>
          <w:szCs w:val="22"/>
        </w:rPr>
      </w:pPr>
      <w:r w:rsidRPr="00D35C41">
        <w:rPr>
          <w:szCs w:val="22"/>
        </w:rPr>
        <w:t>Reject any or all applications received in response to this solicitation</w:t>
      </w:r>
      <w:r>
        <w:rPr>
          <w:szCs w:val="22"/>
        </w:rPr>
        <w:t>.</w:t>
      </w:r>
    </w:p>
    <w:p w14:paraId="5DF30C82" w14:textId="77777777" w:rsidR="001C2D56" w:rsidRPr="00D35C41" w:rsidRDefault="001C2D56" w:rsidP="00000458">
      <w:pPr>
        <w:jc w:val="both"/>
        <w:rPr>
          <w:szCs w:val="22"/>
        </w:rPr>
      </w:pPr>
      <w:r w:rsidRPr="00D35C41">
        <w:rPr>
          <w:szCs w:val="22"/>
        </w:rPr>
        <w:t xml:space="preserve">If the solicitation is amended, the </w:t>
      </w:r>
      <w:r w:rsidR="008F4A0E">
        <w:rPr>
          <w:szCs w:val="22"/>
        </w:rPr>
        <w:t>CEC</w:t>
      </w:r>
      <w:r w:rsidRPr="00D35C41">
        <w:rPr>
          <w:szCs w:val="22"/>
        </w:rPr>
        <w:t xml:space="preserve"> will send an addendum to all </w:t>
      </w:r>
      <w:r w:rsidR="00250EED">
        <w:rPr>
          <w:szCs w:val="22"/>
        </w:rPr>
        <w:t>entities</w:t>
      </w:r>
      <w:r w:rsidR="00250EED" w:rsidRPr="00D35C41">
        <w:rPr>
          <w:szCs w:val="22"/>
        </w:rPr>
        <w:t xml:space="preserve"> </w:t>
      </w:r>
      <w:r w:rsidR="00250EED">
        <w:rPr>
          <w:szCs w:val="22"/>
        </w:rPr>
        <w:t>that</w:t>
      </w:r>
      <w:r w:rsidR="00250EED" w:rsidRPr="00D35C41">
        <w:rPr>
          <w:szCs w:val="22"/>
        </w:rPr>
        <w:t xml:space="preserve"> </w:t>
      </w:r>
      <w:r w:rsidRPr="00D35C41">
        <w:rPr>
          <w:szCs w:val="22"/>
        </w:rPr>
        <w:t xml:space="preserve">requested the solicitation, and will also post it on the </w:t>
      </w:r>
      <w:r w:rsidR="008F4A0E">
        <w:rPr>
          <w:szCs w:val="22"/>
        </w:rPr>
        <w:t>CEC</w:t>
      </w:r>
      <w:r w:rsidRPr="00D35C41">
        <w:rPr>
          <w:szCs w:val="22"/>
        </w:rPr>
        <w:t xml:space="preserve">’s website at: </w:t>
      </w:r>
      <w:r w:rsidRPr="00616F23">
        <w:rPr>
          <w:szCs w:val="22"/>
        </w:rPr>
        <w:t>www.energy.ca.gov/contracts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2427DC">
      <w:pPr>
        <w:pStyle w:val="ListParagraph"/>
        <w:numPr>
          <w:ilvl w:val="0"/>
          <w:numId w:val="31"/>
        </w:numPr>
        <w:tabs>
          <w:tab w:val="num" w:pos="360"/>
        </w:tabs>
        <w:rPr>
          <w:b/>
        </w:rPr>
      </w:pPr>
      <w:bookmarkStart w:id="213" w:name="_Toc381079939"/>
      <w:bookmarkStart w:id="214" w:name="_Toc382571202"/>
      <w:bookmarkStart w:id="215" w:name="_Toc395180712"/>
      <w:bookmarkStart w:id="216" w:name="_Toc433981340"/>
      <w:r w:rsidRPr="004D0A67">
        <w:rPr>
          <w:b/>
        </w:rPr>
        <w:t>Modification or Withdrawal of Application</w:t>
      </w:r>
      <w:bookmarkEnd w:id="213"/>
      <w:bookmarkEnd w:id="214"/>
      <w:bookmarkEnd w:id="215"/>
      <w:bookmarkEnd w:id="216"/>
    </w:p>
    <w:p w14:paraId="6BC8F793" w14:textId="77777777" w:rsidR="001C2D56" w:rsidRPr="00D35C41" w:rsidRDefault="001C2D56" w:rsidP="00000458">
      <w:pPr>
        <w:jc w:val="both"/>
        <w:rPr>
          <w:szCs w:val="22"/>
        </w:rPr>
      </w:pPr>
      <w:r w:rsidRPr="00D35C41">
        <w:rPr>
          <w:szCs w:val="22"/>
        </w:rPr>
        <w:t>Applicant</w:t>
      </w:r>
      <w:r>
        <w:rPr>
          <w:szCs w:val="22"/>
        </w:rPr>
        <w:t xml:space="preserve">s may </w:t>
      </w:r>
      <w:r w:rsidRPr="00D35C41">
        <w:rPr>
          <w:szCs w:val="22"/>
        </w:rPr>
        <w:t>withdraw or modify a submitted application before the deadline to submit applications</w:t>
      </w:r>
      <w:r>
        <w:rPr>
          <w:szCs w:val="22"/>
        </w:rPr>
        <w:t xml:space="preserve"> </w:t>
      </w:r>
      <w:r w:rsidRPr="00D35C41">
        <w:rPr>
          <w:szCs w:val="22"/>
        </w:rPr>
        <w:t xml:space="preserve">by </w:t>
      </w:r>
      <w:r>
        <w:rPr>
          <w:szCs w:val="22"/>
        </w:rPr>
        <w:t xml:space="preserve">sending a </w:t>
      </w:r>
      <w:r w:rsidRPr="00D35C41">
        <w:rPr>
          <w:szCs w:val="22"/>
        </w:rPr>
        <w:t xml:space="preserve">letter to the </w:t>
      </w:r>
      <w:r w:rsidR="0084366A">
        <w:rPr>
          <w:szCs w:val="22"/>
        </w:rPr>
        <w:t xml:space="preserve">Commission </w:t>
      </w:r>
      <w:r>
        <w:rPr>
          <w:szCs w:val="22"/>
        </w:rPr>
        <w:t xml:space="preserve">Agreement Officer listed in Part I. </w:t>
      </w:r>
      <w:r w:rsidRPr="00D35C41">
        <w:rPr>
          <w:szCs w:val="22"/>
        </w:rPr>
        <w:t>Applications cannot be changed after that date and time.  An Application cannot be “timed” to expire on a specific date.  For example, a statement such as the following is non-r</w:t>
      </w:r>
      <w:r>
        <w:rPr>
          <w:szCs w:val="22"/>
        </w:rPr>
        <w:t xml:space="preserve">esponsive to the solicitation: </w:t>
      </w:r>
      <w:r w:rsidRPr="00D35C41">
        <w:rPr>
          <w:szCs w:val="22"/>
        </w:rPr>
        <w:t>“This application and the cost estimate are valid for 60 days.”</w:t>
      </w:r>
    </w:p>
    <w:p w14:paraId="17CEC1EF" w14:textId="77777777" w:rsidR="000E331F" w:rsidRPr="004D0A67" w:rsidRDefault="00F615BA" w:rsidP="002427DC">
      <w:pPr>
        <w:pStyle w:val="ListParagraph"/>
        <w:numPr>
          <w:ilvl w:val="0"/>
          <w:numId w:val="31"/>
        </w:numPr>
        <w:tabs>
          <w:tab w:val="num" w:pos="360"/>
        </w:tabs>
        <w:rPr>
          <w:b/>
        </w:rPr>
      </w:pPr>
      <w:bookmarkStart w:id="217" w:name="_Toc381079940"/>
      <w:bookmarkStart w:id="218" w:name="_Toc382571203"/>
      <w:bookmarkStart w:id="219" w:name="_Toc395180713"/>
      <w:bookmarkStart w:id="220" w:name="_Toc433981341"/>
      <w:bookmarkStart w:id="221" w:name="_Toc381079941"/>
      <w:r w:rsidRPr="004D0A67">
        <w:rPr>
          <w:b/>
        </w:rPr>
        <w:t>Confidentiality</w:t>
      </w:r>
      <w:bookmarkEnd w:id="217"/>
      <w:bookmarkEnd w:id="218"/>
      <w:bookmarkEnd w:id="219"/>
      <w:bookmarkEnd w:id="220"/>
    </w:p>
    <w:p w14:paraId="71F2A74B" w14:textId="77777777" w:rsidR="001D740D" w:rsidRPr="001D740D" w:rsidRDefault="00F615BA" w:rsidP="001D740D">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after the </w:t>
      </w:r>
      <w:r w:rsidR="008F4A0E">
        <w:t>CEC</w:t>
      </w:r>
      <w:r w:rsidRPr="00BC0F1F">
        <w:t xml:space="preserve"> posts the NOPA or the solicitation is cancelled.</w:t>
      </w:r>
      <w:r>
        <w:t xml:space="preserve">  </w:t>
      </w:r>
      <w:r w:rsidRPr="00A535A6">
        <w:rPr>
          <w:b/>
        </w:rPr>
        <w:t xml:space="preserve">The </w:t>
      </w:r>
      <w:r w:rsidR="008F4A0E">
        <w:rPr>
          <w:b/>
        </w:rPr>
        <w:t>CEC</w:t>
      </w:r>
      <w:r w:rsidRPr="00A535A6">
        <w:rPr>
          <w:b/>
        </w:rPr>
        <w:t xml:space="preserve"> will not accept or retain applications that identify any </w:t>
      </w:r>
      <w:r w:rsidR="006E3A05">
        <w:rPr>
          <w:b/>
        </w:rPr>
        <w:t>portion</w:t>
      </w:r>
      <w:r w:rsidR="006E3A05" w:rsidRPr="00A535A6">
        <w:rPr>
          <w:b/>
        </w:rPr>
        <w:t xml:space="preserve"> </w:t>
      </w:r>
      <w:r w:rsidRPr="00A535A6">
        <w:rPr>
          <w:b/>
        </w:rPr>
        <w:t>as confidential.</w:t>
      </w:r>
      <w:r w:rsidR="005028D9" w:rsidDel="005028D9">
        <w:t xml:space="preserve"> </w:t>
      </w:r>
    </w:p>
    <w:p w14:paraId="0508CE4D" w14:textId="77777777" w:rsidR="000E331F" w:rsidRPr="004D0A67" w:rsidRDefault="001C2D56" w:rsidP="002427DC">
      <w:pPr>
        <w:pStyle w:val="ListParagraph"/>
        <w:numPr>
          <w:ilvl w:val="0"/>
          <w:numId w:val="31"/>
        </w:numPr>
        <w:tabs>
          <w:tab w:val="num" w:pos="360"/>
        </w:tabs>
        <w:spacing w:after="160"/>
        <w:rPr>
          <w:b/>
        </w:rPr>
      </w:pPr>
      <w:bookmarkStart w:id="222" w:name="_Toc382571204"/>
      <w:bookmarkStart w:id="223" w:name="_Toc395180714"/>
      <w:bookmarkStart w:id="224" w:name="_Toc433981342"/>
      <w:r w:rsidRPr="004D0A67">
        <w:rPr>
          <w:b/>
        </w:rPr>
        <w:t>Solicitation Errors</w:t>
      </w:r>
      <w:bookmarkEnd w:id="221"/>
      <w:bookmarkEnd w:id="222"/>
      <w:bookmarkEnd w:id="223"/>
      <w:bookmarkEnd w:id="224"/>
    </w:p>
    <w:p w14:paraId="3DDF22BC" w14:textId="77777777" w:rsidR="001C2D56" w:rsidRPr="00D35C41" w:rsidRDefault="001C2D56" w:rsidP="00000458">
      <w:pPr>
        <w:jc w:val="both"/>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2427DC">
      <w:pPr>
        <w:pStyle w:val="ListParagraph"/>
        <w:numPr>
          <w:ilvl w:val="0"/>
          <w:numId w:val="31"/>
        </w:numPr>
        <w:tabs>
          <w:tab w:val="num" w:pos="360"/>
        </w:tabs>
        <w:rPr>
          <w:b/>
        </w:rPr>
      </w:pPr>
      <w:bookmarkStart w:id="225" w:name="_Toc381079942"/>
      <w:bookmarkStart w:id="226" w:name="_Toc382571205"/>
      <w:bookmarkStart w:id="227" w:name="_Toc395180715"/>
      <w:bookmarkStart w:id="228" w:name="_Toc433981343"/>
      <w:r w:rsidRPr="004D0A67">
        <w:rPr>
          <w:b/>
        </w:rPr>
        <w:t>Immaterial Defect</w:t>
      </w:r>
      <w:bookmarkEnd w:id="225"/>
      <w:bookmarkEnd w:id="226"/>
      <w:bookmarkEnd w:id="227"/>
      <w:bookmarkEnd w:id="228"/>
    </w:p>
    <w:p w14:paraId="3D401ADD" w14:textId="77777777"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5F535E36" w14:textId="77777777" w:rsidR="000E331F" w:rsidRPr="004D0A67" w:rsidRDefault="001C2D56" w:rsidP="002427DC">
      <w:pPr>
        <w:pStyle w:val="ListParagraph"/>
        <w:numPr>
          <w:ilvl w:val="0"/>
          <w:numId w:val="31"/>
        </w:numPr>
        <w:tabs>
          <w:tab w:val="num" w:pos="360"/>
        </w:tabs>
        <w:rPr>
          <w:b/>
        </w:rPr>
      </w:pPr>
      <w:bookmarkStart w:id="229" w:name="_Toc381079943"/>
      <w:bookmarkStart w:id="230" w:name="_Toc382571206"/>
      <w:bookmarkStart w:id="231" w:name="_Toc395180716"/>
      <w:bookmarkStart w:id="232" w:name="_Toc433981344"/>
      <w:r w:rsidRPr="004D0A67">
        <w:rPr>
          <w:b/>
        </w:rPr>
        <w:t>Disposition of Applicant’s Documents</w:t>
      </w:r>
      <w:bookmarkEnd w:id="229"/>
      <w:bookmarkEnd w:id="230"/>
      <w:bookmarkEnd w:id="231"/>
      <w:bookmarkEnd w:id="232"/>
    </w:p>
    <w:p w14:paraId="1C5213DD" w14:textId="77777777" w:rsidR="001C2D56" w:rsidRDefault="001C2D56" w:rsidP="00000458">
      <w:pPr>
        <w:jc w:val="both"/>
        <w:rPr>
          <w:szCs w:val="22"/>
        </w:rPr>
      </w:pPr>
      <w:r>
        <w:rPr>
          <w:szCs w:val="22"/>
        </w:rPr>
        <w:t>Upon the posting of</w:t>
      </w:r>
      <w:r w:rsidRPr="00D35C41">
        <w:rPr>
          <w:szCs w:val="22"/>
        </w:rPr>
        <w:t xml:space="preserve"> the NOPA, all applications and related materials submitted in response to this solicitation </w:t>
      </w:r>
      <w:r>
        <w:rPr>
          <w:szCs w:val="22"/>
        </w:rPr>
        <w:t xml:space="preserve">will </w:t>
      </w:r>
      <w:r w:rsidRPr="00D35C41">
        <w:rPr>
          <w:szCs w:val="22"/>
        </w:rPr>
        <w:t>become property of the State and public</w:t>
      </w:r>
      <w:r w:rsidR="00275477">
        <w:rPr>
          <w:szCs w:val="22"/>
        </w:rPr>
        <w:t>ly</w:t>
      </w:r>
      <w:r w:rsidRPr="00D35C41">
        <w:rPr>
          <w:szCs w:val="22"/>
        </w:rPr>
        <w:t xml:space="preserve"> </w:t>
      </w:r>
      <w:r w:rsidR="00275477">
        <w:rPr>
          <w:szCs w:val="22"/>
        </w:rPr>
        <w:t xml:space="preserve">available </w:t>
      </w:r>
      <w:r w:rsidRPr="00D35C41">
        <w:rPr>
          <w:szCs w:val="22"/>
        </w:rPr>
        <w:t>record</w:t>
      </w:r>
      <w:r>
        <w:rPr>
          <w:szCs w:val="22"/>
        </w:rPr>
        <w:t>s</w:t>
      </w:r>
      <w:r w:rsidRPr="00D35C41">
        <w:rPr>
          <w:szCs w:val="22"/>
        </w:rPr>
        <w:t xml:space="preserve">.  </w:t>
      </w:r>
      <w:r w:rsidR="00DA111A">
        <w:rPr>
          <w:szCs w:val="22"/>
        </w:rPr>
        <w:t>Unsuccessful a</w:t>
      </w:r>
      <w:r w:rsidRPr="00D35C41">
        <w:rPr>
          <w:szCs w:val="22"/>
        </w:rPr>
        <w:t xml:space="preserve">pplicants who seek the return of any materials </w:t>
      </w:r>
      <w:r>
        <w:rPr>
          <w:szCs w:val="22"/>
        </w:rPr>
        <w:t>must</w:t>
      </w:r>
      <w:r w:rsidRPr="00D35C41">
        <w:rPr>
          <w:szCs w:val="22"/>
        </w:rPr>
        <w:t xml:space="preserve"> make this request </w:t>
      </w:r>
      <w:r>
        <w:rPr>
          <w:szCs w:val="22"/>
        </w:rPr>
        <w:t xml:space="preserve">to the Agreement Officer listed in Part I, </w:t>
      </w:r>
      <w:r w:rsidRPr="00D35C41">
        <w:rPr>
          <w:szCs w:val="22"/>
        </w:rPr>
        <w:t>and provide sufficient postage to fund the cost of returning the materials.</w:t>
      </w:r>
    </w:p>
    <w:p w14:paraId="13D0BB63" w14:textId="77777777" w:rsidR="002F33A5" w:rsidRDefault="002F33A5">
      <w:pPr>
        <w:spacing w:after="0"/>
        <w:rPr>
          <w:szCs w:val="22"/>
        </w:rPr>
      </w:pPr>
      <w:r>
        <w:rPr>
          <w:szCs w:val="22"/>
        </w:rPr>
        <w:br w:type="page"/>
      </w:r>
    </w:p>
    <w:p w14:paraId="49B17DFC" w14:textId="77777777" w:rsidR="006F048A" w:rsidRPr="00CF6DED" w:rsidRDefault="006F048A" w:rsidP="002427DC">
      <w:pPr>
        <w:pStyle w:val="Heading2"/>
        <w:numPr>
          <w:ilvl w:val="0"/>
          <w:numId w:val="61"/>
        </w:numPr>
      </w:pPr>
      <w:bookmarkStart w:id="233" w:name="_Toc433981345"/>
      <w:bookmarkStart w:id="234" w:name="_Toc143001064"/>
      <w:r w:rsidRPr="00CF6DED">
        <w:lastRenderedPageBreak/>
        <w:t>Stage One:  Application Screening</w:t>
      </w:r>
      <w:bookmarkEnd w:id="233"/>
      <w:bookmarkEnd w:id="23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007E41D6">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007E41D6">
        <w:tc>
          <w:tcPr>
            <w:tcW w:w="7231" w:type="dxa"/>
          </w:tcPr>
          <w:p w14:paraId="6678C8C4" w14:textId="77777777" w:rsidR="003B7447" w:rsidRPr="00C31C1D" w:rsidRDefault="003B7447" w:rsidP="003B7447">
            <w:pPr>
              <w:numPr>
                <w:ilvl w:val="0"/>
                <w:numId w:val="8"/>
              </w:numPr>
              <w:jc w:val="both"/>
            </w:pPr>
            <w:r>
              <w:t>The a</w:t>
            </w:r>
            <w:r w:rsidRPr="00C31C1D">
              <w:t xml:space="preserve">pplication </w:t>
            </w:r>
            <w:r>
              <w:t xml:space="preserve">is </w:t>
            </w:r>
            <w:r w:rsidRPr="00C31C1D">
              <w:t xml:space="preserve">received by the </w:t>
            </w:r>
            <w:r w:rsidR="008F4A0E">
              <w:t>CEC</w:t>
            </w:r>
            <w:r w:rsidRPr="00C31C1D">
              <w:t xml:space="preserve">’s </w:t>
            </w:r>
            <w:r>
              <w:t xml:space="preserve">Contracts, </w:t>
            </w:r>
            <w:r w:rsidRPr="00C31C1D">
              <w:t>Grants</w:t>
            </w:r>
            <w:r>
              <w:t>,</w:t>
            </w:r>
            <w:r w:rsidRPr="00C31C1D">
              <w:t xml:space="preserve"> and Loans Office by the d</w:t>
            </w:r>
            <w:r w:rsidRPr="00B86F63">
              <w:rPr>
                <w:szCs w:val="22"/>
              </w:rPr>
              <w:t>u</w:t>
            </w:r>
            <w:r w:rsidRPr="00C31C1D">
              <w:t xml:space="preserve">e date and time </w:t>
            </w:r>
            <w:r>
              <w:t xml:space="preserve">specified </w:t>
            </w:r>
            <w:r w:rsidRPr="00C31C1D">
              <w:t xml:space="preserve">in </w:t>
            </w:r>
            <w:r>
              <w:t>the “Key Activities Schedule” in Part I</w:t>
            </w:r>
            <w:r w:rsidRPr="00C31C1D">
              <w:t xml:space="preserve"> of this solicitation</w:t>
            </w:r>
            <w:r>
              <w:t xml:space="preserve">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3B7447" w:rsidRPr="00C31C1D" w14:paraId="1053BFDC" w14:textId="77777777" w:rsidTr="007E41D6">
        <w:tc>
          <w:tcPr>
            <w:tcW w:w="7231" w:type="dxa"/>
            <w:tcBorders>
              <w:bottom w:val="single" w:sz="4" w:space="0" w:color="000000"/>
            </w:tcBorders>
          </w:tcPr>
          <w:p w14:paraId="1B5A7E9B" w14:textId="77777777" w:rsidR="003B7447" w:rsidRDefault="003B7447" w:rsidP="003B7447">
            <w:pPr>
              <w:numPr>
                <w:ilvl w:val="0"/>
                <w:numId w:val="8"/>
              </w:numPr>
              <w:jc w:val="both"/>
            </w:pPr>
            <w:r>
              <w:t>The application Form (Attachment 1) is signed where indicated.</w:t>
            </w:r>
          </w:p>
        </w:tc>
        <w:tc>
          <w:tcPr>
            <w:tcW w:w="2119" w:type="dxa"/>
            <w:tcBorders>
              <w:bottom w:val="single" w:sz="4" w:space="0" w:color="000000"/>
            </w:tcBorders>
          </w:tcPr>
          <w:p w14:paraId="79B7C8E9"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AA39339" w14:textId="77777777" w:rsidR="003B7447" w:rsidRPr="005F374A" w:rsidRDefault="003B7447" w:rsidP="007E41D6">
            <w:pPr>
              <w:keepLines/>
              <w:spacing w:after="0"/>
              <w:jc w:val="both"/>
              <w:rPr>
                <w:sz w:val="20"/>
              </w:rPr>
            </w:pPr>
          </w:p>
        </w:tc>
      </w:tr>
      <w:tr w:rsidR="00C94DB7" w:rsidRPr="005F374A" w14:paraId="79227260" w14:textId="77777777" w:rsidTr="006758FA">
        <w:tc>
          <w:tcPr>
            <w:tcW w:w="7231" w:type="dxa"/>
            <w:tcBorders>
              <w:top w:val="single" w:sz="8" w:space="0" w:color="000000"/>
              <w:bottom w:val="single" w:sz="24" w:space="0" w:color="000000"/>
            </w:tcBorders>
          </w:tcPr>
          <w:p w14:paraId="77F41FB4" w14:textId="77777777" w:rsidR="00C94DB7" w:rsidRDefault="00C94DB7" w:rsidP="003A0A6F">
            <w:pPr>
              <w:numPr>
                <w:ilvl w:val="0"/>
                <w:numId w:val="8"/>
              </w:numPr>
              <w:jc w:val="both"/>
            </w:pPr>
            <w:r>
              <w:t xml:space="preserve">The Applicant Declaration Form (Attachment 12) is signed where indicated. </w:t>
            </w:r>
          </w:p>
        </w:tc>
        <w:tc>
          <w:tcPr>
            <w:tcW w:w="2119" w:type="dxa"/>
            <w:tcBorders>
              <w:top w:val="single" w:sz="8" w:space="0" w:color="000000"/>
              <w:bottom w:val="single" w:sz="24" w:space="0" w:color="000000"/>
            </w:tcBorders>
          </w:tcPr>
          <w:p w14:paraId="6B7132DA" w14:textId="77777777" w:rsidR="00C94DB7" w:rsidRPr="00C31C1D" w:rsidRDefault="00C94DB7" w:rsidP="006758FA">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70B8B5C6" w14:textId="77777777" w:rsidR="00C94DB7" w:rsidRPr="005F374A" w:rsidRDefault="00C94DB7" w:rsidP="006758FA">
            <w:pPr>
              <w:keepLines/>
              <w:spacing w:after="0"/>
              <w:jc w:val="both"/>
              <w:rPr>
                <w:sz w:val="20"/>
              </w:rPr>
            </w:pPr>
          </w:p>
        </w:tc>
      </w:tr>
      <w:tr w:rsidR="00176ACE" w:rsidRPr="00C31C1D" w14:paraId="0625B362" w14:textId="77777777" w:rsidTr="003A0A6F">
        <w:tc>
          <w:tcPr>
            <w:tcW w:w="7231" w:type="dxa"/>
            <w:tcBorders>
              <w:top w:val="single" w:sz="8" w:space="0" w:color="000000"/>
              <w:left w:val="single" w:sz="4" w:space="0" w:color="000000"/>
              <w:bottom w:val="single" w:sz="4" w:space="0" w:color="auto"/>
              <w:right w:val="single" w:sz="4" w:space="0" w:color="000000"/>
            </w:tcBorders>
          </w:tcPr>
          <w:p w14:paraId="398ABA0C" w14:textId="04CC245B" w:rsidR="00176ACE" w:rsidRPr="00F134B1" w:rsidRDefault="00176ACE" w:rsidP="003A0A6F">
            <w:pPr>
              <w:pStyle w:val="ListParagraph"/>
              <w:numPr>
                <w:ilvl w:val="0"/>
                <w:numId w:val="8"/>
              </w:numPr>
            </w:pPr>
            <w:r>
              <w:t>The a</w:t>
            </w:r>
            <w:r w:rsidRPr="00176ACE">
              <w:t xml:space="preserve">pplication addresses only one of the eligible project groups, as indicated on the Application Form. </w:t>
            </w:r>
          </w:p>
        </w:tc>
        <w:tc>
          <w:tcPr>
            <w:tcW w:w="2119" w:type="dxa"/>
            <w:tcBorders>
              <w:top w:val="single" w:sz="8" w:space="0" w:color="000000"/>
              <w:left w:val="single" w:sz="4" w:space="0" w:color="000000"/>
              <w:bottom w:val="single" w:sz="4" w:space="0" w:color="auto"/>
              <w:right w:val="single" w:sz="4" w:space="0" w:color="000000"/>
            </w:tcBorders>
          </w:tcPr>
          <w:p w14:paraId="1A102ADD" w14:textId="77777777" w:rsidR="00176ACE" w:rsidRPr="00176ACE" w:rsidRDefault="00176ACE" w:rsidP="00260970">
            <w:pPr>
              <w:keepLines/>
              <w:spacing w:after="0"/>
              <w:jc w:val="both"/>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 xml:space="preserve">Pass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Fail</w:t>
            </w:r>
          </w:p>
          <w:p w14:paraId="79492537" w14:textId="77777777" w:rsidR="00176ACE" w:rsidRPr="00176ACE" w:rsidRDefault="00176ACE" w:rsidP="00260970">
            <w:pPr>
              <w:keepLines/>
              <w:spacing w:after="0"/>
              <w:jc w:val="both"/>
              <w:rPr>
                <w:sz w:val="20"/>
              </w:rPr>
            </w:pPr>
          </w:p>
        </w:tc>
      </w:tr>
      <w:tr w:rsidR="003B7447" w:rsidRPr="00C31C1D" w14:paraId="7563F56D" w14:textId="77777777" w:rsidTr="003A0A6F">
        <w:tc>
          <w:tcPr>
            <w:tcW w:w="7231" w:type="dxa"/>
            <w:tcBorders>
              <w:top w:val="single" w:sz="4" w:space="0" w:color="auto"/>
            </w:tcBorders>
          </w:tcPr>
          <w:p w14:paraId="6F5F6894" w14:textId="269B6704" w:rsidR="003B7447" w:rsidRPr="00C5422E" w:rsidRDefault="003B7447" w:rsidP="003A0A6F">
            <w:pPr>
              <w:pStyle w:val="ListParagraph"/>
              <w:numPr>
                <w:ilvl w:val="0"/>
                <w:numId w:val="8"/>
              </w:numPr>
              <w:jc w:val="both"/>
            </w:pPr>
            <w:r w:rsidRPr="00AD3852">
              <w:rPr>
                <w:szCs w:val="22"/>
              </w:rPr>
              <w:t xml:space="preserve">If the applicant has submitted more than one application for the same project group, each application is for a distinct project (i.e., no overlap with respect to the tasks described in the Scope of Work, Attachment).  </w:t>
            </w:r>
          </w:p>
          <w:p w14:paraId="3A3BD586" w14:textId="77777777" w:rsidR="003B7447" w:rsidRDefault="003B7447" w:rsidP="007E41D6">
            <w:pPr>
              <w:ind w:left="720"/>
              <w:jc w:val="both"/>
            </w:pPr>
            <w:r>
              <w:rPr>
                <w:i/>
                <w:szCs w:val="22"/>
              </w:rPr>
              <w:t>I</w:t>
            </w:r>
            <w:r w:rsidRPr="00C5422E">
              <w:rPr>
                <w:i/>
                <w:szCs w:val="22"/>
              </w:rPr>
              <w:t xml:space="preserve">f </w:t>
            </w:r>
            <w:r>
              <w:rPr>
                <w:i/>
                <w:szCs w:val="22"/>
              </w:rPr>
              <w:t xml:space="preserve">the projects are not distinct and the applications were submitted at the same time, only the first application screened by the </w:t>
            </w:r>
            <w:r w:rsidR="008F4A0E">
              <w:rPr>
                <w:i/>
                <w:szCs w:val="22"/>
              </w:rPr>
              <w:t>CEC</w:t>
            </w:r>
            <w:r>
              <w:rPr>
                <w:i/>
                <w:szCs w:val="22"/>
              </w:rPr>
              <w:t xml:space="preserve"> will be eligible for funding. If the applications were submitted separately, </w:t>
            </w:r>
            <w:r w:rsidRPr="00C5422E">
              <w:rPr>
                <w:i/>
                <w:szCs w:val="22"/>
              </w:rPr>
              <w:t xml:space="preserve">only the first </w:t>
            </w:r>
            <w:r>
              <w:rPr>
                <w:i/>
                <w:szCs w:val="22"/>
              </w:rPr>
              <w:t>application</w:t>
            </w:r>
            <w:r w:rsidRPr="00C5422E">
              <w:rPr>
                <w:i/>
                <w:szCs w:val="22"/>
              </w:rPr>
              <w:t xml:space="preserve"> </w:t>
            </w:r>
            <w:r>
              <w:rPr>
                <w:i/>
                <w:szCs w:val="22"/>
              </w:rPr>
              <w:t>received by</w:t>
            </w:r>
            <w:r w:rsidRPr="00C5422E">
              <w:rPr>
                <w:i/>
                <w:szCs w:val="22"/>
              </w:rPr>
              <w:t xml:space="preserve"> the </w:t>
            </w:r>
            <w:r w:rsidR="008F4A0E">
              <w:rPr>
                <w:i/>
                <w:szCs w:val="22"/>
              </w:rPr>
              <w:t>CEC</w:t>
            </w:r>
            <w:r w:rsidRPr="00C5422E">
              <w:rPr>
                <w:i/>
                <w:szCs w:val="22"/>
              </w:rPr>
              <w:t xml:space="preserve"> will be eligible for funding</w:t>
            </w:r>
            <w:r>
              <w:rPr>
                <w:i/>
                <w:szCs w:val="22"/>
              </w:rPr>
              <w:t>.</w:t>
            </w:r>
          </w:p>
        </w:tc>
        <w:tc>
          <w:tcPr>
            <w:tcW w:w="2119" w:type="dxa"/>
            <w:tcBorders>
              <w:top w:val="single" w:sz="4" w:space="0" w:color="auto"/>
            </w:tcBorders>
          </w:tcPr>
          <w:p w14:paraId="247B54E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2A7569AE" w14:textId="77777777" w:rsidR="003B7447" w:rsidRPr="005F374A" w:rsidRDefault="003B7447" w:rsidP="007E41D6">
            <w:pPr>
              <w:keepLines/>
              <w:spacing w:after="0"/>
              <w:jc w:val="both"/>
              <w:rPr>
                <w:sz w:val="20"/>
              </w:rPr>
            </w:pPr>
          </w:p>
        </w:tc>
      </w:tr>
      <w:tr w:rsidR="003B7447" w:rsidRPr="00C31C1D" w14:paraId="5668E75B" w14:textId="77777777" w:rsidTr="007E41D6">
        <w:tc>
          <w:tcPr>
            <w:tcW w:w="7231" w:type="dxa"/>
          </w:tcPr>
          <w:p w14:paraId="16CB3FCD" w14:textId="7A4AEC13" w:rsidR="003B7447" w:rsidRPr="00C31C1D" w:rsidRDefault="003B7447" w:rsidP="003A0A6F">
            <w:pPr>
              <w:numPr>
                <w:ilvl w:val="0"/>
                <w:numId w:val="8"/>
              </w:numPr>
              <w:jc w:val="both"/>
              <w:rPr>
                <w:noProof/>
              </w:rPr>
            </w:pPr>
            <w:bookmarkStart w:id="235" w:name="Screen5"/>
            <w:bookmarkEnd w:id="235"/>
            <w:r w:rsidRPr="00705D02">
              <w:t xml:space="preserve">The Application </w:t>
            </w:r>
            <w:r>
              <w:t>includes Commitment Letters that total the</w:t>
            </w:r>
            <w:r w:rsidRPr="00705D02">
              <w:t xml:space="preserve"> </w:t>
            </w:r>
            <w:r>
              <w:t xml:space="preserve">minimum of </w:t>
            </w:r>
            <w:r w:rsidRPr="00E4291E">
              <w:t>20</w:t>
            </w:r>
            <w:r w:rsidRPr="00E4291E">
              <w:rPr>
                <w:i/>
              </w:rPr>
              <w:t>%</w:t>
            </w:r>
            <w:r w:rsidRPr="00B775BD">
              <w:rPr>
                <w:color w:val="9BBB59" w:themeColor="accent3"/>
              </w:rPr>
              <w:t xml:space="preserve"> </w:t>
            </w:r>
            <w:r>
              <w:t xml:space="preserve">in match share of the total </w:t>
            </w:r>
            <w:r w:rsidRPr="00705D02">
              <w:t xml:space="preserve">requested </w:t>
            </w:r>
            <w:r w:rsidR="008F4A0E">
              <w:t>CEC</w:t>
            </w:r>
            <w:r w:rsidRPr="00705D02">
              <w:t xml:space="preserve"> funds.  </w:t>
            </w:r>
          </w:p>
        </w:tc>
        <w:tc>
          <w:tcPr>
            <w:tcW w:w="2119" w:type="dxa"/>
          </w:tcPr>
          <w:p w14:paraId="0E5B4FD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r w:rsidR="003B7447" w:rsidRPr="00C31C1D" w14:paraId="39D928ED" w14:textId="77777777" w:rsidTr="007E41D6">
        <w:trPr>
          <w:trHeight w:val="640"/>
        </w:trPr>
        <w:tc>
          <w:tcPr>
            <w:tcW w:w="7231" w:type="dxa"/>
          </w:tcPr>
          <w:p w14:paraId="118060C8" w14:textId="428DFB81" w:rsidR="003B7447" w:rsidRPr="00705D02" w:rsidRDefault="003B7447" w:rsidP="003A0A6F">
            <w:pPr>
              <w:numPr>
                <w:ilvl w:val="0"/>
                <w:numId w:val="8"/>
              </w:numPr>
              <w:spacing w:after="40"/>
              <w:jc w:val="both"/>
              <w:rPr>
                <w:i/>
                <w:noProof/>
              </w:rPr>
            </w:pPr>
            <w:bookmarkStart w:id="236" w:name="Screen6"/>
            <w:bookmarkEnd w:id="236"/>
            <w:r w:rsidRPr="003E35B7">
              <w:rPr>
                <w:i/>
                <w:snapToGrid w:val="0"/>
              </w:rPr>
              <w:t xml:space="preserve">If </w:t>
            </w:r>
            <w:r w:rsidRPr="00705D02">
              <w:rPr>
                <w:i/>
                <w:snapToGrid w:val="0"/>
              </w:rPr>
              <w:t xml:space="preserve">the project involves </w:t>
            </w:r>
            <w:r>
              <w:rPr>
                <w:i/>
                <w:snapToGrid w:val="0"/>
              </w:rPr>
              <w:t xml:space="preserve">technology </w:t>
            </w:r>
            <w:r w:rsidRPr="00705D02">
              <w:rPr>
                <w:i/>
                <w:snapToGrid w:val="0"/>
              </w:rPr>
              <w:t>demonstration/ deployment activities</w:t>
            </w:r>
          </w:p>
          <w:p w14:paraId="050DA084" w14:textId="77777777" w:rsidR="003B7447" w:rsidRPr="00705D02" w:rsidRDefault="003B7447" w:rsidP="002427DC">
            <w:pPr>
              <w:numPr>
                <w:ilvl w:val="0"/>
                <w:numId w:val="32"/>
              </w:numPr>
              <w:spacing w:after="0"/>
              <w:ind w:left="1080"/>
              <w:jc w:val="both"/>
              <w:rPr>
                <w:noProof/>
              </w:rPr>
            </w:pPr>
            <w:r w:rsidRPr="00705D02">
              <w:rPr>
                <w:snapToGrid w:val="0"/>
              </w:rPr>
              <w:t>The Application identifies one or more demonstration/ deployment site locations.</w:t>
            </w:r>
          </w:p>
          <w:p w14:paraId="76D3A2D8" w14:textId="77777777" w:rsidR="003B7447" w:rsidRPr="00244677" w:rsidRDefault="003B7447" w:rsidP="002427DC">
            <w:pPr>
              <w:numPr>
                <w:ilvl w:val="0"/>
                <w:numId w:val="32"/>
              </w:numPr>
              <w:spacing w:after="0"/>
              <w:ind w:left="1080"/>
              <w:jc w:val="both"/>
              <w:rPr>
                <w:noProof/>
              </w:rPr>
            </w:pPr>
            <w:r w:rsidRPr="00705D02">
              <w:rPr>
                <w:snapToGrid w:val="0"/>
              </w:rPr>
              <w:t>All demonstration/ deployment sites are located in a</w:t>
            </w:r>
            <w:r>
              <w:rPr>
                <w:snapToGrid w:val="0"/>
              </w:rPr>
              <w:t xml:space="preserve"> </w:t>
            </w:r>
            <w:r w:rsidRPr="00705D02">
              <w:rPr>
                <w:snapToGrid w:val="0"/>
              </w:rPr>
              <w:t>California electric IOU service territory (PG&amp;E, SDG&amp;E, or</w:t>
            </w:r>
            <w:r>
              <w:rPr>
                <w:snapToGrid w:val="0"/>
              </w:rPr>
              <w:t xml:space="preserve"> </w:t>
            </w:r>
            <w:r w:rsidRPr="00705D02">
              <w:rPr>
                <w:snapToGrid w:val="0"/>
              </w:rPr>
              <w:t>SCE).</w:t>
            </w:r>
          </w:p>
          <w:p w14:paraId="301B2FD5" w14:textId="32CBC185" w:rsidR="003B7447" w:rsidRPr="00C31C1D" w:rsidRDefault="003B7447" w:rsidP="002427DC">
            <w:pPr>
              <w:numPr>
                <w:ilvl w:val="0"/>
                <w:numId w:val="32"/>
              </w:numPr>
              <w:spacing w:after="0"/>
              <w:ind w:left="1080"/>
              <w:jc w:val="both"/>
              <w:rPr>
                <w:noProof/>
              </w:rPr>
            </w:pPr>
            <w:r>
              <w:rPr>
                <w:szCs w:val="22"/>
              </w:rPr>
              <w:t>T</w:t>
            </w:r>
            <w:r w:rsidRPr="00C74F11">
              <w:rPr>
                <w:szCs w:val="22"/>
              </w:rPr>
              <w:t>he proposal includes a site commitment letter (Section III.</w:t>
            </w:r>
            <w:r w:rsidR="00F7460F">
              <w:rPr>
                <w:szCs w:val="22"/>
              </w:rPr>
              <w:t>C.10.</w:t>
            </w:r>
            <w:r w:rsidRPr="00C74F11">
              <w:rPr>
                <w:szCs w:val="22"/>
              </w:rPr>
              <w:t>)</w:t>
            </w:r>
            <w:r>
              <w:rPr>
                <w:szCs w:val="22"/>
              </w:rPr>
              <w:t xml:space="preserve"> for each demonstration/ deployment site</w:t>
            </w:r>
            <w:r w:rsidRPr="00C74F11">
              <w:rPr>
                <w:szCs w:val="22"/>
              </w:rPr>
              <w:t>.</w:t>
            </w:r>
          </w:p>
        </w:tc>
        <w:tc>
          <w:tcPr>
            <w:tcW w:w="2119" w:type="dxa"/>
          </w:tcPr>
          <w:p w14:paraId="1E06BF7E"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000000">
              <w:rPr>
                <w:color w:val="2B579A"/>
                <w:sz w:val="20"/>
                <w:shd w:val="clear" w:color="auto" w:fill="E6E6E6"/>
              </w:rPr>
            </w:r>
            <w:r w:rsidR="00000000">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03ED18B2" w14:textId="77777777" w:rsidR="003B7447" w:rsidRPr="00C31C1D" w:rsidRDefault="003B7447" w:rsidP="007E41D6">
            <w:pPr>
              <w:keepLines/>
              <w:spacing w:after="0"/>
              <w:rPr>
                <w:noProof/>
              </w:rPr>
            </w:pPr>
          </w:p>
        </w:tc>
      </w:tr>
    </w:tbl>
    <w:p w14:paraId="5B03D1C8" w14:textId="77777777" w:rsidR="00DB3B66" w:rsidRDefault="00DB3B66" w:rsidP="003D73D4">
      <w:pPr>
        <w:spacing w:after="0"/>
        <w:rPr>
          <w:b/>
          <w:caps/>
        </w:rPr>
      </w:pPr>
    </w:p>
    <w:p w14:paraId="31FC5D75" w14:textId="77777777" w:rsidR="00624855" w:rsidRPr="00624855" w:rsidRDefault="00624855" w:rsidP="00624855">
      <w:pPr>
        <w:spacing w:after="0"/>
        <w:ind w:left="-90"/>
        <w:jc w:val="both"/>
      </w:pPr>
      <w:r w:rsidRPr="00624855">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3C93BCA6" w14:textId="77777777" w:rsidR="003B7447" w:rsidRPr="00FC390E" w:rsidRDefault="003B7447" w:rsidP="00DB3B66">
      <w:pPr>
        <w:spacing w:after="0"/>
        <w:ind w:left="720"/>
        <w:rPr>
          <w:b/>
          <w:caps/>
        </w:rPr>
      </w:pPr>
    </w:p>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2427DC">
      <w:pPr>
        <w:pStyle w:val="Heading2"/>
        <w:numPr>
          <w:ilvl w:val="0"/>
          <w:numId w:val="61"/>
        </w:numPr>
      </w:pPr>
      <w:bookmarkStart w:id="237" w:name="_Toc433981346"/>
      <w:bookmarkStart w:id="238" w:name="_Toc143001065"/>
      <w:r w:rsidRPr="00CF6DED">
        <w:lastRenderedPageBreak/>
        <w:t xml:space="preserve">Stage </w:t>
      </w:r>
      <w:r w:rsidR="00DB3B66" w:rsidRPr="00CF6DED">
        <w:t>Two</w:t>
      </w:r>
      <w:r w:rsidRPr="00CF6DED">
        <w:t>:  Application Sc</w:t>
      </w:r>
      <w:r w:rsidR="00DB3B66" w:rsidRPr="00CF6DED">
        <w:t>oring</w:t>
      </w:r>
      <w:bookmarkEnd w:id="237"/>
      <w:bookmarkEnd w:id="238"/>
    </w:p>
    <w:bookmarkEnd w:id="194"/>
    <w:p w14:paraId="3F044960" w14:textId="3D3DC389" w:rsidR="001C2D56" w:rsidRPr="00D21FEE" w:rsidRDefault="001C2D56" w:rsidP="00625809">
      <w:pPr>
        <w:spacing w:after="0"/>
        <w:jc w:val="both"/>
        <w:rPr>
          <w:szCs w:val="24"/>
        </w:rPr>
      </w:pPr>
      <w:r>
        <w:t>Proposals that pass ALL</w:t>
      </w:r>
      <w:r w:rsidRPr="00C31C1D">
        <w:t xml:space="preserve"> Stage One Screening Criteria </w:t>
      </w:r>
      <w:r w:rsidR="0014502C" w:rsidRPr="00C36CCE">
        <w:t xml:space="preserve">and are not rejected as described in Section IV.C. </w:t>
      </w:r>
      <w:r w:rsidRPr="00C36CCE">
        <w:t>will be evaluated based on the Scoring Criteria on the next page</w:t>
      </w:r>
      <w:r w:rsidR="007C14A3" w:rsidRPr="00C36CCE">
        <w:t xml:space="preserve"> and the Scoring Scale below (with the exception of criteria </w:t>
      </w:r>
      <w:r w:rsidR="00E53C9C" w:rsidRPr="00C36CCE">
        <w:t>6−</w:t>
      </w:r>
      <w:r w:rsidR="00A04040">
        <w:t>7</w:t>
      </w:r>
      <w:r w:rsidR="007C14A3" w:rsidRPr="00C36CCE">
        <w:t xml:space="preserve">, which will </w:t>
      </w:r>
      <w:r w:rsidR="00E53C9C" w:rsidRPr="00C36CCE">
        <w:t>be evaluated as described in each criterion</w:t>
      </w:r>
      <w:r w:rsidR="007C14A3" w:rsidRPr="00C36CCE">
        <w:t>)</w:t>
      </w:r>
      <w:r w:rsidRPr="00C36CCE">
        <w:t xml:space="preserve">.  Each criterion has an assigned number of possible points, and </w:t>
      </w:r>
      <w:r w:rsidRPr="00C31C1D">
        <w:t xml:space="preserve">is divided into multiple sub-criteria. The sub-criteria are not equally weighted. </w:t>
      </w:r>
      <w:r w:rsidRPr="00625809">
        <w:t>Th</w:t>
      </w:r>
      <w:r w:rsidR="00616F23">
        <w:t>e Project Narrative (Attachment</w:t>
      </w:r>
      <w:r w:rsidRPr="00625809">
        <w:t>) must respond to each sub-criterion</w:t>
      </w:r>
      <w:r w:rsidR="00BB2154">
        <w:t>, unless otherwise indicated</w:t>
      </w:r>
      <w:r w:rsidRPr="00C31C1D">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77777777" w:rsidR="00FA352A" w:rsidRPr="00050087" w:rsidRDefault="00FA352A" w:rsidP="000D707E">
            <w:pPr>
              <w:spacing w:after="0"/>
              <w:jc w:val="center"/>
              <w:rPr>
                <w:b/>
                <w:szCs w:val="22"/>
              </w:rPr>
            </w:pPr>
            <w:r w:rsidRPr="00050087">
              <w:rPr>
                <w:b/>
                <w:szCs w:val="22"/>
              </w:rPr>
              <w:t xml:space="preserve">Explanation for Percentage Points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298C09C9" w14:textId="634C1F8F" w:rsidR="003A2FCD" w:rsidRDefault="001C2D56" w:rsidP="003A2FCD">
      <w:pPr>
        <w:spacing w:after="0"/>
        <w:jc w:val="center"/>
        <w:rPr>
          <w:b/>
          <w:caps/>
          <w:sz w:val="28"/>
          <w:u w:val="single"/>
        </w:rPr>
      </w:pPr>
      <w:r w:rsidRPr="00C31C1D">
        <w:br w:type="page"/>
      </w:r>
      <w:bookmarkEnd w:id="184"/>
      <w:bookmarkEnd w:id="185"/>
      <w:bookmarkEnd w:id="186"/>
      <w:r w:rsidR="003A2FCD" w:rsidRPr="003A2FCD">
        <w:rPr>
          <w:b/>
          <w:caps/>
          <w:sz w:val="28"/>
          <w:u w:val="single"/>
        </w:rPr>
        <w:lastRenderedPageBreak/>
        <w:t xml:space="preserve"> </w:t>
      </w:r>
    </w:p>
    <w:p w14:paraId="7C602701" w14:textId="77777777" w:rsidR="003A2FCD" w:rsidRDefault="003A2FCD" w:rsidP="003A2FCD">
      <w:pPr>
        <w:spacing w:after="0"/>
        <w:jc w:val="center"/>
        <w:rPr>
          <w:b/>
          <w:caps/>
          <w:sz w:val="28"/>
          <w:u w:val="single"/>
        </w:rPr>
      </w:pPr>
      <w:r>
        <w:rPr>
          <w:b/>
          <w:caps/>
          <w:sz w:val="28"/>
          <w:u w:val="single"/>
        </w:rPr>
        <w:t xml:space="preserve">Additional </w:t>
      </w:r>
      <w:r w:rsidRPr="004B38BF">
        <w:rPr>
          <w:b/>
          <w:caps/>
          <w:sz w:val="28"/>
          <w:u w:val="single"/>
        </w:rPr>
        <w:t xml:space="preserve">Screening Criteria for Past Performance </w:t>
      </w:r>
    </w:p>
    <w:p w14:paraId="0FC53A0B" w14:textId="77777777" w:rsidR="003A2FCD" w:rsidRPr="00291F8E" w:rsidRDefault="003A2FCD" w:rsidP="003A2FCD">
      <w:pPr>
        <w:spacing w:after="0"/>
        <w:jc w:val="center"/>
        <w:rPr>
          <w:b/>
          <w:caps/>
          <w:sz w:val="24"/>
          <w:szCs w:val="24"/>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EF3B73" w:rsidRPr="00734FF3" w14:paraId="59AFBAFD" w14:textId="77777777" w:rsidTr="00291F8E">
        <w:trPr>
          <w:cantSplit/>
          <w:tblHeader/>
        </w:trPr>
        <w:tc>
          <w:tcPr>
            <w:tcW w:w="8365" w:type="dxa"/>
            <w:shd w:val="clear" w:color="auto" w:fill="D9D9D9" w:themeFill="background1" w:themeFillShade="D9"/>
            <w:vAlign w:val="center"/>
          </w:tcPr>
          <w:p w14:paraId="35F025A8" w14:textId="205DB9E6" w:rsidR="00EF3B73" w:rsidRPr="00F845BD" w:rsidRDefault="003A2FCD" w:rsidP="00EF3B73">
            <w:pPr>
              <w:spacing w:before="60" w:after="60" w:line="360" w:lineRule="auto"/>
              <w:rPr>
                <w:b/>
                <w:sz w:val="28"/>
                <w:szCs w:val="28"/>
              </w:rPr>
            </w:pPr>
            <w:r>
              <w:rPr>
                <w:b/>
              </w:rPr>
              <w:t>Screening</w:t>
            </w:r>
            <w:r w:rsidRPr="00C31C1D">
              <w:rPr>
                <w:b/>
              </w:rPr>
              <w:t xml:space="preserve"> </w:t>
            </w:r>
            <w:r w:rsidR="00EF3B73" w:rsidRPr="00C31C1D">
              <w:rPr>
                <w:b/>
              </w:rPr>
              <w:t>Criteria</w:t>
            </w:r>
          </w:p>
        </w:tc>
        <w:tc>
          <w:tcPr>
            <w:tcW w:w="1350" w:type="dxa"/>
            <w:shd w:val="clear" w:color="auto" w:fill="D9D9D9" w:themeFill="background1" w:themeFillShade="D9"/>
            <w:vAlign w:val="center"/>
          </w:tcPr>
          <w:p w14:paraId="58E1636A" w14:textId="1DBDE495" w:rsidR="00EF3B73" w:rsidRPr="002A512F" w:rsidRDefault="00EF3B73" w:rsidP="00EF3B73">
            <w:pPr>
              <w:spacing w:before="60" w:after="60"/>
              <w:jc w:val="center"/>
              <w:rPr>
                <w:b/>
                <w:sz w:val="28"/>
                <w:szCs w:val="28"/>
              </w:rPr>
            </w:pPr>
          </w:p>
        </w:tc>
      </w:tr>
      <w:tr w:rsidR="00402E98" w14:paraId="2010EFAC" w14:textId="77777777" w:rsidTr="00402E98">
        <w:tc>
          <w:tcPr>
            <w:tcW w:w="8365" w:type="dxa"/>
          </w:tcPr>
          <w:p w14:paraId="1DA45926" w14:textId="77777777" w:rsidR="00402E98" w:rsidRPr="00616F23" w:rsidRDefault="00402E98" w:rsidP="00291F8E">
            <w:pPr>
              <w:spacing w:before="120"/>
              <w:ind w:left="360"/>
              <w:rPr>
                <w:b/>
              </w:rPr>
            </w:pPr>
            <w:r>
              <w:rPr>
                <w:b/>
              </w:rPr>
              <w:t>Applicant</w:t>
            </w:r>
            <w:r w:rsidRPr="00616F23">
              <w:rPr>
                <w:b/>
              </w:rPr>
              <w:t xml:space="preserve"> Past Performance with Energy Commission</w:t>
            </w:r>
          </w:p>
          <w:p w14:paraId="44FCC299" w14:textId="77777777" w:rsidR="00402E98" w:rsidRPr="00616F23" w:rsidRDefault="00402E98" w:rsidP="00260970">
            <w:pPr>
              <w:spacing w:before="120"/>
              <w:ind w:left="360"/>
            </w:pPr>
            <w:r w:rsidRPr="00616F23">
              <w:t xml:space="preserve">The applicant—defined as at least one of the following: the business, principal investigator, or lead individual acting on behalf of themselves—received funds from the Energy Commission (e.g., contract, grant, or loan) and entered into an agreement(s) with the Commission </w:t>
            </w:r>
            <w:r>
              <w:t xml:space="preserve">and </w:t>
            </w:r>
            <w:r w:rsidRPr="00616F23">
              <w:t>demonstrated</w:t>
            </w:r>
            <w:r>
              <w:t xml:space="preserve"> </w:t>
            </w:r>
            <w:r w:rsidRPr="003A0A6F">
              <w:rPr>
                <w:b/>
              </w:rPr>
              <w:t xml:space="preserve">severe performance issues </w:t>
            </w:r>
            <w:r>
              <w:t>characterized by significant negative outcomes including</w:t>
            </w:r>
            <w:r w:rsidRPr="00616F23">
              <w:t>:</w:t>
            </w:r>
          </w:p>
          <w:p w14:paraId="2FC23F79" w14:textId="77777777" w:rsidR="00402E98" w:rsidRDefault="00402E98" w:rsidP="002427DC">
            <w:pPr>
              <w:pStyle w:val="ListParagraph"/>
              <w:numPr>
                <w:ilvl w:val="0"/>
                <w:numId w:val="68"/>
              </w:numPr>
              <w:spacing w:after="0"/>
            </w:pPr>
            <w:r>
              <w:t>S</w:t>
            </w:r>
            <w:r w:rsidRPr="00616F23">
              <w:t>ignificant deviation from agreement requirements</w:t>
            </w:r>
            <w:r w:rsidR="003A2FCD">
              <w:t>;</w:t>
            </w:r>
          </w:p>
          <w:p w14:paraId="4A09E145" w14:textId="77777777" w:rsidR="00402E98" w:rsidRDefault="00402E98" w:rsidP="002427DC">
            <w:pPr>
              <w:pStyle w:val="ListParagraph"/>
              <w:numPr>
                <w:ilvl w:val="0"/>
                <w:numId w:val="68"/>
              </w:numPr>
              <w:spacing w:after="0"/>
            </w:pPr>
            <w:r>
              <w:t>T</w:t>
            </w:r>
            <w:r w:rsidRPr="00616F23">
              <w:t>ermination with cause</w:t>
            </w:r>
            <w:r w:rsidR="003A2FCD">
              <w:t>;</w:t>
            </w:r>
          </w:p>
          <w:p w14:paraId="7813E583" w14:textId="24422B94" w:rsidR="00402E98" w:rsidRPr="004849ED" w:rsidRDefault="004849ED" w:rsidP="002427DC">
            <w:pPr>
              <w:pStyle w:val="ListParagraph"/>
              <w:numPr>
                <w:ilvl w:val="0"/>
                <w:numId w:val="68"/>
              </w:numPr>
              <w:spacing w:after="0"/>
              <w:rPr>
                <w:sz w:val="24"/>
              </w:rPr>
            </w:pPr>
            <w:r>
              <w:t xml:space="preserve">Demonstrated poor </w:t>
            </w:r>
            <w:r w:rsidR="003A2FCD">
              <w:t>c</w:t>
            </w:r>
            <w:r w:rsidR="00402E98">
              <w:t>ommunication</w:t>
            </w:r>
            <w:r w:rsidR="003A2FCD">
              <w:t xml:space="preserve">, project management, </w:t>
            </w:r>
            <w:r w:rsidR="00402E98">
              <w:t xml:space="preserve">and/or </w:t>
            </w:r>
            <w:r w:rsidRPr="004849ED">
              <w:rPr>
                <w:rFonts w:ascii="Calibri" w:hAnsi="Calibri" w:cs="Calibri"/>
                <w:color w:val="000000"/>
                <w:shd w:val="clear" w:color="auto" w:fill="FFFFFF"/>
              </w:rPr>
              <w:t>inability, due to circumstances within its control, from materially completing the project</w:t>
            </w:r>
            <w:r w:rsidR="003A2FCD">
              <w:t>;</w:t>
            </w:r>
          </w:p>
          <w:p w14:paraId="2E58BD70" w14:textId="7A0ACE29" w:rsidR="00402E98" w:rsidRDefault="00402E98" w:rsidP="002427DC">
            <w:pPr>
              <w:pStyle w:val="ListParagraph"/>
              <w:numPr>
                <w:ilvl w:val="0"/>
                <w:numId w:val="68"/>
              </w:numPr>
              <w:spacing w:after="0"/>
            </w:pPr>
            <w:r>
              <w:t>Quality issues with deliverables including poorly written final report that prevents publishing</w:t>
            </w:r>
            <w:r w:rsidR="005E70DB">
              <w:t>; and</w:t>
            </w:r>
          </w:p>
          <w:p w14:paraId="1D684C6E" w14:textId="77777777" w:rsidR="00402E98" w:rsidRDefault="00402E98" w:rsidP="002427DC">
            <w:pPr>
              <w:pStyle w:val="ListParagraph"/>
              <w:numPr>
                <w:ilvl w:val="0"/>
                <w:numId w:val="68"/>
              </w:numPr>
              <w:spacing w:after="0"/>
            </w:pPr>
            <w:r>
              <w:t>S</w:t>
            </w:r>
            <w:r w:rsidRPr="00616F23">
              <w:t xml:space="preserve">evere </w:t>
            </w:r>
            <w:r>
              <w:t xml:space="preserve">unresolved </w:t>
            </w:r>
            <w:r w:rsidRPr="00616F23">
              <w:t>negative audit findings.</w:t>
            </w:r>
          </w:p>
          <w:p w14:paraId="4548CA2A" w14:textId="77777777" w:rsidR="00931522" w:rsidRDefault="00931522" w:rsidP="00931522">
            <w:pPr>
              <w:pStyle w:val="ListParagraph"/>
              <w:spacing w:after="0"/>
              <w:ind w:left="1080"/>
            </w:pPr>
          </w:p>
        </w:tc>
        <w:tc>
          <w:tcPr>
            <w:tcW w:w="1350" w:type="dxa"/>
          </w:tcPr>
          <w:p w14:paraId="14807B90" w14:textId="77777777" w:rsidR="00402E98" w:rsidRPr="006779DC" w:rsidRDefault="00402E98" w:rsidP="00260970">
            <w:pPr>
              <w:spacing w:before="120"/>
              <w:jc w:val="center"/>
              <w:rPr>
                <w:b/>
              </w:rPr>
            </w:pPr>
          </w:p>
        </w:tc>
      </w:tr>
      <w:tr w:rsidR="00402E98" w14:paraId="5E7C1A48" w14:textId="77777777" w:rsidTr="00291F8E">
        <w:trPr>
          <w:trHeight w:val="674"/>
        </w:trPr>
        <w:tc>
          <w:tcPr>
            <w:tcW w:w="8365" w:type="dxa"/>
            <w:tcBorders>
              <w:bottom w:val="single" w:sz="4" w:space="0" w:color="auto"/>
            </w:tcBorders>
            <w:shd w:val="clear" w:color="auto" w:fill="D9D9D9" w:themeFill="background1" w:themeFillShade="D9"/>
            <w:vAlign w:val="center"/>
          </w:tcPr>
          <w:p w14:paraId="44C76157" w14:textId="6FC9CE1E" w:rsidR="00402E98" w:rsidRPr="00291F8E" w:rsidRDefault="003A2FCD" w:rsidP="003A2FCD">
            <w:pPr>
              <w:spacing w:before="60" w:after="0"/>
              <w:jc w:val="both"/>
              <w:rPr>
                <w:b/>
                <w:szCs w:val="22"/>
              </w:rPr>
            </w:pPr>
            <w:r w:rsidRPr="00291F8E">
              <w:rPr>
                <w:b/>
                <w:szCs w:val="22"/>
              </w:rPr>
              <w:t>M</w:t>
            </w:r>
            <w:r w:rsidR="00402E98" w:rsidRPr="00291F8E">
              <w:rPr>
                <w:b/>
                <w:szCs w:val="22"/>
              </w:rPr>
              <w:t xml:space="preserve">ust pass to continue </w:t>
            </w:r>
            <w:r w:rsidRPr="00291F8E">
              <w:rPr>
                <w:b/>
                <w:szCs w:val="22"/>
              </w:rPr>
              <w:t>with Scoring Criteria</w:t>
            </w:r>
          </w:p>
        </w:tc>
        <w:tc>
          <w:tcPr>
            <w:tcW w:w="1350" w:type="dxa"/>
            <w:tcBorders>
              <w:bottom w:val="single" w:sz="4" w:space="0" w:color="auto"/>
            </w:tcBorders>
            <w:shd w:val="clear" w:color="auto" w:fill="D9D9D9" w:themeFill="background1" w:themeFillShade="D9"/>
            <w:vAlign w:val="center"/>
          </w:tcPr>
          <w:p w14:paraId="2FEE27DD" w14:textId="77777777" w:rsidR="00402E98" w:rsidRPr="00291F8E" w:rsidRDefault="003A2FCD" w:rsidP="00260970">
            <w:pPr>
              <w:spacing w:after="0"/>
              <w:jc w:val="center"/>
              <w:rPr>
                <w:b/>
                <w:szCs w:val="22"/>
              </w:rPr>
            </w:pPr>
            <w:r w:rsidRPr="00291F8E">
              <w:rPr>
                <w:b/>
                <w:szCs w:val="22"/>
              </w:rPr>
              <w:t>Pass/Fail</w:t>
            </w:r>
          </w:p>
        </w:tc>
      </w:tr>
      <w:tr w:rsidR="003A2FCD" w14:paraId="20B122AC" w14:textId="77777777" w:rsidTr="00291F8E">
        <w:trPr>
          <w:cantSplit/>
          <w:trHeight w:val="683"/>
        </w:trPr>
        <w:tc>
          <w:tcPr>
            <w:tcW w:w="9715" w:type="dxa"/>
            <w:gridSpan w:val="2"/>
            <w:tcBorders>
              <w:left w:val="nil"/>
              <w:bottom w:val="nil"/>
              <w:right w:val="nil"/>
            </w:tcBorders>
            <w:shd w:val="clear" w:color="auto" w:fill="auto"/>
          </w:tcPr>
          <w:p w14:paraId="5A09238E" w14:textId="77777777" w:rsidR="003A2FCD" w:rsidRDefault="003A2FCD" w:rsidP="00616F23">
            <w:pPr>
              <w:tabs>
                <w:tab w:val="left" w:pos="1530"/>
              </w:tabs>
              <w:jc w:val="both"/>
              <w:rPr>
                <w:b/>
                <w:szCs w:val="24"/>
              </w:rPr>
            </w:pPr>
          </w:p>
          <w:p w14:paraId="2BA5F1E7" w14:textId="77777777" w:rsidR="003A2FCD" w:rsidRDefault="003A2FCD" w:rsidP="00616F23">
            <w:pPr>
              <w:tabs>
                <w:tab w:val="left" w:pos="1530"/>
              </w:tabs>
              <w:jc w:val="both"/>
              <w:rPr>
                <w:b/>
                <w:szCs w:val="24"/>
              </w:rPr>
            </w:pPr>
          </w:p>
          <w:p w14:paraId="183DF34D" w14:textId="77777777" w:rsidR="003A2FCD" w:rsidRDefault="003A2FCD" w:rsidP="00291F8E">
            <w:pPr>
              <w:tabs>
                <w:tab w:val="left" w:pos="1530"/>
              </w:tabs>
              <w:jc w:val="center"/>
              <w:rPr>
                <w:b/>
                <w:szCs w:val="24"/>
              </w:rPr>
            </w:pPr>
            <w:r w:rsidRPr="00EA02BA">
              <w:rPr>
                <w:b/>
                <w:caps/>
                <w:sz w:val="28"/>
                <w:u w:val="single"/>
              </w:rPr>
              <w:t>Scoring CRITERIA</w:t>
            </w:r>
          </w:p>
          <w:p w14:paraId="1BAB9649" w14:textId="77777777" w:rsidR="003A2FCD" w:rsidRPr="00585EA8" w:rsidRDefault="003A2FCD" w:rsidP="00291F8E">
            <w:pPr>
              <w:spacing w:before="180" w:after="0"/>
              <w:jc w:val="both"/>
              <w:rPr>
                <w:b/>
              </w:rPr>
            </w:pPr>
            <w:r w:rsidRPr="00616F23">
              <w:rPr>
                <w:b/>
                <w:szCs w:val="24"/>
              </w:rPr>
              <w:t xml:space="preserve">The Project Narrative (Attachment) </w:t>
            </w:r>
            <w:r w:rsidRPr="00616F23">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p>
        </w:tc>
      </w:tr>
    </w:tbl>
    <w:p w14:paraId="468BE425" w14:textId="452AD148" w:rsidR="00616F23" w:rsidRDefault="00EF3B73" w:rsidP="00EF3B73">
      <w:pPr>
        <w:rPr>
          <w:b/>
          <w:caps/>
          <w:u w:val="single"/>
        </w:rPr>
      </w:pPr>
      <w:r>
        <w:rPr>
          <w:b/>
          <w:caps/>
          <w:u w:val="single"/>
        </w:rPr>
        <w:t xml:space="preserve"> </w:t>
      </w:r>
    </w:p>
    <w:p w14:paraId="16F699D9" w14:textId="15B50E4C" w:rsidR="00874FA2" w:rsidRDefault="00874FA2" w:rsidP="00EF3B73">
      <w:pPr>
        <w:rPr>
          <w:b/>
          <w:caps/>
          <w:u w:val="single"/>
        </w:rPr>
      </w:pPr>
    </w:p>
    <w:p w14:paraId="5A9DA57F" w14:textId="25F2CD5C" w:rsidR="76E2900B" w:rsidRDefault="76E2900B" w:rsidP="76E2900B">
      <w:pPr>
        <w:rPr>
          <w:b/>
          <w:bCs/>
          <w:caps/>
          <w:u w:val="single"/>
        </w:rPr>
      </w:pPr>
    </w:p>
    <w:p w14:paraId="30AEF75A" w14:textId="50688E16" w:rsidR="76E2900B" w:rsidRDefault="76E2900B" w:rsidP="76E2900B">
      <w:pPr>
        <w:rPr>
          <w:b/>
          <w:bCs/>
          <w:caps/>
          <w:u w:val="single"/>
        </w:rPr>
      </w:pPr>
    </w:p>
    <w:p w14:paraId="6B40D720" w14:textId="4BE0CA2D" w:rsidR="76E2900B" w:rsidRDefault="76E2900B" w:rsidP="76E2900B">
      <w:pPr>
        <w:rPr>
          <w:b/>
          <w:bCs/>
          <w:caps/>
          <w:u w:val="single"/>
        </w:rPr>
      </w:pPr>
    </w:p>
    <w:p w14:paraId="484BE9A9" w14:textId="7B3DBE0F" w:rsidR="76E2900B" w:rsidRDefault="76E2900B" w:rsidP="76E2900B">
      <w:pPr>
        <w:rPr>
          <w:b/>
          <w:bCs/>
          <w:caps/>
          <w:u w:val="single"/>
        </w:rPr>
      </w:pPr>
    </w:p>
    <w:p w14:paraId="17FDB762" w14:textId="0C8523A0" w:rsidR="76E2900B" w:rsidRDefault="76E2900B" w:rsidP="76E2900B">
      <w:pPr>
        <w:rPr>
          <w:b/>
          <w:bCs/>
          <w:caps/>
          <w:u w:val="single"/>
        </w:rPr>
      </w:pPr>
    </w:p>
    <w:p w14:paraId="48E86A42" w14:textId="144404B7" w:rsidR="76E2900B" w:rsidRDefault="76E2900B" w:rsidP="76E2900B">
      <w:pPr>
        <w:rPr>
          <w:b/>
          <w:bCs/>
          <w:caps/>
          <w:u w:val="single"/>
        </w:rPr>
      </w:pPr>
    </w:p>
    <w:p w14:paraId="55E306FB" w14:textId="2AEAE3D8" w:rsidR="76E2900B" w:rsidRDefault="76E2900B" w:rsidP="76E2900B">
      <w:pPr>
        <w:rPr>
          <w:b/>
          <w:bCs/>
          <w:caps/>
          <w:u w:val="single"/>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C20646" w:rsidRPr="00C20646" w14:paraId="338A1C2E" w14:textId="77777777" w:rsidTr="7196A543">
        <w:trPr>
          <w:trHeight w:val="550"/>
          <w:tblHeader/>
        </w:trPr>
        <w:tc>
          <w:tcPr>
            <w:tcW w:w="8362" w:type="dxa"/>
            <w:shd w:val="clear" w:color="auto" w:fill="D9D9D9" w:themeFill="background1" w:themeFillShade="D9"/>
            <w:vAlign w:val="bottom"/>
          </w:tcPr>
          <w:p w14:paraId="31749B3A" w14:textId="77777777" w:rsidR="00C20646" w:rsidRPr="00C20646" w:rsidRDefault="00C20646" w:rsidP="00C20646">
            <w:pPr>
              <w:jc w:val="both"/>
              <w:rPr>
                <w:b/>
                <w:i/>
                <w:sz w:val="20"/>
              </w:rPr>
            </w:pPr>
            <w:r w:rsidRPr="00C20646">
              <w:rPr>
                <w:b/>
              </w:rPr>
              <w:lastRenderedPageBreak/>
              <w:t>Scoring Criteria</w:t>
            </w:r>
          </w:p>
        </w:tc>
        <w:tc>
          <w:tcPr>
            <w:tcW w:w="1342" w:type="dxa"/>
            <w:shd w:val="clear" w:color="auto" w:fill="D9D9D9" w:themeFill="background1" w:themeFillShade="D9"/>
            <w:vAlign w:val="center"/>
          </w:tcPr>
          <w:p w14:paraId="6173D39D" w14:textId="77777777" w:rsidR="00C20646" w:rsidRPr="00C20646" w:rsidRDefault="00C20646" w:rsidP="00C20646">
            <w:pPr>
              <w:spacing w:after="0"/>
              <w:jc w:val="center"/>
              <w:rPr>
                <w:b/>
              </w:rPr>
            </w:pPr>
            <w:r w:rsidRPr="00C20646">
              <w:rPr>
                <w:b/>
              </w:rPr>
              <w:t>Maximum Points</w:t>
            </w:r>
          </w:p>
        </w:tc>
      </w:tr>
      <w:tr w:rsidR="00C20646" w:rsidRPr="00C20646" w14:paraId="59CABE8A" w14:textId="77777777" w:rsidTr="7196A543">
        <w:tc>
          <w:tcPr>
            <w:tcW w:w="8362" w:type="dxa"/>
          </w:tcPr>
          <w:p w14:paraId="5467EB00" w14:textId="77777777" w:rsidR="00C20646" w:rsidRPr="00C20646" w:rsidRDefault="00C20646" w:rsidP="00C20646">
            <w:pPr>
              <w:numPr>
                <w:ilvl w:val="0"/>
                <w:numId w:val="40"/>
              </w:numPr>
              <w:spacing w:before="120"/>
              <w:jc w:val="both"/>
              <w:rPr>
                <w:rFonts w:cs="Times New Roman"/>
                <w:b/>
                <w:bCs/>
                <w:smallCaps/>
              </w:rPr>
            </w:pPr>
            <w:bookmarkStart w:id="239" w:name="_Toc366671201"/>
            <w:r w:rsidRPr="00C20646">
              <w:rPr>
                <w:b/>
              </w:rPr>
              <w:t>Technical Merit</w:t>
            </w:r>
            <w:bookmarkEnd w:id="239"/>
            <w:r w:rsidRPr="00C20646">
              <w:rPr>
                <w:b/>
              </w:rPr>
              <w:t xml:space="preserve"> </w:t>
            </w:r>
          </w:p>
          <w:p w14:paraId="31AF341F" w14:textId="77777777" w:rsidR="00C20646" w:rsidRPr="00C20646" w:rsidRDefault="00C20646" w:rsidP="00C20646">
            <w:pPr>
              <w:numPr>
                <w:ilvl w:val="0"/>
                <w:numId w:val="15"/>
              </w:numPr>
              <w:ind w:left="1140"/>
              <w:jc w:val="both"/>
            </w:pPr>
            <w:r w:rsidRPr="00C20646">
              <w:t xml:space="preserve">The proposed project provides a clear and concise description of the technological, scientific knowledge advancement, and/or innovation </w:t>
            </w:r>
            <w:r w:rsidRPr="00C20646">
              <w:rPr>
                <w:szCs w:val="22"/>
              </w:rPr>
              <w:t>that will overcome barriers to achieving the State’s statutory energy goals.</w:t>
            </w:r>
          </w:p>
          <w:p w14:paraId="617EA209" w14:textId="77777777" w:rsidR="00C20646" w:rsidRPr="00C20646" w:rsidRDefault="00C20646" w:rsidP="00C20646">
            <w:pPr>
              <w:numPr>
                <w:ilvl w:val="0"/>
                <w:numId w:val="15"/>
              </w:numPr>
              <w:ind w:left="1140"/>
              <w:jc w:val="both"/>
            </w:pPr>
            <w:r w:rsidRPr="00C20646">
              <w:t>Describes at what scale the technology has been successfully demonstrated, including size or capacity, number of previous installations, location and duration, results, etc.</w:t>
            </w:r>
          </w:p>
          <w:p w14:paraId="4372F68F" w14:textId="7A6B8500" w:rsidR="00C20646" w:rsidRPr="00C20646" w:rsidRDefault="00C20646" w:rsidP="006D6388">
            <w:pPr>
              <w:numPr>
                <w:ilvl w:val="0"/>
                <w:numId w:val="15"/>
              </w:numPr>
              <w:ind w:left="1140"/>
              <w:jc w:val="both"/>
            </w:pPr>
            <w:r w:rsidRPr="00C20646">
              <w:t>Describes how the proposed demonstration will lead to increased adoption of the technology in California.</w:t>
            </w:r>
          </w:p>
          <w:p w14:paraId="2C69A87D" w14:textId="33D1FBB4" w:rsidR="00C20646" w:rsidRPr="00C20646" w:rsidRDefault="00C20646" w:rsidP="00C20646">
            <w:pPr>
              <w:numPr>
                <w:ilvl w:val="0"/>
                <w:numId w:val="15"/>
              </w:numPr>
              <w:ind w:left="1140"/>
              <w:jc w:val="both"/>
            </w:pPr>
            <w:r w:rsidRPr="00C20646">
              <w:t>Provides information described in Section I.C.</w:t>
            </w:r>
          </w:p>
        </w:tc>
        <w:tc>
          <w:tcPr>
            <w:tcW w:w="1342" w:type="dxa"/>
          </w:tcPr>
          <w:p w14:paraId="6C718366" w14:textId="77777777" w:rsidR="00C20646" w:rsidRPr="00C20646" w:rsidRDefault="00C20646" w:rsidP="00C20646">
            <w:pPr>
              <w:spacing w:before="120"/>
              <w:jc w:val="center"/>
              <w:rPr>
                <w:b/>
              </w:rPr>
            </w:pPr>
            <w:r w:rsidRPr="00C20646">
              <w:rPr>
                <w:b/>
              </w:rPr>
              <w:t>15</w:t>
            </w:r>
          </w:p>
        </w:tc>
      </w:tr>
      <w:tr w:rsidR="00C20646" w:rsidRPr="00C20646" w14:paraId="61956EAB" w14:textId="77777777" w:rsidTr="7196A543">
        <w:tc>
          <w:tcPr>
            <w:tcW w:w="8362" w:type="dxa"/>
          </w:tcPr>
          <w:p w14:paraId="51FC8FEB" w14:textId="77777777" w:rsidR="00C20646" w:rsidRPr="00C20646" w:rsidRDefault="00C20646" w:rsidP="00C20646">
            <w:pPr>
              <w:numPr>
                <w:ilvl w:val="0"/>
                <w:numId w:val="40"/>
              </w:numPr>
              <w:spacing w:before="120"/>
              <w:jc w:val="both"/>
              <w:rPr>
                <w:rFonts w:cs="Times New Roman"/>
                <w:b/>
                <w:bCs/>
                <w:smallCaps/>
              </w:rPr>
            </w:pPr>
            <w:bookmarkStart w:id="240" w:name="_Toc366671202"/>
            <w:r w:rsidRPr="00C20646">
              <w:rPr>
                <w:b/>
              </w:rPr>
              <w:t>Technical Approach</w:t>
            </w:r>
            <w:bookmarkEnd w:id="240"/>
            <w:r w:rsidRPr="00C20646">
              <w:rPr>
                <w:b/>
              </w:rPr>
              <w:t xml:space="preserve"> </w:t>
            </w:r>
          </w:p>
          <w:p w14:paraId="612A17C4" w14:textId="77777777" w:rsidR="00C20646" w:rsidRPr="00C20646" w:rsidRDefault="00C20646" w:rsidP="00C20646">
            <w:pPr>
              <w:numPr>
                <w:ilvl w:val="0"/>
                <w:numId w:val="69"/>
              </w:numPr>
              <w:ind w:left="1140"/>
              <w:jc w:val="both"/>
            </w:pPr>
            <w:r w:rsidRPr="00C20646">
              <w:t xml:space="preserve">Proposal describes the technique, approach, and methods to be used in performing the work described in the Scope of Work. </w:t>
            </w:r>
          </w:p>
          <w:p w14:paraId="26DE9B89" w14:textId="77777777" w:rsidR="00C20646" w:rsidRPr="00C20646" w:rsidRDefault="00C20646" w:rsidP="00C20646">
            <w:pPr>
              <w:numPr>
                <w:ilvl w:val="0"/>
                <w:numId w:val="69"/>
              </w:numPr>
              <w:ind w:left="1140"/>
              <w:jc w:val="both"/>
            </w:pPr>
            <w:r w:rsidRPr="00C20646">
              <w:t>The Scope of Work identifies goals, objectives, and deliverables, details the work to be performed, and aligns with the information presented in Project Narrative.</w:t>
            </w:r>
          </w:p>
          <w:p w14:paraId="4501AEBC" w14:textId="77777777" w:rsidR="00C20646" w:rsidRPr="00C20646" w:rsidRDefault="00C20646" w:rsidP="00C20646">
            <w:pPr>
              <w:numPr>
                <w:ilvl w:val="0"/>
                <w:numId w:val="69"/>
              </w:numPr>
              <w:ind w:left="1140"/>
              <w:jc w:val="both"/>
            </w:pPr>
            <w:r w:rsidRPr="00C20646">
              <w:t>Proposal identifies the reliability that the project and site recommendations as described will be carried out if funds are awarded.</w:t>
            </w:r>
          </w:p>
          <w:p w14:paraId="6C994593" w14:textId="77777777" w:rsidR="00C20646" w:rsidRPr="00C20646" w:rsidRDefault="00C20646" w:rsidP="00C20646">
            <w:pPr>
              <w:numPr>
                <w:ilvl w:val="0"/>
                <w:numId w:val="69"/>
              </w:numPr>
              <w:ind w:left="1140"/>
              <w:jc w:val="both"/>
            </w:pPr>
            <w:r w:rsidRPr="00C20646">
              <w:t xml:space="preserve">Identifies and discusses factors critical for success, in addition to risks, barriers, and limitations (e.g. loss of demonstration site, key subcontractor).  Provides a plan to address them. </w:t>
            </w:r>
          </w:p>
          <w:p w14:paraId="4F0F0C17" w14:textId="77777777" w:rsidR="00C20646" w:rsidRDefault="00C20646" w:rsidP="00C20646">
            <w:pPr>
              <w:numPr>
                <w:ilvl w:val="0"/>
                <w:numId w:val="69"/>
              </w:numPr>
              <w:ind w:left="1140"/>
              <w:jc w:val="both"/>
            </w:pPr>
            <w:r w:rsidRPr="00C20646">
              <w:t>Discusses the degree to which the proposed work is technically feasible and achievable within the proposed Project Schedule and the key activities schedule in Section I.E.</w:t>
            </w:r>
          </w:p>
          <w:p w14:paraId="21E9996D" w14:textId="759AE831" w:rsidR="004556B9" w:rsidRPr="00C20646" w:rsidRDefault="28C6E8CD" w:rsidP="00C20646">
            <w:pPr>
              <w:numPr>
                <w:ilvl w:val="0"/>
                <w:numId w:val="69"/>
              </w:numPr>
              <w:ind w:left="1140"/>
              <w:jc w:val="both"/>
            </w:pPr>
            <w:r>
              <w:t>Describes the technology transfer plan to assess and advance the commercial viability of the technology.</w:t>
            </w:r>
          </w:p>
          <w:p w14:paraId="7E0BF6A0" w14:textId="77777777" w:rsidR="00C20646" w:rsidRPr="00C20646" w:rsidRDefault="7156D51B" w:rsidP="00C20646">
            <w:pPr>
              <w:numPr>
                <w:ilvl w:val="0"/>
                <w:numId w:val="69"/>
              </w:numPr>
              <w:ind w:left="1140"/>
              <w:jc w:val="both"/>
            </w:pPr>
            <w:r>
              <w:t>Provides a clear and plausible measurement and verification plan that describes how energy savings and other benefits specified in the application will be determined and measured.</w:t>
            </w:r>
          </w:p>
          <w:p w14:paraId="2C0141C7" w14:textId="5611BC63" w:rsidR="00C20646" w:rsidRPr="00C20646" w:rsidRDefault="7156D51B" w:rsidP="00C20646">
            <w:pPr>
              <w:numPr>
                <w:ilvl w:val="0"/>
                <w:numId w:val="69"/>
              </w:numPr>
              <w:ind w:left="1140"/>
              <w:jc w:val="both"/>
              <w:rPr>
                <w:rFonts w:cs="Times New Roman"/>
                <w:b/>
                <w:smallCaps/>
                <w:color w:val="FF0000"/>
              </w:rPr>
            </w:pPr>
            <w:r>
              <w:t>Provides information documenting progress towards achieving compliance with the California Environmental Quality Act (CEQA) by addressing the areas in Section I.I and Section III.</w:t>
            </w:r>
            <w:r w:rsidR="420B1958">
              <w:t>C</w:t>
            </w:r>
            <w:r>
              <w:t>.3., and Section III.</w:t>
            </w:r>
            <w:r w:rsidR="420B1958">
              <w:t>C</w:t>
            </w:r>
            <w:r>
              <w:t>.8.</w:t>
            </w:r>
          </w:p>
          <w:p w14:paraId="4300297B" w14:textId="6DD2014E" w:rsidR="00C20646" w:rsidRPr="00C20646" w:rsidRDefault="7156D51B" w:rsidP="00C20646">
            <w:pPr>
              <w:numPr>
                <w:ilvl w:val="0"/>
                <w:numId w:val="69"/>
              </w:numPr>
              <w:ind w:left="1140"/>
              <w:jc w:val="both"/>
              <w:rPr>
                <w:rFonts w:cs="Times New Roman"/>
                <w:b/>
                <w:smallCaps/>
                <w:color w:val="FF0000"/>
              </w:rPr>
            </w:pPr>
            <w:r>
              <w:t>Provides information described in Section I.C.</w:t>
            </w:r>
            <w:r w:rsidRPr="7196A543">
              <w:rPr>
                <w:color w:val="0070C0"/>
              </w:rPr>
              <w:t xml:space="preserve"> </w:t>
            </w:r>
          </w:p>
        </w:tc>
        <w:tc>
          <w:tcPr>
            <w:tcW w:w="1342" w:type="dxa"/>
          </w:tcPr>
          <w:p w14:paraId="78441BFC" w14:textId="77777777" w:rsidR="00C20646" w:rsidRPr="00C20646" w:rsidRDefault="00C20646" w:rsidP="00C20646">
            <w:pPr>
              <w:spacing w:before="120"/>
              <w:jc w:val="center"/>
              <w:rPr>
                <w:b/>
              </w:rPr>
            </w:pPr>
            <w:r w:rsidRPr="00C20646">
              <w:rPr>
                <w:b/>
              </w:rPr>
              <w:t>25</w:t>
            </w:r>
          </w:p>
          <w:p w14:paraId="67F29D9D" w14:textId="77777777" w:rsidR="00C20646" w:rsidRPr="00C20646" w:rsidRDefault="00C20646" w:rsidP="00C20646">
            <w:pPr>
              <w:keepNext/>
              <w:keepLines/>
              <w:spacing w:before="60" w:after="60"/>
              <w:jc w:val="center"/>
              <w:outlineLvl w:val="2"/>
              <w:rPr>
                <w:b/>
                <w:sz w:val="18"/>
                <w:szCs w:val="18"/>
              </w:rPr>
            </w:pPr>
          </w:p>
        </w:tc>
      </w:tr>
      <w:tr w:rsidR="00C20646" w:rsidRPr="00C20646" w14:paraId="1DD42A31" w14:textId="77777777" w:rsidTr="7196A543">
        <w:trPr>
          <w:trHeight w:val="422"/>
        </w:trPr>
        <w:tc>
          <w:tcPr>
            <w:tcW w:w="8362" w:type="dxa"/>
          </w:tcPr>
          <w:p w14:paraId="3CC37FC5" w14:textId="36FCE20E" w:rsidR="00C20646" w:rsidRPr="00AB71CB" w:rsidRDefault="00C20646" w:rsidP="008B21DC">
            <w:pPr>
              <w:pStyle w:val="ListParagraph"/>
              <w:numPr>
                <w:ilvl w:val="0"/>
                <w:numId w:val="40"/>
              </w:numPr>
              <w:spacing w:before="120"/>
              <w:jc w:val="both"/>
              <w:rPr>
                <w:rFonts w:cs="Times New Roman"/>
                <w:b/>
                <w:smallCaps/>
              </w:rPr>
            </w:pPr>
            <w:bookmarkStart w:id="241" w:name="_Toc366671203"/>
            <w:r w:rsidRPr="00AB71CB">
              <w:rPr>
                <w:b/>
              </w:rPr>
              <w:t>Impacts and Benefits for California</w:t>
            </w:r>
            <w:bookmarkEnd w:id="241"/>
            <w:r w:rsidRPr="00AB71CB">
              <w:rPr>
                <w:b/>
              </w:rPr>
              <w:t xml:space="preserve"> IOU Ratepayers </w:t>
            </w:r>
          </w:p>
          <w:p w14:paraId="0F8359F5" w14:textId="77777777" w:rsidR="00C20646" w:rsidRDefault="00C20646" w:rsidP="008B4C8E">
            <w:pPr>
              <w:numPr>
                <w:ilvl w:val="0"/>
                <w:numId w:val="16"/>
              </w:numPr>
              <w:spacing w:after="60"/>
              <w:jc w:val="both"/>
            </w:pPr>
            <w:r w:rsidRPr="00C20646">
              <w:t xml:space="preserve">Explains how the proposed project will benefit California Investor-Owned Utility (IOU) ratepayers and provides clear, plausible, and justifiable (quantitative preferred) potential benefits. Estimates the energy benefits including: </w:t>
            </w:r>
          </w:p>
          <w:p w14:paraId="23D9FE54" w14:textId="022605E8" w:rsidR="008B4C8E" w:rsidRPr="00E4291E" w:rsidRDefault="008B4C8E" w:rsidP="008B4C8E">
            <w:pPr>
              <w:numPr>
                <w:ilvl w:val="1"/>
                <w:numId w:val="16"/>
              </w:numPr>
              <w:spacing w:after="60"/>
              <w:jc w:val="both"/>
            </w:pPr>
            <w:r w:rsidRPr="00E4291E">
              <w:lastRenderedPageBreak/>
              <w:t xml:space="preserve">annual electricity </w:t>
            </w:r>
            <w:r w:rsidR="58FE5097" w:rsidRPr="00E4291E">
              <w:t>reductions</w:t>
            </w:r>
            <w:r w:rsidRPr="00E4291E">
              <w:t xml:space="preserve"> (kilowatt-hour), energy cost reductions, peak load reduction and/or shifting, infrastructure resiliency, </w:t>
            </w:r>
            <w:r w:rsidR="2D8B578C" w:rsidRPr="00E4291E">
              <w:t>and</w:t>
            </w:r>
            <w:r w:rsidR="6119E8B2" w:rsidRPr="00E4291E">
              <w:t xml:space="preserve"> </w:t>
            </w:r>
            <w:r w:rsidRPr="00E4291E">
              <w:t>infrastructure reliability.</w:t>
            </w:r>
          </w:p>
          <w:p w14:paraId="0E186511" w14:textId="77777777" w:rsidR="00EC421A" w:rsidRPr="00E4291E" w:rsidRDefault="00EC421A" w:rsidP="00EC421A">
            <w:pPr>
              <w:spacing w:after="60"/>
              <w:ind w:left="720"/>
              <w:jc w:val="both"/>
              <w:rPr>
                <w:b/>
              </w:rPr>
            </w:pPr>
            <w:r w:rsidRPr="00E4291E">
              <w:rPr>
                <w:b/>
              </w:rPr>
              <w:t xml:space="preserve">In addition, estimates the non-energy benefits including: </w:t>
            </w:r>
          </w:p>
          <w:p w14:paraId="58EA0448" w14:textId="07BD3DF9" w:rsidR="00EC421A" w:rsidRPr="00E4291E" w:rsidRDefault="00EC421A" w:rsidP="008B21DC">
            <w:pPr>
              <w:numPr>
                <w:ilvl w:val="0"/>
                <w:numId w:val="79"/>
              </w:numPr>
              <w:spacing w:after="60"/>
              <w:ind w:left="1060"/>
              <w:jc w:val="both"/>
            </w:pPr>
            <w:r w:rsidRPr="00E4291E">
              <w:t xml:space="preserve">greenhouse gas emission reductions, air emission reductions (e.g. NOx), water savings and cost </w:t>
            </w:r>
            <w:r w:rsidR="04F3A4BF" w:rsidRPr="00E4291E">
              <w:t>reduction</w:t>
            </w:r>
            <w:r w:rsidR="31FFA4C8" w:rsidRPr="00E4291E">
              <w:t>s</w:t>
            </w:r>
            <w:r w:rsidRPr="00E4291E">
              <w:t>, and increased safety.</w:t>
            </w:r>
          </w:p>
          <w:p w14:paraId="00928BCD" w14:textId="77777777" w:rsidR="00FD3B53" w:rsidRPr="00C20646" w:rsidRDefault="00FD3B53" w:rsidP="008B21DC">
            <w:pPr>
              <w:pStyle w:val="ListParagraph"/>
              <w:spacing w:after="60"/>
              <w:jc w:val="both"/>
            </w:pPr>
          </w:p>
          <w:p w14:paraId="0AC937DD" w14:textId="77777777" w:rsidR="00C20646" w:rsidRPr="00C20646" w:rsidRDefault="7156D51B" w:rsidP="008B4C8E">
            <w:pPr>
              <w:numPr>
                <w:ilvl w:val="0"/>
                <w:numId w:val="16"/>
              </w:numPr>
              <w:spacing w:after="60"/>
              <w:jc w:val="both"/>
            </w:pPr>
            <w:r>
              <w:t xml:space="preserve">States the timeframe, assumptions with sources, and calculations for the estimated benefits, and explains their reasonableness. Include baseline or “business as usual” over timeframe. </w:t>
            </w:r>
          </w:p>
          <w:p w14:paraId="79B4A9D9" w14:textId="77777777" w:rsidR="00C20646" w:rsidRPr="00C20646" w:rsidRDefault="7156D51B" w:rsidP="008B4C8E">
            <w:pPr>
              <w:numPr>
                <w:ilvl w:val="0"/>
                <w:numId w:val="16"/>
              </w:numPr>
              <w:spacing w:after="60"/>
              <w:jc w:val="both"/>
            </w:pPr>
            <w:r>
              <w:t xml:space="preserve">Identifies the expected financial performance (e.g. payback period, ROI) of the demonstration at scale. </w:t>
            </w:r>
          </w:p>
          <w:p w14:paraId="7E77428D" w14:textId="5786AE40" w:rsidR="00C20646" w:rsidRPr="00C20646" w:rsidRDefault="7156D51B" w:rsidP="008B4C8E">
            <w:pPr>
              <w:numPr>
                <w:ilvl w:val="0"/>
                <w:numId w:val="16"/>
              </w:numPr>
              <w:spacing w:after="60"/>
              <w:jc w:val="both"/>
              <w:rPr>
                <w:color w:val="000000" w:themeColor="text1"/>
              </w:rPr>
            </w:pPr>
            <w:r>
              <w:t xml:space="preserve">Identifies the specific programs which the technology intends to leverage. </w:t>
            </w:r>
            <w:r w:rsidRPr="7196A543">
              <w:rPr>
                <w:i/>
                <w:iCs/>
                <w:color w:val="000000" w:themeColor="text1"/>
              </w:rPr>
              <w:t>(e.g. feed-in tariffs, IOU rebates, demand response, storage procurement) and extent to which technology meets program requirements.</w:t>
            </w:r>
          </w:p>
        </w:tc>
        <w:tc>
          <w:tcPr>
            <w:tcW w:w="1342" w:type="dxa"/>
          </w:tcPr>
          <w:p w14:paraId="40412278" w14:textId="77777777" w:rsidR="00C20646" w:rsidRPr="00C20646" w:rsidRDefault="00C20646" w:rsidP="00C20646">
            <w:pPr>
              <w:spacing w:before="120"/>
              <w:jc w:val="center"/>
            </w:pPr>
            <w:r w:rsidRPr="00C20646">
              <w:rPr>
                <w:b/>
              </w:rPr>
              <w:lastRenderedPageBreak/>
              <w:t>20</w:t>
            </w:r>
          </w:p>
        </w:tc>
      </w:tr>
      <w:tr w:rsidR="00C20646" w:rsidRPr="00C20646" w14:paraId="3BE61C9F" w14:textId="77777777" w:rsidTr="7196A543">
        <w:trPr>
          <w:trHeight w:val="3248"/>
        </w:trPr>
        <w:tc>
          <w:tcPr>
            <w:tcW w:w="8362" w:type="dxa"/>
          </w:tcPr>
          <w:p w14:paraId="6F63500C" w14:textId="6A0E7854" w:rsidR="00C20646" w:rsidRPr="00AB71CB" w:rsidRDefault="00C20646" w:rsidP="008B21DC">
            <w:pPr>
              <w:pStyle w:val="ListParagraph"/>
              <w:numPr>
                <w:ilvl w:val="0"/>
                <w:numId w:val="40"/>
              </w:numPr>
              <w:spacing w:before="120"/>
              <w:jc w:val="both"/>
              <w:rPr>
                <w:rFonts w:cs="Times New Roman"/>
                <w:b/>
                <w:smallCaps/>
              </w:rPr>
            </w:pPr>
            <w:bookmarkStart w:id="242" w:name="_Toc366671205"/>
            <w:r w:rsidRPr="00AB71CB">
              <w:rPr>
                <w:b/>
              </w:rPr>
              <w:t>Team Qualifications, Capabilities, and Resources</w:t>
            </w:r>
            <w:bookmarkEnd w:id="242"/>
          </w:p>
          <w:p w14:paraId="5002C9AE" w14:textId="77777777" w:rsidR="00C20646" w:rsidRPr="00C20646" w:rsidRDefault="00C20646" w:rsidP="00C20646">
            <w:pPr>
              <w:ind w:left="720"/>
              <w:jc w:val="both"/>
            </w:pPr>
            <w:r w:rsidRPr="00C20646">
              <w:t>Evaluations of ongoing or previous projects including project performance by applicant and team members will be used in scoring for this criterion. This can include contacting references.</w:t>
            </w:r>
          </w:p>
          <w:p w14:paraId="15FFF2A7" w14:textId="77777777" w:rsidR="00C20646" w:rsidRPr="00C20646" w:rsidRDefault="00C20646" w:rsidP="00C20646">
            <w:pPr>
              <w:numPr>
                <w:ilvl w:val="0"/>
                <w:numId w:val="17"/>
              </w:numPr>
              <w:ind w:left="1140"/>
              <w:jc w:val="both"/>
            </w:pPr>
            <w:r w:rsidRPr="00C20646">
              <w:t xml:space="preserve">Identifies credentials of prime and any subcontractor key personnel, including the project manager, principal investigator and technology and knowledge transfer lead </w:t>
            </w:r>
            <w:r w:rsidRPr="00C20646">
              <w:rPr>
                <w:i/>
              </w:rPr>
              <w:t>(include this information in the Project Team Form).</w:t>
            </w:r>
          </w:p>
          <w:p w14:paraId="170CAD5D" w14:textId="3357A9D2" w:rsidR="00C20646" w:rsidRPr="00C20646" w:rsidRDefault="00C20646" w:rsidP="00C20646">
            <w:pPr>
              <w:numPr>
                <w:ilvl w:val="0"/>
                <w:numId w:val="17"/>
              </w:numPr>
              <w:ind w:left="1140"/>
              <w:jc w:val="both"/>
            </w:pPr>
            <w:r w:rsidRPr="00C20646">
              <w:t>Demonstrates that the project team</w:t>
            </w:r>
            <w:r w:rsidR="003B53E4">
              <w:t xml:space="preserve"> </w:t>
            </w:r>
            <w:r w:rsidRPr="00C20646">
              <w:t>has appropriate qualifications, experience, financial stability and capability to complete the project.</w:t>
            </w:r>
          </w:p>
          <w:p w14:paraId="5C638134" w14:textId="77777777" w:rsidR="00C20646" w:rsidRPr="00C20646" w:rsidRDefault="00C20646" w:rsidP="00C20646">
            <w:pPr>
              <w:numPr>
                <w:ilvl w:val="0"/>
                <w:numId w:val="17"/>
              </w:numPr>
              <w:ind w:left="1140"/>
              <w:jc w:val="both"/>
            </w:pPr>
            <w:r w:rsidRPr="00C20646">
              <w:t>Explains the team structure and how various tasks will be managed and coordinated.</w:t>
            </w:r>
          </w:p>
          <w:p w14:paraId="70609F79" w14:textId="77777777" w:rsidR="00C20646" w:rsidRPr="00C20646" w:rsidRDefault="00C20646" w:rsidP="00C20646">
            <w:pPr>
              <w:numPr>
                <w:ilvl w:val="0"/>
                <w:numId w:val="17"/>
              </w:numPr>
              <w:ind w:left="1140"/>
              <w:jc w:val="both"/>
            </w:pPr>
            <w:r w:rsidRPr="00C20646">
              <w:t>Describes the facilities, infrastructure, and resources available that directly support the project.</w:t>
            </w:r>
          </w:p>
          <w:p w14:paraId="45D2E143" w14:textId="77777777" w:rsidR="00C20646" w:rsidRPr="00C20646" w:rsidRDefault="00C20646" w:rsidP="00C20646">
            <w:pPr>
              <w:numPr>
                <w:ilvl w:val="0"/>
                <w:numId w:val="17"/>
              </w:numPr>
              <w:ind w:left="1140"/>
              <w:jc w:val="both"/>
            </w:pPr>
            <w:r w:rsidRPr="00C20646">
              <w:t>Describes the team’s history of successfully completing projects in the past 10 years including subsequent deployments and commercialization.</w:t>
            </w:r>
          </w:p>
        </w:tc>
        <w:tc>
          <w:tcPr>
            <w:tcW w:w="1342" w:type="dxa"/>
          </w:tcPr>
          <w:p w14:paraId="4618AE5E" w14:textId="77777777" w:rsidR="00C20646" w:rsidRPr="00C20646" w:rsidRDefault="00C20646" w:rsidP="00C20646">
            <w:pPr>
              <w:spacing w:before="120"/>
              <w:jc w:val="center"/>
              <w:rPr>
                <w:b/>
              </w:rPr>
            </w:pPr>
            <w:r w:rsidRPr="00C20646">
              <w:rPr>
                <w:b/>
              </w:rPr>
              <w:t>15</w:t>
            </w:r>
          </w:p>
        </w:tc>
      </w:tr>
      <w:tr w:rsidR="00C20646" w:rsidRPr="00C20646" w14:paraId="0A5A40ED" w14:textId="77777777" w:rsidTr="7196A543">
        <w:trPr>
          <w:cantSplit/>
          <w:trHeight w:val="485"/>
        </w:trPr>
        <w:tc>
          <w:tcPr>
            <w:tcW w:w="8362" w:type="dxa"/>
            <w:shd w:val="clear" w:color="auto" w:fill="D9D9D9" w:themeFill="background1" w:themeFillShade="D9"/>
          </w:tcPr>
          <w:p w14:paraId="05E4DCC0" w14:textId="77777777" w:rsidR="00C20646" w:rsidRPr="00C20646" w:rsidRDefault="00C20646" w:rsidP="00C20646">
            <w:pPr>
              <w:spacing w:before="60" w:after="0"/>
              <w:ind w:left="360"/>
              <w:jc w:val="both"/>
              <w:rPr>
                <w:b/>
              </w:rPr>
            </w:pPr>
            <w:r w:rsidRPr="00C20646">
              <w:rPr>
                <w:b/>
              </w:rPr>
              <w:t>Total Possible Points for criteria 1− 4</w:t>
            </w:r>
          </w:p>
          <w:p w14:paraId="37F57530" w14:textId="77777777" w:rsidR="00C20646" w:rsidRPr="00C20646" w:rsidRDefault="00C20646" w:rsidP="00C20646">
            <w:pPr>
              <w:spacing w:after="0"/>
              <w:ind w:left="360"/>
              <w:jc w:val="both"/>
              <w:rPr>
                <w:b/>
              </w:rPr>
            </w:pPr>
            <w:r w:rsidRPr="00C20646">
              <w:rPr>
                <w:b/>
              </w:rPr>
              <w:t xml:space="preserve">(Minimum Passing Score for criteria 1− 4 is 70% or </w:t>
            </w:r>
            <w:r w:rsidRPr="00C20646">
              <w:rPr>
                <w:b/>
                <w:u w:val="single"/>
              </w:rPr>
              <w:t>52.50</w:t>
            </w:r>
            <w:r w:rsidRPr="00C20646">
              <w:rPr>
                <w:b/>
              </w:rPr>
              <w:t>)</w:t>
            </w:r>
          </w:p>
        </w:tc>
        <w:tc>
          <w:tcPr>
            <w:tcW w:w="1342" w:type="dxa"/>
            <w:shd w:val="clear" w:color="auto" w:fill="D9D9D9" w:themeFill="background1" w:themeFillShade="D9"/>
          </w:tcPr>
          <w:p w14:paraId="5E9D7832" w14:textId="77777777" w:rsidR="00C20646" w:rsidRPr="00C20646" w:rsidRDefault="00C20646" w:rsidP="00C20646">
            <w:pPr>
              <w:spacing w:after="0"/>
              <w:jc w:val="both"/>
              <w:rPr>
                <w:b/>
              </w:rPr>
            </w:pPr>
          </w:p>
          <w:p w14:paraId="5A18F41F" w14:textId="77777777" w:rsidR="00C20646" w:rsidRPr="00C20646" w:rsidRDefault="00C20646" w:rsidP="00C20646">
            <w:pPr>
              <w:jc w:val="center"/>
              <w:rPr>
                <w:b/>
              </w:rPr>
            </w:pPr>
            <w:r w:rsidRPr="00C20646">
              <w:rPr>
                <w:b/>
              </w:rPr>
              <w:t>75</w:t>
            </w:r>
          </w:p>
        </w:tc>
      </w:tr>
      <w:tr w:rsidR="00C20646" w:rsidRPr="00C20646" w14:paraId="6D88EBEE" w14:textId="77777777" w:rsidTr="7196A543">
        <w:tc>
          <w:tcPr>
            <w:tcW w:w="8362" w:type="dxa"/>
            <w:tcBorders>
              <w:bottom w:val="single" w:sz="4" w:space="0" w:color="auto"/>
            </w:tcBorders>
          </w:tcPr>
          <w:p w14:paraId="43797AA5" w14:textId="77777777" w:rsidR="00C20646" w:rsidRPr="00C20646" w:rsidRDefault="00C20646" w:rsidP="00AA7B61">
            <w:pPr>
              <w:numPr>
                <w:ilvl w:val="0"/>
                <w:numId w:val="40"/>
              </w:numPr>
              <w:spacing w:before="120"/>
              <w:jc w:val="both"/>
              <w:rPr>
                <w:rFonts w:cs="Times New Roman"/>
                <w:b/>
                <w:bCs/>
                <w:smallCaps/>
              </w:rPr>
            </w:pPr>
            <w:r w:rsidRPr="00C20646">
              <w:rPr>
                <w:b/>
              </w:rPr>
              <w:t>Budget and Cost-Effectiveness</w:t>
            </w:r>
          </w:p>
          <w:p w14:paraId="2662EEC6" w14:textId="77777777" w:rsidR="00C20646" w:rsidRPr="00C20646" w:rsidRDefault="00C20646" w:rsidP="00C20646">
            <w:pPr>
              <w:numPr>
                <w:ilvl w:val="0"/>
                <w:numId w:val="18"/>
              </w:numPr>
              <w:spacing w:before="120" w:after="0"/>
              <w:ind w:left="1140"/>
              <w:jc w:val="both"/>
            </w:pPr>
            <w:r w:rsidRPr="00C20646">
              <w:t>Budget forms are complete for the applicant and all subcontractors, as described in the Budget instructions.</w:t>
            </w:r>
          </w:p>
          <w:p w14:paraId="3C6EEBCF" w14:textId="77777777" w:rsidR="00C20646" w:rsidRPr="00C20646" w:rsidRDefault="00C20646" w:rsidP="00C20646">
            <w:pPr>
              <w:numPr>
                <w:ilvl w:val="0"/>
                <w:numId w:val="18"/>
              </w:numPr>
              <w:spacing w:before="120" w:after="0"/>
              <w:ind w:left="1140"/>
              <w:jc w:val="both"/>
            </w:pPr>
            <w:r w:rsidRPr="00C20646">
              <w:t>Justifies the reasonableness of the requested funds relative to the project goals, objectives, and tasks.</w:t>
            </w:r>
          </w:p>
          <w:p w14:paraId="065941CA" w14:textId="77777777" w:rsidR="00C20646" w:rsidRPr="00C20646" w:rsidRDefault="00C20646" w:rsidP="00C20646">
            <w:pPr>
              <w:numPr>
                <w:ilvl w:val="0"/>
                <w:numId w:val="18"/>
              </w:numPr>
              <w:spacing w:before="120" w:after="0"/>
              <w:ind w:left="1140"/>
              <w:jc w:val="both"/>
            </w:pPr>
            <w:r w:rsidRPr="00C20646">
              <w:t>Justifies the reasonableness of direct costs (e.g., labor, fringe benefits, equipment, materials &amp; misc. travel, and subcontractors).</w:t>
            </w:r>
          </w:p>
          <w:p w14:paraId="293D90D7" w14:textId="77777777" w:rsidR="00C20646" w:rsidRPr="00C20646" w:rsidRDefault="00C20646" w:rsidP="00C20646">
            <w:pPr>
              <w:numPr>
                <w:ilvl w:val="0"/>
                <w:numId w:val="18"/>
              </w:numPr>
              <w:spacing w:before="120"/>
              <w:ind w:left="1138"/>
              <w:jc w:val="both"/>
            </w:pPr>
            <w:r w:rsidRPr="00C20646">
              <w:lastRenderedPageBreak/>
              <w:t xml:space="preserve">Justifies the reasonableness of indirect costs (e.g., overhead, facility charges (e.g., rent, utilities), burdens, subcontractor profit, and other like costs). </w:t>
            </w:r>
          </w:p>
        </w:tc>
        <w:tc>
          <w:tcPr>
            <w:tcW w:w="1342" w:type="dxa"/>
            <w:tcBorders>
              <w:bottom w:val="single" w:sz="4" w:space="0" w:color="auto"/>
            </w:tcBorders>
          </w:tcPr>
          <w:p w14:paraId="39EA5342" w14:textId="77777777" w:rsidR="00C20646" w:rsidRPr="00C20646" w:rsidRDefault="00C20646" w:rsidP="00C20646">
            <w:pPr>
              <w:spacing w:before="120"/>
              <w:jc w:val="center"/>
              <w:rPr>
                <w:b/>
              </w:rPr>
            </w:pPr>
            <w:r w:rsidRPr="00C20646">
              <w:rPr>
                <w:b/>
              </w:rPr>
              <w:lastRenderedPageBreak/>
              <w:t>10</w:t>
            </w:r>
          </w:p>
        </w:tc>
      </w:tr>
      <w:tr w:rsidR="00C20646" w:rsidRPr="00C20646" w14:paraId="04F14AC1" w14:textId="77777777" w:rsidTr="7196A543">
        <w:tc>
          <w:tcPr>
            <w:tcW w:w="8362" w:type="dxa"/>
            <w:tcBorders>
              <w:top w:val="single" w:sz="4" w:space="0" w:color="auto"/>
              <w:bottom w:val="single" w:sz="4" w:space="0" w:color="auto"/>
            </w:tcBorders>
          </w:tcPr>
          <w:p w14:paraId="38D00B50" w14:textId="77777777" w:rsidR="00C20646" w:rsidRPr="00C20646" w:rsidRDefault="00C20646" w:rsidP="00AA7B61">
            <w:pPr>
              <w:numPr>
                <w:ilvl w:val="0"/>
                <w:numId w:val="40"/>
              </w:numPr>
              <w:spacing w:before="120"/>
              <w:jc w:val="both"/>
              <w:rPr>
                <w:rFonts w:cs="Times New Roman"/>
                <w:b/>
                <w:bCs/>
                <w:smallCaps/>
              </w:rPr>
            </w:pPr>
            <w:r w:rsidRPr="00C20646">
              <w:rPr>
                <w:b/>
              </w:rPr>
              <w:t>CEC Funds Spent in California</w:t>
            </w:r>
          </w:p>
          <w:p w14:paraId="204ECDA9" w14:textId="77777777" w:rsidR="00C20646" w:rsidRPr="00C20646" w:rsidRDefault="00C20646" w:rsidP="00C20646">
            <w:pPr>
              <w:tabs>
                <w:tab w:val="left" w:pos="1170"/>
              </w:tabs>
              <w:autoSpaceDE w:val="0"/>
              <w:autoSpaceDN w:val="0"/>
              <w:adjustRightInd w:val="0"/>
              <w:spacing w:after="0"/>
              <w:ind w:left="360"/>
              <w:jc w:val="both"/>
              <w:rPr>
                <w:szCs w:val="22"/>
              </w:rPr>
            </w:pPr>
            <w:r w:rsidRPr="00C20646">
              <w:t>Projects that maximize the spending of CEC funds in California will receive points as indicated in the table below (see CEC Funds Spent in California section for more details).</w:t>
            </w:r>
          </w:p>
          <w:p w14:paraId="0A349ED2" w14:textId="77777777" w:rsidR="00C20646" w:rsidRPr="00C20646" w:rsidRDefault="00C20646" w:rsidP="00C20646">
            <w:pPr>
              <w:tabs>
                <w:tab w:val="left" w:pos="1170"/>
              </w:tabs>
              <w:autoSpaceDE w:val="0"/>
              <w:autoSpaceDN w:val="0"/>
              <w:adjustRightInd w:val="0"/>
              <w:spacing w:after="0"/>
              <w:jc w:val="center"/>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C20646" w:rsidRPr="00C20646" w14:paraId="197EE028" w14:textId="77777777">
              <w:tc>
                <w:tcPr>
                  <w:tcW w:w="3685" w:type="dxa"/>
                  <w:tcBorders>
                    <w:top w:val="single" w:sz="4" w:space="0" w:color="auto"/>
                    <w:left w:val="single" w:sz="4" w:space="0" w:color="auto"/>
                    <w:bottom w:val="single" w:sz="4" w:space="0" w:color="auto"/>
                    <w:right w:val="single" w:sz="4" w:space="0" w:color="auto"/>
                  </w:tcBorders>
                </w:tcPr>
                <w:p w14:paraId="1FBD8A46" w14:textId="77777777" w:rsidR="00C20646" w:rsidRPr="00C20646" w:rsidRDefault="00C20646" w:rsidP="00C20646">
                  <w:pPr>
                    <w:widowControl w:val="0"/>
                    <w:spacing w:after="0"/>
                    <w:jc w:val="both"/>
                    <w:rPr>
                      <w:b/>
                      <w:sz w:val="18"/>
                      <w:szCs w:val="18"/>
                    </w:rPr>
                  </w:pPr>
                  <w:r w:rsidRPr="00C20646">
                    <w:rPr>
                      <w:b/>
                      <w:sz w:val="18"/>
                      <w:szCs w:val="18"/>
                    </w:rPr>
                    <w:t>Percentage of CEC funds spent in CA vs Total CEC funds requested</w:t>
                  </w:r>
                </w:p>
                <w:p w14:paraId="456E6ACF" w14:textId="77777777" w:rsidR="00C20646" w:rsidRPr="00C20646" w:rsidRDefault="00C20646" w:rsidP="00C20646">
                  <w:pPr>
                    <w:widowControl w:val="0"/>
                    <w:tabs>
                      <w:tab w:val="left" w:pos="1170"/>
                    </w:tabs>
                    <w:autoSpaceDE w:val="0"/>
                    <w:autoSpaceDN w:val="0"/>
                    <w:adjustRightInd w:val="0"/>
                    <w:spacing w:after="0"/>
                    <w:jc w:val="both"/>
                    <w:rPr>
                      <w:sz w:val="18"/>
                      <w:szCs w:val="18"/>
                    </w:rPr>
                  </w:pPr>
                  <w:r w:rsidRPr="00C20646">
                    <w:rPr>
                      <w:sz w:val="18"/>
                      <w:szCs w:val="18"/>
                    </w:rPr>
                    <w:t>(derived from budget Attachment )</w:t>
                  </w:r>
                </w:p>
              </w:tc>
              <w:tc>
                <w:tcPr>
                  <w:tcW w:w="2880" w:type="dxa"/>
                  <w:tcBorders>
                    <w:top w:val="single" w:sz="4" w:space="0" w:color="auto"/>
                    <w:left w:val="single" w:sz="4" w:space="0" w:color="auto"/>
                    <w:bottom w:val="single" w:sz="4" w:space="0" w:color="auto"/>
                    <w:right w:val="single" w:sz="4" w:space="0" w:color="auto"/>
                  </w:tcBorders>
                </w:tcPr>
                <w:p w14:paraId="380456B3" w14:textId="77777777" w:rsidR="00C20646" w:rsidRPr="00C20646" w:rsidRDefault="00C20646" w:rsidP="00C20646">
                  <w:pPr>
                    <w:widowControl w:val="0"/>
                    <w:tabs>
                      <w:tab w:val="left" w:pos="1170"/>
                    </w:tabs>
                    <w:autoSpaceDE w:val="0"/>
                    <w:autoSpaceDN w:val="0"/>
                    <w:adjustRightInd w:val="0"/>
                    <w:spacing w:after="0"/>
                    <w:jc w:val="both"/>
                    <w:rPr>
                      <w:sz w:val="18"/>
                      <w:szCs w:val="18"/>
                    </w:rPr>
                  </w:pPr>
                  <w:r w:rsidRPr="00C20646">
                    <w:rPr>
                      <w:b/>
                      <w:sz w:val="18"/>
                      <w:szCs w:val="18"/>
                    </w:rPr>
                    <w:t>Percentage of Possible Points</w:t>
                  </w:r>
                </w:p>
              </w:tc>
            </w:tr>
            <w:tr w:rsidR="00C20646" w:rsidRPr="00C20646" w14:paraId="227E74F1" w14:textId="77777777">
              <w:tc>
                <w:tcPr>
                  <w:tcW w:w="3685" w:type="dxa"/>
                  <w:tcBorders>
                    <w:top w:val="single" w:sz="4" w:space="0" w:color="auto"/>
                    <w:left w:val="single" w:sz="4" w:space="0" w:color="auto"/>
                    <w:bottom w:val="single" w:sz="4" w:space="0" w:color="auto"/>
                    <w:right w:val="single" w:sz="4" w:space="0" w:color="auto"/>
                  </w:tcBorders>
                </w:tcPr>
                <w:p w14:paraId="336A0AD1" w14:textId="77777777" w:rsidR="00C20646" w:rsidRPr="00C20646" w:rsidRDefault="00C20646" w:rsidP="00C20646">
                  <w:pPr>
                    <w:widowControl w:val="0"/>
                    <w:tabs>
                      <w:tab w:val="left" w:pos="1170"/>
                    </w:tabs>
                    <w:autoSpaceDE w:val="0"/>
                    <w:autoSpaceDN w:val="0"/>
                    <w:adjustRightInd w:val="0"/>
                    <w:spacing w:after="0"/>
                    <w:jc w:val="both"/>
                    <w:rPr>
                      <w:sz w:val="18"/>
                      <w:szCs w:val="18"/>
                    </w:rPr>
                  </w:pPr>
                  <w:r w:rsidRPr="00C20646">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062DB4D1" w14:textId="77777777" w:rsidR="00C20646" w:rsidRPr="00C20646" w:rsidRDefault="00C20646" w:rsidP="00C20646">
                  <w:pPr>
                    <w:widowControl w:val="0"/>
                    <w:tabs>
                      <w:tab w:val="left" w:pos="1170"/>
                    </w:tabs>
                    <w:autoSpaceDE w:val="0"/>
                    <w:autoSpaceDN w:val="0"/>
                    <w:adjustRightInd w:val="0"/>
                    <w:spacing w:after="0"/>
                    <w:jc w:val="both"/>
                    <w:rPr>
                      <w:sz w:val="18"/>
                      <w:szCs w:val="18"/>
                    </w:rPr>
                  </w:pPr>
                  <w:r w:rsidRPr="00C20646">
                    <w:rPr>
                      <w:sz w:val="18"/>
                      <w:szCs w:val="18"/>
                    </w:rPr>
                    <w:t>20%</w:t>
                  </w:r>
                </w:p>
              </w:tc>
            </w:tr>
            <w:tr w:rsidR="00C20646" w:rsidRPr="00C20646" w14:paraId="74CB01D6" w14:textId="77777777">
              <w:tc>
                <w:tcPr>
                  <w:tcW w:w="3685" w:type="dxa"/>
                  <w:tcBorders>
                    <w:top w:val="single" w:sz="4" w:space="0" w:color="auto"/>
                    <w:left w:val="single" w:sz="4" w:space="0" w:color="auto"/>
                    <w:bottom w:val="single" w:sz="4" w:space="0" w:color="auto"/>
                    <w:right w:val="single" w:sz="4" w:space="0" w:color="auto"/>
                  </w:tcBorders>
                </w:tcPr>
                <w:p w14:paraId="6859122C" w14:textId="77777777" w:rsidR="00C20646" w:rsidRPr="00C20646" w:rsidRDefault="00C20646" w:rsidP="00C20646">
                  <w:pPr>
                    <w:widowControl w:val="0"/>
                    <w:tabs>
                      <w:tab w:val="left" w:pos="1170"/>
                    </w:tabs>
                    <w:autoSpaceDE w:val="0"/>
                    <w:autoSpaceDN w:val="0"/>
                    <w:adjustRightInd w:val="0"/>
                    <w:spacing w:after="0"/>
                    <w:jc w:val="both"/>
                    <w:rPr>
                      <w:sz w:val="18"/>
                      <w:szCs w:val="18"/>
                    </w:rPr>
                  </w:pPr>
                  <w:r w:rsidRPr="00C20646">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3C1B0CE8" w14:textId="77777777" w:rsidR="00C20646" w:rsidRPr="00C20646" w:rsidRDefault="00C20646" w:rsidP="00C20646">
                  <w:pPr>
                    <w:widowControl w:val="0"/>
                    <w:tabs>
                      <w:tab w:val="left" w:pos="1170"/>
                    </w:tabs>
                    <w:autoSpaceDE w:val="0"/>
                    <w:autoSpaceDN w:val="0"/>
                    <w:adjustRightInd w:val="0"/>
                    <w:spacing w:after="0"/>
                    <w:jc w:val="both"/>
                    <w:rPr>
                      <w:sz w:val="18"/>
                      <w:szCs w:val="18"/>
                    </w:rPr>
                  </w:pPr>
                  <w:r w:rsidRPr="00C20646">
                    <w:rPr>
                      <w:sz w:val="18"/>
                      <w:szCs w:val="18"/>
                    </w:rPr>
                    <w:t>30%</w:t>
                  </w:r>
                </w:p>
              </w:tc>
            </w:tr>
            <w:tr w:rsidR="00C20646" w:rsidRPr="00C20646" w14:paraId="20D07AF7" w14:textId="77777777">
              <w:tc>
                <w:tcPr>
                  <w:tcW w:w="3685" w:type="dxa"/>
                  <w:tcBorders>
                    <w:top w:val="single" w:sz="4" w:space="0" w:color="auto"/>
                    <w:left w:val="single" w:sz="4" w:space="0" w:color="auto"/>
                    <w:bottom w:val="single" w:sz="4" w:space="0" w:color="auto"/>
                    <w:right w:val="single" w:sz="4" w:space="0" w:color="auto"/>
                  </w:tcBorders>
                </w:tcPr>
                <w:p w14:paraId="2B125B9D" w14:textId="77777777" w:rsidR="00C20646" w:rsidRPr="00C20646" w:rsidRDefault="00C20646" w:rsidP="00C20646">
                  <w:pPr>
                    <w:widowControl w:val="0"/>
                    <w:tabs>
                      <w:tab w:val="left" w:pos="1170"/>
                    </w:tabs>
                    <w:autoSpaceDE w:val="0"/>
                    <w:autoSpaceDN w:val="0"/>
                    <w:adjustRightInd w:val="0"/>
                    <w:spacing w:after="0"/>
                    <w:jc w:val="both"/>
                    <w:rPr>
                      <w:sz w:val="18"/>
                      <w:szCs w:val="18"/>
                    </w:rPr>
                  </w:pPr>
                  <w:r w:rsidRPr="00C20646">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7A516D06" w14:textId="77777777" w:rsidR="00C20646" w:rsidRPr="00C20646" w:rsidRDefault="00C20646" w:rsidP="00C20646">
                  <w:pPr>
                    <w:widowControl w:val="0"/>
                    <w:tabs>
                      <w:tab w:val="left" w:pos="1170"/>
                    </w:tabs>
                    <w:autoSpaceDE w:val="0"/>
                    <w:autoSpaceDN w:val="0"/>
                    <w:adjustRightInd w:val="0"/>
                    <w:spacing w:after="0"/>
                    <w:jc w:val="both"/>
                    <w:rPr>
                      <w:sz w:val="18"/>
                      <w:szCs w:val="18"/>
                    </w:rPr>
                  </w:pPr>
                  <w:r w:rsidRPr="00C20646">
                    <w:rPr>
                      <w:sz w:val="18"/>
                      <w:szCs w:val="18"/>
                    </w:rPr>
                    <w:t>40%</w:t>
                  </w:r>
                </w:p>
              </w:tc>
            </w:tr>
            <w:tr w:rsidR="00C20646" w:rsidRPr="00C20646" w14:paraId="30F3CCB4" w14:textId="77777777">
              <w:tc>
                <w:tcPr>
                  <w:tcW w:w="3685" w:type="dxa"/>
                  <w:tcBorders>
                    <w:top w:val="single" w:sz="4" w:space="0" w:color="auto"/>
                    <w:left w:val="single" w:sz="4" w:space="0" w:color="auto"/>
                    <w:bottom w:val="single" w:sz="4" w:space="0" w:color="auto"/>
                    <w:right w:val="single" w:sz="4" w:space="0" w:color="auto"/>
                  </w:tcBorders>
                </w:tcPr>
                <w:p w14:paraId="790A0BE7" w14:textId="77777777" w:rsidR="00C20646" w:rsidRPr="00C20646" w:rsidRDefault="00C20646" w:rsidP="00C20646">
                  <w:pPr>
                    <w:widowControl w:val="0"/>
                    <w:tabs>
                      <w:tab w:val="left" w:pos="1170"/>
                    </w:tabs>
                    <w:autoSpaceDE w:val="0"/>
                    <w:autoSpaceDN w:val="0"/>
                    <w:adjustRightInd w:val="0"/>
                    <w:spacing w:after="0"/>
                    <w:jc w:val="both"/>
                    <w:rPr>
                      <w:sz w:val="18"/>
                      <w:szCs w:val="18"/>
                    </w:rPr>
                  </w:pPr>
                  <w:r w:rsidRPr="00C20646">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11778346" w14:textId="77777777" w:rsidR="00C20646" w:rsidRPr="00C20646" w:rsidRDefault="00C20646" w:rsidP="00C20646">
                  <w:pPr>
                    <w:widowControl w:val="0"/>
                    <w:tabs>
                      <w:tab w:val="left" w:pos="1170"/>
                    </w:tabs>
                    <w:autoSpaceDE w:val="0"/>
                    <w:autoSpaceDN w:val="0"/>
                    <w:adjustRightInd w:val="0"/>
                    <w:spacing w:after="0"/>
                    <w:jc w:val="both"/>
                    <w:rPr>
                      <w:sz w:val="18"/>
                      <w:szCs w:val="18"/>
                    </w:rPr>
                  </w:pPr>
                  <w:r w:rsidRPr="00C20646">
                    <w:rPr>
                      <w:sz w:val="18"/>
                      <w:szCs w:val="18"/>
                    </w:rPr>
                    <w:t>50%</w:t>
                  </w:r>
                </w:p>
              </w:tc>
            </w:tr>
            <w:tr w:rsidR="00C20646" w:rsidRPr="00C20646" w14:paraId="3669701C" w14:textId="77777777">
              <w:tc>
                <w:tcPr>
                  <w:tcW w:w="3685" w:type="dxa"/>
                  <w:tcBorders>
                    <w:top w:val="single" w:sz="4" w:space="0" w:color="auto"/>
                    <w:left w:val="single" w:sz="4" w:space="0" w:color="auto"/>
                    <w:bottom w:val="single" w:sz="4" w:space="0" w:color="auto"/>
                    <w:right w:val="single" w:sz="4" w:space="0" w:color="auto"/>
                  </w:tcBorders>
                </w:tcPr>
                <w:p w14:paraId="1400D8AE" w14:textId="77777777" w:rsidR="00C20646" w:rsidRPr="00C20646" w:rsidRDefault="00C20646" w:rsidP="00C20646">
                  <w:pPr>
                    <w:widowControl w:val="0"/>
                    <w:tabs>
                      <w:tab w:val="left" w:pos="1170"/>
                    </w:tabs>
                    <w:autoSpaceDE w:val="0"/>
                    <w:autoSpaceDN w:val="0"/>
                    <w:adjustRightInd w:val="0"/>
                    <w:spacing w:after="0"/>
                    <w:jc w:val="both"/>
                    <w:rPr>
                      <w:sz w:val="18"/>
                      <w:szCs w:val="18"/>
                    </w:rPr>
                  </w:pPr>
                  <w:r w:rsidRPr="00C20646">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7F854307" w14:textId="77777777" w:rsidR="00C20646" w:rsidRPr="00C20646" w:rsidRDefault="00C20646" w:rsidP="00C20646">
                  <w:pPr>
                    <w:widowControl w:val="0"/>
                    <w:tabs>
                      <w:tab w:val="left" w:pos="1170"/>
                    </w:tabs>
                    <w:autoSpaceDE w:val="0"/>
                    <w:autoSpaceDN w:val="0"/>
                    <w:adjustRightInd w:val="0"/>
                    <w:spacing w:after="0"/>
                    <w:jc w:val="both"/>
                    <w:rPr>
                      <w:sz w:val="18"/>
                      <w:szCs w:val="18"/>
                    </w:rPr>
                  </w:pPr>
                  <w:r w:rsidRPr="00C20646">
                    <w:rPr>
                      <w:sz w:val="18"/>
                      <w:szCs w:val="18"/>
                    </w:rPr>
                    <w:t>60%</w:t>
                  </w:r>
                </w:p>
              </w:tc>
            </w:tr>
            <w:tr w:rsidR="00C20646" w:rsidRPr="00C20646" w14:paraId="06C617CA" w14:textId="77777777">
              <w:tc>
                <w:tcPr>
                  <w:tcW w:w="3685" w:type="dxa"/>
                  <w:tcBorders>
                    <w:top w:val="single" w:sz="4" w:space="0" w:color="auto"/>
                    <w:left w:val="single" w:sz="4" w:space="0" w:color="auto"/>
                    <w:bottom w:val="single" w:sz="4" w:space="0" w:color="auto"/>
                    <w:right w:val="single" w:sz="4" w:space="0" w:color="auto"/>
                  </w:tcBorders>
                </w:tcPr>
                <w:p w14:paraId="05FEB2B9" w14:textId="77777777" w:rsidR="00C20646" w:rsidRPr="00C20646" w:rsidRDefault="00C20646" w:rsidP="00C20646">
                  <w:pPr>
                    <w:widowControl w:val="0"/>
                    <w:tabs>
                      <w:tab w:val="left" w:pos="1170"/>
                    </w:tabs>
                    <w:autoSpaceDE w:val="0"/>
                    <w:autoSpaceDN w:val="0"/>
                    <w:adjustRightInd w:val="0"/>
                    <w:spacing w:after="0"/>
                    <w:jc w:val="both"/>
                    <w:rPr>
                      <w:sz w:val="18"/>
                      <w:szCs w:val="18"/>
                    </w:rPr>
                  </w:pPr>
                  <w:r w:rsidRPr="00C20646">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171B20CD" w14:textId="77777777" w:rsidR="00C20646" w:rsidRPr="00C20646" w:rsidRDefault="00C20646" w:rsidP="00C20646">
                  <w:pPr>
                    <w:widowControl w:val="0"/>
                    <w:tabs>
                      <w:tab w:val="left" w:pos="1170"/>
                    </w:tabs>
                    <w:autoSpaceDE w:val="0"/>
                    <w:autoSpaceDN w:val="0"/>
                    <w:adjustRightInd w:val="0"/>
                    <w:spacing w:after="0"/>
                    <w:jc w:val="both"/>
                    <w:rPr>
                      <w:sz w:val="18"/>
                      <w:szCs w:val="18"/>
                    </w:rPr>
                  </w:pPr>
                  <w:r w:rsidRPr="00C20646">
                    <w:rPr>
                      <w:sz w:val="18"/>
                      <w:szCs w:val="18"/>
                    </w:rPr>
                    <w:t>70%</w:t>
                  </w:r>
                </w:p>
              </w:tc>
            </w:tr>
            <w:tr w:rsidR="00C20646" w:rsidRPr="00C20646" w14:paraId="77C3CF75" w14:textId="77777777">
              <w:tc>
                <w:tcPr>
                  <w:tcW w:w="3685" w:type="dxa"/>
                  <w:tcBorders>
                    <w:top w:val="single" w:sz="4" w:space="0" w:color="auto"/>
                    <w:left w:val="single" w:sz="4" w:space="0" w:color="auto"/>
                    <w:bottom w:val="single" w:sz="4" w:space="0" w:color="auto"/>
                    <w:right w:val="single" w:sz="4" w:space="0" w:color="auto"/>
                  </w:tcBorders>
                </w:tcPr>
                <w:p w14:paraId="788B6683" w14:textId="77777777" w:rsidR="00C20646" w:rsidRPr="00C20646" w:rsidRDefault="00C20646" w:rsidP="00C20646">
                  <w:pPr>
                    <w:widowControl w:val="0"/>
                    <w:tabs>
                      <w:tab w:val="left" w:pos="1170"/>
                    </w:tabs>
                    <w:autoSpaceDE w:val="0"/>
                    <w:autoSpaceDN w:val="0"/>
                    <w:adjustRightInd w:val="0"/>
                    <w:spacing w:after="0"/>
                    <w:jc w:val="both"/>
                    <w:rPr>
                      <w:sz w:val="18"/>
                      <w:szCs w:val="18"/>
                    </w:rPr>
                  </w:pPr>
                  <w:r w:rsidRPr="00C20646">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16E8B065" w14:textId="77777777" w:rsidR="00C20646" w:rsidRPr="00C20646" w:rsidRDefault="00C20646" w:rsidP="00C20646">
                  <w:pPr>
                    <w:widowControl w:val="0"/>
                    <w:tabs>
                      <w:tab w:val="left" w:pos="1170"/>
                    </w:tabs>
                    <w:autoSpaceDE w:val="0"/>
                    <w:autoSpaceDN w:val="0"/>
                    <w:adjustRightInd w:val="0"/>
                    <w:spacing w:after="0"/>
                    <w:jc w:val="both"/>
                    <w:rPr>
                      <w:sz w:val="18"/>
                      <w:szCs w:val="18"/>
                    </w:rPr>
                  </w:pPr>
                  <w:r w:rsidRPr="00C20646">
                    <w:rPr>
                      <w:sz w:val="18"/>
                      <w:szCs w:val="18"/>
                    </w:rPr>
                    <w:t>80%</w:t>
                  </w:r>
                </w:p>
              </w:tc>
            </w:tr>
            <w:tr w:rsidR="00C20646" w:rsidRPr="00C20646" w14:paraId="123F4B54" w14:textId="77777777">
              <w:tc>
                <w:tcPr>
                  <w:tcW w:w="3685" w:type="dxa"/>
                  <w:tcBorders>
                    <w:top w:val="single" w:sz="4" w:space="0" w:color="auto"/>
                    <w:left w:val="single" w:sz="4" w:space="0" w:color="auto"/>
                    <w:bottom w:val="single" w:sz="4" w:space="0" w:color="auto"/>
                    <w:right w:val="single" w:sz="4" w:space="0" w:color="auto"/>
                  </w:tcBorders>
                </w:tcPr>
                <w:p w14:paraId="2DFAA142" w14:textId="77777777" w:rsidR="00C20646" w:rsidRPr="00C20646" w:rsidRDefault="00C20646" w:rsidP="00C20646">
                  <w:pPr>
                    <w:widowControl w:val="0"/>
                    <w:tabs>
                      <w:tab w:val="left" w:pos="1170"/>
                    </w:tabs>
                    <w:autoSpaceDE w:val="0"/>
                    <w:autoSpaceDN w:val="0"/>
                    <w:adjustRightInd w:val="0"/>
                    <w:spacing w:after="0"/>
                    <w:jc w:val="both"/>
                    <w:rPr>
                      <w:sz w:val="18"/>
                      <w:szCs w:val="18"/>
                    </w:rPr>
                  </w:pPr>
                  <w:r w:rsidRPr="00C20646">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03092E3B" w14:textId="77777777" w:rsidR="00C20646" w:rsidRPr="00C20646" w:rsidRDefault="00C20646" w:rsidP="00C20646">
                  <w:pPr>
                    <w:widowControl w:val="0"/>
                    <w:tabs>
                      <w:tab w:val="left" w:pos="1170"/>
                    </w:tabs>
                    <w:autoSpaceDE w:val="0"/>
                    <w:autoSpaceDN w:val="0"/>
                    <w:adjustRightInd w:val="0"/>
                    <w:spacing w:after="0"/>
                    <w:jc w:val="both"/>
                    <w:rPr>
                      <w:sz w:val="18"/>
                      <w:szCs w:val="18"/>
                    </w:rPr>
                  </w:pPr>
                  <w:r w:rsidRPr="00C20646">
                    <w:rPr>
                      <w:sz w:val="18"/>
                      <w:szCs w:val="18"/>
                    </w:rPr>
                    <w:t>90%</w:t>
                  </w:r>
                </w:p>
              </w:tc>
            </w:tr>
            <w:tr w:rsidR="00C20646" w:rsidRPr="00C20646" w14:paraId="560C8CA2" w14:textId="77777777">
              <w:tc>
                <w:tcPr>
                  <w:tcW w:w="3685" w:type="dxa"/>
                  <w:tcBorders>
                    <w:top w:val="single" w:sz="4" w:space="0" w:color="auto"/>
                    <w:left w:val="single" w:sz="4" w:space="0" w:color="auto"/>
                    <w:bottom w:val="single" w:sz="4" w:space="0" w:color="auto"/>
                    <w:right w:val="single" w:sz="4" w:space="0" w:color="auto"/>
                  </w:tcBorders>
                </w:tcPr>
                <w:p w14:paraId="21398A58" w14:textId="77777777" w:rsidR="00C20646" w:rsidRPr="00C20646" w:rsidRDefault="00C20646" w:rsidP="00C20646">
                  <w:pPr>
                    <w:widowControl w:val="0"/>
                    <w:tabs>
                      <w:tab w:val="left" w:pos="1170"/>
                    </w:tabs>
                    <w:autoSpaceDE w:val="0"/>
                    <w:autoSpaceDN w:val="0"/>
                    <w:adjustRightInd w:val="0"/>
                    <w:spacing w:after="0"/>
                    <w:jc w:val="both"/>
                    <w:rPr>
                      <w:sz w:val="18"/>
                      <w:szCs w:val="18"/>
                    </w:rPr>
                  </w:pPr>
                  <w:r w:rsidRPr="00C20646">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377D1E9F" w14:textId="77777777" w:rsidR="00C20646" w:rsidRPr="00C20646" w:rsidRDefault="00C20646" w:rsidP="00C20646">
                  <w:pPr>
                    <w:widowControl w:val="0"/>
                    <w:tabs>
                      <w:tab w:val="left" w:pos="1170"/>
                    </w:tabs>
                    <w:autoSpaceDE w:val="0"/>
                    <w:autoSpaceDN w:val="0"/>
                    <w:adjustRightInd w:val="0"/>
                    <w:spacing w:after="0"/>
                    <w:jc w:val="both"/>
                    <w:rPr>
                      <w:sz w:val="18"/>
                      <w:szCs w:val="18"/>
                    </w:rPr>
                  </w:pPr>
                  <w:r w:rsidRPr="00C20646">
                    <w:rPr>
                      <w:sz w:val="18"/>
                      <w:szCs w:val="18"/>
                    </w:rPr>
                    <w:t>100%</w:t>
                  </w:r>
                </w:p>
              </w:tc>
            </w:tr>
          </w:tbl>
          <w:p w14:paraId="3A7BF8A5" w14:textId="77777777" w:rsidR="00C20646" w:rsidRPr="00C20646" w:rsidRDefault="00C20646" w:rsidP="00C20646">
            <w:pPr>
              <w:spacing w:after="0"/>
              <w:ind w:left="360"/>
              <w:jc w:val="both"/>
              <w:rPr>
                <w:b/>
              </w:rPr>
            </w:pPr>
            <w:r w:rsidRPr="00C20646">
              <w:rPr>
                <w:b/>
              </w:rPr>
              <w:t xml:space="preserve"> </w:t>
            </w:r>
          </w:p>
        </w:tc>
        <w:tc>
          <w:tcPr>
            <w:tcW w:w="1342" w:type="dxa"/>
            <w:tcBorders>
              <w:top w:val="single" w:sz="4" w:space="0" w:color="auto"/>
              <w:bottom w:val="single" w:sz="4" w:space="0" w:color="auto"/>
            </w:tcBorders>
          </w:tcPr>
          <w:p w14:paraId="40FEAAF5" w14:textId="77777777" w:rsidR="00C20646" w:rsidRPr="00C20646" w:rsidRDefault="00C20646" w:rsidP="00C20646">
            <w:pPr>
              <w:spacing w:before="120"/>
              <w:jc w:val="center"/>
              <w:rPr>
                <w:b/>
              </w:rPr>
            </w:pPr>
            <w:r w:rsidRPr="00C20646">
              <w:rPr>
                <w:b/>
              </w:rPr>
              <w:t>10</w:t>
            </w:r>
          </w:p>
        </w:tc>
      </w:tr>
      <w:tr w:rsidR="00C20646" w:rsidRPr="00C20646" w14:paraId="472FE659" w14:textId="77777777" w:rsidTr="7196A543">
        <w:tc>
          <w:tcPr>
            <w:tcW w:w="8362" w:type="dxa"/>
            <w:tcBorders>
              <w:top w:val="single" w:sz="4" w:space="0" w:color="auto"/>
              <w:bottom w:val="nil"/>
            </w:tcBorders>
          </w:tcPr>
          <w:p w14:paraId="37CD881C" w14:textId="77777777" w:rsidR="00C20646" w:rsidRPr="00C20646" w:rsidRDefault="00C20646" w:rsidP="00AA7B61">
            <w:pPr>
              <w:numPr>
                <w:ilvl w:val="0"/>
                <w:numId w:val="40"/>
              </w:numPr>
              <w:spacing w:before="120"/>
              <w:jc w:val="both"/>
              <w:rPr>
                <w:rFonts w:cs="Times New Roman"/>
                <w:b/>
                <w:bCs/>
                <w:smallCaps/>
              </w:rPr>
            </w:pPr>
            <w:r w:rsidRPr="00C20646">
              <w:rPr>
                <w:b/>
              </w:rPr>
              <w:t>Ratio of Direct Labor to Indirect Costs</w:t>
            </w:r>
          </w:p>
          <w:p w14:paraId="62EB6446" w14:textId="77777777" w:rsidR="00C20646" w:rsidRPr="00C20646" w:rsidRDefault="00C20646" w:rsidP="00C20646">
            <w:pPr>
              <w:spacing w:before="120"/>
              <w:ind w:left="330"/>
              <w:jc w:val="both"/>
            </w:pPr>
            <w:r w:rsidRPr="00C20646">
              <w:t>The score for this criterion will be calculated by the following formula:</w:t>
            </w:r>
          </w:p>
          <w:p w14:paraId="7B72C3EB" w14:textId="77777777" w:rsidR="00C20646" w:rsidRPr="00C20646" w:rsidRDefault="00C20646" w:rsidP="00C20646">
            <w:pPr>
              <w:spacing w:before="120"/>
              <w:ind w:left="330"/>
              <w:jc w:val="center"/>
            </w:pPr>
          </w:p>
          <w:p w14:paraId="7CD2FD30" w14:textId="77777777" w:rsidR="00C20646" w:rsidRPr="00C20646" w:rsidRDefault="00000000" w:rsidP="00C20646">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45480D27" w14:textId="77777777" w:rsidR="00C20646" w:rsidRPr="00C20646" w:rsidRDefault="00C20646" w:rsidP="00C20646">
            <w:pPr>
              <w:spacing w:before="120"/>
              <w:ind w:left="330"/>
              <w:jc w:val="both"/>
            </w:pPr>
            <w:r w:rsidRPr="00C20646">
              <w:br/>
              <w:t>This ratio will then be multiplied by the maximum possible points for this criterion and rounded to two decimal places.</w:t>
            </w:r>
          </w:p>
          <w:p w14:paraId="782D6E9A" w14:textId="77777777" w:rsidR="00C20646" w:rsidRPr="00C20646" w:rsidRDefault="00C20646" w:rsidP="00C20646">
            <w:pPr>
              <w:spacing w:before="120"/>
              <w:ind w:left="330"/>
              <w:jc w:val="both"/>
            </w:pPr>
            <w:r w:rsidRPr="00C20646">
              <w:t>NOTE: For the purposes of this criterion, the CEC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01F8F732" w14:textId="77777777" w:rsidR="00C20646" w:rsidRPr="00C20646" w:rsidRDefault="00C20646" w:rsidP="00C20646">
            <w:pPr>
              <w:spacing w:before="120"/>
              <w:jc w:val="center"/>
              <w:rPr>
                <w:b/>
              </w:rPr>
            </w:pPr>
            <w:r w:rsidRPr="00C20646">
              <w:rPr>
                <w:b/>
              </w:rPr>
              <w:t>5</w:t>
            </w:r>
          </w:p>
        </w:tc>
      </w:tr>
      <w:tr w:rsidR="00C20646" w:rsidRPr="00C20646" w14:paraId="24F0B2F1" w14:textId="77777777" w:rsidTr="7196A543">
        <w:trPr>
          <w:trHeight w:val="647"/>
        </w:trPr>
        <w:tc>
          <w:tcPr>
            <w:tcW w:w="8362" w:type="dxa"/>
            <w:tcBorders>
              <w:top w:val="nil"/>
              <w:bottom w:val="single" w:sz="4" w:space="0" w:color="auto"/>
            </w:tcBorders>
            <w:shd w:val="clear" w:color="auto" w:fill="D9D9D9" w:themeFill="background1" w:themeFillShade="D9"/>
          </w:tcPr>
          <w:p w14:paraId="13A4AC1E" w14:textId="77777777" w:rsidR="00C20646" w:rsidRPr="00C20646" w:rsidRDefault="00C20646" w:rsidP="00C20646">
            <w:pPr>
              <w:spacing w:before="120" w:after="0"/>
              <w:jc w:val="both"/>
              <w:rPr>
                <w:b/>
              </w:rPr>
            </w:pPr>
            <w:r w:rsidRPr="00C20646">
              <w:rPr>
                <w:b/>
              </w:rPr>
              <w:t>Total Possible Points</w:t>
            </w:r>
          </w:p>
          <w:p w14:paraId="2F6BC5D4" w14:textId="77777777" w:rsidR="00C20646" w:rsidRPr="00C20646" w:rsidRDefault="00C20646" w:rsidP="00C20646">
            <w:pPr>
              <w:jc w:val="both"/>
              <w:rPr>
                <w:b/>
              </w:rPr>
            </w:pPr>
            <w:r w:rsidRPr="00C20646">
              <w:rPr>
                <w:b/>
              </w:rPr>
              <w:t xml:space="preserve">(Minimum Passing Score for Criteria 1 – 7 is 70% or </w:t>
            </w:r>
            <w:r w:rsidRPr="00C20646">
              <w:rPr>
                <w:b/>
                <w:u w:val="single"/>
              </w:rPr>
              <w:t>70.00</w:t>
            </w:r>
            <w:r w:rsidRPr="00C20646">
              <w:rPr>
                <w:b/>
              </w:rPr>
              <w:t>)</w:t>
            </w:r>
          </w:p>
        </w:tc>
        <w:tc>
          <w:tcPr>
            <w:tcW w:w="1342" w:type="dxa"/>
            <w:tcBorders>
              <w:top w:val="nil"/>
              <w:bottom w:val="single" w:sz="4" w:space="0" w:color="auto"/>
            </w:tcBorders>
            <w:shd w:val="clear" w:color="auto" w:fill="D9D9D9" w:themeFill="background1" w:themeFillShade="D9"/>
          </w:tcPr>
          <w:p w14:paraId="54912211" w14:textId="77777777" w:rsidR="00C20646" w:rsidRPr="00C20646" w:rsidRDefault="00C20646" w:rsidP="00C20646">
            <w:pPr>
              <w:spacing w:after="0"/>
              <w:jc w:val="both"/>
              <w:rPr>
                <w:b/>
              </w:rPr>
            </w:pPr>
          </w:p>
          <w:p w14:paraId="5ED4CE06" w14:textId="77777777" w:rsidR="00C20646" w:rsidRPr="00C20646" w:rsidRDefault="00C20646" w:rsidP="00C20646">
            <w:pPr>
              <w:jc w:val="center"/>
              <w:rPr>
                <w:b/>
              </w:rPr>
            </w:pPr>
            <w:r w:rsidRPr="00C20646">
              <w:rPr>
                <w:b/>
              </w:rPr>
              <w:t>100</w:t>
            </w:r>
          </w:p>
        </w:tc>
      </w:tr>
    </w:tbl>
    <w:p w14:paraId="5F86E3E4" w14:textId="77777777" w:rsidR="00C20646" w:rsidRPr="00C20646" w:rsidRDefault="00C20646" w:rsidP="00C20646">
      <w:pPr>
        <w:rPr>
          <w:b/>
          <w:caps/>
          <w:u w:val="single"/>
        </w:rPr>
      </w:pPr>
    </w:p>
    <w:tbl>
      <w:tblPr>
        <w:tblStyle w:val="TableGrid"/>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C20646" w:rsidRPr="00C20646" w14:paraId="412CF7A7" w14:textId="77777777">
        <w:trPr>
          <w:tblHeader/>
        </w:trPr>
        <w:tc>
          <w:tcPr>
            <w:tcW w:w="8365" w:type="dxa"/>
            <w:shd w:val="clear" w:color="auto" w:fill="D9D9D9" w:themeFill="background1" w:themeFillShade="D9"/>
            <w:vAlign w:val="bottom"/>
          </w:tcPr>
          <w:p w14:paraId="54E19AD6" w14:textId="77777777" w:rsidR="00C20646" w:rsidRPr="00C20646" w:rsidRDefault="00C20646" w:rsidP="00C20646">
            <w:pPr>
              <w:keepNext/>
              <w:spacing w:before="60" w:after="60" w:line="360" w:lineRule="auto"/>
              <w:rPr>
                <w:b/>
                <w:sz w:val="28"/>
                <w:szCs w:val="28"/>
              </w:rPr>
            </w:pPr>
            <w:r w:rsidRPr="00C20646">
              <w:rPr>
                <w:b/>
              </w:rPr>
              <w:lastRenderedPageBreak/>
              <w:t>Scoring Criteria</w:t>
            </w:r>
          </w:p>
        </w:tc>
        <w:tc>
          <w:tcPr>
            <w:tcW w:w="1350" w:type="dxa"/>
            <w:shd w:val="clear" w:color="auto" w:fill="D9D9D9" w:themeFill="background1" w:themeFillShade="D9"/>
            <w:vAlign w:val="center"/>
          </w:tcPr>
          <w:p w14:paraId="6DFDEAFE" w14:textId="77777777" w:rsidR="00C20646" w:rsidRPr="00C20646" w:rsidRDefault="00C20646" w:rsidP="00C20646">
            <w:pPr>
              <w:keepNext/>
              <w:spacing w:before="60" w:after="60"/>
              <w:jc w:val="center"/>
              <w:rPr>
                <w:b/>
                <w:sz w:val="28"/>
                <w:szCs w:val="28"/>
              </w:rPr>
            </w:pPr>
            <w:r w:rsidRPr="00C20646">
              <w:rPr>
                <w:b/>
              </w:rPr>
              <w:t>Maximum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olicitation Application Scoring Criteria "/>
        <w:tblDescription w:val="This table details how applicants will be scored."/>
      </w:tblPr>
      <w:tblGrid>
        <w:gridCol w:w="8362"/>
        <w:gridCol w:w="1342"/>
      </w:tblGrid>
      <w:tr w:rsidR="00C20646" w:rsidRPr="00C20646" w14:paraId="25E0791F" w14:textId="77777777">
        <w:trPr>
          <w:trHeight w:val="4850"/>
        </w:trPr>
        <w:tc>
          <w:tcPr>
            <w:tcW w:w="8362" w:type="dxa"/>
            <w:tcBorders>
              <w:bottom w:val="single" w:sz="4" w:space="0" w:color="auto"/>
            </w:tcBorders>
            <w:shd w:val="clear" w:color="auto" w:fill="auto"/>
          </w:tcPr>
          <w:p w14:paraId="7525925D" w14:textId="77777777" w:rsidR="00C20646" w:rsidRPr="00C20646" w:rsidRDefault="00C20646" w:rsidP="00AA7B61">
            <w:pPr>
              <w:keepNext/>
              <w:numPr>
                <w:ilvl w:val="0"/>
                <w:numId w:val="40"/>
              </w:numPr>
              <w:spacing w:before="120"/>
              <w:jc w:val="both"/>
              <w:rPr>
                <w:b/>
                <w:szCs w:val="22"/>
              </w:rPr>
            </w:pPr>
            <w:r w:rsidRPr="00C20646">
              <w:rPr>
                <w:b/>
                <w:szCs w:val="22"/>
              </w:rPr>
              <w:t xml:space="preserve">Match Funds </w:t>
            </w:r>
          </w:p>
          <w:p w14:paraId="3D6CEBAD" w14:textId="77777777" w:rsidR="00C20646" w:rsidRPr="00C20646" w:rsidRDefault="00C20646" w:rsidP="00C20646">
            <w:pPr>
              <w:keepNext/>
              <w:numPr>
                <w:ilvl w:val="0"/>
                <w:numId w:val="65"/>
              </w:numPr>
              <w:spacing w:line="280" w:lineRule="atLeast"/>
              <w:ind w:left="1050"/>
              <w:rPr>
                <w:color w:val="000000"/>
                <w:szCs w:val="22"/>
              </w:rPr>
            </w:pPr>
            <w:r w:rsidRPr="00C20646">
              <w:rPr>
                <w:color w:val="000000"/>
                <w:szCs w:val="22"/>
              </w:rPr>
              <w:t>Cash match share is preferred; however, in-kind cost share is permitted and will be considered</w:t>
            </w:r>
            <w:r w:rsidRPr="00C20646">
              <w:rPr>
                <w:rFonts w:ascii="Palatino Linotype" w:hAnsi="Palatino Linotype" w:cs="Times New Roman"/>
                <w:color w:val="000000"/>
              </w:rPr>
              <w:t xml:space="preserve"> </w:t>
            </w:r>
            <w:r w:rsidRPr="00C20646">
              <w:rPr>
                <w:color w:val="000000"/>
                <w:szCs w:val="22"/>
              </w:rPr>
              <w:t>for solicitation match requirements. Points for this criterion will be evaluated based on the proposed cash match relative to the total match (cash + in-kind) contributions using the Cash Match Scoring Table:</w:t>
            </w:r>
          </w:p>
          <w:p w14:paraId="169A2949" w14:textId="77777777" w:rsidR="00C20646" w:rsidRPr="00C20646" w:rsidRDefault="00C20646" w:rsidP="00C20646">
            <w:pPr>
              <w:keepNext/>
              <w:spacing w:after="0" w:line="280" w:lineRule="atLeast"/>
              <w:jc w:val="center"/>
              <w:rPr>
                <w:color w:val="000000"/>
                <w:szCs w:val="22"/>
              </w:rPr>
            </w:pPr>
            <w:r w:rsidRPr="00C20646">
              <w:rPr>
                <w:b/>
                <w:sz w:val="28"/>
                <w:szCs w:val="22"/>
              </w:rPr>
              <w:t>Cash Match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C20646" w:rsidRPr="00C20646" w14:paraId="230081C6" w14:textId="77777777">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332E9C67" w14:textId="77777777" w:rsidR="00C20646" w:rsidRPr="00C20646" w:rsidRDefault="00C20646" w:rsidP="00C20646">
                  <w:pPr>
                    <w:keepNext/>
                    <w:spacing w:after="60" w:line="280" w:lineRule="atLeast"/>
                    <w:rPr>
                      <w:szCs w:val="22"/>
                    </w:rPr>
                  </w:pPr>
                  <w:r w:rsidRPr="00C20646">
                    <w:rPr>
                      <w:szCs w:val="22"/>
                    </w:rPr>
                    <w:t>Percentage of Proposed Cash Match Funds</w:t>
                  </w:r>
                </w:p>
              </w:tc>
              <w:tc>
                <w:tcPr>
                  <w:tcW w:w="975" w:type="dxa"/>
                  <w:shd w:val="clear" w:color="auto" w:fill="BFBFBF"/>
                </w:tcPr>
                <w:p w14:paraId="1E32EED1" w14:textId="77777777" w:rsidR="00C20646" w:rsidRPr="00C20646" w:rsidRDefault="00C20646" w:rsidP="00C20646">
                  <w:pPr>
                    <w:keepNext/>
                    <w:spacing w:after="0" w:line="280" w:lineRule="atLeast"/>
                    <w:rPr>
                      <w:szCs w:val="22"/>
                    </w:rPr>
                  </w:pPr>
                  <w:r w:rsidRPr="00C20646">
                    <w:rPr>
                      <w:szCs w:val="22"/>
                    </w:rPr>
                    <w:t>Score</w:t>
                  </w:r>
                </w:p>
              </w:tc>
            </w:tr>
            <w:tr w:rsidR="00C20646" w:rsidRPr="00C20646" w14:paraId="07D3BDDA" w14:textId="77777777">
              <w:trPr>
                <w:trHeight w:val="344"/>
                <w:jc w:val="center"/>
              </w:trPr>
              <w:tc>
                <w:tcPr>
                  <w:tcW w:w="2500" w:type="dxa"/>
                  <w:vAlign w:val="bottom"/>
                </w:tcPr>
                <w:p w14:paraId="657F4518" w14:textId="77777777" w:rsidR="00C20646" w:rsidRPr="00C20646" w:rsidRDefault="00C20646" w:rsidP="00C20646">
                  <w:pPr>
                    <w:keepNext/>
                    <w:spacing w:after="60"/>
                    <w:jc w:val="center"/>
                    <w:rPr>
                      <w:szCs w:val="22"/>
                    </w:rPr>
                  </w:pPr>
                  <w:r w:rsidRPr="00C20646">
                    <w:rPr>
                      <w:szCs w:val="22"/>
                    </w:rPr>
                    <w:t>80 to 100%</w:t>
                  </w:r>
                </w:p>
              </w:tc>
              <w:tc>
                <w:tcPr>
                  <w:tcW w:w="975" w:type="dxa"/>
                  <w:vAlign w:val="bottom"/>
                </w:tcPr>
                <w:p w14:paraId="5E8AA473" w14:textId="77777777" w:rsidR="00C20646" w:rsidRPr="00C20646" w:rsidRDefault="00C20646" w:rsidP="00C20646">
                  <w:pPr>
                    <w:keepNext/>
                    <w:spacing w:after="60"/>
                    <w:ind w:left="58"/>
                    <w:jc w:val="center"/>
                    <w:rPr>
                      <w:szCs w:val="22"/>
                    </w:rPr>
                  </w:pPr>
                  <w:r w:rsidRPr="00C20646">
                    <w:rPr>
                      <w:szCs w:val="22"/>
                    </w:rPr>
                    <w:t>5</w:t>
                  </w:r>
                </w:p>
              </w:tc>
            </w:tr>
            <w:tr w:rsidR="00C20646" w:rsidRPr="00C20646" w14:paraId="09899270" w14:textId="77777777">
              <w:trPr>
                <w:trHeight w:val="372"/>
                <w:jc w:val="center"/>
              </w:trPr>
              <w:tc>
                <w:tcPr>
                  <w:tcW w:w="2500" w:type="dxa"/>
                  <w:vAlign w:val="bottom"/>
                </w:tcPr>
                <w:p w14:paraId="61270127" w14:textId="77777777" w:rsidR="00C20646" w:rsidRPr="00C20646" w:rsidRDefault="00C20646" w:rsidP="00C20646">
                  <w:pPr>
                    <w:keepNext/>
                    <w:spacing w:after="60"/>
                    <w:ind w:left="61"/>
                    <w:jc w:val="center"/>
                    <w:rPr>
                      <w:szCs w:val="22"/>
                    </w:rPr>
                  </w:pPr>
                  <w:r w:rsidRPr="00C20646">
                    <w:rPr>
                      <w:szCs w:val="22"/>
                    </w:rPr>
                    <w:t>60 to &lt;80%</w:t>
                  </w:r>
                </w:p>
              </w:tc>
              <w:tc>
                <w:tcPr>
                  <w:tcW w:w="975" w:type="dxa"/>
                  <w:vAlign w:val="bottom"/>
                </w:tcPr>
                <w:p w14:paraId="30640E69" w14:textId="77777777" w:rsidR="00C20646" w:rsidRPr="00C20646" w:rsidRDefault="00C20646" w:rsidP="00C20646">
                  <w:pPr>
                    <w:keepNext/>
                    <w:spacing w:after="60"/>
                    <w:ind w:left="61"/>
                    <w:jc w:val="center"/>
                    <w:rPr>
                      <w:szCs w:val="22"/>
                    </w:rPr>
                  </w:pPr>
                  <w:r w:rsidRPr="00C20646">
                    <w:rPr>
                      <w:szCs w:val="22"/>
                    </w:rPr>
                    <w:t>4</w:t>
                  </w:r>
                </w:p>
              </w:tc>
            </w:tr>
            <w:tr w:rsidR="00C20646" w:rsidRPr="00C20646" w14:paraId="4047A261" w14:textId="77777777">
              <w:trPr>
                <w:trHeight w:val="363"/>
                <w:jc w:val="center"/>
              </w:trPr>
              <w:tc>
                <w:tcPr>
                  <w:tcW w:w="2500" w:type="dxa"/>
                  <w:vAlign w:val="bottom"/>
                </w:tcPr>
                <w:p w14:paraId="7DC38051" w14:textId="77777777" w:rsidR="00C20646" w:rsidRPr="00C20646" w:rsidRDefault="00C20646" w:rsidP="00C20646">
                  <w:pPr>
                    <w:keepNext/>
                    <w:spacing w:after="60"/>
                    <w:ind w:left="61"/>
                    <w:jc w:val="center"/>
                    <w:rPr>
                      <w:szCs w:val="22"/>
                    </w:rPr>
                  </w:pPr>
                  <w:r w:rsidRPr="00C20646">
                    <w:rPr>
                      <w:szCs w:val="22"/>
                    </w:rPr>
                    <w:t>40 to &lt;60%</w:t>
                  </w:r>
                </w:p>
              </w:tc>
              <w:tc>
                <w:tcPr>
                  <w:tcW w:w="975" w:type="dxa"/>
                  <w:vAlign w:val="bottom"/>
                </w:tcPr>
                <w:p w14:paraId="501E9504" w14:textId="77777777" w:rsidR="00C20646" w:rsidRPr="00C20646" w:rsidRDefault="00C20646" w:rsidP="00C20646">
                  <w:pPr>
                    <w:keepNext/>
                    <w:spacing w:after="60"/>
                    <w:ind w:left="61"/>
                    <w:jc w:val="center"/>
                    <w:rPr>
                      <w:szCs w:val="22"/>
                    </w:rPr>
                  </w:pPr>
                  <w:r w:rsidRPr="00C20646">
                    <w:rPr>
                      <w:szCs w:val="22"/>
                    </w:rPr>
                    <w:t>3</w:t>
                  </w:r>
                </w:p>
              </w:tc>
            </w:tr>
            <w:tr w:rsidR="00C20646" w:rsidRPr="00C20646" w14:paraId="2D499F30" w14:textId="77777777">
              <w:trPr>
                <w:trHeight w:val="363"/>
                <w:jc w:val="center"/>
              </w:trPr>
              <w:tc>
                <w:tcPr>
                  <w:tcW w:w="2500" w:type="dxa"/>
                  <w:vAlign w:val="bottom"/>
                </w:tcPr>
                <w:p w14:paraId="172D3A9C" w14:textId="77777777" w:rsidR="00C20646" w:rsidRPr="00C20646" w:rsidRDefault="00C20646" w:rsidP="00C20646">
                  <w:pPr>
                    <w:keepNext/>
                    <w:spacing w:after="60"/>
                    <w:ind w:left="58"/>
                    <w:jc w:val="center"/>
                    <w:rPr>
                      <w:szCs w:val="22"/>
                    </w:rPr>
                  </w:pPr>
                  <w:r w:rsidRPr="00C20646">
                    <w:rPr>
                      <w:szCs w:val="22"/>
                    </w:rPr>
                    <w:t>20 to &lt;40%</w:t>
                  </w:r>
                </w:p>
              </w:tc>
              <w:tc>
                <w:tcPr>
                  <w:tcW w:w="975" w:type="dxa"/>
                  <w:vAlign w:val="bottom"/>
                </w:tcPr>
                <w:p w14:paraId="3D2E1E35" w14:textId="77777777" w:rsidR="00C20646" w:rsidRPr="00C20646" w:rsidRDefault="00C20646" w:rsidP="00C20646">
                  <w:pPr>
                    <w:keepNext/>
                    <w:spacing w:after="60"/>
                    <w:ind w:left="58"/>
                    <w:jc w:val="center"/>
                    <w:rPr>
                      <w:szCs w:val="22"/>
                    </w:rPr>
                  </w:pPr>
                  <w:r w:rsidRPr="00C20646">
                    <w:rPr>
                      <w:szCs w:val="22"/>
                    </w:rPr>
                    <w:t>2</w:t>
                  </w:r>
                </w:p>
              </w:tc>
            </w:tr>
            <w:tr w:rsidR="00C20646" w:rsidRPr="00C20646" w14:paraId="4D8190C2" w14:textId="77777777">
              <w:trPr>
                <w:trHeight w:val="363"/>
                <w:jc w:val="center"/>
              </w:trPr>
              <w:tc>
                <w:tcPr>
                  <w:tcW w:w="2500" w:type="dxa"/>
                  <w:vAlign w:val="bottom"/>
                </w:tcPr>
                <w:p w14:paraId="7C6CB64C" w14:textId="77777777" w:rsidR="00C20646" w:rsidRPr="00C20646" w:rsidRDefault="00C20646" w:rsidP="00C20646">
                  <w:pPr>
                    <w:keepNext/>
                    <w:spacing w:after="60"/>
                    <w:ind w:left="58"/>
                    <w:jc w:val="center"/>
                    <w:rPr>
                      <w:szCs w:val="22"/>
                    </w:rPr>
                  </w:pPr>
                  <w:r w:rsidRPr="00C20646">
                    <w:rPr>
                      <w:szCs w:val="22"/>
                    </w:rPr>
                    <w:t>10 to &lt;20%</w:t>
                  </w:r>
                </w:p>
              </w:tc>
              <w:tc>
                <w:tcPr>
                  <w:tcW w:w="975" w:type="dxa"/>
                  <w:vAlign w:val="bottom"/>
                </w:tcPr>
                <w:p w14:paraId="719A74D9" w14:textId="77777777" w:rsidR="00C20646" w:rsidRPr="00C20646" w:rsidRDefault="00C20646" w:rsidP="00C20646">
                  <w:pPr>
                    <w:keepNext/>
                    <w:spacing w:after="60"/>
                    <w:ind w:left="58"/>
                    <w:jc w:val="center"/>
                    <w:rPr>
                      <w:szCs w:val="22"/>
                    </w:rPr>
                  </w:pPr>
                  <w:r w:rsidRPr="00C20646">
                    <w:rPr>
                      <w:szCs w:val="22"/>
                    </w:rPr>
                    <w:t>1</w:t>
                  </w:r>
                </w:p>
              </w:tc>
            </w:tr>
          </w:tbl>
          <w:p w14:paraId="7E9B39EA" w14:textId="77777777" w:rsidR="00C20646" w:rsidRPr="00C20646" w:rsidRDefault="00C20646" w:rsidP="00C20646">
            <w:pPr>
              <w:keepNext/>
              <w:spacing w:line="280" w:lineRule="atLeast"/>
              <w:jc w:val="both"/>
              <w:rPr>
                <w:i/>
                <w:color w:val="00B0F0"/>
                <w:szCs w:val="22"/>
              </w:rPr>
            </w:pPr>
            <w:r w:rsidRPr="00C20646">
              <w:rPr>
                <w:i/>
                <w:color w:val="00B0F0"/>
                <w:szCs w:val="22"/>
              </w:rPr>
              <w:t xml:space="preserve"> </w:t>
            </w:r>
          </w:p>
        </w:tc>
        <w:tc>
          <w:tcPr>
            <w:tcW w:w="1342" w:type="dxa"/>
            <w:tcBorders>
              <w:bottom w:val="single" w:sz="4" w:space="0" w:color="auto"/>
            </w:tcBorders>
            <w:shd w:val="clear" w:color="auto" w:fill="auto"/>
          </w:tcPr>
          <w:p w14:paraId="2409C53D" w14:textId="77777777" w:rsidR="00C20646" w:rsidRPr="00C20646" w:rsidRDefault="00C20646" w:rsidP="00C20646">
            <w:pPr>
              <w:keepNext/>
              <w:spacing w:before="120" w:after="0"/>
              <w:jc w:val="center"/>
              <w:rPr>
                <w:b/>
                <w:szCs w:val="22"/>
              </w:rPr>
            </w:pPr>
            <w:r w:rsidRPr="00C20646">
              <w:rPr>
                <w:b/>
                <w:szCs w:val="22"/>
              </w:rPr>
              <w:t>5</w:t>
            </w:r>
          </w:p>
        </w:tc>
      </w:tr>
      <w:tr w:rsidR="00C20646" w:rsidRPr="00C20646" w14:paraId="11221867" w14:textId="77777777">
        <w:trPr>
          <w:trHeight w:val="647"/>
        </w:trPr>
        <w:tc>
          <w:tcPr>
            <w:tcW w:w="8362" w:type="dxa"/>
            <w:tcBorders>
              <w:bottom w:val="single" w:sz="4" w:space="0" w:color="auto"/>
            </w:tcBorders>
            <w:shd w:val="clear" w:color="auto" w:fill="auto"/>
          </w:tcPr>
          <w:p w14:paraId="2F936A70" w14:textId="77777777" w:rsidR="00C20646" w:rsidRPr="00C20646" w:rsidRDefault="00C20646" w:rsidP="00C20646">
            <w:pPr>
              <w:keepNext/>
              <w:numPr>
                <w:ilvl w:val="0"/>
                <w:numId w:val="65"/>
              </w:numPr>
              <w:spacing w:line="280" w:lineRule="atLeast"/>
              <w:ind w:left="1050"/>
            </w:pPr>
            <w:r w:rsidRPr="00C20646">
              <w:t>Additional points will be awarded to applications that exceed the minimum match requirements based on the percentage amount above minimum using the Exceeds Minimum Match Scoring table:</w:t>
            </w:r>
          </w:p>
          <w:p w14:paraId="45670BCD" w14:textId="77777777" w:rsidR="00C20646" w:rsidRPr="00C20646" w:rsidRDefault="00C20646" w:rsidP="00C20646">
            <w:pPr>
              <w:keepLines/>
              <w:spacing w:before="120"/>
              <w:jc w:val="center"/>
            </w:pPr>
            <w:r w:rsidRPr="00C20646">
              <w:rPr>
                <w:b/>
                <w:sz w:val="28"/>
                <w:szCs w:val="22"/>
              </w:rPr>
              <w:t xml:space="preserve">Exceeds Minimum </w:t>
            </w:r>
            <w:r w:rsidRPr="00C20646">
              <w:rPr>
                <w:b/>
                <w:sz w:val="28"/>
                <w:szCs w:val="22"/>
              </w:rPr>
              <w:br/>
              <w:t>Match Scoring Table</w:t>
            </w:r>
          </w:p>
          <w:tbl>
            <w:tblPr>
              <w:tblStyle w:val="TableGrid3"/>
              <w:tblW w:w="3580" w:type="dxa"/>
              <w:jc w:val="center"/>
              <w:tblLook w:val="04A0" w:firstRow="1" w:lastRow="0" w:firstColumn="1" w:lastColumn="0" w:noHBand="0" w:noVBand="1"/>
              <w:tblCaption w:val="Exceeds Minimum Match Scoring Table"/>
              <w:tblDescription w:val="This table outlines preference points awarded to applications for proposed match funds that exceed the minimum match required in solicitation. Match funds that qualify may recieve up to 5 points. "/>
            </w:tblPr>
            <w:tblGrid>
              <w:gridCol w:w="2590"/>
              <w:gridCol w:w="990"/>
            </w:tblGrid>
            <w:tr w:rsidR="00C20646" w:rsidRPr="00C20646" w14:paraId="74A00752" w14:textId="77777777">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90" w:type="dxa"/>
                  <w:shd w:val="clear" w:color="auto" w:fill="BFBFBF"/>
                </w:tcPr>
                <w:p w14:paraId="1D3C8B65" w14:textId="77777777" w:rsidR="00C20646" w:rsidRPr="00C20646" w:rsidRDefault="00C20646" w:rsidP="00C20646">
                  <w:pPr>
                    <w:spacing w:after="60" w:line="280" w:lineRule="atLeast"/>
                    <w:rPr>
                      <w:szCs w:val="22"/>
                    </w:rPr>
                  </w:pPr>
                  <w:r w:rsidRPr="00C20646">
                    <w:rPr>
                      <w:szCs w:val="22"/>
                    </w:rPr>
                    <w:t xml:space="preserve">Percentage above Minimum Match </w:t>
                  </w:r>
                  <w:r w:rsidRPr="00C20646">
                    <w:rPr>
                      <w:rFonts w:ascii="Calibri" w:eastAsia="Calibri" w:hAnsi="Calibri" w:cs="Times New Roman"/>
                      <w:szCs w:val="22"/>
                    </w:rPr>
                    <w:t>(cash and in-kind)</w:t>
                  </w:r>
                </w:p>
              </w:tc>
              <w:tc>
                <w:tcPr>
                  <w:tcW w:w="990" w:type="dxa"/>
                  <w:shd w:val="clear" w:color="auto" w:fill="BFBFBF"/>
                </w:tcPr>
                <w:p w14:paraId="36BC65F4" w14:textId="77777777" w:rsidR="00C20646" w:rsidRPr="00C20646" w:rsidRDefault="00C20646" w:rsidP="00C20646">
                  <w:pPr>
                    <w:spacing w:after="0" w:line="280" w:lineRule="atLeast"/>
                    <w:rPr>
                      <w:szCs w:val="22"/>
                    </w:rPr>
                  </w:pPr>
                  <w:r w:rsidRPr="00C20646">
                    <w:rPr>
                      <w:szCs w:val="22"/>
                    </w:rPr>
                    <w:t>Score</w:t>
                  </w:r>
                </w:p>
              </w:tc>
            </w:tr>
            <w:tr w:rsidR="00C20646" w:rsidRPr="00C20646" w14:paraId="25F97655" w14:textId="77777777">
              <w:trPr>
                <w:trHeight w:val="344"/>
                <w:jc w:val="center"/>
              </w:trPr>
              <w:tc>
                <w:tcPr>
                  <w:tcW w:w="2590" w:type="dxa"/>
                  <w:vAlign w:val="bottom"/>
                </w:tcPr>
                <w:p w14:paraId="3A45D225" w14:textId="77777777" w:rsidR="00C20646" w:rsidRPr="00C20646" w:rsidRDefault="00C20646" w:rsidP="00C20646">
                  <w:pPr>
                    <w:spacing w:after="60"/>
                    <w:jc w:val="center"/>
                    <w:rPr>
                      <w:szCs w:val="22"/>
                    </w:rPr>
                  </w:pPr>
                  <m:oMath>
                    <m:r>
                      <w:rPr>
                        <w:rFonts w:ascii="Cambria Math" w:hAnsi="Cambria Math"/>
                        <w:szCs w:val="22"/>
                      </w:rPr>
                      <m:t>≥</m:t>
                    </m:r>
                  </m:oMath>
                  <w:r w:rsidRPr="00C20646">
                    <w:rPr>
                      <w:szCs w:val="22"/>
                    </w:rPr>
                    <w:t xml:space="preserve"> 80%</w:t>
                  </w:r>
                </w:p>
              </w:tc>
              <w:tc>
                <w:tcPr>
                  <w:tcW w:w="990" w:type="dxa"/>
                  <w:vAlign w:val="bottom"/>
                </w:tcPr>
                <w:p w14:paraId="239BAAF0" w14:textId="77777777" w:rsidR="00C20646" w:rsidRPr="00C20646" w:rsidRDefault="00C20646" w:rsidP="00C20646">
                  <w:pPr>
                    <w:spacing w:after="60"/>
                    <w:ind w:left="58"/>
                    <w:jc w:val="center"/>
                    <w:rPr>
                      <w:szCs w:val="22"/>
                    </w:rPr>
                  </w:pPr>
                  <w:r w:rsidRPr="00C20646">
                    <w:rPr>
                      <w:szCs w:val="22"/>
                    </w:rPr>
                    <w:t>5</w:t>
                  </w:r>
                </w:p>
              </w:tc>
            </w:tr>
            <w:tr w:rsidR="00C20646" w:rsidRPr="00C20646" w14:paraId="2283953B" w14:textId="77777777">
              <w:trPr>
                <w:trHeight w:val="372"/>
                <w:jc w:val="center"/>
              </w:trPr>
              <w:tc>
                <w:tcPr>
                  <w:tcW w:w="2590" w:type="dxa"/>
                  <w:vAlign w:val="bottom"/>
                </w:tcPr>
                <w:p w14:paraId="6E3D56BE" w14:textId="77777777" w:rsidR="00C20646" w:rsidRPr="00C20646" w:rsidRDefault="00C20646" w:rsidP="00C20646">
                  <w:pPr>
                    <w:spacing w:after="60"/>
                    <w:ind w:left="61"/>
                    <w:jc w:val="center"/>
                    <w:rPr>
                      <w:szCs w:val="22"/>
                    </w:rPr>
                  </w:pPr>
                  <w:r w:rsidRPr="00C20646">
                    <w:rPr>
                      <w:szCs w:val="22"/>
                    </w:rPr>
                    <w:t>60 to &lt;80%</w:t>
                  </w:r>
                </w:p>
              </w:tc>
              <w:tc>
                <w:tcPr>
                  <w:tcW w:w="990" w:type="dxa"/>
                  <w:vAlign w:val="bottom"/>
                </w:tcPr>
                <w:p w14:paraId="4235BC3F" w14:textId="77777777" w:rsidR="00C20646" w:rsidRPr="00C20646" w:rsidRDefault="00C20646" w:rsidP="00C20646">
                  <w:pPr>
                    <w:spacing w:after="60"/>
                    <w:ind w:left="61"/>
                    <w:jc w:val="center"/>
                    <w:rPr>
                      <w:szCs w:val="22"/>
                    </w:rPr>
                  </w:pPr>
                  <w:r w:rsidRPr="00C20646">
                    <w:rPr>
                      <w:szCs w:val="22"/>
                    </w:rPr>
                    <w:t>4</w:t>
                  </w:r>
                </w:p>
              </w:tc>
            </w:tr>
            <w:tr w:rsidR="00C20646" w:rsidRPr="00C20646" w14:paraId="01D8392F" w14:textId="77777777">
              <w:trPr>
                <w:trHeight w:val="363"/>
                <w:jc w:val="center"/>
              </w:trPr>
              <w:tc>
                <w:tcPr>
                  <w:tcW w:w="2590" w:type="dxa"/>
                  <w:vAlign w:val="bottom"/>
                </w:tcPr>
                <w:p w14:paraId="2D00B1D5" w14:textId="77777777" w:rsidR="00C20646" w:rsidRPr="00C20646" w:rsidRDefault="00C20646" w:rsidP="00C20646">
                  <w:pPr>
                    <w:spacing w:after="60"/>
                    <w:ind w:left="61"/>
                    <w:jc w:val="center"/>
                    <w:rPr>
                      <w:szCs w:val="22"/>
                    </w:rPr>
                  </w:pPr>
                  <w:r w:rsidRPr="00C20646">
                    <w:rPr>
                      <w:szCs w:val="22"/>
                    </w:rPr>
                    <w:t>40 to &lt;60%</w:t>
                  </w:r>
                </w:p>
              </w:tc>
              <w:tc>
                <w:tcPr>
                  <w:tcW w:w="990" w:type="dxa"/>
                  <w:vAlign w:val="bottom"/>
                </w:tcPr>
                <w:p w14:paraId="0EB2F11A" w14:textId="77777777" w:rsidR="00C20646" w:rsidRPr="00C20646" w:rsidRDefault="00C20646" w:rsidP="00C20646">
                  <w:pPr>
                    <w:spacing w:after="60"/>
                    <w:ind w:left="61"/>
                    <w:jc w:val="center"/>
                    <w:rPr>
                      <w:szCs w:val="22"/>
                    </w:rPr>
                  </w:pPr>
                  <w:r w:rsidRPr="00C20646">
                    <w:rPr>
                      <w:szCs w:val="22"/>
                    </w:rPr>
                    <w:t>3</w:t>
                  </w:r>
                </w:p>
              </w:tc>
            </w:tr>
            <w:tr w:rsidR="00C20646" w:rsidRPr="00C20646" w14:paraId="5E26F452" w14:textId="77777777">
              <w:trPr>
                <w:trHeight w:val="363"/>
                <w:jc w:val="center"/>
              </w:trPr>
              <w:tc>
                <w:tcPr>
                  <w:tcW w:w="2590" w:type="dxa"/>
                  <w:vAlign w:val="bottom"/>
                </w:tcPr>
                <w:p w14:paraId="5F165F2B" w14:textId="77777777" w:rsidR="00C20646" w:rsidRPr="00C20646" w:rsidRDefault="00C20646" w:rsidP="00C20646">
                  <w:pPr>
                    <w:spacing w:after="60"/>
                    <w:ind w:left="58"/>
                    <w:jc w:val="center"/>
                    <w:rPr>
                      <w:szCs w:val="22"/>
                    </w:rPr>
                  </w:pPr>
                  <w:r w:rsidRPr="00C20646">
                    <w:rPr>
                      <w:szCs w:val="22"/>
                    </w:rPr>
                    <w:t>20 to &lt;40%</w:t>
                  </w:r>
                </w:p>
              </w:tc>
              <w:tc>
                <w:tcPr>
                  <w:tcW w:w="990" w:type="dxa"/>
                  <w:vAlign w:val="bottom"/>
                </w:tcPr>
                <w:p w14:paraId="784DDD12" w14:textId="77777777" w:rsidR="00C20646" w:rsidRPr="00C20646" w:rsidRDefault="00C20646" w:rsidP="00C20646">
                  <w:pPr>
                    <w:spacing w:after="60"/>
                    <w:ind w:left="58"/>
                    <w:jc w:val="center"/>
                    <w:rPr>
                      <w:szCs w:val="22"/>
                    </w:rPr>
                  </w:pPr>
                  <w:r w:rsidRPr="00C20646">
                    <w:rPr>
                      <w:szCs w:val="22"/>
                    </w:rPr>
                    <w:t>2</w:t>
                  </w:r>
                </w:p>
              </w:tc>
            </w:tr>
            <w:tr w:rsidR="00C20646" w:rsidRPr="00C20646" w14:paraId="40B3923D" w14:textId="77777777">
              <w:trPr>
                <w:trHeight w:val="363"/>
                <w:jc w:val="center"/>
              </w:trPr>
              <w:tc>
                <w:tcPr>
                  <w:tcW w:w="2590" w:type="dxa"/>
                  <w:tcBorders>
                    <w:bottom w:val="single" w:sz="4" w:space="0" w:color="auto"/>
                  </w:tcBorders>
                  <w:vAlign w:val="bottom"/>
                </w:tcPr>
                <w:p w14:paraId="1777E680" w14:textId="77777777" w:rsidR="00C20646" w:rsidRPr="00C20646" w:rsidRDefault="00C20646" w:rsidP="00C20646">
                  <w:pPr>
                    <w:spacing w:after="60"/>
                    <w:ind w:left="58"/>
                    <w:jc w:val="center"/>
                    <w:rPr>
                      <w:szCs w:val="22"/>
                    </w:rPr>
                  </w:pPr>
                  <w:r w:rsidRPr="00C20646">
                    <w:rPr>
                      <w:szCs w:val="22"/>
                    </w:rPr>
                    <w:t>10 to &lt;20 %</w:t>
                  </w:r>
                </w:p>
              </w:tc>
              <w:tc>
                <w:tcPr>
                  <w:tcW w:w="990" w:type="dxa"/>
                  <w:tcBorders>
                    <w:bottom w:val="single" w:sz="4" w:space="0" w:color="auto"/>
                  </w:tcBorders>
                  <w:vAlign w:val="bottom"/>
                </w:tcPr>
                <w:p w14:paraId="6DD287E0" w14:textId="77777777" w:rsidR="00C20646" w:rsidRPr="00C20646" w:rsidRDefault="00C20646" w:rsidP="00C20646">
                  <w:pPr>
                    <w:spacing w:after="60"/>
                    <w:ind w:left="58"/>
                    <w:jc w:val="center"/>
                    <w:rPr>
                      <w:szCs w:val="22"/>
                    </w:rPr>
                  </w:pPr>
                  <w:r w:rsidRPr="00C20646">
                    <w:rPr>
                      <w:szCs w:val="22"/>
                    </w:rPr>
                    <w:t>1</w:t>
                  </w:r>
                </w:p>
              </w:tc>
            </w:tr>
          </w:tbl>
          <w:p w14:paraId="43FDFD5C" w14:textId="77777777" w:rsidR="00C20646" w:rsidRPr="00C20646" w:rsidRDefault="00C20646" w:rsidP="00C20646">
            <w:pPr>
              <w:keepLines/>
              <w:spacing w:before="120"/>
              <w:jc w:val="both"/>
            </w:pPr>
            <w:r w:rsidRPr="00C20646">
              <w:t xml:space="preserve"> </w:t>
            </w:r>
          </w:p>
        </w:tc>
        <w:tc>
          <w:tcPr>
            <w:tcW w:w="1342" w:type="dxa"/>
            <w:tcBorders>
              <w:bottom w:val="single" w:sz="4" w:space="0" w:color="auto"/>
            </w:tcBorders>
            <w:shd w:val="clear" w:color="auto" w:fill="auto"/>
          </w:tcPr>
          <w:p w14:paraId="01ED8C0A" w14:textId="77777777" w:rsidR="00C20646" w:rsidRPr="00C20646" w:rsidRDefault="00C20646" w:rsidP="00C20646">
            <w:pPr>
              <w:spacing w:before="120" w:after="0"/>
              <w:jc w:val="center"/>
              <w:rPr>
                <w:b/>
                <w:szCs w:val="22"/>
              </w:rPr>
            </w:pPr>
            <w:r w:rsidRPr="00C20646">
              <w:rPr>
                <w:b/>
                <w:szCs w:val="22"/>
              </w:rPr>
              <w:t>5</w:t>
            </w:r>
          </w:p>
        </w:tc>
      </w:tr>
      <w:tr w:rsidR="00C20646" w:rsidRPr="00C20646" w14:paraId="2822B897" w14:textId="77777777">
        <w:trPr>
          <w:trHeight w:val="647"/>
        </w:trPr>
        <w:tc>
          <w:tcPr>
            <w:tcW w:w="9704" w:type="dxa"/>
            <w:gridSpan w:val="2"/>
            <w:tcBorders>
              <w:top w:val="single" w:sz="4" w:space="0" w:color="auto"/>
            </w:tcBorders>
            <w:shd w:val="clear" w:color="auto" w:fill="D9D9D9" w:themeFill="background1" w:themeFillShade="D9"/>
          </w:tcPr>
          <w:p w14:paraId="2AB9774E" w14:textId="77777777" w:rsidR="00C20646" w:rsidRPr="00C20646" w:rsidRDefault="00C20646" w:rsidP="00C20646">
            <w:pPr>
              <w:spacing w:before="60" w:after="0"/>
              <w:jc w:val="both"/>
              <w:rPr>
                <w:b/>
                <w:szCs w:val="22"/>
              </w:rPr>
            </w:pPr>
            <w:r w:rsidRPr="00C20646">
              <w:rPr>
                <w:b/>
                <w:szCs w:val="22"/>
              </w:rPr>
              <w:t>Preference Points:</w:t>
            </w:r>
            <w:r w:rsidRPr="00C20646">
              <w:rPr>
                <w:szCs w:val="22"/>
              </w:rPr>
              <w:t xml:space="preserve"> For applications proposing projects located in and benefiting low-income and/or disadvantaged communities within IOU service territories. Applications must meet all minimum passing scores (Scoring Criteria 1-4, and 1-7) to be eligible for the additional points.</w:t>
            </w:r>
          </w:p>
        </w:tc>
      </w:tr>
      <w:tr w:rsidR="00C20646" w:rsidRPr="00C20646" w14:paraId="6184A357" w14:textId="77777777">
        <w:trPr>
          <w:trHeight w:val="647"/>
        </w:trPr>
        <w:tc>
          <w:tcPr>
            <w:tcW w:w="8362" w:type="dxa"/>
            <w:shd w:val="clear" w:color="auto" w:fill="auto"/>
          </w:tcPr>
          <w:p w14:paraId="571036BF" w14:textId="77777777" w:rsidR="00C20646" w:rsidRPr="00C20646" w:rsidRDefault="00C20646" w:rsidP="00AA7B61">
            <w:pPr>
              <w:keepNext/>
              <w:numPr>
                <w:ilvl w:val="0"/>
                <w:numId w:val="40"/>
              </w:numPr>
              <w:spacing w:before="120"/>
              <w:jc w:val="both"/>
              <w:rPr>
                <w:b/>
                <w:szCs w:val="22"/>
              </w:rPr>
            </w:pPr>
            <w:r w:rsidRPr="00C20646">
              <w:rPr>
                <w:b/>
                <w:szCs w:val="22"/>
              </w:rPr>
              <w:lastRenderedPageBreak/>
              <w:t>Disadvantaged &amp; Low-Income Communities</w:t>
            </w:r>
          </w:p>
          <w:p w14:paraId="24111894" w14:textId="77777777" w:rsidR="00C20646" w:rsidRPr="00C20646" w:rsidRDefault="00C20646" w:rsidP="00C20646">
            <w:pPr>
              <w:ind w:left="360"/>
              <w:jc w:val="both"/>
              <w:outlineLvl w:val="2"/>
              <w:rPr>
                <w:szCs w:val="22"/>
              </w:rPr>
            </w:pPr>
            <w:r w:rsidRPr="00C20646">
              <w:rPr>
                <w:szCs w:val="22"/>
              </w:rPr>
              <w:t xml:space="preserve">In order to receive or qualify for additional points, the proposed project must demonstrate benefits to the disadvantaged and/or low-income community in order to receive additional points.  </w:t>
            </w:r>
          </w:p>
          <w:p w14:paraId="3EE89B6A" w14:textId="77777777" w:rsidR="00C20646" w:rsidRPr="00C20646" w:rsidRDefault="00C20646" w:rsidP="00C20646">
            <w:pPr>
              <w:numPr>
                <w:ilvl w:val="0"/>
                <w:numId w:val="81"/>
              </w:numPr>
              <w:jc w:val="both"/>
              <w:outlineLvl w:val="2"/>
              <w:rPr>
                <w:szCs w:val="22"/>
              </w:rPr>
            </w:pPr>
            <w:r w:rsidRPr="00C20646">
              <w:rPr>
                <w:szCs w:val="22"/>
              </w:rPr>
              <w:t>Proposal identifies how the target market(s) will benefit disadvantaged and/or low-income communities.</w:t>
            </w:r>
          </w:p>
          <w:p w14:paraId="7C9F0D71" w14:textId="77777777" w:rsidR="00C20646" w:rsidRPr="00C20646" w:rsidRDefault="00C20646" w:rsidP="00C20646">
            <w:pPr>
              <w:numPr>
                <w:ilvl w:val="0"/>
                <w:numId w:val="81"/>
              </w:numPr>
              <w:jc w:val="both"/>
              <w:outlineLvl w:val="2"/>
              <w:rPr>
                <w:szCs w:val="22"/>
              </w:rPr>
            </w:pPr>
            <w:r w:rsidRPr="00C20646">
              <w:rPr>
                <w:szCs w:val="22"/>
              </w:rPr>
              <w:t>Identifies economic impact on low-income and disadvantaged communities including customer bill savings, job creation, partnering and contracting with micro- and small-businesses, and economic development.</w:t>
            </w:r>
          </w:p>
          <w:p w14:paraId="7CD3A361" w14:textId="77777777" w:rsidR="00C20646" w:rsidRPr="00C20646" w:rsidRDefault="00C20646" w:rsidP="00C20646">
            <w:pPr>
              <w:numPr>
                <w:ilvl w:val="0"/>
                <w:numId w:val="81"/>
              </w:numPr>
              <w:jc w:val="both"/>
              <w:outlineLvl w:val="2"/>
              <w:rPr>
                <w:szCs w:val="22"/>
              </w:rPr>
            </w:pPr>
            <w:r w:rsidRPr="00C20646">
              <w:rPr>
                <w:szCs w:val="22"/>
              </w:rPr>
              <w:t>Describes how the project will increase access to clean energy or sustainability technologies within disadvantaged and/or low-income communities and how the development will benefit the communities.</w:t>
            </w:r>
          </w:p>
          <w:p w14:paraId="5E2FBFD7" w14:textId="77777777" w:rsidR="00C20646" w:rsidRPr="00C20646" w:rsidDel="004C06FD" w:rsidRDefault="00C20646" w:rsidP="00C20646">
            <w:pPr>
              <w:numPr>
                <w:ilvl w:val="0"/>
                <w:numId w:val="81"/>
              </w:numPr>
              <w:jc w:val="both"/>
              <w:outlineLvl w:val="2"/>
            </w:pPr>
            <w:r w:rsidRPr="00C20646">
              <w:t>Applicants have letters of support from technology partners, community based organizations, environmental justice organizations, or other partners that demonstrate their belief that the proposed project will lead to increased equity, and is both feasible and commercially viable in the identified low-income and/or disadvantaged communities.</w:t>
            </w:r>
          </w:p>
        </w:tc>
        <w:tc>
          <w:tcPr>
            <w:tcW w:w="1342" w:type="dxa"/>
            <w:shd w:val="clear" w:color="auto" w:fill="auto"/>
          </w:tcPr>
          <w:p w14:paraId="68DF81D4" w14:textId="77777777" w:rsidR="00C20646" w:rsidRPr="00C20646" w:rsidRDefault="00C20646" w:rsidP="00C20646">
            <w:pPr>
              <w:spacing w:before="120" w:after="0"/>
              <w:jc w:val="center"/>
              <w:rPr>
                <w:rFonts w:cs="Times New Roman"/>
                <w:b/>
                <w:bCs/>
                <w:smallCaps/>
                <w:szCs w:val="22"/>
              </w:rPr>
            </w:pPr>
            <w:r w:rsidRPr="00C20646">
              <w:rPr>
                <w:b/>
                <w:szCs w:val="22"/>
              </w:rPr>
              <w:t>5</w:t>
            </w:r>
          </w:p>
        </w:tc>
      </w:tr>
    </w:tbl>
    <w:p w14:paraId="6393F6AE" w14:textId="77777777" w:rsidR="00CE5562" w:rsidRPr="00CE5562" w:rsidRDefault="00CE5562" w:rsidP="00CE5562">
      <w:pPr>
        <w:tabs>
          <w:tab w:val="left" w:pos="1530"/>
        </w:tabs>
        <w:jc w:val="both"/>
        <w:rPr>
          <w:b/>
          <w:szCs w:val="22"/>
        </w:rPr>
      </w:pPr>
    </w:p>
    <w:p w14:paraId="3E6B5B62" w14:textId="77777777" w:rsidR="00CE5562" w:rsidRPr="00CE5562" w:rsidRDefault="00CE5562" w:rsidP="00CE5562">
      <w:pPr>
        <w:tabs>
          <w:tab w:val="left" w:pos="1530"/>
        </w:tabs>
        <w:jc w:val="both"/>
        <w:rPr>
          <w:b/>
          <w:szCs w:val="22"/>
        </w:rPr>
      </w:pPr>
    </w:p>
    <w:p w14:paraId="379DA734" w14:textId="77777777" w:rsidR="00CE5562" w:rsidRDefault="00CE5562" w:rsidP="00EF3B73">
      <w:pPr>
        <w:rPr>
          <w:b/>
          <w:caps/>
          <w:u w:val="single"/>
        </w:rPr>
      </w:pPr>
    </w:p>
    <w:sectPr w:rsidR="00CE5562" w:rsidSect="0034202A">
      <w:type w:val="continuous"/>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A0FDD" w14:textId="77777777" w:rsidR="000C32AD" w:rsidRDefault="000C32AD">
      <w:r>
        <w:separator/>
      </w:r>
    </w:p>
  </w:endnote>
  <w:endnote w:type="continuationSeparator" w:id="0">
    <w:p w14:paraId="7451CB26" w14:textId="77777777" w:rsidR="000C32AD" w:rsidRDefault="000C32AD">
      <w:r>
        <w:continuationSeparator/>
      </w:r>
    </w:p>
  </w:endnote>
  <w:endnote w:type="continuationNotice" w:id="1">
    <w:p w14:paraId="64526059" w14:textId="77777777" w:rsidR="000C32AD" w:rsidRDefault="000C32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MT">
    <w:altName w:val="MS Mincho"/>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954F" w14:textId="130DB046" w:rsidR="00E4291E" w:rsidRDefault="00C5034B" w:rsidP="00E4291E">
    <w:pPr>
      <w:tabs>
        <w:tab w:val="left" w:pos="0"/>
        <w:tab w:val="center" w:pos="4680"/>
        <w:tab w:val="right" w:pos="9360"/>
      </w:tabs>
      <w:spacing w:after="0"/>
      <w:ind w:left="4680" w:hanging="4680"/>
      <w:rPr>
        <w:sz w:val="20"/>
        <w:szCs w:val="16"/>
      </w:rPr>
    </w:pPr>
    <w:r>
      <w:rPr>
        <w:sz w:val="20"/>
        <w:szCs w:val="16"/>
      </w:rPr>
      <w:t>[</w:t>
    </w:r>
    <w:r w:rsidR="00E4291E" w:rsidRPr="009423EB">
      <w:rPr>
        <w:strike/>
        <w:sz w:val="20"/>
        <w:szCs w:val="16"/>
      </w:rPr>
      <w:t>August</w:t>
    </w:r>
    <w:r w:rsidR="009A1AA1">
      <w:rPr>
        <w:strike/>
        <w:sz w:val="20"/>
        <w:szCs w:val="16"/>
      </w:rPr>
      <w:t xml:space="preserve"> </w:t>
    </w:r>
    <w:r w:rsidR="009A1AA1" w:rsidRPr="009A1AA1">
      <w:rPr>
        <w:b/>
        <w:bCs/>
        <w:szCs w:val="18"/>
        <w:u w:val="single"/>
      </w:rPr>
      <w:t>November</w:t>
    </w:r>
    <w:r w:rsidR="009423EB" w:rsidRPr="009A1AA1">
      <w:rPr>
        <w:b/>
        <w:bCs/>
        <w:szCs w:val="18"/>
        <w:u w:val="single"/>
      </w:rPr>
      <w:t xml:space="preserve"> </w:t>
    </w:r>
    <w:r w:rsidR="00580534" w:rsidRPr="009A1AA1">
      <w:rPr>
        <w:b/>
        <w:bCs/>
        <w:szCs w:val="18"/>
        <w:u w:val="single"/>
      </w:rPr>
      <w:t>202</w:t>
    </w:r>
    <w:r w:rsidR="00953362" w:rsidRPr="009A1AA1">
      <w:rPr>
        <w:b/>
        <w:bCs/>
        <w:szCs w:val="18"/>
        <w:u w:val="single"/>
      </w:rPr>
      <w:t>3</w:t>
    </w:r>
    <w:r w:rsidR="00580534" w:rsidRPr="009A1AA1">
      <w:rPr>
        <w:szCs w:val="18"/>
      </w:rPr>
      <w:t xml:space="preserve"> </w:t>
    </w:r>
    <w:r w:rsidR="00580534" w:rsidRPr="00122853">
      <w:rPr>
        <w:sz w:val="20"/>
        <w:szCs w:val="16"/>
      </w:rPr>
      <w:tab/>
      <w:t>Page</w:t>
    </w:r>
    <w:r w:rsidR="00580534" w:rsidRPr="00E4291E">
      <w:rPr>
        <w:sz w:val="20"/>
        <w:szCs w:val="16"/>
      </w:rPr>
      <w:t xml:space="preserve"> </w:t>
    </w:r>
    <w:r w:rsidR="00580534" w:rsidRPr="00E4291E">
      <w:rPr>
        <w:sz w:val="20"/>
        <w:szCs w:val="16"/>
        <w:shd w:val="clear" w:color="auto" w:fill="E6E6E6"/>
      </w:rPr>
      <w:fldChar w:fldCharType="begin"/>
    </w:r>
    <w:r w:rsidR="00580534" w:rsidRPr="00E4291E">
      <w:rPr>
        <w:sz w:val="20"/>
        <w:szCs w:val="16"/>
      </w:rPr>
      <w:instrText xml:space="preserve"> PAGE   \* MERGEFORMAT </w:instrText>
    </w:r>
    <w:r w:rsidR="00580534" w:rsidRPr="00E4291E">
      <w:rPr>
        <w:sz w:val="20"/>
        <w:szCs w:val="16"/>
        <w:shd w:val="clear" w:color="auto" w:fill="E6E6E6"/>
      </w:rPr>
      <w:fldChar w:fldCharType="separate"/>
    </w:r>
    <w:r w:rsidR="00E70882" w:rsidRPr="00E4291E">
      <w:rPr>
        <w:noProof/>
        <w:sz w:val="20"/>
        <w:szCs w:val="16"/>
      </w:rPr>
      <w:t>5</w:t>
    </w:r>
    <w:r w:rsidR="00580534" w:rsidRPr="00E4291E">
      <w:rPr>
        <w:sz w:val="20"/>
        <w:szCs w:val="16"/>
        <w:shd w:val="clear" w:color="auto" w:fill="E6E6E6"/>
      </w:rPr>
      <w:fldChar w:fldCharType="end"/>
    </w:r>
    <w:r w:rsidR="00580534" w:rsidRPr="00122853">
      <w:rPr>
        <w:sz w:val="20"/>
        <w:szCs w:val="16"/>
      </w:rPr>
      <w:tab/>
      <w:t>GF</w:t>
    </w:r>
    <w:r w:rsidR="00E4291E">
      <w:rPr>
        <w:sz w:val="20"/>
        <w:szCs w:val="16"/>
      </w:rPr>
      <w:t>O-23-301</w:t>
    </w:r>
  </w:p>
  <w:p w14:paraId="139151AA" w14:textId="77777777" w:rsidR="00E4291E" w:rsidRDefault="00E4291E" w:rsidP="00E4291E">
    <w:pPr>
      <w:tabs>
        <w:tab w:val="left" w:pos="0"/>
        <w:tab w:val="center" w:pos="4680"/>
        <w:tab w:val="right" w:pos="9360"/>
      </w:tabs>
      <w:spacing w:after="0"/>
      <w:ind w:left="4680" w:hanging="4680"/>
      <w:rPr>
        <w:sz w:val="20"/>
        <w:szCs w:val="16"/>
      </w:rPr>
    </w:pPr>
    <w:r>
      <w:rPr>
        <w:sz w:val="20"/>
        <w:szCs w:val="16"/>
      </w:rPr>
      <w:tab/>
    </w:r>
    <w:r>
      <w:rPr>
        <w:sz w:val="20"/>
        <w:szCs w:val="16"/>
      </w:rPr>
      <w:tab/>
    </w:r>
    <w:r w:rsidRPr="00E4291E">
      <w:rPr>
        <w:sz w:val="20"/>
        <w:szCs w:val="16"/>
      </w:rPr>
      <w:t xml:space="preserve">Energy Efficiency and Load </w:t>
    </w:r>
  </w:p>
  <w:p w14:paraId="55A4F9E0" w14:textId="77777777" w:rsidR="00E4291E" w:rsidRDefault="00E4291E" w:rsidP="00E4291E">
    <w:pPr>
      <w:tabs>
        <w:tab w:val="left" w:pos="0"/>
        <w:tab w:val="center" w:pos="4680"/>
        <w:tab w:val="right" w:pos="9360"/>
      </w:tabs>
      <w:spacing w:after="0"/>
      <w:ind w:left="4680" w:hanging="4680"/>
      <w:rPr>
        <w:sz w:val="20"/>
        <w:szCs w:val="16"/>
      </w:rPr>
    </w:pPr>
    <w:r>
      <w:rPr>
        <w:sz w:val="20"/>
        <w:szCs w:val="16"/>
      </w:rPr>
      <w:tab/>
    </w:r>
    <w:r>
      <w:rPr>
        <w:sz w:val="20"/>
        <w:szCs w:val="16"/>
      </w:rPr>
      <w:tab/>
    </w:r>
    <w:r w:rsidRPr="00E4291E">
      <w:rPr>
        <w:sz w:val="20"/>
        <w:szCs w:val="16"/>
      </w:rPr>
      <w:t xml:space="preserve">Flexibility in Industrial and </w:t>
    </w:r>
  </w:p>
  <w:p w14:paraId="324CFC6F" w14:textId="02EBBA6A" w:rsidR="00E4291E" w:rsidRPr="00122853" w:rsidRDefault="00E4291E" w:rsidP="00E4291E">
    <w:pPr>
      <w:tabs>
        <w:tab w:val="left" w:pos="0"/>
        <w:tab w:val="center" w:pos="4680"/>
        <w:tab w:val="right" w:pos="9360"/>
      </w:tabs>
      <w:spacing w:after="0"/>
      <w:ind w:left="4680" w:hanging="4680"/>
      <w:rPr>
        <w:sz w:val="20"/>
        <w:szCs w:val="16"/>
      </w:rPr>
    </w:pPr>
    <w:r>
      <w:rPr>
        <w:sz w:val="20"/>
        <w:szCs w:val="16"/>
      </w:rPr>
      <w:tab/>
    </w:r>
    <w:r>
      <w:rPr>
        <w:sz w:val="20"/>
        <w:szCs w:val="16"/>
      </w:rPr>
      <w:tab/>
    </w:r>
    <w:r w:rsidRPr="00E4291E">
      <w:rPr>
        <w:sz w:val="20"/>
        <w:szCs w:val="16"/>
      </w:rPr>
      <w:t>Commercial Cold Storage Facilities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296D7" w14:textId="77777777" w:rsidR="000C32AD" w:rsidRDefault="000C32AD">
      <w:r>
        <w:separator/>
      </w:r>
    </w:p>
  </w:footnote>
  <w:footnote w:type="continuationSeparator" w:id="0">
    <w:p w14:paraId="29846C23" w14:textId="77777777" w:rsidR="000C32AD" w:rsidRDefault="000C32AD">
      <w:r>
        <w:continuationSeparator/>
      </w:r>
    </w:p>
  </w:footnote>
  <w:footnote w:type="continuationNotice" w:id="1">
    <w:p w14:paraId="0D4AC7AE" w14:textId="77777777" w:rsidR="000C32AD" w:rsidRDefault="000C32AD">
      <w:pPr>
        <w:spacing w:after="0"/>
      </w:pPr>
    </w:p>
  </w:footnote>
  <w:footnote w:id="2">
    <w:p w14:paraId="3EFFF4F4" w14:textId="77777777" w:rsidR="00754BD1" w:rsidRDefault="00754BD1" w:rsidP="00754BD1">
      <w:r w:rsidRPr="0075699E">
        <w:rPr>
          <w:vertAlign w:val="superscript"/>
        </w:rPr>
        <w:footnoteRef/>
      </w:r>
      <w:r>
        <w:t xml:space="preserve"> </w:t>
      </w:r>
      <w:r w:rsidRPr="0075699E">
        <w:rPr>
          <w:sz w:val="20"/>
        </w:rPr>
        <w:t>https://www.energy.gov/sites/default/files/2013/11/f4/energy_use_and_loss_and_emissions_food.pdf</w:t>
      </w:r>
    </w:p>
  </w:footnote>
  <w:footnote w:id="3">
    <w:p w14:paraId="7C65057C" w14:textId="77777777" w:rsidR="00754BD1" w:rsidRDefault="00754BD1" w:rsidP="00754BD1">
      <w:pPr>
        <w:pStyle w:val="FootnoteText"/>
      </w:pPr>
      <w:r>
        <w:rPr>
          <w:rStyle w:val="FootnoteReference"/>
        </w:rPr>
        <w:footnoteRef/>
      </w:r>
      <w:r>
        <w:t xml:space="preserve"> </w:t>
      </w:r>
      <w:r w:rsidRPr="0081108A">
        <w:t>https://downloads.usda.library.cornell.edu/usda-esmis/files/x059c7329/kd17dw989/9p291c96d/rfwh0122.pdf</w:t>
      </w:r>
    </w:p>
  </w:footnote>
  <w:footnote w:id="4">
    <w:p w14:paraId="4A9065E0" w14:textId="77777777" w:rsidR="00754BD1" w:rsidRDefault="00754BD1" w:rsidP="00754BD1">
      <w:pPr>
        <w:pStyle w:val="FootnoteText"/>
      </w:pPr>
      <w:r>
        <w:rPr>
          <w:rStyle w:val="FootnoteReference"/>
        </w:rPr>
        <w:footnoteRef/>
      </w:r>
      <w:r>
        <w:t xml:space="preserve"> </w:t>
      </w:r>
      <w:r w:rsidRPr="00544B7F">
        <w:t>https://www.cbre.us/real-estate-services/real-estate-industries/industrial-and-logistics/industrial-and-logistics-research/us-marketflash---cold-storage-heating-up#:~:text=The%20U.S.%20currently%20has%20approximately,ft.</w:t>
      </w:r>
    </w:p>
  </w:footnote>
  <w:footnote w:id="5">
    <w:p w14:paraId="20A117B8" w14:textId="77777777" w:rsidR="00754BD1" w:rsidRDefault="00754BD1" w:rsidP="00754BD1">
      <w:pPr>
        <w:pStyle w:val="FootnoteText"/>
      </w:pPr>
      <w:r>
        <w:rPr>
          <w:rStyle w:val="FootnoteReference"/>
        </w:rPr>
        <w:footnoteRef/>
      </w:r>
      <w:r>
        <w:t xml:space="preserve"> </w:t>
      </w:r>
      <w:r w:rsidRPr="002902D2">
        <w:t>https://www.aceee.org/files/proceedings/2002/data/papers/SS02_Panel3_Paper09.pdf</w:t>
      </w:r>
    </w:p>
  </w:footnote>
  <w:footnote w:id="6">
    <w:p w14:paraId="5F17C369" w14:textId="77777777" w:rsidR="00754BD1" w:rsidRDefault="00754BD1" w:rsidP="00754BD1">
      <w:pPr>
        <w:pStyle w:val="FootnoteText"/>
      </w:pPr>
      <w:r>
        <w:rPr>
          <w:rStyle w:val="FootnoteReference"/>
        </w:rPr>
        <w:footnoteRef/>
      </w:r>
      <w:r>
        <w:t xml:space="preserve"> </w:t>
      </w:r>
      <w:hyperlink r:id="rId1" w:history="1">
        <w:r w:rsidRPr="00AF065F">
          <w:rPr>
            <w:rStyle w:val="Hyperlink"/>
            <w:rFonts w:cs="Arial"/>
          </w:rPr>
          <w:t>https://www.globest.com/2019/06/17/california-is-the-top-market-for-cold-storage/?slreturn=20220005162007</w:t>
        </w:r>
      </w:hyperlink>
    </w:p>
  </w:footnote>
  <w:footnote w:id="7">
    <w:p w14:paraId="2DB07D9E" w14:textId="01FF2A46" w:rsidR="00754BD1" w:rsidRDefault="00754BD1" w:rsidP="00754BD1">
      <w:pPr>
        <w:pStyle w:val="FootnoteText"/>
      </w:pPr>
      <w:r>
        <w:rPr>
          <w:rStyle w:val="FootnoteReference"/>
        </w:rPr>
        <w:footnoteRef/>
      </w:r>
      <w:r>
        <w:t xml:space="preserve"> </w:t>
      </w:r>
      <w:r w:rsidR="00CF73C8" w:rsidRPr="00CF73C8">
        <w:t>https://www.avisonyoung.us/sightline/-/article/2021/08/26/rising-supply-demand-disparity-in-the-u-s-cold-storage-market</w:t>
      </w:r>
    </w:p>
  </w:footnote>
  <w:footnote w:id="8">
    <w:p w14:paraId="66CFF482" w14:textId="77777777" w:rsidR="00754BD1" w:rsidRDefault="00754BD1" w:rsidP="00754BD1">
      <w:pPr>
        <w:pStyle w:val="FootnoteText"/>
      </w:pPr>
      <w:r>
        <w:rPr>
          <w:rStyle w:val="FootnoteReference"/>
        </w:rPr>
        <w:footnoteRef/>
      </w:r>
      <w:r>
        <w:t xml:space="preserve"> </w:t>
      </w:r>
      <w:r w:rsidRPr="00EF4663">
        <w:t>https://www.datexcorp.com/biologic-pharmaceuticals-and-cold-storage-warehousing/</w:t>
      </w:r>
    </w:p>
  </w:footnote>
  <w:footnote w:id="9">
    <w:p w14:paraId="52E3FE76" w14:textId="77777777" w:rsidR="00754BD1" w:rsidRDefault="00754BD1" w:rsidP="00754BD1">
      <w:pPr>
        <w:pStyle w:val="FootnoteText"/>
      </w:pPr>
      <w:r w:rsidRPr="002427DC">
        <w:rPr>
          <w:rStyle w:val="FootnoteReference"/>
        </w:rPr>
        <w:footnoteRef/>
      </w:r>
      <w:r w:rsidRPr="002427DC">
        <w:rPr>
          <w:rStyle w:val="FootnoteReference"/>
        </w:rPr>
        <w:t xml:space="preserve"> </w:t>
      </w:r>
      <w:r w:rsidRPr="00080165">
        <w:t>https://www.calmac.org/publications/California%20Ind%20EE%20Mkt%20Characterization.pdf</w:t>
      </w:r>
    </w:p>
  </w:footnote>
  <w:footnote w:id="10">
    <w:p w14:paraId="77EFDCC4" w14:textId="7DF49296" w:rsidR="0047600F" w:rsidRDefault="00754BD1" w:rsidP="0047600F">
      <w:pPr>
        <w:pStyle w:val="FootnoteText"/>
      </w:pPr>
      <w:r>
        <w:rPr>
          <w:rStyle w:val="FootnoteReference"/>
        </w:rPr>
        <w:footnoteRef/>
      </w:r>
      <w:r w:rsidRPr="00200A68">
        <w:t>Aghajanzadeh, Arian, “2006-2015 Research Summary of Demand Response Potential in California Industry, Agriculture, and Water Sectors”, California Energy Commission, 2015.</w:t>
      </w:r>
      <w:r>
        <w:br/>
      </w:r>
    </w:p>
  </w:footnote>
  <w:footnote w:id="11">
    <w:p w14:paraId="3EC2715F" w14:textId="01FC7245" w:rsidR="0047600F" w:rsidRPr="00C5034B" w:rsidRDefault="00C5034B" w:rsidP="0047600F">
      <w:pPr>
        <w:pStyle w:val="FootnoteText"/>
      </w:pPr>
      <w:r>
        <w:t>[</w:t>
      </w:r>
      <w:r w:rsidR="0047600F" w:rsidRPr="00F70B47">
        <w:rPr>
          <w:rStyle w:val="FootnoteReference"/>
          <w:strike/>
        </w:rPr>
        <w:footnoteRef/>
      </w:r>
      <w:r w:rsidR="0047600F" w:rsidRPr="00F70B47">
        <w:rPr>
          <w:strike/>
        </w:rPr>
        <w:t xml:space="preserve"> </w:t>
      </w:r>
      <w:r w:rsidR="002427DC" w:rsidRPr="00F70B47">
        <w:rPr>
          <w:strike/>
        </w:rPr>
        <w:t>https://energyplus.net/</w:t>
      </w:r>
      <w:r>
        <w:t>]</w:t>
      </w:r>
    </w:p>
  </w:footnote>
  <w:footnote w:id="12">
    <w:p w14:paraId="1114D14F" w14:textId="0FA5C98A" w:rsidR="00580534" w:rsidRDefault="00580534" w:rsidP="00754BD1">
      <w:pPr>
        <w:pStyle w:val="FootnoteText"/>
      </w:pPr>
      <w:r>
        <w:rPr>
          <w:rStyle w:val="FootnoteReference"/>
        </w:rPr>
        <w:footnoteRef/>
      </w:r>
      <w:r>
        <w:t xml:space="preserve"> Pacific Standard Time or Pacific Daylight Time, whichever is being observed.</w:t>
      </w:r>
    </w:p>
  </w:footnote>
  <w:footnote w:id="13">
    <w:p w14:paraId="74ECE63F" w14:textId="77777777" w:rsidR="0047600F" w:rsidRDefault="0047600F" w:rsidP="00A511B4">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00887889">
        <w:rPr>
          <w:szCs w:val="22"/>
        </w:rPr>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 w:id="14">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15">
    <w:p w14:paraId="00398B11" w14:textId="60082F48" w:rsidR="00606770" w:rsidRDefault="00606770">
      <w:pPr>
        <w:pStyle w:val="FootnoteText"/>
      </w:pPr>
      <w:r>
        <w:rPr>
          <w:rStyle w:val="FootnoteReference"/>
        </w:rPr>
        <w:footnoteRef/>
      </w:r>
      <w:r>
        <w:t xml:space="preserve"> </w:t>
      </w:r>
      <w:r>
        <w:rPr>
          <w:rFonts w:eastAsia="Arial"/>
        </w:rPr>
        <w:t xml:space="preserve">CPUC </w:t>
      </w:r>
      <w:r w:rsidRPr="00DA6FF2">
        <w:rPr>
          <w:rFonts w:eastAsia="Arial"/>
        </w:rPr>
        <w:t xml:space="preserve">Decision 21-11-028, Appendix A </w:t>
      </w:r>
      <w:r w:rsidRPr="0061746A">
        <w:rPr>
          <w:rFonts w:eastAsia="Arial"/>
        </w:rPr>
        <w:t xml:space="preserve">https://docs.cpuc.ca.gov/PublishedDocs/Published/G000/M425/K515/425515575.PDF </w:t>
      </w:r>
      <w:r w:rsidRPr="00DA6FF2">
        <w:rPr>
          <w:rFonts w:eastAsia="Arial"/>
        </w:rPr>
        <w:t xml:space="preserve">(revising former guiding principles within </w:t>
      </w:r>
      <w:r>
        <w:rPr>
          <w:rFonts w:eastAsia="Arial"/>
        </w:rPr>
        <w:t>CPUC “Phase 2” Decision</w:t>
      </w:r>
      <w:r w:rsidRPr="00DA6FF2">
        <w:rPr>
          <w:rFonts w:eastAsia="Arial"/>
        </w:rPr>
        <w:t xml:space="preserve"> 12-05-037, Ordering Paragraph 2</w:t>
      </w:r>
      <w:r>
        <w:rPr>
          <w:rFonts w:eastAsia="Arial"/>
        </w:rPr>
        <w:t xml:space="preserve"> </w:t>
      </w:r>
      <w:r w:rsidRPr="00616F23">
        <w:t>http://docs.cpuc.ca.gov/PublishedDocs/WORD_PDF/FINAL_DECISION/167664.PDF</w:t>
      </w:r>
      <w:r>
        <w:t>.</w:t>
      </w:r>
      <w:r w:rsidRPr="00DA6FF2">
        <w:rPr>
          <w:rFonts w:eastAsia="Arial"/>
        </w:rPr>
        <w:t>).</w:t>
      </w:r>
    </w:p>
  </w:footnote>
  <w:footnote w:id="16">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17">
    <w:p w14:paraId="4460618B" w14:textId="2FFBB2EF" w:rsidR="003D6602" w:rsidRDefault="003D6602" w:rsidP="005E23EA">
      <w:pPr>
        <w:pStyle w:val="FootnoteText"/>
        <w:spacing w:after="0"/>
      </w:pPr>
      <w:r>
        <w:rPr>
          <w:rStyle w:val="FootnoteReference"/>
        </w:rPr>
        <w:footnoteRef/>
      </w:r>
      <w:r>
        <w:t xml:space="preserve"> </w:t>
      </w:r>
      <w:r w:rsidR="008A09B1">
        <w:t xml:space="preserve">2018-2020 EPIC </w:t>
      </w:r>
      <w:r w:rsidR="008A09B1" w:rsidRPr="008A09B1">
        <w:t>Triennial Investment Plan</w:t>
      </w:r>
      <w:r w:rsidR="008A09B1">
        <w:t xml:space="preserve">, </w:t>
      </w:r>
    </w:p>
    <w:p w14:paraId="7F9FD6B5" w14:textId="02711951" w:rsidR="005E23EA" w:rsidRDefault="00C47118" w:rsidP="005E23EA">
      <w:pPr>
        <w:pStyle w:val="FootnoteText"/>
        <w:spacing w:after="0"/>
      </w:pPr>
      <w:r w:rsidRPr="00C47118">
        <w:t>https://docketpublic.energy.ca.gov/PublicDocuments/17-EPIC-01/TN217347_20170428T145448_The_Electric_Program_Investment_Charge_Proposed_20182020_Trienn.pdf</w:t>
      </w:r>
      <w:r w:rsidR="00D524E1">
        <w:t>.</w:t>
      </w:r>
    </w:p>
  </w:footnote>
  <w:footnote w:id="18">
    <w:p w14:paraId="7B3D487E" w14:textId="6F5C1EA8" w:rsidR="00580534" w:rsidRDefault="00580534" w:rsidP="002B624A">
      <w:pPr>
        <w:pStyle w:val="FootnoteText"/>
      </w:pPr>
      <w:r>
        <w:rPr>
          <w:rStyle w:val="FootnoteReference"/>
        </w:rPr>
        <w:footnoteRef/>
      </w:r>
      <w:r>
        <w:t xml:space="preserve"> </w:t>
      </w:r>
      <w:r w:rsidR="002B624A">
        <w:t>Electric Program Investment Charge Interim Investment Plan 2021</w:t>
      </w:r>
      <w:r w:rsidR="000A5CA2">
        <w:t>,</w:t>
      </w:r>
      <w:r w:rsidR="002B624A" w:rsidRPr="00995BF7">
        <w:rPr>
          <w:rFonts w:cs="Times New Roman"/>
        </w:rPr>
        <w:t xml:space="preserve"> </w:t>
      </w:r>
      <w:r w:rsidR="000A5CA2" w:rsidRPr="000A5CA2">
        <w:rPr>
          <w:rFonts w:cs="Times New Roman"/>
        </w:rPr>
        <w:t>https://efiling.energy.ca.gov/GetDocument.aspx?tn=236882</w:t>
      </w:r>
      <w:r>
        <w:rPr>
          <w:color w:val="1F497D"/>
        </w:rPr>
        <w:t xml:space="preserve">. </w:t>
      </w:r>
      <w:r>
        <w:t xml:space="preserve"> </w:t>
      </w:r>
    </w:p>
  </w:footnote>
  <w:footnote w:id="19">
    <w:p w14:paraId="79131523" w14:textId="25A6BFC8" w:rsidR="00580534" w:rsidRDefault="00580534" w:rsidP="00BA3BBD">
      <w:pPr>
        <w:pStyle w:val="FootnoteText"/>
      </w:pPr>
      <w:r>
        <w:rPr>
          <w:rStyle w:val="FootnoteReference"/>
        </w:rPr>
        <w:footnoteRef/>
      </w:r>
      <w:r>
        <w:t xml:space="preserve"> 20</w:t>
      </w:r>
      <w:r w:rsidR="00953362">
        <w:t>21</w:t>
      </w:r>
      <w:r>
        <w:t>-</w:t>
      </w:r>
      <w:r w:rsidR="00953362">
        <w:t>2025</w:t>
      </w:r>
      <w:r>
        <w:t xml:space="preserve"> EPIC Investment Plan, </w:t>
      </w:r>
      <w:r w:rsidR="00953362" w:rsidRPr="00953362">
        <w:rPr>
          <w:rFonts w:cs="Times New Roman"/>
        </w:rPr>
        <w:t>https://efiling.energy.ca.gov/GetDocument.aspx?tn=240609</w:t>
      </w:r>
      <w:r>
        <w:t xml:space="preserve">.   </w:t>
      </w:r>
    </w:p>
  </w:footnote>
  <w:footnote w:id="20">
    <w:p w14:paraId="74D43B73" w14:textId="2B118A8A" w:rsidR="00035975" w:rsidRDefault="00035975" w:rsidP="00035975">
      <w:pPr>
        <w:rPr>
          <w:rFonts w:ascii="Aptos" w:hAnsi="Aptos"/>
          <w:color w:val="000000"/>
          <w:sz w:val="24"/>
          <w:szCs w:val="24"/>
        </w:rPr>
      </w:pPr>
      <w:r>
        <w:rPr>
          <w:rStyle w:val="FootnoteReference"/>
        </w:rPr>
        <w:footnoteRef/>
      </w:r>
      <w:r>
        <w:t xml:space="preserve"> </w:t>
      </w:r>
      <w:hyperlink r:id="rId2" w:history="1">
        <w:r w:rsidRPr="009705CA">
          <w:rPr>
            <w:rStyle w:val="Hyperlink"/>
            <w:rFonts w:cs="Arial"/>
            <w:sz w:val="20"/>
          </w:rPr>
          <w:t>https://www.energy.ca.gov/publications/2023/develop-and-field-test-flexible-demand-response-control-strategies-water-pumping</w:t>
        </w:r>
      </w:hyperlink>
    </w:p>
    <w:p w14:paraId="3B2D48F5" w14:textId="0CF99C86" w:rsidR="00035975" w:rsidRDefault="00035975">
      <w:pPr>
        <w:pStyle w:val="FootnoteText"/>
      </w:pPr>
    </w:p>
  </w:footnote>
  <w:footnote w:id="21">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22">
    <w:p w14:paraId="206B7DF7" w14:textId="77777777" w:rsidR="00580534" w:rsidRDefault="00580534">
      <w:pPr>
        <w:pStyle w:val="FootnoteText"/>
      </w:pPr>
      <w:r>
        <w:rPr>
          <w:rStyle w:val="FootnoteReference"/>
        </w:rPr>
        <w:footnoteRef/>
      </w:r>
      <w:r>
        <w:t xml:space="preserve"> Public Resources Code § 25711.6.  </w:t>
      </w:r>
    </w:p>
  </w:footnote>
  <w:footnote w:id="23">
    <w:p w14:paraId="56CC364F" w14:textId="77777777" w:rsidR="00580534" w:rsidRDefault="00580534">
      <w:pPr>
        <w:pStyle w:val="FootnoteText"/>
      </w:pPr>
      <w:r>
        <w:rPr>
          <w:rStyle w:val="FootnoteReference"/>
        </w:rPr>
        <w:footnoteRef/>
      </w:r>
      <w:r>
        <w:t xml:space="preserve"> Public Resources Code § 25711.5. </w:t>
      </w:r>
    </w:p>
  </w:footnote>
  <w:footnote w:id="24">
    <w:p w14:paraId="734C5CC6" w14:textId="77777777" w:rsidR="00580534" w:rsidRDefault="00580534">
      <w:pPr>
        <w:pStyle w:val="FootnoteText"/>
      </w:pPr>
      <w:r>
        <w:rPr>
          <w:rStyle w:val="FootnoteReference"/>
        </w:rPr>
        <w:footnoteRef/>
      </w:r>
      <w:r>
        <w:t xml:space="preserve"> Public Resources Code § 25711.6.  </w:t>
      </w:r>
    </w:p>
  </w:footnote>
  <w:footnote w:id="25">
    <w:p w14:paraId="2D66471A" w14:textId="77777777" w:rsidR="00C83737" w:rsidRDefault="00C83737" w:rsidP="00C83737">
      <w:pPr>
        <w:pStyle w:val="FootnoteText"/>
      </w:pPr>
      <w:r>
        <w:rPr>
          <w:rStyle w:val="FootnoteReference"/>
        </w:rPr>
        <w:footnoteRef/>
      </w:r>
      <w:r>
        <w:t xml:space="preserve"> See CPUC “Phase 2” Decision 12-05-037 at pp. 39-40 and 90, </w:t>
      </w:r>
      <w:r w:rsidRPr="00616F23">
        <w:t>http://docs.cpuc.ca.gov/PublishedDocs/WORD_PDF/FINAL_DECISION/167664.PDF</w:t>
      </w:r>
      <w:r>
        <w:t>.</w:t>
      </w:r>
    </w:p>
  </w:footnote>
  <w:footnote w:id="26">
    <w:p w14:paraId="219E17DF" w14:textId="77777777" w:rsidR="00F8271B" w:rsidRDefault="00F8271B" w:rsidP="00F8271B">
      <w:pPr>
        <w:pStyle w:val="FootnoteText"/>
      </w:pPr>
      <w:r>
        <w:rPr>
          <w:rStyle w:val="FootnoteReference"/>
        </w:rPr>
        <w:footnoteRef/>
      </w:r>
      <w:r>
        <w:t xml:space="preserve"> </w:t>
      </w:r>
      <w:r w:rsidRPr="00E14641">
        <w:t>CPUC Decision 21-11-028, Appendix A https://docs.cpuc.ca.gov/PublishedDocs/Published/G000/M425/K515/425515575.PDF (revising former guiding principles within CPUC “Phase 2” Decision 12-05-037, Ordering Paragraph 2 http://docs.cpuc.ca.gov/PublishedDocs/WORD_PDF/FINAL_DECISION/167664.PDF.).</w:t>
      </w:r>
    </w:p>
  </w:footnote>
  <w:footnote w:id="27">
    <w:p w14:paraId="47F66C83" w14:textId="07B6274D" w:rsidR="00DC2549" w:rsidRPr="008E76D1" w:rsidRDefault="00C5034B">
      <w:pPr>
        <w:pStyle w:val="FootnoteText"/>
        <w:rPr>
          <w:strike/>
        </w:rPr>
      </w:pPr>
      <w:r w:rsidRPr="00C5034B">
        <w:t>[</w:t>
      </w:r>
      <w:r w:rsidR="00DC2549" w:rsidRPr="008E76D1">
        <w:rPr>
          <w:rStyle w:val="FootnoteReference"/>
          <w:strike/>
        </w:rPr>
        <w:footnoteRef/>
      </w:r>
      <w:r w:rsidR="00DC2549" w:rsidRPr="008E76D1">
        <w:rPr>
          <w:strike/>
        </w:rPr>
        <w:t xml:space="preserve"> TDV</w:t>
      </w:r>
      <w:r w:rsidR="007A47B8" w:rsidRPr="008E76D1">
        <w:rPr>
          <w:strike/>
        </w:rPr>
        <w:t xml:space="preserve"> or T</w:t>
      </w:r>
      <w:r w:rsidR="00ED1BD9" w:rsidRPr="008E76D1">
        <w:rPr>
          <w:strike/>
        </w:rPr>
        <w:t>ime Dependent Valuation</w:t>
      </w:r>
      <w:r w:rsidR="007A47B8" w:rsidRPr="008E76D1">
        <w:rPr>
          <w:strike/>
        </w:rPr>
        <w:t xml:space="preserve"> is a code compliance metric meant to incorporate the societal and environmental impacts into the cost of energy during a given hour of the year. This includes higher GHG emission rates and actual cost of electricity from peaker plants during high energy demand on the hottest days of the year. </w:t>
      </w:r>
      <w:r w:rsidR="00F062F4" w:rsidRPr="008E76D1">
        <w:rPr>
          <w:strike/>
        </w:rPr>
        <w:t xml:space="preserve">Source: </w:t>
      </w:r>
      <w:hyperlink r:id="rId3" w:anchor=":~:text=TDV%20is%20a%20code%20compliance,hottest%20days%20of%20the%20year." w:history="1">
        <w:r w:rsidR="00F062F4" w:rsidRPr="008E76D1">
          <w:rPr>
            <w:rStyle w:val="Hyperlink"/>
            <w:strike/>
          </w:rPr>
          <w:t>What is Time Dependent Valuation (TDV)? - Western Cooling Efficiency Center (ucdavis.edu)</w:t>
        </w:r>
      </w:hyperlink>
      <w:r w:rsidRPr="00C5034B">
        <w:rPr>
          <w:rStyle w:val="Hyperlink"/>
          <w:color w:val="auto"/>
          <w:u w:val="none"/>
        </w:rPr>
        <w:t>]</w:t>
      </w:r>
    </w:p>
  </w:footnote>
  <w:footnote w:id="28">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580534" w:rsidRPr="00970719" w:rsidRDefault="00580534" w:rsidP="00970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509C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B97550"/>
    <w:multiLevelType w:val="hybridMultilevel"/>
    <w:tmpl w:val="86E80950"/>
    <w:lvl w:ilvl="0" w:tplc="B13E3966">
      <w:start w:val="1"/>
      <w:numFmt w:val="bullet"/>
      <w:lvlText w:val=""/>
      <w:lvlJc w:val="left"/>
      <w:pPr>
        <w:ind w:left="1440" w:hanging="360"/>
      </w:pPr>
      <w:rPr>
        <w:rFonts w:ascii="Symbol" w:hAnsi="Symbol"/>
      </w:rPr>
    </w:lvl>
    <w:lvl w:ilvl="1" w:tplc="8F923FEC">
      <w:start w:val="1"/>
      <w:numFmt w:val="bullet"/>
      <w:lvlText w:val=""/>
      <w:lvlJc w:val="left"/>
      <w:pPr>
        <w:ind w:left="1440" w:hanging="360"/>
      </w:pPr>
      <w:rPr>
        <w:rFonts w:ascii="Symbol" w:hAnsi="Symbol"/>
      </w:rPr>
    </w:lvl>
    <w:lvl w:ilvl="2" w:tplc="960A8CA8">
      <w:start w:val="1"/>
      <w:numFmt w:val="bullet"/>
      <w:lvlText w:val=""/>
      <w:lvlJc w:val="left"/>
      <w:pPr>
        <w:ind w:left="1440" w:hanging="360"/>
      </w:pPr>
      <w:rPr>
        <w:rFonts w:ascii="Symbol" w:hAnsi="Symbol"/>
      </w:rPr>
    </w:lvl>
    <w:lvl w:ilvl="3" w:tplc="6E1813AA">
      <w:start w:val="1"/>
      <w:numFmt w:val="bullet"/>
      <w:lvlText w:val=""/>
      <w:lvlJc w:val="left"/>
      <w:pPr>
        <w:ind w:left="1440" w:hanging="360"/>
      </w:pPr>
      <w:rPr>
        <w:rFonts w:ascii="Symbol" w:hAnsi="Symbol"/>
      </w:rPr>
    </w:lvl>
    <w:lvl w:ilvl="4" w:tplc="AA8653CC">
      <w:start w:val="1"/>
      <w:numFmt w:val="bullet"/>
      <w:lvlText w:val=""/>
      <w:lvlJc w:val="left"/>
      <w:pPr>
        <w:ind w:left="1440" w:hanging="360"/>
      </w:pPr>
      <w:rPr>
        <w:rFonts w:ascii="Symbol" w:hAnsi="Symbol"/>
      </w:rPr>
    </w:lvl>
    <w:lvl w:ilvl="5" w:tplc="2D5A655C">
      <w:start w:val="1"/>
      <w:numFmt w:val="bullet"/>
      <w:lvlText w:val=""/>
      <w:lvlJc w:val="left"/>
      <w:pPr>
        <w:ind w:left="1440" w:hanging="360"/>
      </w:pPr>
      <w:rPr>
        <w:rFonts w:ascii="Symbol" w:hAnsi="Symbol"/>
      </w:rPr>
    </w:lvl>
    <w:lvl w:ilvl="6" w:tplc="F60CBF78">
      <w:start w:val="1"/>
      <w:numFmt w:val="bullet"/>
      <w:lvlText w:val=""/>
      <w:lvlJc w:val="left"/>
      <w:pPr>
        <w:ind w:left="1440" w:hanging="360"/>
      </w:pPr>
      <w:rPr>
        <w:rFonts w:ascii="Symbol" w:hAnsi="Symbol"/>
      </w:rPr>
    </w:lvl>
    <w:lvl w:ilvl="7" w:tplc="0554EA5A">
      <w:start w:val="1"/>
      <w:numFmt w:val="bullet"/>
      <w:lvlText w:val=""/>
      <w:lvlJc w:val="left"/>
      <w:pPr>
        <w:ind w:left="1440" w:hanging="360"/>
      </w:pPr>
      <w:rPr>
        <w:rFonts w:ascii="Symbol" w:hAnsi="Symbol"/>
      </w:rPr>
    </w:lvl>
    <w:lvl w:ilvl="8" w:tplc="24F8867C">
      <w:start w:val="1"/>
      <w:numFmt w:val="bullet"/>
      <w:lvlText w:val=""/>
      <w:lvlJc w:val="left"/>
      <w:pPr>
        <w:ind w:left="1440" w:hanging="360"/>
      </w:pPr>
      <w:rPr>
        <w:rFonts w:ascii="Symbol" w:hAnsi="Symbol"/>
      </w:rPr>
    </w:lvl>
  </w:abstractNum>
  <w:abstractNum w:abstractNumId="17"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3"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24" w15:restartNumberingAfterBreak="0">
    <w:nsid w:val="327E3DF5"/>
    <w:multiLevelType w:val="hybridMultilevel"/>
    <w:tmpl w:val="30DC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4097A57"/>
    <w:multiLevelType w:val="hybridMultilevel"/>
    <w:tmpl w:val="624C6D00"/>
    <w:lvl w:ilvl="0" w:tplc="32C04D8C">
      <w:start w:val="1"/>
      <w:numFmt w:val="bullet"/>
      <w:lvlText w:val=""/>
      <w:lvlJc w:val="left"/>
      <w:pPr>
        <w:ind w:left="1080" w:hanging="360"/>
      </w:pPr>
      <w:rPr>
        <w:rFonts w:ascii="Symbol" w:hAnsi="Symbol"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BC24B75"/>
    <w:multiLevelType w:val="hybridMultilevel"/>
    <w:tmpl w:val="6EC643B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E1979FF"/>
    <w:multiLevelType w:val="hybridMultilevel"/>
    <w:tmpl w:val="0ADABDAC"/>
    <w:lvl w:ilvl="0" w:tplc="32C04D8C">
      <w:start w:val="1"/>
      <w:numFmt w:val="bullet"/>
      <w:lvlText w:val=""/>
      <w:lvlJc w:val="left"/>
      <w:pPr>
        <w:ind w:left="1080" w:hanging="360"/>
      </w:pPr>
      <w:rPr>
        <w:rFonts w:ascii="Symbol" w:hAnsi="Symbol"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35"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38"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39"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520D7DE1"/>
    <w:multiLevelType w:val="hybridMultilevel"/>
    <w:tmpl w:val="72186ABE"/>
    <w:lvl w:ilvl="0" w:tplc="DC0E85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B61345"/>
    <w:multiLevelType w:val="hybridMultilevel"/>
    <w:tmpl w:val="1F5081D0"/>
    <w:lvl w:ilvl="0" w:tplc="852AFDEA">
      <w:start w:val="1"/>
      <w:numFmt w:val="bullet"/>
      <w:lvlText w:val=""/>
      <w:lvlJc w:val="left"/>
      <w:pPr>
        <w:ind w:left="720" w:hanging="360"/>
      </w:pPr>
      <w:rPr>
        <w:rFonts w:ascii="Symbol" w:hAnsi="Symbol" w:hint="default"/>
      </w:rPr>
    </w:lvl>
    <w:lvl w:ilvl="1" w:tplc="C00AF83C">
      <w:start w:val="1"/>
      <w:numFmt w:val="bullet"/>
      <w:lvlText w:val="o"/>
      <w:lvlJc w:val="left"/>
      <w:pPr>
        <w:ind w:left="1440" w:hanging="360"/>
      </w:pPr>
      <w:rPr>
        <w:rFonts w:ascii="Courier New" w:hAnsi="Courier New" w:hint="default"/>
      </w:rPr>
    </w:lvl>
    <w:lvl w:ilvl="2" w:tplc="9BB62E4E">
      <w:start w:val="1"/>
      <w:numFmt w:val="bullet"/>
      <w:lvlText w:val=""/>
      <w:lvlJc w:val="left"/>
      <w:pPr>
        <w:ind w:left="2160" w:hanging="360"/>
      </w:pPr>
      <w:rPr>
        <w:rFonts w:ascii="Wingdings" w:hAnsi="Wingdings" w:hint="default"/>
      </w:rPr>
    </w:lvl>
    <w:lvl w:ilvl="3" w:tplc="D54C707A">
      <w:start w:val="1"/>
      <w:numFmt w:val="bullet"/>
      <w:lvlText w:val=""/>
      <w:lvlJc w:val="left"/>
      <w:pPr>
        <w:ind w:left="2880" w:hanging="360"/>
      </w:pPr>
      <w:rPr>
        <w:rFonts w:ascii="Symbol" w:hAnsi="Symbol" w:hint="default"/>
      </w:rPr>
    </w:lvl>
    <w:lvl w:ilvl="4" w:tplc="6B622B5A">
      <w:start w:val="1"/>
      <w:numFmt w:val="bullet"/>
      <w:lvlText w:val="o"/>
      <w:lvlJc w:val="left"/>
      <w:pPr>
        <w:ind w:left="3600" w:hanging="360"/>
      </w:pPr>
      <w:rPr>
        <w:rFonts w:ascii="Courier New" w:hAnsi="Courier New" w:hint="default"/>
      </w:rPr>
    </w:lvl>
    <w:lvl w:ilvl="5" w:tplc="8A5A209A">
      <w:start w:val="1"/>
      <w:numFmt w:val="bullet"/>
      <w:lvlText w:val=""/>
      <w:lvlJc w:val="left"/>
      <w:pPr>
        <w:ind w:left="4320" w:hanging="360"/>
      </w:pPr>
      <w:rPr>
        <w:rFonts w:ascii="Wingdings" w:hAnsi="Wingdings" w:hint="default"/>
      </w:rPr>
    </w:lvl>
    <w:lvl w:ilvl="6" w:tplc="146E2250">
      <w:start w:val="1"/>
      <w:numFmt w:val="bullet"/>
      <w:lvlText w:val=""/>
      <w:lvlJc w:val="left"/>
      <w:pPr>
        <w:ind w:left="5040" w:hanging="360"/>
      </w:pPr>
      <w:rPr>
        <w:rFonts w:ascii="Symbol" w:hAnsi="Symbol" w:hint="default"/>
      </w:rPr>
    </w:lvl>
    <w:lvl w:ilvl="7" w:tplc="D7682C54">
      <w:start w:val="1"/>
      <w:numFmt w:val="bullet"/>
      <w:lvlText w:val="o"/>
      <w:lvlJc w:val="left"/>
      <w:pPr>
        <w:ind w:left="5760" w:hanging="360"/>
      </w:pPr>
      <w:rPr>
        <w:rFonts w:ascii="Courier New" w:hAnsi="Courier New" w:hint="default"/>
      </w:rPr>
    </w:lvl>
    <w:lvl w:ilvl="8" w:tplc="F2343BF2">
      <w:start w:val="1"/>
      <w:numFmt w:val="bullet"/>
      <w:lvlText w:val=""/>
      <w:lvlJc w:val="left"/>
      <w:pPr>
        <w:ind w:left="6480" w:hanging="360"/>
      </w:pPr>
      <w:rPr>
        <w:rFonts w:ascii="Wingdings" w:hAnsi="Wingdings" w:hint="default"/>
      </w:rPr>
    </w:lvl>
  </w:abstractNum>
  <w:abstractNum w:abstractNumId="49"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5"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6"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57"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646D6E94"/>
    <w:multiLevelType w:val="hybridMultilevel"/>
    <w:tmpl w:val="127098F4"/>
    <w:lvl w:ilvl="0" w:tplc="4F9EC350">
      <w:start w:val="1"/>
      <w:numFmt w:val="decimal"/>
      <w:lvlText w:val="%1."/>
      <w:lvlJc w:val="left"/>
      <w:pPr>
        <w:ind w:left="720" w:hanging="720"/>
      </w:pPr>
      <w:rPr>
        <w:rFonts w:hint="default"/>
        <w:b/>
        <w:bCs/>
        <w:color w:val="auto"/>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1B86CF"/>
    <w:multiLevelType w:val="hybridMultilevel"/>
    <w:tmpl w:val="57D27ABC"/>
    <w:lvl w:ilvl="0" w:tplc="E4C85A0E">
      <w:start w:val="1"/>
      <w:numFmt w:val="bullet"/>
      <w:lvlText w:val=""/>
      <w:lvlJc w:val="left"/>
      <w:pPr>
        <w:ind w:left="720" w:hanging="360"/>
      </w:pPr>
      <w:rPr>
        <w:rFonts w:ascii="Symbol" w:hAnsi="Symbol" w:hint="default"/>
      </w:rPr>
    </w:lvl>
    <w:lvl w:ilvl="1" w:tplc="5C188B18">
      <w:start w:val="1"/>
      <w:numFmt w:val="bullet"/>
      <w:lvlText w:val=""/>
      <w:lvlJc w:val="left"/>
      <w:pPr>
        <w:ind w:left="720" w:hanging="360"/>
      </w:pPr>
      <w:rPr>
        <w:rFonts w:ascii="Symbol" w:hAnsi="Symbol" w:hint="default"/>
      </w:rPr>
    </w:lvl>
    <w:lvl w:ilvl="2" w:tplc="B756085C">
      <w:start w:val="1"/>
      <w:numFmt w:val="bullet"/>
      <w:lvlText w:val=""/>
      <w:lvlJc w:val="left"/>
      <w:pPr>
        <w:ind w:left="2160" w:hanging="360"/>
      </w:pPr>
      <w:rPr>
        <w:rFonts w:ascii="Wingdings" w:hAnsi="Wingdings" w:hint="default"/>
      </w:rPr>
    </w:lvl>
    <w:lvl w:ilvl="3" w:tplc="1E02B422">
      <w:start w:val="1"/>
      <w:numFmt w:val="bullet"/>
      <w:lvlText w:val=""/>
      <w:lvlJc w:val="left"/>
      <w:pPr>
        <w:ind w:left="2880" w:hanging="360"/>
      </w:pPr>
      <w:rPr>
        <w:rFonts w:ascii="Symbol" w:hAnsi="Symbol" w:hint="default"/>
      </w:rPr>
    </w:lvl>
    <w:lvl w:ilvl="4" w:tplc="2B78EF1E">
      <w:start w:val="1"/>
      <w:numFmt w:val="bullet"/>
      <w:lvlText w:val="o"/>
      <w:lvlJc w:val="left"/>
      <w:pPr>
        <w:ind w:left="3600" w:hanging="360"/>
      </w:pPr>
      <w:rPr>
        <w:rFonts w:ascii="Courier New" w:hAnsi="Courier New" w:hint="default"/>
      </w:rPr>
    </w:lvl>
    <w:lvl w:ilvl="5" w:tplc="0F187574">
      <w:start w:val="1"/>
      <w:numFmt w:val="bullet"/>
      <w:lvlText w:val=""/>
      <w:lvlJc w:val="left"/>
      <w:pPr>
        <w:ind w:left="4320" w:hanging="360"/>
      </w:pPr>
      <w:rPr>
        <w:rFonts w:ascii="Wingdings" w:hAnsi="Wingdings" w:hint="default"/>
      </w:rPr>
    </w:lvl>
    <w:lvl w:ilvl="6" w:tplc="55E486A0">
      <w:start w:val="1"/>
      <w:numFmt w:val="bullet"/>
      <w:lvlText w:val=""/>
      <w:lvlJc w:val="left"/>
      <w:pPr>
        <w:ind w:left="5040" w:hanging="360"/>
      </w:pPr>
      <w:rPr>
        <w:rFonts w:ascii="Symbol" w:hAnsi="Symbol" w:hint="default"/>
      </w:rPr>
    </w:lvl>
    <w:lvl w:ilvl="7" w:tplc="07B87A80">
      <w:start w:val="1"/>
      <w:numFmt w:val="bullet"/>
      <w:lvlText w:val="o"/>
      <w:lvlJc w:val="left"/>
      <w:pPr>
        <w:ind w:left="5760" w:hanging="360"/>
      </w:pPr>
      <w:rPr>
        <w:rFonts w:ascii="Courier New" w:hAnsi="Courier New" w:hint="default"/>
      </w:rPr>
    </w:lvl>
    <w:lvl w:ilvl="8" w:tplc="0BB68798">
      <w:start w:val="1"/>
      <w:numFmt w:val="bullet"/>
      <w:lvlText w:val=""/>
      <w:lvlJc w:val="left"/>
      <w:pPr>
        <w:ind w:left="6480" w:hanging="360"/>
      </w:pPr>
      <w:rPr>
        <w:rFonts w:ascii="Wingdings" w:hAnsi="Wingdings" w:hint="default"/>
      </w:rPr>
    </w:lvl>
  </w:abstractNum>
  <w:abstractNum w:abstractNumId="64"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65" w15:restartNumberingAfterBreak="0">
    <w:nsid w:val="6C6101AF"/>
    <w:multiLevelType w:val="hybridMultilevel"/>
    <w:tmpl w:val="6AEE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F36415A"/>
    <w:multiLevelType w:val="hybridMultilevel"/>
    <w:tmpl w:val="CA98D612"/>
    <w:lvl w:ilvl="0" w:tplc="BA4C9580">
      <w:start w:val="1"/>
      <w:numFmt w:val="lowerLetter"/>
      <w:lvlText w:val="%1."/>
      <w:lvlJc w:val="left"/>
      <w:pPr>
        <w:ind w:left="720" w:hanging="360"/>
      </w:pPr>
      <w:rPr>
        <w:rFonts w:cs="Times New Roman" w:hint="default"/>
        <w:b w:val="0"/>
      </w:rPr>
    </w:lvl>
    <w:lvl w:ilvl="1" w:tplc="32C04D8C">
      <w:start w:val="1"/>
      <w:numFmt w:val="bullet"/>
      <w:lvlText w:val=""/>
      <w:lvlJc w:val="left"/>
      <w:pPr>
        <w:ind w:left="1080" w:hanging="360"/>
      </w:pPr>
      <w:rPr>
        <w:rFonts w:ascii="Symbol" w:hAnsi="Symbo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095366"/>
    <w:multiLevelType w:val="hybridMultilevel"/>
    <w:tmpl w:val="7426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4CA31D5"/>
    <w:multiLevelType w:val="hybridMultilevel"/>
    <w:tmpl w:val="FB2EDF4C"/>
    <w:lvl w:ilvl="0" w:tplc="ADDEA28C">
      <w:start w:val="1"/>
      <w:numFmt w:val="decimal"/>
      <w:lvlText w:val="%1."/>
      <w:lvlJc w:val="left"/>
      <w:pPr>
        <w:tabs>
          <w:tab w:val="num" w:pos="720"/>
        </w:tabs>
        <w:ind w:left="720" w:hanging="720"/>
      </w:p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74"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7B1470"/>
    <w:multiLevelType w:val="hybridMultilevel"/>
    <w:tmpl w:val="77BAB29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087313">
    <w:abstractNumId w:val="3"/>
  </w:num>
  <w:num w:numId="2" w16cid:durableId="1771200279">
    <w:abstractNumId w:val="2"/>
  </w:num>
  <w:num w:numId="3" w16cid:durableId="993873046">
    <w:abstractNumId w:val="64"/>
  </w:num>
  <w:num w:numId="4" w16cid:durableId="881016327">
    <w:abstractNumId w:val="56"/>
  </w:num>
  <w:num w:numId="5" w16cid:durableId="1361971394">
    <w:abstractNumId w:val="29"/>
  </w:num>
  <w:num w:numId="6" w16cid:durableId="359476993">
    <w:abstractNumId w:val="30"/>
  </w:num>
  <w:num w:numId="7" w16cid:durableId="1936161434">
    <w:abstractNumId w:val="74"/>
  </w:num>
  <w:num w:numId="8" w16cid:durableId="1049185324">
    <w:abstractNumId w:val="7"/>
  </w:num>
  <w:num w:numId="9" w16cid:durableId="1846020463">
    <w:abstractNumId w:val="21"/>
  </w:num>
  <w:num w:numId="10" w16cid:durableId="1820078106">
    <w:abstractNumId w:val="53"/>
  </w:num>
  <w:num w:numId="11" w16cid:durableId="1564678318">
    <w:abstractNumId w:val="6"/>
  </w:num>
  <w:num w:numId="12" w16cid:durableId="495078821">
    <w:abstractNumId w:val="22"/>
  </w:num>
  <w:num w:numId="13" w16cid:durableId="1876191421">
    <w:abstractNumId w:val="75"/>
  </w:num>
  <w:num w:numId="14" w16cid:durableId="1395810978">
    <w:abstractNumId w:val="50"/>
  </w:num>
  <w:num w:numId="15" w16cid:durableId="2005357184">
    <w:abstractNumId w:val="42"/>
  </w:num>
  <w:num w:numId="16" w16cid:durableId="865755595">
    <w:abstractNumId w:val="66"/>
  </w:num>
  <w:num w:numId="17" w16cid:durableId="1655140181">
    <w:abstractNumId w:val="76"/>
  </w:num>
  <w:num w:numId="18" w16cid:durableId="1085683252">
    <w:abstractNumId w:val="77"/>
  </w:num>
  <w:num w:numId="19" w16cid:durableId="265189680">
    <w:abstractNumId w:val="72"/>
  </w:num>
  <w:num w:numId="20" w16cid:durableId="618099673">
    <w:abstractNumId w:val="60"/>
  </w:num>
  <w:num w:numId="21" w16cid:durableId="626663924">
    <w:abstractNumId w:val="79"/>
  </w:num>
  <w:num w:numId="22" w16cid:durableId="708262131">
    <w:abstractNumId w:val="39"/>
  </w:num>
  <w:num w:numId="23" w16cid:durableId="1260792216">
    <w:abstractNumId w:val="51"/>
  </w:num>
  <w:num w:numId="24" w16cid:durableId="1699505147">
    <w:abstractNumId w:val="44"/>
  </w:num>
  <w:num w:numId="25" w16cid:durableId="325210851">
    <w:abstractNumId w:val="69"/>
  </w:num>
  <w:num w:numId="26" w16cid:durableId="352268886">
    <w:abstractNumId w:val="71"/>
  </w:num>
  <w:num w:numId="27" w16cid:durableId="346447654">
    <w:abstractNumId w:val="9"/>
  </w:num>
  <w:num w:numId="28" w16cid:durableId="83231773">
    <w:abstractNumId w:val="13"/>
  </w:num>
  <w:num w:numId="29" w16cid:durableId="69600234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098771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589448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5955053">
    <w:abstractNumId w:val="19"/>
  </w:num>
  <w:num w:numId="33" w16cid:durableId="973758765">
    <w:abstractNumId w:val="40"/>
  </w:num>
  <w:num w:numId="34" w16cid:durableId="470178133">
    <w:abstractNumId w:val="62"/>
  </w:num>
  <w:num w:numId="35" w16cid:durableId="160044780">
    <w:abstractNumId w:val="28"/>
  </w:num>
  <w:num w:numId="36" w16cid:durableId="1788548620">
    <w:abstractNumId w:val="69"/>
    <w:lvlOverride w:ilvl="0">
      <w:startOverride w:val="1"/>
    </w:lvlOverride>
  </w:num>
  <w:num w:numId="37" w16cid:durableId="272589942">
    <w:abstractNumId w:val="1"/>
  </w:num>
  <w:num w:numId="38" w16cid:durableId="1173686806">
    <w:abstractNumId w:val="61"/>
  </w:num>
  <w:num w:numId="39" w16cid:durableId="1416588723">
    <w:abstractNumId w:val="15"/>
  </w:num>
  <w:num w:numId="40" w16cid:durableId="305015876">
    <w:abstractNumId w:val="27"/>
  </w:num>
  <w:num w:numId="41" w16cid:durableId="1312373118">
    <w:abstractNumId w:val="55"/>
  </w:num>
  <w:num w:numId="42" w16cid:durableId="608657377">
    <w:abstractNumId w:val="34"/>
  </w:num>
  <w:num w:numId="43" w16cid:durableId="1835797273">
    <w:abstractNumId w:val="49"/>
  </w:num>
  <w:num w:numId="44" w16cid:durableId="1305501252">
    <w:abstractNumId w:val="68"/>
  </w:num>
  <w:num w:numId="45" w16cid:durableId="1439837970">
    <w:abstractNumId w:val="20"/>
  </w:num>
  <w:num w:numId="46" w16cid:durableId="1866677701">
    <w:abstractNumId w:val="47"/>
  </w:num>
  <w:num w:numId="47" w16cid:durableId="69080569">
    <w:abstractNumId w:val="37"/>
  </w:num>
  <w:num w:numId="48" w16cid:durableId="529412405">
    <w:abstractNumId w:val="38"/>
  </w:num>
  <w:num w:numId="49" w16cid:durableId="74864634">
    <w:abstractNumId w:val="54"/>
  </w:num>
  <w:num w:numId="50" w16cid:durableId="896673125">
    <w:abstractNumId w:val="4"/>
  </w:num>
  <w:num w:numId="51" w16cid:durableId="1750806510">
    <w:abstractNumId w:val="0"/>
  </w:num>
  <w:num w:numId="52" w16cid:durableId="208147293">
    <w:abstractNumId w:val="46"/>
  </w:num>
  <w:num w:numId="53" w16cid:durableId="2084135597">
    <w:abstractNumId w:val="12"/>
  </w:num>
  <w:num w:numId="54" w16cid:durableId="36979422">
    <w:abstractNumId w:val="23"/>
  </w:num>
  <w:num w:numId="55" w16cid:durableId="1584991329">
    <w:abstractNumId w:val="31"/>
  </w:num>
  <w:num w:numId="56" w16cid:durableId="1458992396">
    <w:abstractNumId w:val="52"/>
  </w:num>
  <w:num w:numId="57" w16cid:durableId="1104032591">
    <w:abstractNumId w:val="10"/>
  </w:num>
  <w:num w:numId="58" w16cid:durableId="1230118201">
    <w:abstractNumId w:val="43"/>
  </w:num>
  <w:num w:numId="59" w16cid:durableId="1713114778">
    <w:abstractNumId w:val="70"/>
  </w:num>
  <w:num w:numId="60" w16cid:durableId="608897086">
    <w:abstractNumId w:val="36"/>
  </w:num>
  <w:num w:numId="61" w16cid:durableId="616715622">
    <w:abstractNumId w:val="35"/>
  </w:num>
  <w:num w:numId="62" w16cid:durableId="2000890251">
    <w:abstractNumId w:val="57"/>
  </w:num>
  <w:num w:numId="63" w16cid:durableId="10887713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88872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33260169">
    <w:abstractNumId w:val="59"/>
  </w:num>
  <w:num w:numId="66" w16cid:durableId="202408840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3621439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20684568">
    <w:abstractNumId w:val="8"/>
  </w:num>
  <w:num w:numId="69" w16cid:durableId="779766330">
    <w:abstractNumId w:val="18"/>
  </w:num>
  <w:num w:numId="70" w16cid:durableId="713191205">
    <w:abstractNumId w:val="78"/>
  </w:num>
  <w:num w:numId="71" w16cid:durableId="1476755300">
    <w:abstractNumId w:val="58"/>
  </w:num>
  <w:num w:numId="72" w16cid:durableId="1660889759">
    <w:abstractNumId w:val="33"/>
  </w:num>
  <w:num w:numId="73" w16cid:durableId="1627855760">
    <w:abstractNumId w:val="26"/>
  </w:num>
  <w:num w:numId="74" w16cid:durableId="168562288">
    <w:abstractNumId w:val="32"/>
  </w:num>
  <w:num w:numId="75" w16cid:durableId="415981509">
    <w:abstractNumId w:val="45"/>
  </w:num>
  <w:num w:numId="76" w16cid:durableId="1299995899">
    <w:abstractNumId w:val="65"/>
  </w:num>
  <w:num w:numId="77" w16cid:durableId="1069693528">
    <w:abstractNumId w:val="67"/>
  </w:num>
  <w:num w:numId="78" w16cid:durableId="990907151">
    <w:abstractNumId w:val="63"/>
  </w:num>
  <w:num w:numId="79" w16cid:durableId="95254029">
    <w:abstractNumId w:val="14"/>
  </w:num>
  <w:num w:numId="80" w16cid:durableId="433021655">
    <w:abstractNumId w:val="5"/>
  </w:num>
  <w:num w:numId="81" w16cid:durableId="380062720">
    <w:abstractNumId w:val="41"/>
  </w:num>
  <w:num w:numId="82" w16cid:durableId="1681086259">
    <w:abstractNumId w:val="25"/>
  </w:num>
  <w:num w:numId="83" w16cid:durableId="1949660551">
    <w:abstractNumId w:val="16"/>
  </w:num>
  <w:num w:numId="84" w16cid:durableId="455105571">
    <w:abstractNumId w:val="11"/>
  </w:num>
  <w:num w:numId="85" w16cid:durableId="1828741601">
    <w:abstractNumId w:val="48"/>
  </w:num>
  <w:num w:numId="86" w16cid:durableId="1878393052">
    <w:abstractNumId w:val="2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NK0FAKz6rDgtAAAA"/>
  </w:docVars>
  <w:rsids>
    <w:rsidRoot w:val="00EE10B1"/>
    <w:rsid w:val="00000355"/>
    <w:rsid w:val="00000458"/>
    <w:rsid w:val="0000052E"/>
    <w:rsid w:val="0000076C"/>
    <w:rsid w:val="00000A55"/>
    <w:rsid w:val="00000C0F"/>
    <w:rsid w:val="0000103E"/>
    <w:rsid w:val="00001424"/>
    <w:rsid w:val="0000172D"/>
    <w:rsid w:val="0000172F"/>
    <w:rsid w:val="0000175F"/>
    <w:rsid w:val="000018AD"/>
    <w:rsid w:val="00002793"/>
    <w:rsid w:val="00002CC4"/>
    <w:rsid w:val="00003543"/>
    <w:rsid w:val="00003593"/>
    <w:rsid w:val="00003B2D"/>
    <w:rsid w:val="00003BC0"/>
    <w:rsid w:val="00003F42"/>
    <w:rsid w:val="00004DF2"/>
    <w:rsid w:val="00004FFA"/>
    <w:rsid w:val="00005A4A"/>
    <w:rsid w:val="00005A8F"/>
    <w:rsid w:val="00005D53"/>
    <w:rsid w:val="00005E7A"/>
    <w:rsid w:val="0000604D"/>
    <w:rsid w:val="0000689C"/>
    <w:rsid w:val="0000779E"/>
    <w:rsid w:val="00007CE1"/>
    <w:rsid w:val="00007D1F"/>
    <w:rsid w:val="00007FF3"/>
    <w:rsid w:val="0001008D"/>
    <w:rsid w:val="00010A17"/>
    <w:rsid w:val="00010A82"/>
    <w:rsid w:val="00010E66"/>
    <w:rsid w:val="000114B3"/>
    <w:rsid w:val="000124A3"/>
    <w:rsid w:val="00012510"/>
    <w:rsid w:val="0001353A"/>
    <w:rsid w:val="00013878"/>
    <w:rsid w:val="000138B2"/>
    <w:rsid w:val="00013CF0"/>
    <w:rsid w:val="0001460E"/>
    <w:rsid w:val="00014E00"/>
    <w:rsid w:val="00015220"/>
    <w:rsid w:val="00015877"/>
    <w:rsid w:val="00015CEA"/>
    <w:rsid w:val="00016303"/>
    <w:rsid w:val="00016FC9"/>
    <w:rsid w:val="00017560"/>
    <w:rsid w:val="00017EB7"/>
    <w:rsid w:val="00020361"/>
    <w:rsid w:val="00020529"/>
    <w:rsid w:val="00020B8B"/>
    <w:rsid w:val="000212BB"/>
    <w:rsid w:val="000217D2"/>
    <w:rsid w:val="00022296"/>
    <w:rsid w:val="0002270D"/>
    <w:rsid w:val="00022914"/>
    <w:rsid w:val="000229B2"/>
    <w:rsid w:val="00022D65"/>
    <w:rsid w:val="00022FB9"/>
    <w:rsid w:val="0002309F"/>
    <w:rsid w:val="0002354C"/>
    <w:rsid w:val="00023867"/>
    <w:rsid w:val="000239C8"/>
    <w:rsid w:val="000239EE"/>
    <w:rsid w:val="00023BBE"/>
    <w:rsid w:val="000241C8"/>
    <w:rsid w:val="00024416"/>
    <w:rsid w:val="00024C3E"/>
    <w:rsid w:val="00025A53"/>
    <w:rsid w:val="00025CE4"/>
    <w:rsid w:val="00025DD0"/>
    <w:rsid w:val="000264F9"/>
    <w:rsid w:val="00026B28"/>
    <w:rsid w:val="00026C92"/>
    <w:rsid w:val="00026CA4"/>
    <w:rsid w:val="00026D9E"/>
    <w:rsid w:val="000274C3"/>
    <w:rsid w:val="0002752A"/>
    <w:rsid w:val="000276B1"/>
    <w:rsid w:val="00027717"/>
    <w:rsid w:val="000277C2"/>
    <w:rsid w:val="000305F5"/>
    <w:rsid w:val="00030B75"/>
    <w:rsid w:val="00031059"/>
    <w:rsid w:val="000311E1"/>
    <w:rsid w:val="00031460"/>
    <w:rsid w:val="0003180D"/>
    <w:rsid w:val="00032125"/>
    <w:rsid w:val="00032477"/>
    <w:rsid w:val="0003286E"/>
    <w:rsid w:val="000328EF"/>
    <w:rsid w:val="00032904"/>
    <w:rsid w:val="00032CE6"/>
    <w:rsid w:val="00032F16"/>
    <w:rsid w:val="00032F46"/>
    <w:rsid w:val="0003304E"/>
    <w:rsid w:val="00033751"/>
    <w:rsid w:val="000338A1"/>
    <w:rsid w:val="0003496A"/>
    <w:rsid w:val="000351CB"/>
    <w:rsid w:val="000354B4"/>
    <w:rsid w:val="0003596D"/>
    <w:rsid w:val="00035975"/>
    <w:rsid w:val="00035BF1"/>
    <w:rsid w:val="00035F37"/>
    <w:rsid w:val="0003609F"/>
    <w:rsid w:val="00036604"/>
    <w:rsid w:val="00036618"/>
    <w:rsid w:val="00036791"/>
    <w:rsid w:val="00037EF7"/>
    <w:rsid w:val="00040579"/>
    <w:rsid w:val="00040A20"/>
    <w:rsid w:val="00040B75"/>
    <w:rsid w:val="00040DAA"/>
    <w:rsid w:val="00040E61"/>
    <w:rsid w:val="000414A3"/>
    <w:rsid w:val="000419FF"/>
    <w:rsid w:val="00042060"/>
    <w:rsid w:val="0004261D"/>
    <w:rsid w:val="0004267B"/>
    <w:rsid w:val="000426A8"/>
    <w:rsid w:val="0004276E"/>
    <w:rsid w:val="00042869"/>
    <w:rsid w:val="00042DCB"/>
    <w:rsid w:val="0004356A"/>
    <w:rsid w:val="000436DB"/>
    <w:rsid w:val="00043BE8"/>
    <w:rsid w:val="000447F1"/>
    <w:rsid w:val="00044959"/>
    <w:rsid w:val="00044A2B"/>
    <w:rsid w:val="00044DF2"/>
    <w:rsid w:val="0004506B"/>
    <w:rsid w:val="0004587B"/>
    <w:rsid w:val="000458D4"/>
    <w:rsid w:val="00045ED8"/>
    <w:rsid w:val="0004617A"/>
    <w:rsid w:val="000465A1"/>
    <w:rsid w:val="00046D36"/>
    <w:rsid w:val="00047717"/>
    <w:rsid w:val="00047761"/>
    <w:rsid w:val="00047E93"/>
    <w:rsid w:val="0005017E"/>
    <w:rsid w:val="00050A62"/>
    <w:rsid w:val="00050A99"/>
    <w:rsid w:val="00050BDA"/>
    <w:rsid w:val="00050BFA"/>
    <w:rsid w:val="00050CC8"/>
    <w:rsid w:val="00050EB6"/>
    <w:rsid w:val="00050F5A"/>
    <w:rsid w:val="00051017"/>
    <w:rsid w:val="000518CF"/>
    <w:rsid w:val="0005192A"/>
    <w:rsid w:val="00051C75"/>
    <w:rsid w:val="00051D64"/>
    <w:rsid w:val="0005211E"/>
    <w:rsid w:val="00052194"/>
    <w:rsid w:val="000524C8"/>
    <w:rsid w:val="000526C3"/>
    <w:rsid w:val="00052827"/>
    <w:rsid w:val="000528E0"/>
    <w:rsid w:val="00052B47"/>
    <w:rsid w:val="00052B4F"/>
    <w:rsid w:val="00053BEC"/>
    <w:rsid w:val="000541B6"/>
    <w:rsid w:val="00054F51"/>
    <w:rsid w:val="00055531"/>
    <w:rsid w:val="00055903"/>
    <w:rsid w:val="0005684F"/>
    <w:rsid w:val="0005688E"/>
    <w:rsid w:val="00056C8B"/>
    <w:rsid w:val="00056D6A"/>
    <w:rsid w:val="0005732D"/>
    <w:rsid w:val="00057527"/>
    <w:rsid w:val="000576AE"/>
    <w:rsid w:val="00057768"/>
    <w:rsid w:val="00057859"/>
    <w:rsid w:val="0006069C"/>
    <w:rsid w:val="00060914"/>
    <w:rsid w:val="00060D67"/>
    <w:rsid w:val="00060E2C"/>
    <w:rsid w:val="000615A2"/>
    <w:rsid w:val="00062086"/>
    <w:rsid w:val="00063170"/>
    <w:rsid w:val="00063223"/>
    <w:rsid w:val="00063593"/>
    <w:rsid w:val="00063EB6"/>
    <w:rsid w:val="00063F67"/>
    <w:rsid w:val="00064449"/>
    <w:rsid w:val="00064472"/>
    <w:rsid w:val="00064663"/>
    <w:rsid w:val="00064BE6"/>
    <w:rsid w:val="00065492"/>
    <w:rsid w:val="00065A2B"/>
    <w:rsid w:val="00066514"/>
    <w:rsid w:val="00066798"/>
    <w:rsid w:val="00067336"/>
    <w:rsid w:val="0006773D"/>
    <w:rsid w:val="00067753"/>
    <w:rsid w:val="00067F5D"/>
    <w:rsid w:val="000702F9"/>
    <w:rsid w:val="000704C9"/>
    <w:rsid w:val="000706AA"/>
    <w:rsid w:val="0007074B"/>
    <w:rsid w:val="00070A7E"/>
    <w:rsid w:val="00070D19"/>
    <w:rsid w:val="00070DE3"/>
    <w:rsid w:val="00070EEF"/>
    <w:rsid w:val="0007135C"/>
    <w:rsid w:val="000722C6"/>
    <w:rsid w:val="000724E4"/>
    <w:rsid w:val="00072901"/>
    <w:rsid w:val="00072B68"/>
    <w:rsid w:val="00072BAB"/>
    <w:rsid w:val="00072D4D"/>
    <w:rsid w:val="0007304A"/>
    <w:rsid w:val="00073114"/>
    <w:rsid w:val="0007396E"/>
    <w:rsid w:val="00073ABA"/>
    <w:rsid w:val="00074BBF"/>
    <w:rsid w:val="000752AD"/>
    <w:rsid w:val="00075A45"/>
    <w:rsid w:val="00075AFE"/>
    <w:rsid w:val="00075D2B"/>
    <w:rsid w:val="0007647A"/>
    <w:rsid w:val="00076A0E"/>
    <w:rsid w:val="00076BD7"/>
    <w:rsid w:val="00077074"/>
    <w:rsid w:val="000772E5"/>
    <w:rsid w:val="00080165"/>
    <w:rsid w:val="000802B8"/>
    <w:rsid w:val="000807CF"/>
    <w:rsid w:val="0008166D"/>
    <w:rsid w:val="00081F87"/>
    <w:rsid w:val="00082155"/>
    <w:rsid w:val="00082374"/>
    <w:rsid w:val="000823E5"/>
    <w:rsid w:val="000828F4"/>
    <w:rsid w:val="00082E4C"/>
    <w:rsid w:val="00082E73"/>
    <w:rsid w:val="00083337"/>
    <w:rsid w:val="00083382"/>
    <w:rsid w:val="00083D0F"/>
    <w:rsid w:val="00084094"/>
    <w:rsid w:val="00084500"/>
    <w:rsid w:val="000846B3"/>
    <w:rsid w:val="000849A1"/>
    <w:rsid w:val="0008535C"/>
    <w:rsid w:val="00085407"/>
    <w:rsid w:val="00085598"/>
    <w:rsid w:val="00086936"/>
    <w:rsid w:val="00086DFB"/>
    <w:rsid w:val="00086E98"/>
    <w:rsid w:val="0008749B"/>
    <w:rsid w:val="0008754A"/>
    <w:rsid w:val="00087E0C"/>
    <w:rsid w:val="00087E47"/>
    <w:rsid w:val="000902B3"/>
    <w:rsid w:val="000904AA"/>
    <w:rsid w:val="00090B5B"/>
    <w:rsid w:val="00090B69"/>
    <w:rsid w:val="00090CA1"/>
    <w:rsid w:val="00090EE4"/>
    <w:rsid w:val="00091A74"/>
    <w:rsid w:val="00091E33"/>
    <w:rsid w:val="00091E59"/>
    <w:rsid w:val="00091EE3"/>
    <w:rsid w:val="00091FF9"/>
    <w:rsid w:val="000921BB"/>
    <w:rsid w:val="000921CD"/>
    <w:rsid w:val="00092648"/>
    <w:rsid w:val="000926C5"/>
    <w:rsid w:val="00092950"/>
    <w:rsid w:val="000929BA"/>
    <w:rsid w:val="0009345D"/>
    <w:rsid w:val="00093D90"/>
    <w:rsid w:val="00095093"/>
    <w:rsid w:val="00095153"/>
    <w:rsid w:val="0009592E"/>
    <w:rsid w:val="00095B32"/>
    <w:rsid w:val="00095BF3"/>
    <w:rsid w:val="00096570"/>
    <w:rsid w:val="0009657D"/>
    <w:rsid w:val="000965C0"/>
    <w:rsid w:val="0009680D"/>
    <w:rsid w:val="00097264"/>
    <w:rsid w:val="00097BE8"/>
    <w:rsid w:val="000A01E6"/>
    <w:rsid w:val="000A04CC"/>
    <w:rsid w:val="000A0737"/>
    <w:rsid w:val="000A0945"/>
    <w:rsid w:val="000A1035"/>
    <w:rsid w:val="000A1AB8"/>
    <w:rsid w:val="000A22F2"/>
    <w:rsid w:val="000A246B"/>
    <w:rsid w:val="000A2D2A"/>
    <w:rsid w:val="000A32E6"/>
    <w:rsid w:val="000A348D"/>
    <w:rsid w:val="000A3CF8"/>
    <w:rsid w:val="000A4000"/>
    <w:rsid w:val="000A4E50"/>
    <w:rsid w:val="000A521E"/>
    <w:rsid w:val="000A56FA"/>
    <w:rsid w:val="000A5CA2"/>
    <w:rsid w:val="000A5E5D"/>
    <w:rsid w:val="000A6A28"/>
    <w:rsid w:val="000A6F06"/>
    <w:rsid w:val="000A736E"/>
    <w:rsid w:val="000A7C94"/>
    <w:rsid w:val="000B053E"/>
    <w:rsid w:val="000B0697"/>
    <w:rsid w:val="000B07EA"/>
    <w:rsid w:val="000B0D33"/>
    <w:rsid w:val="000B0D93"/>
    <w:rsid w:val="000B10F9"/>
    <w:rsid w:val="000B1715"/>
    <w:rsid w:val="000B17EB"/>
    <w:rsid w:val="000B19FC"/>
    <w:rsid w:val="000B1A21"/>
    <w:rsid w:val="000B2632"/>
    <w:rsid w:val="000B3033"/>
    <w:rsid w:val="000B325A"/>
    <w:rsid w:val="000B3587"/>
    <w:rsid w:val="000B3DB3"/>
    <w:rsid w:val="000B4F05"/>
    <w:rsid w:val="000B5031"/>
    <w:rsid w:val="000B5232"/>
    <w:rsid w:val="000B54A8"/>
    <w:rsid w:val="000B5E0C"/>
    <w:rsid w:val="000B5E14"/>
    <w:rsid w:val="000B5E9E"/>
    <w:rsid w:val="000B648E"/>
    <w:rsid w:val="000B6E64"/>
    <w:rsid w:val="000B7ADC"/>
    <w:rsid w:val="000B7B3F"/>
    <w:rsid w:val="000C0561"/>
    <w:rsid w:val="000C0BBB"/>
    <w:rsid w:val="000C0CF1"/>
    <w:rsid w:val="000C0D7B"/>
    <w:rsid w:val="000C0F67"/>
    <w:rsid w:val="000C1814"/>
    <w:rsid w:val="000C1D17"/>
    <w:rsid w:val="000C20A6"/>
    <w:rsid w:val="000C20DF"/>
    <w:rsid w:val="000C23EF"/>
    <w:rsid w:val="000C32AD"/>
    <w:rsid w:val="000C33E2"/>
    <w:rsid w:val="000C46E7"/>
    <w:rsid w:val="000C4729"/>
    <w:rsid w:val="000C4B31"/>
    <w:rsid w:val="000C4D8C"/>
    <w:rsid w:val="000C4E32"/>
    <w:rsid w:val="000C505A"/>
    <w:rsid w:val="000C594C"/>
    <w:rsid w:val="000C5DC3"/>
    <w:rsid w:val="000C65F8"/>
    <w:rsid w:val="000C7157"/>
    <w:rsid w:val="000C72F7"/>
    <w:rsid w:val="000C750C"/>
    <w:rsid w:val="000C754E"/>
    <w:rsid w:val="000C7728"/>
    <w:rsid w:val="000C78EB"/>
    <w:rsid w:val="000C7CA0"/>
    <w:rsid w:val="000C7F64"/>
    <w:rsid w:val="000D00C7"/>
    <w:rsid w:val="000D0490"/>
    <w:rsid w:val="000D095C"/>
    <w:rsid w:val="000D1040"/>
    <w:rsid w:val="000D14E1"/>
    <w:rsid w:val="000D14F3"/>
    <w:rsid w:val="000D1583"/>
    <w:rsid w:val="000D15E6"/>
    <w:rsid w:val="000D1AA3"/>
    <w:rsid w:val="000D1C50"/>
    <w:rsid w:val="000D1DFF"/>
    <w:rsid w:val="000D1F86"/>
    <w:rsid w:val="000D20CC"/>
    <w:rsid w:val="000D22CA"/>
    <w:rsid w:val="000D2ACD"/>
    <w:rsid w:val="000D35C1"/>
    <w:rsid w:val="000D37D2"/>
    <w:rsid w:val="000D3F0D"/>
    <w:rsid w:val="000D4096"/>
    <w:rsid w:val="000D4558"/>
    <w:rsid w:val="000D4B4A"/>
    <w:rsid w:val="000D52D2"/>
    <w:rsid w:val="000D66CE"/>
    <w:rsid w:val="000D6E95"/>
    <w:rsid w:val="000D6FFE"/>
    <w:rsid w:val="000D707E"/>
    <w:rsid w:val="000D7304"/>
    <w:rsid w:val="000D7610"/>
    <w:rsid w:val="000D7992"/>
    <w:rsid w:val="000D7B7E"/>
    <w:rsid w:val="000D7D21"/>
    <w:rsid w:val="000D7FB3"/>
    <w:rsid w:val="000E0096"/>
    <w:rsid w:val="000E0176"/>
    <w:rsid w:val="000E049A"/>
    <w:rsid w:val="000E0808"/>
    <w:rsid w:val="000E1149"/>
    <w:rsid w:val="000E1A24"/>
    <w:rsid w:val="000E1C88"/>
    <w:rsid w:val="000E1F77"/>
    <w:rsid w:val="000E2471"/>
    <w:rsid w:val="000E2AAC"/>
    <w:rsid w:val="000E2BBC"/>
    <w:rsid w:val="000E30C0"/>
    <w:rsid w:val="000E3253"/>
    <w:rsid w:val="000E331F"/>
    <w:rsid w:val="000E33A6"/>
    <w:rsid w:val="000E3895"/>
    <w:rsid w:val="000E3B9C"/>
    <w:rsid w:val="000E3DBD"/>
    <w:rsid w:val="000E3FE0"/>
    <w:rsid w:val="000E494D"/>
    <w:rsid w:val="000E4CB3"/>
    <w:rsid w:val="000E4DE9"/>
    <w:rsid w:val="000E4DF0"/>
    <w:rsid w:val="000E5180"/>
    <w:rsid w:val="000E5593"/>
    <w:rsid w:val="000E5EFB"/>
    <w:rsid w:val="000E6E9B"/>
    <w:rsid w:val="000E6EE4"/>
    <w:rsid w:val="000E71F8"/>
    <w:rsid w:val="000E739B"/>
    <w:rsid w:val="000E799C"/>
    <w:rsid w:val="000E7EB6"/>
    <w:rsid w:val="000F0195"/>
    <w:rsid w:val="000F02A9"/>
    <w:rsid w:val="000F03D8"/>
    <w:rsid w:val="000F04CC"/>
    <w:rsid w:val="000F0C7E"/>
    <w:rsid w:val="000F0E9D"/>
    <w:rsid w:val="000F0F1F"/>
    <w:rsid w:val="000F1029"/>
    <w:rsid w:val="000F1AF5"/>
    <w:rsid w:val="000F1B9B"/>
    <w:rsid w:val="000F2054"/>
    <w:rsid w:val="000F22E6"/>
    <w:rsid w:val="000F2CD4"/>
    <w:rsid w:val="000F2D53"/>
    <w:rsid w:val="000F2E9A"/>
    <w:rsid w:val="000F2F2A"/>
    <w:rsid w:val="000F351E"/>
    <w:rsid w:val="000F397B"/>
    <w:rsid w:val="000F44BF"/>
    <w:rsid w:val="000F487C"/>
    <w:rsid w:val="000F4ED8"/>
    <w:rsid w:val="000F565B"/>
    <w:rsid w:val="000F6AD3"/>
    <w:rsid w:val="000F6EB9"/>
    <w:rsid w:val="000F6FBD"/>
    <w:rsid w:val="00100234"/>
    <w:rsid w:val="001008BD"/>
    <w:rsid w:val="00100E12"/>
    <w:rsid w:val="00101BCB"/>
    <w:rsid w:val="0010206F"/>
    <w:rsid w:val="001024B9"/>
    <w:rsid w:val="00103627"/>
    <w:rsid w:val="00103807"/>
    <w:rsid w:val="00103D29"/>
    <w:rsid w:val="00103EA3"/>
    <w:rsid w:val="00103EB3"/>
    <w:rsid w:val="00103F35"/>
    <w:rsid w:val="00104041"/>
    <w:rsid w:val="00104487"/>
    <w:rsid w:val="001044F1"/>
    <w:rsid w:val="00105013"/>
    <w:rsid w:val="0010504E"/>
    <w:rsid w:val="001053CC"/>
    <w:rsid w:val="001055CC"/>
    <w:rsid w:val="001056B7"/>
    <w:rsid w:val="00105B4F"/>
    <w:rsid w:val="001063B7"/>
    <w:rsid w:val="001072C7"/>
    <w:rsid w:val="00107A55"/>
    <w:rsid w:val="00107EC3"/>
    <w:rsid w:val="00107F4A"/>
    <w:rsid w:val="0011060C"/>
    <w:rsid w:val="00110FEC"/>
    <w:rsid w:val="001110CA"/>
    <w:rsid w:val="00111433"/>
    <w:rsid w:val="00111487"/>
    <w:rsid w:val="001114BC"/>
    <w:rsid w:val="00111C51"/>
    <w:rsid w:val="00111E04"/>
    <w:rsid w:val="00111F20"/>
    <w:rsid w:val="00113508"/>
    <w:rsid w:val="00114668"/>
    <w:rsid w:val="00114967"/>
    <w:rsid w:val="00114F11"/>
    <w:rsid w:val="0011579C"/>
    <w:rsid w:val="00116051"/>
    <w:rsid w:val="0011611B"/>
    <w:rsid w:val="00116574"/>
    <w:rsid w:val="00116778"/>
    <w:rsid w:val="00116B62"/>
    <w:rsid w:val="00116D36"/>
    <w:rsid w:val="00116F87"/>
    <w:rsid w:val="00117059"/>
    <w:rsid w:val="00117380"/>
    <w:rsid w:val="001201FA"/>
    <w:rsid w:val="001202A1"/>
    <w:rsid w:val="00120357"/>
    <w:rsid w:val="00120ABA"/>
    <w:rsid w:val="00120D43"/>
    <w:rsid w:val="0012143D"/>
    <w:rsid w:val="00121ADB"/>
    <w:rsid w:val="00122853"/>
    <w:rsid w:val="0012344E"/>
    <w:rsid w:val="001235A7"/>
    <w:rsid w:val="0012372E"/>
    <w:rsid w:val="00123BE0"/>
    <w:rsid w:val="00123E78"/>
    <w:rsid w:val="00124CDF"/>
    <w:rsid w:val="00124DC6"/>
    <w:rsid w:val="00124EFA"/>
    <w:rsid w:val="001250DA"/>
    <w:rsid w:val="00125125"/>
    <w:rsid w:val="001258B9"/>
    <w:rsid w:val="00125BB4"/>
    <w:rsid w:val="00125D60"/>
    <w:rsid w:val="00125E7A"/>
    <w:rsid w:val="00126494"/>
    <w:rsid w:val="00126BB8"/>
    <w:rsid w:val="00127CBB"/>
    <w:rsid w:val="00130529"/>
    <w:rsid w:val="0013053A"/>
    <w:rsid w:val="00131107"/>
    <w:rsid w:val="00131CA0"/>
    <w:rsid w:val="00131EC7"/>
    <w:rsid w:val="001323DA"/>
    <w:rsid w:val="001323FE"/>
    <w:rsid w:val="001324F7"/>
    <w:rsid w:val="0013286C"/>
    <w:rsid w:val="00132EDF"/>
    <w:rsid w:val="001331AC"/>
    <w:rsid w:val="0013362C"/>
    <w:rsid w:val="001338D7"/>
    <w:rsid w:val="00133942"/>
    <w:rsid w:val="001340FE"/>
    <w:rsid w:val="001343E9"/>
    <w:rsid w:val="0013467F"/>
    <w:rsid w:val="00134A0C"/>
    <w:rsid w:val="001356C3"/>
    <w:rsid w:val="001357F0"/>
    <w:rsid w:val="00135920"/>
    <w:rsid w:val="00135E3D"/>
    <w:rsid w:val="00135E84"/>
    <w:rsid w:val="001361DC"/>
    <w:rsid w:val="001362A2"/>
    <w:rsid w:val="00136372"/>
    <w:rsid w:val="00136B38"/>
    <w:rsid w:val="0013710A"/>
    <w:rsid w:val="001372CC"/>
    <w:rsid w:val="001379B6"/>
    <w:rsid w:val="00137D9C"/>
    <w:rsid w:val="00140436"/>
    <w:rsid w:val="0014049F"/>
    <w:rsid w:val="001405CF"/>
    <w:rsid w:val="001410C6"/>
    <w:rsid w:val="00141390"/>
    <w:rsid w:val="001422C0"/>
    <w:rsid w:val="001425E5"/>
    <w:rsid w:val="00142AAE"/>
    <w:rsid w:val="00142B20"/>
    <w:rsid w:val="00142C15"/>
    <w:rsid w:val="00142D75"/>
    <w:rsid w:val="00143187"/>
    <w:rsid w:val="001449FE"/>
    <w:rsid w:val="0014502C"/>
    <w:rsid w:val="001450A2"/>
    <w:rsid w:val="00145750"/>
    <w:rsid w:val="00146242"/>
    <w:rsid w:val="00146CFB"/>
    <w:rsid w:val="0014740C"/>
    <w:rsid w:val="00147459"/>
    <w:rsid w:val="001474ED"/>
    <w:rsid w:val="00147D4E"/>
    <w:rsid w:val="001503EF"/>
    <w:rsid w:val="00150602"/>
    <w:rsid w:val="001511EC"/>
    <w:rsid w:val="001514CE"/>
    <w:rsid w:val="0015191F"/>
    <w:rsid w:val="00151ACC"/>
    <w:rsid w:val="00151E9B"/>
    <w:rsid w:val="0015264A"/>
    <w:rsid w:val="001530DA"/>
    <w:rsid w:val="001531DE"/>
    <w:rsid w:val="00153335"/>
    <w:rsid w:val="00153BAE"/>
    <w:rsid w:val="00154867"/>
    <w:rsid w:val="00154959"/>
    <w:rsid w:val="00154B1A"/>
    <w:rsid w:val="00154F83"/>
    <w:rsid w:val="00156733"/>
    <w:rsid w:val="001567D9"/>
    <w:rsid w:val="00156D58"/>
    <w:rsid w:val="001571C9"/>
    <w:rsid w:val="001575E8"/>
    <w:rsid w:val="00157618"/>
    <w:rsid w:val="00157E14"/>
    <w:rsid w:val="0016127D"/>
    <w:rsid w:val="00161B10"/>
    <w:rsid w:val="00162002"/>
    <w:rsid w:val="00162357"/>
    <w:rsid w:val="00162503"/>
    <w:rsid w:val="00162D3F"/>
    <w:rsid w:val="001631BC"/>
    <w:rsid w:val="00163BD0"/>
    <w:rsid w:val="00163CEB"/>
    <w:rsid w:val="00164D10"/>
    <w:rsid w:val="00164F58"/>
    <w:rsid w:val="00165EEA"/>
    <w:rsid w:val="0016675D"/>
    <w:rsid w:val="00166A96"/>
    <w:rsid w:val="00166AC1"/>
    <w:rsid w:val="00166EF6"/>
    <w:rsid w:val="0016739E"/>
    <w:rsid w:val="00167E0B"/>
    <w:rsid w:val="00170C5B"/>
    <w:rsid w:val="00170D9A"/>
    <w:rsid w:val="00170DAC"/>
    <w:rsid w:val="00171052"/>
    <w:rsid w:val="0017116F"/>
    <w:rsid w:val="0017119C"/>
    <w:rsid w:val="001711A6"/>
    <w:rsid w:val="0017127C"/>
    <w:rsid w:val="00171296"/>
    <w:rsid w:val="00171B4F"/>
    <w:rsid w:val="00171C0E"/>
    <w:rsid w:val="00171C27"/>
    <w:rsid w:val="00172025"/>
    <w:rsid w:val="00172027"/>
    <w:rsid w:val="001722AE"/>
    <w:rsid w:val="00172864"/>
    <w:rsid w:val="00172B73"/>
    <w:rsid w:val="00172C26"/>
    <w:rsid w:val="00172E6A"/>
    <w:rsid w:val="00172F4E"/>
    <w:rsid w:val="0017312E"/>
    <w:rsid w:val="00173327"/>
    <w:rsid w:val="00173585"/>
    <w:rsid w:val="001737D4"/>
    <w:rsid w:val="0017460D"/>
    <w:rsid w:val="00174DB4"/>
    <w:rsid w:val="0017549A"/>
    <w:rsid w:val="00175604"/>
    <w:rsid w:val="0017584F"/>
    <w:rsid w:val="00175A77"/>
    <w:rsid w:val="00175B7F"/>
    <w:rsid w:val="0017631F"/>
    <w:rsid w:val="00176ACE"/>
    <w:rsid w:val="00176B8C"/>
    <w:rsid w:val="001771EB"/>
    <w:rsid w:val="001775A4"/>
    <w:rsid w:val="001777D3"/>
    <w:rsid w:val="00180200"/>
    <w:rsid w:val="001808A2"/>
    <w:rsid w:val="00180D57"/>
    <w:rsid w:val="001813B4"/>
    <w:rsid w:val="00181467"/>
    <w:rsid w:val="00181BC5"/>
    <w:rsid w:val="00181DBA"/>
    <w:rsid w:val="00181EB6"/>
    <w:rsid w:val="0018213B"/>
    <w:rsid w:val="0018230F"/>
    <w:rsid w:val="0018242F"/>
    <w:rsid w:val="0018253C"/>
    <w:rsid w:val="0018292A"/>
    <w:rsid w:val="00182FEF"/>
    <w:rsid w:val="00183370"/>
    <w:rsid w:val="0018348F"/>
    <w:rsid w:val="00183942"/>
    <w:rsid w:val="00183D20"/>
    <w:rsid w:val="00184386"/>
    <w:rsid w:val="001845CB"/>
    <w:rsid w:val="00184AF6"/>
    <w:rsid w:val="0018567B"/>
    <w:rsid w:val="00186108"/>
    <w:rsid w:val="001861EA"/>
    <w:rsid w:val="00186264"/>
    <w:rsid w:val="00186837"/>
    <w:rsid w:val="00186AC7"/>
    <w:rsid w:val="00186E80"/>
    <w:rsid w:val="001871F2"/>
    <w:rsid w:val="0018727C"/>
    <w:rsid w:val="0018776A"/>
    <w:rsid w:val="00187CC9"/>
    <w:rsid w:val="00187D1E"/>
    <w:rsid w:val="001905F1"/>
    <w:rsid w:val="0019071E"/>
    <w:rsid w:val="00190809"/>
    <w:rsid w:val="001908BB"/>
    <w:rsid w:val="0019090F"/>
    <w:rsid w:val="001913A6"/>
    <w:rsid w:val="00191DA3"/>
    <w:rsid w:val="0019239B"/>
    <w:rsid w:val="001926B5"/>
    <w:rsid w:val="001931A0"/>
    <w:rsid w:val="00193F48"/>
    <w:rsid w:val="00193FB9"/>
    <w:rsid w:val="0019444B"/>
    <w:rsid w:val="00194E6F"/>
    <w:rsid w:val="0019510E"/>
    <w:rsid w:val="001952E2"/>
    <w:rsid w:val="00195DAD"/>
    <w:rsid w:val="00196188"/>
    <w:rsid w:val="00196608"/>
    <w:rsid w:val="001968B1"/>
    <w:rsid w:val="00196A31"/>
    <w:rsid w:val="00196D4E"/>
    <w:rsid w:val="00196F0F"/>
    <w:rsid w:val="00197044"/>
    <w:rsid w:val="001970B9"/>
    <w:rsid w:val="001973A5"/>
    <w:rsid w:val="00197522"/>
    <w:rsid w:val="001977F4"/>
    <w:rsid w:val="00197A4B"/>
    <w:rsid w:val="00197D80"/>
    <w:rsid w:val="001A0375"/>
    <w:rsid w:val="001A0D64"/>
    <w:rsid w:val="001A0EE2"/>
    <w:rsid w:val="001A0FBA"/>
    <w:rsid w:val="001A10FF"/>
    <w:rsid w:val="001A1159"/>
    <w:rsid w:val="001A1C2D"/>
    <w:rsid w:val="001A1FA3"/>
    <w:rsid w:val="001A2759"/>
    <w:rsid w:val="001A2B3B"/>
    <w:rsid w:val="001A2D60"/>
    <w:rsid w:val="001A3288"/>
    <w:rsid w:val="001A3ECA"/>
    <w:rsid w:val="001A4B58"/>
    <w:rsid w:val="001A4DDE"/>
    <w:rsid w:val="001A4FA6"/>
    <w:rsid w:val="001A5657"/>
    <w:rsid w:val="001A57C8"/>
    <w:rsid w:val="001A5BA5"/>
    <w:rsid w:val="001A6984"/>
    <w:rsid w:val="001A6AB5"/>
    <w:rsid w:val="001A74AA"/>
    <w:rsid w:val="001A756E"/>
    <w:rsid w:val="001A77DE"/>
    <w:rsid w:val="001A7B35"/>
    <w:rsid w:val="001A7E4C"/>
    <w:rsid w:val="001B0824"/>
    <w:rsid w:val="001B1C17"/>
    <w:rsid w:val="001B1CC0"/>
    <w:rsid w:val="001B2544"/>
    <w:rsid w:val="001B277D"/>
    <w:rsid w:val="001B2C66"/>
    <w:rsid w:val="001B309A"/>
    <w:rsid w:val="001B32AE"/>
    <w:rsid w:val="001B3958"/>
    <w:rsid w:val="001B40E4"/>
    <w:rsid w:val="001B47C6"/>
    <w:rsid w:val="001B4E0B"/>
    <w:rsid w:val="001B540A"/>
    <w:rsid w:val="001B55AA"/>
    <w:rsid w:val="001B572E"/>
    <w:rsid w:val="001B597E"/>
    <w:rsid w:val="001B5CE7"/>
    <w:rsid w:val="001B6C6C"/>
    <w:rsid w:val="001B6ED4"/>
    <w:rsid w:val="001B7001"/>
    <w:rsid w:val="001B72B2"/>
    <w:rsid w:val="001B7929"/>
    <w:rsid w:val="001C051E"/>
    <w:rsid w:val="001C073B"/>
    <w:rsid w:val="001C1007"/>
    <w:rsid w:val="001C1102"/>
    <w:rsid w:val="001C177F"/>
    <w:rsid w:val="001C1C6A"/>
    <w:rsid w:val="001C1E6D"/>
    <w:rsid w:val="001C27E2"/>
    <w:rsid w:val="001C2A68"/>
    <w:rsid w:val="001C2D56"/>
    <w:rsid w:val="001C3119"/>
    <w:rsid w:val="001C3589"/>
    <w:rsid w:val="001C398B"/>
    <w:rsid w:val="001C3A45"/>
    <w:rsid w:val="001C3D7A"/>
    <w:rsid w:val="001C4405"/>
    <w:rsid w:val="001C54FF"/>
    <w:rsid w:val="001C55CF"/>
    <w:rsid w:val="001C587C"/>
    <w:rsid w:val="001C5CD1"/>
    <w:rsid w:val="001C600C"/>
    <w:rsid w:val="001C6093"/>
    <w:rsid w:val="001C756D"/>
    <w:rsid w:val="001C7867"/>
    <w:rsid w:val="001C78C8"/>
    <w:rsid w:val="001C7D64"/>
    <w:rsid w:val="001C7DBF"/>
    <w:rsid w:val="001D0B63"/>
    <w:rsid w:val="001D0E69"/>
    <w:rsid w:val="001D0EF7"/>
    <w:rsid w:val="001D1029"/>
    <w:rsid w:val="001D1163"/>
    <w:rsid w:val="001D1353"/>
    <w:rsid w:val="001D13F6"/>
    <w:rsid w:val="001D15BA"/>
    <w:rsid w:val="001D16C3"/>
    <w:rsid w:val="001D173A"/>
    <w:rsid w:val="001D1D4B"/>
    <w:rsid w:val="001D1D9D"/>
    <w:rsid w:val="001D2A4B"/>
    <w:rsid w:val="001D2C4B"/>
    <w:rsid w:val="001D2D1A"/>
    <w:rsid w:val="001D3021"/>
    <w:rsid w:val="001D33E2"/>
    <w:rsid w:val="001D3567"/>
    <w:rsid w:val="001D44A7"/>
    <w:rsid w:val="001D45A9"/>
    <w:rsid w:val="001D4697"/>
    <w:rsid w:val="001D4AE2"/>
    <w:rsid w:val="001D57CC"/>
    <w:rsid w:val="001D5981"/>
    <w:rsid w:val="001D5C20"/>
    <w:rsid w:val="001D5D2F"/>
    <w:rsid w:val="001D63C7"/>
    <w:rsid w:val="001D68BB"/>
    <w:rsid w:val="001D6C10"/>
    <w:rsid w:val="001D6D08"/>
    <w:rsid w:val="001D740D"/>
    <w:rsid w:val="001D77BF"/>
    <w:rsid w:val="001E0053"/>
    <w:rsid w:val="001E185B"/>
    <w:rsid w:val="001E1EFA"/>
    <w:rsid w:val="001E21A6"/>
    <w:rsid w:val="001E22EC"/>
    <w:rsid w:val="001E2694"/>
    <w:rsid w:val="001E2729"/>
    <w:rsid w:val="001E2A07"/>
    <w:rsid w:val="001E2E20"/>
    <w:rsid w:val="001E369D"/>
    <w:rsid w:val="001E3708"/>
    <w:rsid w:val="001E40CB"/>
    <w:rsid w:val="001E40FD"/>
    <w:rsid w:val="001E43D3"/>
    <w:rsid w:val="001E479F"/>
    <w:rsid w:val="001E527A"/>
    <w:rsid w:val="001E5579"/>
    <w:rsid w:val="001E5D7E"/>
    <w:rsid w:val="001E5E9F"/>
    <w:rsid w:val="001E6BF2"/>
    <w:rsid w:val="001E707B"/>
    <w:rsid w:val="001E7283"/>
    <w:rsid w:val="001F0147"/>
    <w:rsid w:val="001F04A0"/>
    <w:rsid w:val="001F0624"/>
    <w:rsid w:val="001F0EDC"/>
    <w:rsid w:val="001F0F8A"/>
    <w:rsid w:val="001F12BF"/>
    <w:rsid w:val="001F186A"/>
    <w:rsid w:val="001F1882"/>
    <w:rsid w:val="001F1B4D"/>
    <w:rsid w:val="001F1D1B"/>
    <w:rsid w:val="001F2889"/>
    <w:rsid w:val="001F2CD8"/>
    <w:rsid w:val="001F3D48"/>
    <w:rsid w:val="001F4160"/>
    <w:rsid w:val="001F4939"/>
    <w:rsid w:val="001F4A89"/>
    <w:rsid w:val="001F4BB4"/>
    <w:rsid w:val="001F51BC"/>
    <w:rsid w:val="001F574E"/>
    <w:rsid w:val="001F5F8F"/>
    <w:rsid w:val="001F61E5"/>
    <w:rsid w:val="001F629E"/>
    <w:rsid w:val="001F6589"/>
    <w:rsid w:val="001F6958"/>
    <w:rsid w:val="001F696A"/>
    <w:rsid w:val="001F702D"/>
    <w:rsid w:val="001F7343"/>
    <w:rsid w:val="001F750D"/>
    <w:rsid w:val="001F7716"/>
    <w:rsid w:val="001F78FD"/>
    <w:rsid w:val="00200E56"/>
    <w:rsid w:val="00201A7A"/>
    <w:rsid w:val="00201C9E"/>
    <w:rsid w:val="002023AC"/>
    <w:rsid w:val="0020251F"/>
    <w:rsid w:val="002027F7"/>
    <w:rsid w:val="00203645"/>
    <w:rsid w:val="00203822"/>
    <w:rsid w:val="00203CE8"/>
    <w:rsid w:val="00203DAC"/>
    <w:rsid w:val="00203EC9"/>
    <w:rsid w:val="00204AD6"/>
    <w:rsid w:val="00204F5A"/>
    <w:rsid w:val="0020690A"/>
    <w:rsid w:val="00207767"/>
    <w:rsid w:val="00207941"/>
    <w:rsid w:val="00207AB1"/>
    <w:rsid w:val="00207C8A"/>
    <w:rsid w:val="0021031C"/>
    <w:rsid w:val="00210BAF"/>
    <w:rsid w:val="00210CDC"/>
    <w:rsid w:val="00211321"/>
    <w:rsid w:val="00211EF1"/>
    <w:rsid w:val="00212015"/>
    <w:rsid w:val="0021251F"/>
    <w:rsid w:val="00212599"/>
    <w:rsid w:val="002125C4"/>
    <w:rsid w:val="0021344D"/>
    <w:rsid w:val="00213484"/>
    <w:rsid w:val="00213C07"/>
    <w:rsid w:val="00213DF1"/>
    <w:rsid w:val="002141FD"/>
    <w:rsid w:val="0021468C"/>
    <w:rsid w:val="00214701"/>
    <w:rsid w:val="00214707"/>
    <w:rsid w:val="00214FD2"/>
    <w:rsid w:val="00215530"/>
    <w:rsid w:val="002156BE"/>
    <w:rsid w:val="00215EE6"/>
    <w:rsid w:val="00216F0F"/>
    <w:rsid w:val="00216F5F"/>
    <w:rsid w:val="0021799B"/>
    <w:rsid w:val="00217A81"/>
    <w:rsid w:val="00217ADA"/>
    <w:rsid w:val="00217BF6"/>
    <w:rsid w:val="00220017"/>
    <w:rsid w:val="00220704"/>
    <w:rsid w:val="00220748"/>
    <w:rsid w:val="002209B3"/>
    <w:rsid w:val="0022108C"/>
    <w:rsid w:val="0022112B"/>
    <w:rsid w:val="00222093"/>
    <w:rsid w:val="00222598"/>
    <w:rsid w:val="002226A7"/>
    <w:rsid w:val="002227B7"/>
    <w:rsid w:val="00222849"/>
    <w:rsid w:val="00222CA8"/>
    <w:rsid w:val="00222DFC"/>
    <w:rsid w:val="00222EDD"/>
    <w:rsid w:val="00223024"/>
    <w:rsid w:val="002237A2"/>
    <w:rsid w:val="0022409B"/>
    <w:rsid w:val="00224465"/>
    <w:rsid w:val="00224688"/>
    <w:rsid w:val="0022479D"/>
    <w:rsid w:val="00224884"/>
    <w:rsid w:val="00224B3B"/>
    <w:rsid w:val="00225149"/>
    <w:rsid w:val="0022527D"/>
    <w:rsid w:val="002252DF"/>
    <w:rsid w:val="00225301"/>
    <w:rsid w:val="002254D4"/>
    <w:rsid w:val="00225BFD"/>
    <w:rsid w:val="00226065"/>
    <w:rsid w:val="0022607B"/>
    <w:rsid w:val="0022617B"/>
    <w:rsid w:val="00226589"/>
    <w:rsid w:val="00226640"/>
    <w:rsid w:val="00226769"/>
    <w:rsid w:val="00226E42"/>
    <w:rsid w:val="00226E7A"/>
    <w:rsid w:val="002275CB"/>
    <w:rsid w:val="0022783E"/>
    <w:rsid w:val="00227D35"/>
    <w:rsid w:val="00230476"/>
    <w:rsid w:val="002308F5"/>
    <w:rsid w:val="00231568"/>
    <w:rsid w:val="002328A7"/>
    <w:rsid w:val="00232BED"/>
    <w:rsid w:val="00232C01"/>
    <w:rsid w:val="002334C2"/>
    <w:rsid w:val="00233619"/>
    <w:rsid w:val="00233A04"/>
    <w:rsid w:val="00233B85"/>
    <w:rsid w:val="00233C2B"/>
    <w:rsid w:val="0023443B"/>
    <w:rsid w:val="0023460C"/>
    <w:rsid w:val="002346EE"/>
    <w:rsid w:val="00234E66"/>
    <w:rsid w:val="0023518D"/>
    <w:rsid w:val="00235409"/>
    <w:rsid w:val="002356B8"/>
    <w:rsid w:val="0023597F"/>
    <w:rsid w:val="00236965"/>
    <w:rsid w:val="00237261"/>
    <w:rsid w:val="00237DAF"/>
    <w:rsid w:val="00240032"/>
    <w:rsid w:val="002403B6"/>
    <w:rsid w:val="00240A99"/>
    <w:rsid w:val="00240E6A"/>
    <w:rsid w:val="00241BC4"/>
    <w:rsid w:val="00241C05"/>
    <w:rsid w:val="00241F3D"/>
    <w:rsid w:val="00242182"/>
    <w:rsid w:val="0024224F"/>
    <w:rsid w:val="00242366"/>
    <w:rsid w:val="00242439"/>
    <w:rsid w:val="00242481"/>
    <w:rsid w:val="002427B2"/>
    <w:rsid w:val="002427DC"/>
    <w:rsid w:val="00242C36"/>
    <w:rsid w:val="00242F03"/>
    <w:rsid w:val="0024360A"/>
    <w:rsid w:val="00243E04"/>
    <w:rsid w:val="0024445E"/>
    <w:rsid w:val="00244763"/>
    <w:rsid w:val="00245207"/>
    <w:rsid w:val="0024536D"/>
    <w:rsid w:val="0024546A"/>
    <w:rsid w:val="00246320"/>
    <w:rsid w:val="002466DD"/>
    <w:rsid w:val="002467BE"/>
    <w:rsid w:val="00246E30"/>
    <w:rsid w:val="00246F11"/>
    <w:rsid w:val="0024770C"/>
    <w:rsid w:val="00247B22"/>
    <w:rsid w:val="00247D75"/>
    <w:rsid w:val="00247EF7"/>
    <w:rsid w:val="00247F05"/>
    <w:rsid w:val="002501BA"/>
    <w:rsid w:val="00250EED"/>
    <w:rsid w:val="00251283"/>
    <w:rsid w:val="00251D27"/>
    <w:rsid w:val="00251E03"/>
    <w:rsid w:val="0025242E"/>
    <w:rsid w:val="0025290A"/>
    <w:rsid w:val="00253148"/>
    <w:rsid w:val="0025333D"/>
    <w:rsid w:val="00253401"/>
    <w:rsid w:val="0025372A"/>
    <w:rsid w:val="00253850"/>
    <w:rsid w:val="00254B6C"/>
    <w:rsid w:val="00255739"/>
    <w:rsid w:val="0025598A"/>
    <w:rsid w:val="00255D9B"/>
    <w:rsid w:val="00255DE7"/>
    <w:rsid w:val="0025630A"/>
    <w:rsid w:val="002563F5"/>
    <w:rsid w:val="00256481"/>
    <w:rsid w:val="0025664C"/>
    <w:rsid w:val="0025667C"/>
    <w:rsid w:val="0025720C"/>
    <w:rsid w:val="00257218"/>
    <w:rsid w:val="00257D55"/>
    <w:rsid w:val="00257E68"/>
    <w:rsid w:val="0026009C"/>
    <w:rsid w:val="00260266"/>
    <w:rsid w:val="002605C2"/>
    <w:rsid w:val="00260636"/>
    <w:rsid w:val="00260970"/>
    <w:rsid w:val="00260B1E"/>
    <w:rsid w:val="00260EC5"/>
    <w:rsid w:val="00260FBE"/>
    <w:rsid w:val="002615F4"/>
    <w:rsid w:val="00261A2A"/>
    <w:rsid w:val="00261BFC"/>
    <w:rsid w:val="002620C8"/>
    <w:rsid w:val="00262215"/>
    <w:rsid w:val="002629C3"/>
    <w:rsid w:val="00262BED"/>
    <w:rsid w:val="00262C9C"/>
    <w:rsid w:val="00262F5B"/>
    <w:rsid w:val="002638DF"/>
    <w:rsid w:val="00263ABF"/>
    <w:rsid w:val="00263F83"/>
    <w:rsid w:val="00264050"/>
    <w:rsid w:val="00264367"/>
    <w:rsid w:val="0026441B"/>
    <w:rsid w:val="00264511"/>
    <w:rsid w:val="00264D7F"/>
    <w:rsid w:val="00264F06"/>
    <w:rsid w:val="00266327"/>
    <w:rsid w:val="002666B0"/>
    <w:rsid w:val="00266DA5"/>
    <w:rsid w:val="00267198"/>
    <w:rsid w:val="0026721F"/>
    <w:rsid w:val="002674BE"/>
    <w:rsid w:val="00267544"/>
    <w:rsid w:val="002676F3"/>
    <w:rsid w:val="00267DAB"/>
    <w:rsid w:val="002708EB"/>
    <w:rsid w:val="00270E7C"/>
    <w:rsid w:val="00270F38"/>
    <w:rsid w:val="0027122A"/>
    <w:rsid w:val="00271306"/>
    <w:rsid w:val="00271699"/>
    <w:rsid w:val="00271C16"/>
    <w:rsid w:val="00271EE8"/>
    <w:rsid w:val="00272844"/>
    <w:rsid w:val="002729A4"/>
    <w:rsid w:val="00272C33"/>
    <w:rsid w:val="00272D1D"/>
    <w:rsid w:val="00272D56"/>
    <w:rsid w:val="00273CF6"/>
    <w:rsid w:val="00273FCB"/>
    <w:rsid w:val="002740B2"/>
    <w:rsid w:val="00274313"/>
    <w:rsid w:val="0027480E"/>
    <w:rsid w:val="00274935"/>
    <w:rsid w:val="00274B52"/>
    <w:rsid w:val="00274CE7"/>
    <w:rsid w:val="00274E76"/>
    <w:rsid w:val="0027506B"/>
    <w:rsid w:val="00275477"/>
    <w:rsid w:val="002757DB"/>
    <w:rsid w:val="00275C43"/>
    <w:rsid w:val="002760E8"/>
    <w:rsid w:val="00276673"/>
    <w:rsid w:val="002766A6"/>
    <w:rsid w:val="00276A9A"/>
    <w:rsid w:val="00276BA9"/>
    <w:rsid w:val="00276DD0"/>
    <w:rsid w:val="00276E53"/>
    <w:rsid w:val="00276E93"/>
    <w:rsid w:val="002773E6"/>
    <w:rsid w:val="002774C5"/>
    <w:rsid w:val="00277738"/>
    <w:rsid w:val="002779B7"/>
    <w:rsid w:val="002779BD"/>
    <w:rsid w:val="002804CD"/>
    <w:rsid w:val="0028096F"/>
    <w:rsid w:val="00280C3E"/>
    <w:rsid w:val="0028152B"/>
    <w:rsid w:val="002815A1"/>
    <w:rsid w:val="0028164B"/>
    <w:rsid w:val="002818E0"/>
    <w:rsid w:val="00281B9D"/>
    <w:rsid w:val="00282012"/>
    <w:rsid w:val="00283569"/>
    <w:rsid w:val="00283C2C"/>
    <w:rsid w:val="00283FC7"/>
    <w:rsid w:val="00284377"/>
    <w:rsid w:val="002847AA"/>
    <w:rsid w:val="00285364"/>
    <w:rsid w:val="00285C79"/>
    <w:rsid w:val="00285CED"/>
    <w:rsid w:val="00285E47"/>
    <w:rsid w:val="00286350"/>
    <w:rsid w:val="002865AE"/>
    <w:rsid w:val="0028718A"/>
    <w:rsid w:val="002874F6"/>
    <w:rsid w:val="002875C0"/>
    <w:rsid w:val="002876FE"/>
    <w:rsid w:val="00287C73"/>
    <w:rsid w:val="00287F47"/>
    <w:rsid w:val="002901BF"/>
    <w:rsid w:val="002905C2"/>
    <w:rsid w:val="00290B37"/>
    <w:rsid w:val="00290CDD"/>
    <w:rsid w:val="002916C3"/>
    <w:rsid w:val="00291EF1"/>
    <w:rsid w:val="00291F8E"/>
    <w:rsid w:val="00291FA6"/>
    <w:rsid w:val="00292848"/>
    <w:rsid w:val="00292C07"/>
    <w:rsid w:val="00292D9E"/>
    <w:rsid w:val="0029371D"/>
    <w:rsid w:val="0029378D"/>
    <w:rsid w:val="002937B8"/>
    <w:rsid w:val="00293E6C"/>
    <w:rsid w:val="00294541"/>
    <w:rsid w:val="00294880"/>
    <w:rsid w:val="002948E9"/>
    <w:rsid w:val="00294E96"/>
    <w:rsid w:val="0029521B"/>
    <w:rsid w:val="0029532D"/>
    <w:rsid w:val="002953A8"/>
    <w:rsid w:val="00295A6A"/>
    <w:rsid w:val="00295BBC"/>
    <w:rsid w:val="002960A6"/>
    <w:rsid w:val="002967F9"/>
    <w:rsid w:val="00296B66"/>
    <w:rsid w:val="002971EE"/>
    <w:rsid w:val="0029796E"/>
    <w:rsid w:val="00297DE2"/>
    <w:rsid w:val="002A0405"/>
    <w:rsid w:val="002A0448"/>
    <w:rsid w:val="002A142F"/>
    <w:rsid w:val="002A1431"/>
    <w:rsid w:val="002A2DB6"/>
    <w:rsid w:val="002A2DE3"/>
    <w:rsid w:val="002A36D6"/>
    <w:rsid w:val="002A3D79"/>
    <w:rsid w:val="002A40E1"/>
    <w:rsid w:val="002A49BD"/>
    <w:rsid w:val="002A50FB"/>
    <w:rsid w:val="002A53E1"/>
    <w:rsid w:val="002A5638"/>
    <w:rsid w:val="002A5897"/>
    <w:rsid w:val="002A5AC9"/>
    <w:rsid w:val="002A5F06"/>
    <w:rsid w:val="002A657C"/>
    <w:rsid w:val="002A687D"/>
    <w:rsid w:val="002A68F9"/>
    <w:rsid w:val="002A6AB6"/>
    <w:rsid w:val="002A6E19"/>
    <w:rsid w:val="002A6F49"/>
    <w:rsid w:val="002A6F6A"/>
    <w:rsid w:val="002A75BD"/>
    <w:rsid w:val="002A7931"/>
    <w:rsid w:val="002A7B62"/>
    <w:rsid w:val="002A7B8E"/>
    <w:rsid w:val="002A7D25"/>
    <w:rsid w:val="002B057A"/>
    <w:rsid w:val="002B0588"/>
    <w:rsid w:val="002B0706"/>
    <w:rsid w:val="002B0952"/>
    <w:rsid w:val="002B0DEE"/>
    <w:rsid w:val="002B0FC8"/>
    <w:rsid w:val="002B14DD"/>
    <w:rsid w:val="002B20CA"/>
    <w:rsid w:val="002B212F"/>
    <w:rsid w:val="002B3154"/>
    <w:rsid w:val="002B39AA"/>
    <w:rsid w:val="002B3FDF"/>
    <w:rsid w:val="002B42DB"/>
    <w:rsid w:val="002B42F6"/>
    <w:rsid w:val="002B4431"/>
    <w:rsid w:val="002B5269"/>
    <w:rsid w:val="002B57DD"/>
    <w:rsid w:val="002B5808"/>
    <w:rsid w:val="002B5D80"/>
    <w:rsid w:val="002B624A"/>
    <w:rsid w:val="002B632F"/>
    <w:rsid w:val="002B635A"/>
    <w:rsid w:val="002B67B2"/>
    <w:rsid w:val="002B76A3"/>
    <w:rsid w:val="002B78D7"/>
    <w:rsid w:val="002C002A"/>
    <w:rsid w:val="002C002D"/>
    <w:rsid w:val="002C011E"/>
    <w:rsid w:val="002C021D"/>
    <w:rsid w:val="002C074C"/>
    <w:rsid w:val="002C09B2"/>
    <w:rsid w:val="002C12A3"/>
    <w:rsid w:val="002C136F"/>
    <w:rsid w:val="002C16FB"/>
    <w:rsid w:val="002C1714"/>
    <w:rsid w:val="002C1D84"/>
    <w:rsid w:val="002C1ED2"/>
    <w:rsid w:val="002C1F1D"/>
    <w:rsid w:val="002C206F"/>
    <w:rsid w:val="002C21AC"/>
    <w:rsid w:val="002C26C1"/>
    <w:rsid w:val="002C274E"/>
    <w:rsid w:val="002C27A1"/>
    <w:rsid w:val="002C2D82"/>
    <w:rsid w:val="002C2F79"/>
    <w:rsid w:val="002C3006"/>
    <w:rsid w:val="002C336A"/>
    <w:rsid w:val="002C3768"/>
    <w:rsid w:val="002C476A"/>
    <w:rsid w:val="002C4D71"/>
    <w:rsid w:val="002C515E"/>
    <w:rsid w:val="002C5FDA"/>
    <w:rsid w:val="002C6011"/>
    <w:rsid w:val="002C60FB"/>
    <w:rsid w:val="002C61A0"/>
    <w:rsid w:val="002C646A"/>
    <w:rsid w:val="002C663D"/>
    <w:rsid w:val="002C6B86"/>
    <w:rsid w:val="002C6F52"/>
    <w:rsid w:val="002C70D0"/>
    <w:rsid w:val="002C780D"/>
    <w:rsid w:val="002C7B63"/>
    <w:rsid w:val="002D00E6"/>
    <w:rsid w:val="002D00F4"/>
    <w:rsid w:val="002D0A64"/>
    <w:rsid w:val="002D0E78"/>
    <w:rsid w:val="002D13A8"/>
    <w:rsid w:val="002D15B3"/>
    <w:rsid w:val="002D1B6F"/>
    <w:rsid w:val="002D1CE4"/>
    <w:rsid w:val="002D1DF5"/>
    <w:rsid w:val="002D1E22"/>
    <w:rsid w:val="002D1E9C"/>
    <w:rsid w:val="002D21B0"/>
    <w:rsid w:val="002D2B77"/>
    <w:rsid w:val="002D3179"/>
    <w:rsid w:val="002D36A2"/>
    <w:rsid w:val="002D3DAB"/>
    <w:rsid w:val="002D4469"/>
    <w:rsid w:val="002D46F7"/>
    <w:rsid w:val="002D5211"/>
    <w:rsid w:val="002D52E8"/>
    <w:rsid w:val="002D5394"/>
    <w:rsid w:val="002D5453"/>
    <w:rsid w:val="002D548B"/>
    <w:rsid w:val="002D5F08"/>
    <w:rsid w:val="002D6282"/>
    <w:rsid w:val="002D65B5"/>
    <w:rsid w:val="002D721D"/>
    <w:rsid w:val="002D73B5"/>
    <w:rsid w:val="002D7839"/>
    <w:rsid w:val="002D7C48"/>
    <w:rsid w:val="002D7F79"/>
    <w:rsid w:val="002E014D"/>
    <w:rsid w:val="002E02C1"/>
    <w:rsid w:val="002E0302"/>
    <w:rsid w:val="002E068E"/>
    <w:rsid w:val="002E0E55"/>
    <w:rsid w:val="002E16BB"/>
    <w:rsid w:val="002E1763"/>
    <w:rsid w:val="002E1EBF"/>
    <w:rsid w:val="002E2464"/>
    <w:rsid w:val="002E30E0"/>
    <w:rsid w:val="002E358C"/>
    <w:rsid w:val="002E403E"/>
    <w:rsid w:val="002E4524"/>
    <w:rsid w:val="002E4A43"/>
    <w:rsid w:val="002E4CDC"/>
    <w:rsid w:val="002E4F05"/>
    <w:rsid w:val="002E53E7"/>
    <w:rsid w:val="002E5527"/>
    <w:rsid w:val="002E5661"/>
    <w:rsid w:val="002E572A"/>
    <w:rsid w:val="002E65A3"/>
    <w:rsid w:val="002E65B5"/>
    <w:rsid w:val="002E6712"/>
    <w:rsid w:val="002E697B"/>
    <w:rsid w:val="002E6A73"/>
    <w:rsid w:val="002E7476"/>
    <w:rsid w:val="002E7C5C"/>
    <w:rsid w:val="002E7D30"/>
    <w:rsid w:val="002F015D"/>
    <w:rsid w:val="002F01FD"/>
    <w:rsid w:val="002F0271"/>
    <w:rsid w:val="002F0EBD"/>
    <w:rsid w:val="002F0FB3"/>
    <w:rsid w:val="002F106F"/>
    <w:rsid w:val="002F1104"/>
    <w:rsid w:val="002F19E5"/>
    <w:rsid w:val="002F1FF7"/>
    <w:rsid w:val="002F2411"/>
    <w:rsid w:val="002F291B"/>
    <w:rsid w:val="002F3053"/>
    <w:rsid w:val="002F32AF"/>
    <w:rsid w:val="002F33A5"/>
    <w:rsid w:val="002F3623"/>
    <w:rsid w:val="002F50B3"/>
    <w:rsid w:val="002F530F"/>
    <w:rsid w:val="002F5373"/>
    <w:rsid w:val="002F5423"/>
    <w:rsid w:val="002F54DE"/>
    <w:rsid w:val="002F56C3"/>
    <w:rsid w:val="002F5B18"/>
    <w:rsid w:val="002F5E65"/>
    <w:rsid w:val="002F64C4"/>
    <w:rsid w:val="002F68ED"/>
    <w:rsid w:val="002F78EF"/>
    <w:rsid w:val="002F7992"/>
    <w:rsid w:val="002F7A6C"/>
    <w:rsid w:val="002F7CA8"/>
    <w:rsid w:val="0030019B"/>
    <w:rsid w:val="00300238"/>
    <w:rsid w:val="003004A6"/>
    <w:rsid w:val="003005EB"/>
    <w:rsid w:val="00300802"/>
    <w:rsid w:val="00300856"/>
    <w:rsid w:val="00300B16"/>
    <w:rsid w:val="00300C54"/>
    <w:rsid w:val="00301A14"/>
    <w:rsid w:val="00302099"/>
    <w:rsid w:val="00302275"/>
    <w:rsid w:val="00302296"/>
    <w:rsid w:val="003024AC"/>
    <w:rsid w:val="0030277E"/>
    <w:rsid w:val="003027D2"/>
    <w:rsid w:val="00302A05"/>
    <w:rsid w:val="00302EE3"/>
    <w:rsid w:val="003034A6"/>
    <w:rsid w:val="003035F3"/>
    <w:rsid w:val="003036CF"/>
    <w:rsid w:val="003038BD"/>
    <w:rsid w:val="00303DE4"/>
    <w:rsid w:val="0030403C"/>
    <w:rsid w:val="00304486"/>
    <w:rsid w:val="003047EB"/>
    <w:rsid w:val="00304FF7"/>
    <w:rsid w:val="00305197"/>
    <w:rsid w:val="0030582E"/>
    <w:rsid w:val="003058A5"/>
    <w:rsid w:val="00305A1C"/>
    <w:rsid w:val="003064BF"/>
    <w:rsid w:val="00306D68"/>
    <w:rsid w:val="00306DBF"/>
    <w:rsid w:val="00307526"/>
    <w:rsid w:val="003075AA"/>
    <w:rsid w:val="00307C8D"/>
    <w:rsid w:val="00310170"/>
    <w:rsid w:val="00310341"/>
    <w:rsid w:val="00310A2C"/>
    <w:rsid w:val="003110A4"/>
    <w:rsid w:val="00311E88"/>
    <w:rsid w:val="00312552"/>
    <w:rsid w:val="00312A26"/>
    <w:rsid w:val="00312DAD"/>
    <w:rsid w:val="00312ED6"/>
    <w:rsid w:val="0031309F"/>
    <w:rsid w:val="0031367B"/>
    <w:rsid w:val="00313945"/>
    <w:rsid w:val="00313B40"/>
    <w:rsid w:val="00313D72"/>
    <w:rsid w:val="00314638"/>
    <w:rsid w:val="0031489E"/>
    <w:rsid w:val="00314A40"/>
    <w:rsid w:val="00315571"/>
    <w:rsid w:val="00315821"/>
    <w:rsid w:val="003159C0"/>
    <w:rsid w:val="00315A2F"/>
    <w:rsid w:val="00315BBB"/>
    <w:rsid w:val="00315BDB"/>
    <w:rsid w:val="00315D02"/>
    <w:rsid w:val="00316019"/>
    <w:rsid w:val="003160F8"/>
    <w:rsid w:val="00316243"/>
    <w:rsid w:val="00316409"/>
    <w:rsid w:val="0031643B"/>
    <w:rsid w:val="0031675E"/>
    <w:rsid w:val="003169BC"/>
    <w:rsid w:val="00316CD0"/>
    <w:rsid w:val="00316DD2"/>
    <w:rsid w:val="00317E1C"/>
    <w:rsid w:val="00317FC5"/>
    <w:rsid w:val="0032096B"/>
    <w:rsid w:val="003219EB"/>
    <w:rsid w:val="00322E5D"/>
    <w:rsid w:val="00322EAC"/>
    <w:rsid w:val="00322EBE"/>
    <w:rsid w:val="00322F59"/>
    <w:rsid w:val="0032300D"/>
    <w:rsid w:val="00323014"/>
    <w:rsid w:val="00323317"/>
    <w:rsid w:val="00323DE8"/>
    <w:rsid w:val="003240C2"/>
    <w:rsid w:val="0032493E"/>
    <w:rsid w:val="00324D33"/>
    <w:rsid w:val="00324D8D"/>
    <w:rsid w:val="0032507C"/>
    <w:rsid w:val="0032513A"/>
    <w:rsid w:val="00325520"/>
    <w:rsid w:val="003258CA"/>
    <w:rsid w:val="00325BB0"/>
    <w:rsid w:val="00325C9B"/>
    <w:rsid w:val="00325F96"/>
    <w:rsid w:val="0032659D"/>
    <w:rsid w:val="00326741"/>
    <w:rsid w:val="00326889"/>
    <w:rsid w:val="00326EC6"/>
    <w:rsid w:val="0032736F"/>
    <w:rsid w:val="00327659"/>
    <w:rsid w:val="00327871"/>
    <w:rsid w:val="00327E8B"/>
    <w:rsid w:val="00330145"/>
    <w:rsid w:val="0033018A"/>
    <w:rsid w:val="00330642"/>
    <w:rsid w:val="003308A2"/>
    <w:rsid w:val="00331391"/>
    <w:rsid w:val="00331A0D"/>
    <w:rsid w:val="00331B4B"/>
    <w:rsid w:val="00331F7F"/>
    <w:rsid w:val="003323CC"/>
    <w:rsid w:val="003329CB"/>
    <w:rsid w:val="00332FAB"/>
    <w:rsid w:val="00333369"/>
    <w:rsid w:val="00333859"/>
    <w:rsid w:val="00333938"/>
    <w:rsid w:val="00333C30"/>
    <w:rsid w:val="0033437E"/>
    <w:rsid w:val="00334A54"/>
    <w:rsid w:val="00334B03"/>
    <w:rsid w:val="00334B2C"/>
    <w:rsid w:val="00334CBE"/>
    <w:rsid w:val="00334D7E"/>
    <w:rsid w:val="0033500C"/>
    <w:rsid w:val="003350D6"/>
    <w:rsid w:val="00335178"/>
    <w:rsid w:val="0033547C"/>
    <w:rsid w:val="003355DD"/>
    <w:rsid w:val="00335B0F"/>
    <w:rsid w:val="0033640A"/>
    <w:rsid w:val="0033642C"/>
    <w:rsid w:val="00336A61"/>
    <w:rsid w:val="00336C58"/>
    <w:rsid w:val="00336D85"/>
    <w:rsid w:val="00340519"/>
    <w:rsid w:val="00340824"/>
    <w:rsid w:val="00340BEC"/>
    <w:rsid w:val="00340D32"/>
    <w:rsid w:val="003413A6"/>
    <w:rsid w:val="003416B7"/>
    <w:rsid w:val="003417AD"/>
    <w:rsid w:val="00341961"/>
    <w:rsid w:val="0034202A"/>
    <w:rsid w:val="003421CD"/>
    <w:rsid w:val="003422F0"/>
    <w:rsid w:val="0034260F"/>
    <w:rsid w:val="0034297F"/>
    <w:rsid w:val="00343795"/>
    <w:rsid w:val="00343A6C"/>
    <w:rsid w:val="00344293"/>
    <w:rsid w:val="0034451C"/>
    <w:rsid w:val="00344986"/>
    <w:rsid w:val="00344C79"/>
    <w:rsid w:val="00344FF1"/>
    <w:rsid w:val="003452F8"/>
    <w:rsid w:val="00345569"/>
    <w:rsid w:val="00345849"/>
    <w:rsid w:val="00345A01"/>
    <w:rsid w:val="00345E61"/>
    <w:rsid w:val="00345E69"/>
    <w:rsid w:val="003460E0"/>
    <w:rsid w:val="0034614B"/>
    <w:rsid w:val="003467D3"/>
    <w:rsid w:val="0034690D"/>
    <w:rsid w:val="00346AD4"/>
    <w:rsid w:val="00347279"/>
    <w:rsid w:val="003477BE"/>
    <w:rsid w:val="00347D2E"/>
    <w:rsid w:val="00350ADD"/>
    <w:rsid w:val="003510D2"/>
    <w:rsid w:val="00351813"/>
    <w:rsid w:val="00351C11"/>
    <w:rsid w:val="00351C3E"/>
    <w:rsid w:val="00351DA0"/>
    <w:rsid w:val="00351EB8"/>
    <w:rsid w:val="00352578"/>
    <w:rsid w:val="003527E0"/>
    <w:rsid w:val="00352A91"/>
    <w:rsid w:val="00352E68"/>
    <w:rsid w:val="0035316A"/>
    <w:rsid w:val="00353303"/>
    <w:rsid w:val="00353579"/>
    <w:rsid w:val="0035362D"/>
    <w:rsid w:val="0035386E"/>
    <w:rsid w:val="0035406F"/>
    <w:rsid w:val="0035448E"/>
    <w:rsid w:val="00354722"/>
    <w:rsid w:val="003548FE"/>
    <w:rsid w:val="00354B5A"/>
    <w:rsid w:val="00354E3A"/>
    <w:rsid w:val="003557A3"/>
    <w:rsid w:val="00355CAF"/>
    <w:rsid w:val="00356EF6"/>
    <w:rsid w:val="0035724F"/>
    <w:rsid w:val="003572BE"/>
    <w:rsid w:val="00357990"/>
    <w:rsid w:val="00357C93"/>
    <w:rsid w:val="00357E00"/>
    <w:rsid w:val="00360517"/>
    <w:rsid w:val="00360F2C"/>
    <w:rsid w:val="00360F57"/>
    <w:rsid w:val="00360FA4"/>
    <w:rsid w:val="003621DB"/>
    <w:rsid w:val="003634AC"/>
    <w:rsid w:val="0036389C"/>
    <w:rsid w:val="00363AC1"/>
    <w:rsid w:val="0036409F"/>
    <w:rsid w:val="0036433A"/>
    <w:rsid w:val="003648D3"/>
    <w:rsid w:val="00364D5A"/>
    <w:rsid w:val="00364DCE"/>
    <w:rsid w:val="00365C20"/>
    <w:rsid w:val="00365DFC"/>
    <w:rsid w:val="00365EAD"/>
    <w:rsid w:val="00365FAE"/>
    <w:rsid w:val="00366251"/>
    <w:rsid w:val="00366284"/>
    <w:rsid w:val="003666DB"/>
    <w:rsid w:val="00366791"/>
    <w:rsid w:val="00366E0D"/>
    <w:rsid w:val="003676D2"/>
    <w:rsid w:val="003677B9"/>
    <w:rsid w:val="003679AF"/>
    <w:rsid w:val="00370573"/>
    <w:rsid w:val="0037093A"/>
    <w:rsid w:val="003716E5"/>
    <w:rsid w:val="003720BA"/>
    <w:rsid w:val="003721A4"/>
    <w:rsid w:val="00372F02"/>
    <w:rsid w:val="003732FF"/>
    <w:rsid w:val="00373410"/>
    <w:rsid w:val="003735D4"/>
    <w:rsid w:val="00373B73"/>
    <w:rsid w:val="00373D03"/>
    <w:rsid w:val="00373F5B"/>
    <w:rsid w:val="00374035"/>
    <w:rsid w:val="0037409E"/>
    <w:rsid w:val="003742CC"/>
    <w:rsid w:val="00374314"/>
    <w:rsid w:val="00374A0E"/>
    <w:rsid w:val="00374C6F"/>
    <w:rsid w:val="00374DE3"/>
    <w:rsid w:val="00374E0B"/>
    <w:rsid w:val="00374EA0"/>
    <w:rsid w:val="003752BE"/>
    <w:rsid w:val="0037555C"/>
    <w:rsid w:val="0037556A"/>
    <w:rsid w:val="00375C5F"/>
    <w:rsid w:val="00375D7B"/>
    <w:rsid w:val="00376AA9"/>
    <w:rsid w:val="0037765A"/>
    <w:rsid w:val="003777C4"/>
    <w:rsid w:val="00377A57"/>
    <w:rsid w:val="00377C8B"/>
    <w:rsid w:val="00377D6E"/>
    <w:rsid w:val="0038009F"/>
    <w:rsid w:val="003800DE"/>
    <w:rsid w:val="003802E0"/>
    <w:rsid w:val="00380F2D"/>
    <w:rsid w:val="00381A45"/>
    <w:rsid w:val="00381D96"/>
    <w:rsid w:val="00381E3B"/>
    <w:rsid w:val="003820FC"/>
    <w:rsid w:val="00382F39"/>
    <w:rsid w:val="0038326A"/>
    <w:rsid w:val="003832F7"/>
    <w:rsid w:val="00383E1F"/>
    <w:rsid w:val="00384E3D"/>
    <w:rsid w:val="00384E5F"/>
    <w:rsid w:val="00384E84"/>
    <w:rsid w:val="003857FD"/>
    <w:rsid w:val="00385D53"/>
    <w:rsid w:val="00385F44"/>
    <w:rsid w:val="0038608B"/>
    <w:rsid w:val="0038708A"/>
    <w:rsid w:val="003871FA"/>
    <w:rsid w:val="00387402"/>
    <w:rsid w:val="0038784D"/>
    <w:rsid w:val="00387A14"/>
    <w:rsid w:val="00387A90"/>
    <w:rsid w:val="00387ADB"/>
    <w:rsid w:val="00387EA7"/>
    <w:rsid w:val="0039059E"/>
    <w:rsid w:val="0039068C"/>
    <w:rsid w:val="00390BBC"/>
    <w:rsid w:val="003913EE"/>
    <w:rsid w:val="0039152F"/>
    <w:rsid w:val="003924A1"/>
    <w:rsid w:val="003925C6"/>
    <w:rsid w:val="00392745"/>
    <w:rsid w:val="003927D1"/>
    <w:rsid w:val="003929BE"/>
    <w:rsid w:val="00392E82"/>
    <w:rsid w:val="0039341B"/>
    <w:rsid w:val="00393461"/>
    <w:rsid w:val="003935EF"/>
    <w:rsid w:val="00393A74"/>
    <w:rsid w:val="00393B70"/>
    <w:rsid w:val="00394191"/>
    <w:rsid w:val="003945FF"/>
    <w:rsid w:val="00394863"/>
    <w:rsid w:val="003948B8"/>
    <w:rsid w:val="00394A62"/>
    <w:rsid w:val="003957BA"/>
    <w:rsid w:val="003962C1"/>
    <w:rsid w:val="003965C2"/>
    <w:rsid w:val="00396626"/>
    <w:rsid w:val="00396901"/>
    <w:rsid w:val="003969CE"/>
    <w:rsid w:val="00396EF1"/>
    <w:rsid w:val="0039736C"/>
    <w:rsid w:val="0039773F"/>
    <w:rsid w:val="00397827"/>
    <w:rsid w:val="00397A70"/>
    <w:rsid w:val="00397AFB"/>
    <w:rsid w:val="00397B14"/>
    <w:rsid w:val="003A0233"/>
    <w:rsid w:val="003A02EB"/>
    <w:rsid w:val="003A07F9"/>
    <w:rsid w:val="003A0A6F"/>
    <w:rsid w:val="003A12B3"/>
    <w:rsid w:val="003A181D"/>
    <w:rsid w:val="003A2108"/>
    <w:rsid w:val="003A29AE"/>
    <w:rsid w:val="003A2A80"/>
    <w:rsid w:val="003A2DD7"/>
    <w:rsid w:val="003A2FBF"/>
    <w:rsid w:val="003A2FCD"/>
    <w:rsid w:val="003A30E3"/>
    <w:rsid w:val="003A3221"/>
    <w:rsid w:val="003A3B27"/>
    <w:rsid w:val="003A40D6"/>
    <w:rsid w:val="003A4333"/>
    <w:rsid w:val="003A4967"/>
    <w:rsid w:val="003A4DC6"/>
    <w:rsid w:val="003A4E24"/>
    <w:rsid w:val="003A50FA"/>
    <w:rsid w:val="003A5B3B"/>
    <w:rsid w:val="003A637F"/>
    <w:rsid w:val="003A64F9"/>
    <w:rsid w:val="003A678D"/>
    <w:rsid w:val="003A73C8"/>
    <w:rsid w:val="003A779F"/>
    <w:rsid w:val="003A78C1"/>
    <w:rsid w:val="003A7D49"/>
    <w:rsid w:val="003A7E98"/>
    <w:rsid w:val="003B000F"/>
    <w:rsid w:val="003B02CA"/>
    <w:rsid w:val="003B0633"/>
    <w:rsid w:val="003B08F3"/>
    <w:rsid w:val="003B09A2"/>
    <w:rsid w:val="003B0F0E"/>
    <w:rsid w:val="003B0FCE"/>
    <w:rsid w:val="003B1249"/>
    <w:rsid w:val="003B1646"/>
    <w:rsid w:val="003B1DB0"/>
    <w:rsid w:val="003B1FEF"/>
    <w:rsid w:val="003B24B0"/>
    <w:rsid w:val="003B265A"/>
    <w:rsid w:val="003B2BF3"/>
    <w:rsid w:val="003B2DBE"/>
    <w:rsid w:val="003B2E2B"/>
    <w:rsid w:val="003B2EC6"/>
    <w:rsid w:val="003B331A"/>
    <w:rsid w:val="003B341D"/>
    <w:rsid w:val="003B36E5"/>
    <w:rsid w:val="003B36F7"/>
    <w:rsid w:val="003B3E3B"/>
    <w:rsid w:val="003B4AE8"/>
    <w:rsid w:val="003B50E3"/>
    <w:rsid w:val="003B527B"/>
    <w:rsid w:val="003B53E4"/>
    <w:rsid w:val="003B58A6"/>
    <w:rsid w:val="003B5B95"/>
    <w:rsid w:val="003B61BA"/>
    <w:rsid w:val="003B6A1D"/>
    <w:rsid w:val="003B6A4F"/>
    <w:rsid w:val="003B72CB"/>
    <w:rsid w:val="003B7447"/>
    <w:rsid w:val="003B744C"/>
    <w:rsid w:val="003B7DEF"/>
    <w:rsid w:val="003C0026"/>
    <w:rsid w:val="003C00AF"/>
    <w:rsid w:val="003C0C2D"/>
    <w:rsid w:val="003C0DFF"/>
    <w:rsid w:val="003C111A"/>
    <w:rsid w:val="003C1212"/>
    <w:rsid w:val="003C1369"/>
    <w:rsid w:val="003C13E1"/>
    <w:rsid w:val="003C1835"/>
    <w:rsid w:val="003C19D7"/>
    <w:rsid w:val="003C1B9A"/>
    <w:rsid w:val="003C1E70"/>
    <w:rsid w:val="003C1E74"/>
    <w:rsid w:val="003C227B"/>
    <w:rsid w:val="003C2325"/>
    <w:rsid w:val="003C23F4"/>
    <w:rsid w:val="003C283F"/>
    <w:rsid w:val="003C2C7C"/>
    <w:rsid w:val="003C2E93"/>
    <w:rsid w:val="003C3A08"/>
    <w:rsid w:val="003C48E2"/>
    <w:rsid w:val="003C4B2E"/>
    <w:rsid w:val="003C4B83"/>
    <w:rsid w:val="003C5430"/>
    <w:rsid w:val="003C5A9C"/>
    <w:rsid w:val="003C6349"/>
    <w:rsid w:val="003C6364"/>
    <w:rsid w:val="003C6B0E"/>
    <w:rsid w:val="003C6C9A"/>
    <w:rsid w:val="003C6FF3"/>
    <w:rsid w:val="003C71A6"/>
    <w:rsid w:val="003C72D8"/>
    <w:rsid w:val="003C730D"/>
    <w:rsid w:val="003C78A0"/>
    <w:rsid w:val="003C7B3C"/>
    <w:rsid w:val="003D0090"/>
    <w:rsid w:val="003D0575"/>
    <w:rsid w:val="003D1490"/>
    <w:rsid w:val="003D14D9"/>
    <w:rsid w:val="003D157F"/>
    <w:rsid w:val="003D16C1"/>
    <w:rsid w:val="003D1DA4"/>
    <w:rsid w:val="003D214C"/>
    <w:rsid w:val="003D2209"/>
    <w:rsid w:val="003D22CE"/>
    <w:rsid w:val="003D2350"/>
    <w:rsid w:val="003D2418"/>
    <w:rsid w:val="003D2A76"/>
    <w:rsid w:val="003D2ACC"/>
    <w:rsid w:val="003D2ADC"/>
    <w:rsid w:val="003D2FD6"/>
    <w:rsid w:val="003D37F8"/>
    <w:rsid w:val="003D38B0"/>
    <w:rsid w:val="003D3F82"/>
    <w:rsid w:val="003D417E"/>
    <w:rsid w:val="003D42FB"/>
    <w:rsid w:val="003D4357"/>
    <w:rsid w:val="003D43E7"/>
    <w:rsid w:val="003D4B43"/>
    <w:rsid w:val="003D5563"/>
    <w:rsid w:val="003D579E"/>
    <w:rsid w:val="003D5D41"/>
    <w:rsid w:val="003D6319"/>
    <w:rsid w:val="003D6602"/>
    <w:rsid w:val="003D73D4"/>
    <w:rsid w:val="003D7D6F"/>
    <w:rsid w:val="003E0125"/>
    <w:rsid w:val="003E04F2"/>
    <w:rsid w:val="003E0C50"/>
    <w:rsid w:val="003E0DC0"/>
    <w:rsid w:val="003E12BD"/>
    <w:rsid w:val="003E1870"/>
    <w:rsid w:val="003E18EB"/>
    <w:rsid w:val="003E20D8"/>
    <w:rsid w:val="003E22AD"/>
    <w:rsid w:val="003E286E"/>
    <w:rsid w:val="003E2DDA"/>
    <w:rsid w:val="003E2E63"/>
    <w:rsid w:val="003E2FA7"/>
    <w:rsid w:val="003E311C"/>
    <w:rsid w:val="003E32C6"/>
    <w:rsid w:val="003E33AF"/>
    <w:rsid w:val="003E3420"/>
    <w:rsid w:val="003E35B7"/>
    <w:rsid w:val="003E362C"/>
    <w:rsid w:val="003E3896"/>
    <w:rsid w:val="003E3ADC"/>
    <w:rsid w:val="003E3D8C"/>
    <w:rsid w:val="003E3E06"/>
    <w:rsid w:val="003E4183"/>
    <w:rsid w:val="003E44B6"/>
    <w:rsid w:val="003E4AF2"/>
    <w:rsid w:val="003E4F6D"/>
    <w:rsid w:val="003E4F80"/>
    <w:rsid w:val="003E52B2"/>
    <w:rsid w:val="003E56CA"/>
    <w:rsid w:val="003E5C62"/>
    <w:rsid w:val="003E5E72"/>
    <w:rsid w:val="003E6297"/>
    <w:rsid w:val="003E644A"/>
    <w:rsid w:val="003E66C0"/>
    <w:rsid w:val="003E68BB"/>
    <w:rsid w:val="003E6D28"/>
    <w:rsid w:val="003E721D"/>
    <w:rsid w:val="003E7DC7"/>
    <w:rsid w:val="003E7FD1"/>
    <w:rsid w:val="003F00F4"/>
    <w:rsid w:val="003F012D"/>
    <w:rsid w:val="003F08BA"/>
    <w:rsid w:val="003F0C1D"/>
    <w:rsid w:val="003F0FCD"/>
    <w:rsid w:val="003F10FF"/>
    <w:rsid w:val="003F1162"/>
    <w:rsid w:val="003F11D9"/>
    <w:rsid w:val="003F13A3"/>
    <w:rsid w:val="003F26F1"/>
    <w:rsid w:val="003F2805"/>
    <w:rsid w:val="003F3C38"/>
    <w:rsid w:val="003F4529"/>
    <w:rsid w:val="003F45AB"/>
    <w:rsid w:val="003F51B1"/>
    <w:rsid w:val="003F568D"/>
    <w:rsid w:val="003F5B02"/>
    <w:rsid w:val="003F607B"/>
    <w:rsid w:val="003F6147"/>
    <w:rsid w:val="003F657D"/>
    <w:rsid w:val="003F65AA"/>
    <w:rsid w:val="003F66B1"/>
    <w:rsid w:val="003F6C60"/>
    <w:rsid w:val="003F6F73"/>
    <w:rsid w:val="003F7152"/>
    <w:rsid w:val="003F7482"/>
    <w:rsid w:val="003F7667"/>
    <w:rsid w:val="00400238"/>
    <w:rsid w:val="00400698"/>
    <w:rsid w:val="00400953"/>
    <w:rsid w:val="00400AA0"/>
    <w:rsid w:val="00401079"/>
    <w:rsid w:val="00401CE3"/>
    <w:rsid w:val="00401DFF"/>
    <w:rsid w:val="00402415"/>
    <w:rsid w:val="004026EF"/>
    <w:rsid w:val="0040286E"/>
    <w:rsid w:val="00402E98"/>
    <w:rsid w:val="00403C24"/>
    <w:rsid w:val="004042E5"/>
    <w:rsid w:val="004043CE"/>
    <w:rsid w:val="0040465C"/>
    <w:rsid w:val="00404834"/>
    <w:rsid w:val="00404B01"/>
    <w:rsid w:val="00404C17"/>
    <w:rsid w:val="00405145"/>
    <w:rsid w:val="004053ED"/>
    <w:rsid w:val="00405687"/>
    <w:rsid w:val="00405885"/>
    <w:rsid w:val="00405958"/>
    <w:rsid w:val="00405F15"/>
    <w:rsid w:val="004060CD"/>
    <w:rsid w:val="004063BC"/>
    <w:rsid w:val="0040653E"/>
    <w:rsid w:val="0040658E"/>
    <w:rsid w:val="004068FD"/>
    <w:rsid w:val="00406AD2"/>
    <w:rsid w:val="00406B8A"/>
    <w:rsid w:val="00407A4A"/>
    <w:rsid w:val="00407EB1"/>
    <w:rsid w:val="00407F46"/>
    <w:rsid w:val="004100D0"/>
    <w:rsid w:val="0041010B"/>
    <w:rsid w:val="004101B7"/>
    <w:rsid w:val="0041081C"/>
    <w:rsid w:val="00410C9E"/>
    <w:rsid w:val="00411500"/>
    <w:rsid w:val="00411CEF"/>
    <w:rsid w:val="004121C6"/>
    <w:rsid w:val="0041232D"/>
    <w:rsid w:val="00412DD5"/>
    <w:rsid w:val="00413E21"/>
    <w:rsid w:val="0041444A"/>
    <w:rsid w:val="00414664"/>
    <w:rsid w:val="00414A5C"/>
    <w:rsid w:val="00414DC3"/>
    <w:rsid w:val="00415115"/>
    <w:rsid w:val="0041547F"/>
    <w:rsid w:val="004156DA"/>
    <w:rsid w:val="00416E5D"/>
    <w:rsid w:val="00416E9E"/>
    <w:rsid w:val="00416F2B"/>
    <w:rsid w:val="0041776A"/>
    <w:rsid w:val="00417ACE"/>
    <w:rsid w:val="00417B6A"/>
    <w:rsid w:val="00417BD8"/>
    <w:rsid w:val="004200E3"/>
    <w:rsid w:val="0042061F"/>
    <w:rsid w:val="00420BFA"/>
    <w:rsid w:val="004210C3"/>
    <w:rsid w:val="004217D3"/>
    <w:rsid w:val="00421C81"/>
    <w:rsid w:val="00421DF9"/>
    <w:rsid w:val="004222F7"/>
    <w:rsid w:val="00422C2A"/>
    <w:rsid w:val="004230C2"/>
    <w:rsid w:val="004232C3"/>
    <w:rsid w:val="00423780"/>
    <w:rsid w:val="00423975"/>
    <w:rsid w:val="0042468D"/>
    <w:rsid w:val="004249C7"/>
    <w:rsid w:val="00424A56"/>
    <w:rsid w:val="00424A73"/>
    <w:rsid w:val="0042594E"/>
    <w:rsid w:val="00425AB4"/>
    <w:rsid w:val="004262ED"/>
    <w:rsid w:val="004269AB"/>
    <w:rsid w:val="00426A4F"/>
    <w:rsid w:val="00426C1E"/>
    <w:rsid w:val="00426C35"/>
    <w:rsid w:val="00426D73"/>
    <w:rsid w:val="00426EFE"/>
    <w:rsid w:val="00427417"/>
    <w:rsid w:val="00427593"/>
    <w:rsid w:val="004305A7"/>
    <w:rsid w:val="00430B21"/>
    <w:rsid w:val="004311E6"/>
    <w:rsid w:val="0043139D"/>
    <w:rsid w:val="00431427"/>
    <w:rsid w:val="0043154F"/>
    <w:rsid w:val="004317F0"/>
    <w:rsid w:val="00431B9F"/>
    <w:rsid w:val="00431C7A"/>
    <w:rsid w:val="00431D49"/>
    <w:rsid w:val="0043204D"/>
    <w:rsid w:val="0043262C"/>
    <w:rsid w:val="00432F71"/>
    <w:rsid w:val="00433AEA"/>
    <w:rsid w:val="00433E0C"/>
    <w:rsid w:val="00434289"/>
    <w:rsid w:val="0043460E"/>
    <w:rsid w:val="0043461F"/>
    <w:rsid w:val="00434899"/>
    <w:rsid w:val="00434926"/>
    <w:rsid w:val="00434E3E"/>
    <w:rsid w:val="004358F7"/>
    <w:rsid w:val="00435BFF"/>
    <w:rsid w:val="00435C8C"/>
    <w:rsid w:val="00436642"/>
    <w:rsid w:val="00436C32"/>
    <w:rsid w:val="004372A5"/>
    <w:rsid w:val="00437564"/>
    <w:rsid w:val="00437686"/>
    <w:rsid w:val="00437792"/>
    <w:rsid w:val="0044009D"/>
    <w:rsid w:val="0044036A"/>
    <w:rsid w:val="0044047F"/>
    <w:rsid w:val="0044058E"/>
    <w:rsid w:val="00440AA5"/>
    <w:rsid w:val="00440CCA"/>
    <w:rsid w:val="004410C9"/>
    <w:rsid w:val="0044145F"/>
    <w:rsid w:val="004418F5"/>
    <w:rsid w:val="00442059"/>
    <w:rsid w:val="00442BF1"/>
    <w:rsid w:val="00442C68"/>
    <w:rsid w:val="00442E03"/>
    <w:rsid w:val="004430AF"/>
    <w:rsid w:val="00443957"/>
    <w:rsid w:val="00443C54"/>
    <w:rsid w:val="004441DD"/>
    <w:rsid w:val="004446BF"/>
    <w:rsid w:val="00444799"/>
    <w:rsid w:val="004449CC"/>
    <w:rsid w:val="00445031"/>
    <w:rsid w:val="00445211"/>
    <w:rsid w:val="00445569"/>
    <w:rsid w:val="004456DE"/>
    <w:rsid w:val="0044589A"/>
    <w:rsid w:val="00445BE9"/>
    <w:rsid w:val="004470F6"/>
    <w:rsid w:val="00447454"/>
    <w:rsid w:val="00447837"/>
    <w:rsid w:val="00447FF1"/>
    <w:rsid w:val="00450157"/>
    <w:rsid w:val="00450394"/>
    <w:rsid w:val="00450796"/>
    <w:rsid w:val="00450ED3"/>
    <w:rsid w:val="00450F11"/>
    <w:rsid w:val="0045111A"/>
    <w:rsid w:val="00451D25"/>
    <w:rsid w:val="00451F58"/>
    <w:rsid w:val="004520E4"/>
    <w:rsid w:val="0045266D"/>
    <w:rsid w:val="00452AAC"/>
    <w:rsid w:val="00452E19"/>
    <w:rsid w:val="00453D37"/>
    <w:rsid w:val="00453F01"/>
    <w:rsid w:val="00454128"/>
    <w:rsid w:val="0045487B"/>
    <w:rsid w:val="004554EF"/>
    <w:rsid w:val="004556B9"/>
    <w:rsid w:val="00455888"/>
    <w:rsid w:val="004559F6"/>
    <w:rsid w:val="00455A01"/>
    <w:rsid w:val="00455A47"/>
    <w:rsid w:val="00455EC9"/>
    <w:rsid w:val="004563F1"/>
    <w:rsid w:val="00456829"/>
    <w:rsid w:val="00456EAA"/>
    <w:rsid w:val="004570E9"/>
    <w:rsid w:val="00460329"/>
    <w:rsid w:val="004604E6"/>
    <w:rsid w:val="004605E6"/>
    <w:rsid w:val="004609AA"/>
    <w:rsid w:val="00461107"/>
    <w:rsid w:val="004611F6"/>
    <w:rsid w:val="00461BE0"/>
    <w:rsid w:val="0046249D"/>
    <w:rsid w:val="004624A3"/>
    <w:rsid w:val="004624D0"/>
    <w:rsid w:val="00462912"/>
    <w:rsid w:val="00462A82"/>
    <w:rsid w:val="00463001"/>
    <w:rsid w:val="004633FA"/>
    <w:rsid w:val="0046362A"/>
    <w:rsid w:val="004639EF"/>
    <w:rsid w:val="00463A8E"/>
    <w:rsid w:val="00463B01"/>
    <w:rsid w:val="00463DD7"/>
    <w:rsid w:val="00463E0B"/>
    <w:rsid w:val="00464578"/>
    <w:rsid w:val="00464A2A"/>
    <w:rsid w:val="00465254"/>
    <w:rsid w:val="00465258"/>
    <w:rsid w:val="00465773"/>
    <w:rsid w:val="00465C78"/>
    <w:rsid w:val="004661CE"/>
    <w:rsid w:val="004670BF"/>
    <w:rsid w:val="0046739E"/>
    <w:rsid w:val="00467945"/>
    <w:rsid w:val="00467B48"/>
    <w:rsid w:val="00470121"/>
    <w:rsid w:val="00470137"/>
    <w:rsid w:val="00470593"/>
    <w:rsid w:val="004706A4"/>
    <w:rsid w:val="00471163"/>
    <w:rsid w:val="004713AA"/>
    <w:rsid w:val="0047253A"/>
    <w:rsid w:val="004729EA"/>
    <w:rsid w:val="00472AEA"/>
    <w:rsid w:val="00472D3B"/>
    <w:rsid w:val="00472E7A"/>
    <w:rsid w:val="00472EFF"/>
    <w:rsid w:val="00473212"/>
    <w:rsid w:val="004732BD"/>
    <w:rsid w:val="00473445"/>
    <w:rsid w:val="00473929"/>
    <w:rsid w:val="00473935"/>
    <w:rsid w:val="00473EB2"/>
    <w:rsid w:val="00473ED4"/>
    <w:rsid w:val="0047486E"/>
    <w:rsid w:val="004748BE"/>
    <w:rsid w:val="004748C1"/>
    <w:rsid w:val="00474D23"/>
    <w:rsid w:val="00474F2D"/>
    <w:rsid w:val="004750CC"/>
    <w:rsid w:val="004754C7"/>
    <w:rsid w:val="0047559B"/>
    <w:rsid w:val="00475892"/>
    <w:rsid w:val="00475BD6"/>
    <w:rsid w:val="00475C43"/>
    <w:rsid w:val="00475F0E"/>
    <w:rsid w:val="0047600F"/>
    <w:rsid w:val="0047617B"/>
    <w:rsid w:val="0047685D"/>
    <w:rsid w:val="00477229"/>
    <w:rsid w:val="00477539"/>
    <w:rsid w:val="00477748"/>
    <w:rsid w:val="0047790A"/>
    <w:rsid w:val="004779A4"/>
    <w:rsid w:val="00477C46"/>
    <w:rsid w:val="00481D6F"/>
    <w:rsid w:val="00481F35"/>
    <w:rsid w:val="00483C37"/>
    <w:rsid w:val="0048471D"/>
    <w:rsid w:val="0048497C"/>
    <w:rsid w:val="004849ED"/>
    <w:rsid w:val="00484E40"/>
    <w:rsid w:val="00484E7A"/>
    <w:rsid w:val="004853EA"/>
    <w:rsid w:val="00485687"/>
    <w:rsid w:val="0048578E"/>
    <w:rsid w:val="00485DEE"/>
    <w:rsid w:val="00486162"/>
    <w:rsid w:val="0048661B"/>
    <w:rsid w:val="00486926"/>
    <w:rsid w:val="00487508"/>
    <w:rsid w:val="00487BFA"/>
    <w:rsid w:val="004905BF"/>
    <w:rsid w:val="00491107"/>
    <w:rsid w:val="004925D4"/>
    <w:rsid w:val="004928FB"/>
    <w:rsid w:val="00493386"/>
    <w:rsid w:val="00493984"/>
    <w:rsid w:val="00493BC1"/>
    <w:rsid w:val="00494B83"/>
    <w:rsid w:val="00494EAB"/>
    <w:rsid w:val="00495022"/>
    <w:rsid w:val="004950BC"/>
    <w:rsid w:val="004953B4"/>
    <w:rsid w:val="0049568B"/>
    <w:rsid w:val="00495FC2"/>
    <w:rsid w:val="00495FF9"/>
    <w:rsid w:val="0049610E"/>
    <w:rsid w:val="00496333"/>
    <w:rsid w:val="004967B0"/>
    <w:rsid w:val="004972CA"/>
    <w:rsid w:val="00497323"/>
    <w:rsid w:val="004975EF"/>
    <w:rsid w:val="0049776E"/>
    <w:rsid w:val="00497A89"/>
    <w:rsid w:val="00497A9F"/>
    <w:rsid w:val="00497C01"/>
    <w:rsid w:val="00497D65"/>
    <w:rsid w:val="00497EF2"/>
    <w:rsid w:val="004A131C"/>
    <w:rsid w:val="004A14AD"/>
    <w:rsid w:val="004A17D2"/>
    <w:rsid w:val="004A1ADF"/>
    <w:rsid w:val="004A1C47"/>
    <w:rsid w:val="004A2740"/>
    <w:rsid w:val="004A27C1"/>
    <w:rsid w:val="004A281A"/>
    <w:rsid w:val="004A2983"/>
    <w:rsid w:val="004A329C"/>
    <w:rsid w:val="004A390E"/>
    <w:rsid w:val="004A43C8"/>
    <w:rsid w:val="004A484D"/>
    <w:rsid w:val="004A48C6"/>
    <w:rsid w:val="004A532B"/>
    <w:rsid w:val="004A5475"/>
    <w:rsid w:val="004A58EB"/>
    <w:rsid w:val="004A5CE5"/>
    <w:rsid w:val="004A5F40"/>
    <w:rsid w:val="004A5F57"/>
    <w:rsid w:val="004A64F5"/>
    <w:rsid w:val="004A6670"/>
    <w:rsid w:val="004A6F15"/>
    <w:rsid w:val="004A7132"/>
    <w:rsid w:val="004A7190"/>
    <w:rsid w:val="004A74BC"/>
    <w:rsid w:val="004A7BA1"/>
    <w:rsid w:val="004B027B"/>
    <w:rsid w:val="004B06B8"/>
    <w:rsid w:val="004B07FD"/>
    <w:rsid w:val="004B0A7D"/>
    <w:rsid w:val="004B1445"/>
    <w:rsid w:val="004B160A"/>
    <w:rsid w:val="004B1645"/>
    <w:rsid w:val="004B1726"/>
    <w:rsid w:val="004B1A22"/>
    <w:rsid w:val="004B1A7C"/>
    <w:rsid w:val="004B1F6C"/>
    <w:rsid w:val="004B2204"/>
    <w:rsid w:val="004B221B"/>
    <w:rsid w:val="004B221F"/>
    <w:rsid w:val="004B240B"/>
    <w:rsid w:val="004B24DB"/>
    <w:rsid w:val="004B2FDF"/>
    <w:rsid w:val="004B33A0"/>
    <w:rsid w:val="004B34FE"/>
    <w:rsid w:val="004B37AB"/>
    <w:rsid w:val="004B38A2"/>
    <w:rsid w:val="004B3BA7"/>
    <w:rsid w:val="004B3BF4"/>
    <w:rsid w:val="004B4105"/>
    <w:rsid w:val="004B4903"/>
    <w:rsid w:val="004B4D2A"/>
    <w:rsid w:val="004B4D9C"/>
    <w:rsid w:val="004B524E"/>
    <w:rsid w:val="004B52E1"/>
    <w:rsid w:val="004B53DC"/>
    <w:rsid w:val="004B5D27"/>
    <w:rsid w:val="004B646D"/>
    <w:rsid w:val="004B6507"/>
    <w:rsid w:val="004B6714"/>
    <w:rsid w:val="004B6BDB"/>
    <w:rsid w:val="004B6C8F"/>
    <w:rsid w:val="004B787C"/>
    <w:rsid w:val="004B7B9D"/>
    <w:rsid w:val="004B7D31"/>
    <w:rsid w:val="004C01D7"/>
    <w:rsid w:val="004C06FD"/>
    <w:rsid w:val="004C0997"/>
    <w:rsid w:val="004C0B6E"/>
    <w:rsid w:val="004C0CD0"/>
    <w:rsid w:val="004C0CF0"/>
    <w:rsid w:val="004C0DC7"/>
    <w:rsid w:val="004C214D"/>
    <w:rsid w:val="004C2389"/>
    <w:rsid w:val="004C24C8"/>
    <w:rsid w:val="004C294D"/>
    <w:rsid w:val="004C2B45"/>
    <w:rsid w:val="004C2F89"/>
    <w:rsid w:val="004C42DF"/>
    <w:rsid w:val="004C44AF"/>
    <w:rsid w:val="004C46B5"/>
    <w:rsid w:val="004C4836"/>
    <w:rsid w:val="004C4915"/>
    <w:rsid w:val="004C4B7B"/>
    <w:rsid w:val="004C55C5"/>
    <w:rsid w:val="004C588A"/>
    <w:rsid w:val="004C5ED4"/>
    <w:rsid w:val="004C5F24"/>
    <w:rsid w:val="004C63A8"/>
    <w:rsid w:val="004C668B"/>
    <w:rsid w:val="004C6774"/>
    <w:rsid w:val="004C7587"/>
    <w:rsid w:val="004C762E"/>
    <w:rsid w:val="004C7777"/>
    <w:rsid w:val="004C7825"/>
    <w:rsid w:val="004C7AB4"/>
    <w:rsid w:val="004D0273"/>
    <w:rsid w:val="004D085D"/>
    <w:rsid w:val="004D0A67"/>
    <w:rsid w:val="004D0F5D"/>
    <w:rsid w:val="004D117F"/>
    <w:rsid w:val="004D22FB"/>
    <w:rsid w:val="004D2388"/>
    <w:rsid w:val="004D2701"/>
    <w:rsid w:val="004D287A"/>
    <w:rsid w:val="004D2AAE"/>
    <w:rsid w:val="004D32FA"/>
    <w:rsid w:val="004D336F"/>
    <w:rsid w:val="004D354D"/>
    <w:rsid w:val="004D38E1"/>
    <w:rsid w:val="004D3908"/>
    <w:rsid w:val="004D3DB5"/>
    <w:rsid w:val="004D46C1"/>
    <w:rsid w:val="004D496F"/>
    <w:rsid w:val="004D51F6"/>
    <w:rsid w:val="004D5D2B"/>
    <w:rsid w:val="004D6C67"/>
    <w:rsid w:val="004D6FD1"/>
    <w:rsid w:val="004D7156"/>
    <w:rsid w:val="004D7AF1"/>
    <w:rsid w:val="004D7DE7"/>
    <w:rsid w:val="004E00A0"/>
    <w:rsid w:val="004E01D8"/>
    <w:rsid w:val="004E057E"/>
    <w:rsid w:val="004E06C5"/>
    <w:rsid w:val="004E0997"/>
    <w:rsid w:val="004E0E11"/>
    <w:rsid w:val="004E16CD"/>
    <w:rsid w:val="004E219E"/>
    <w:rsid w:val="004E2442"/>
    <w:rsid w:val="004E2541"/>
    <w:rsid w:val="004E27D8"/>
    <w:rsid w:val="004E339D"/>
    <w:rsid w:val="004E42D6"/>
    <w:rsid w:val="004E444F"/>
    <w:rsid w:val="004E498C"/>
    <w:rsid w:val="004E514D"/>
    <w:rsid w:val="004E51B4"/>
    <w:rsid w:val="004E5267"/>
    <w:rsid w:val="004E54F4"/>
    <w:rsid w:val="004E58A4"/>
    <w:rsid w:val="004E5A03"/>
    <w:rsid w:val="004E5F0C"/>
    <w:rsid w:val="004E5F3E"/>
    <w:rsid w:val="004E6032"/>
    <w:rsid w:val="004E6B9D"/>
    <w:rsid w:val="004E6C18"/>
    <w:rsid w:val="004E70A8"/>
    <w:rsid w:val="004E7434"/>
    <w:rsid w:val="004E7DA8"/>
    <w:rsid w:val="004F0572"/>
    <w:rsid w:val="004F10DF"/>
    <w:rsid w:val="004F11A0"/>
    <w:rsid w:val="004F1218"/>
    <w:rsid w:val="004F1AA8"/>
    <w:rsid w:val="004F24BD"/>
    <w:rsid w:val="004F28FD"/>
    <w:rsid w:val="004F4494"/>
    <w:rsid w:val="004F44F4"/>
    <w:rsid w:val="004F4641"/>
    <w:rsid w:val="004F47AB"/>
    <w:rsid w:val="004F492E"/>
    <w:rsid w:val="004F4B7D"/>
    <w:rsid w:val="004F51E8"/>
    <w:rsid w:val="004F5D22"/>
    <w:rsid w:val="004F5F63"/>
    <w:rsid w:val="004F633B"/>
    <w:rsid w:val="004F652D"/>
    <w:rsid w:val="004F654B"/>
    <w:rsid w:val="004F6D8E"/>
    <w:rsid w:val="004F764C"/>
    <w:rsid w:val="004F7907"/>
    <w:rsid w:val="00500832"/>
    <w:rsid w:val="00501C74"/>
    <w:rsid w:val="00501F4D"/>
    <w:rsid w:val="00502895"/>
    <w:rsid w:val="005028D9"/>
    <w:rsid w:val="00502B9E"/>
    <w:rsid w:val="00502E44"/>
    <w:rsid w:val="00502F6F"/>
    <w:rsid w:val="005030A4"/>
    <w:rsid w:val="005030E9"/>
    <w:rsid w:val="00503D10"/>
    <w:rsid w:val="00503F96"/>
    <w:rsid w:val="005043DA"/>
    <w:rsid w:val="00504605"/>
    <w:rsid w:val="00504645"/>
    <w:rsid w:val="0050478F"/>
    <w:rsid w:val="00504948"/>
    <w:rsid w:val="00504A8E"/>
    <w:rsid w:val="00504D8F"/>
    <w:rsid w:val="005050BD"/>
    <w:rsid w:val="00505370"/>
    <w:rsid w:val="00505541"/>
    <w:rsid w:val="00505742"/>
    <w:rsid w:val="00505B89"/>
    <w:rsid w:val="00505E89"/>
    <w:rsid w:val="00505F4C"/>
    <w:rsid w:val="00506107"/>
    <w:rsid w:val="00506807"/>
    <w:rsid w:val="005069C5"/>
    <w:rsid w:val="00506B7A"/>
    <w:rsid w:val="00507584"/>
    <w:rsid w:val="00507995"/>
    <w:rsid w:val="00507A18"/>
    <w:rsid w:val="00510283"/>
    <w:rsid w:val="005104ED"/>
    <w:rsid w:val="005105C1"/>
    <w:rsid w:val="005108F4"/>
    <w:rsid w:val="005109AF"/>
    <w:rsid w:val="005110D8"/>
    <w:rsid w:val="005112C3"/>
    <w:rsid w:val="005117CA"/>
    <w:rsid w:val="00511EA4"/>
    <w:rsid w:val="00511F81"/>
    <w:rsid w:val="005128D4"/>
    <w:rsid w:val="00512DAD"/>
    <w:rsid w:val="00512FA6"/>
    <w:rsid w:val="00513B67"/>
    <w:rsid w:val="00513CD1"/>
    <w:rsid w:val="00513DA2"/>
    <w:rsid w:val="005141E1"/>
    <w:rsid w:val="005149DC"/>
    <w:rsid w:val="00514A0C"/>
    <w:rsid w:val="00514C5C"/>
    <w:rsid w:val="00515399"/>
    <w:rsid w:val="00515853"/>
    <w:rsid w:val="00515E0A"/>
    <w:rsid w:val="00515F66"/>
    <w:rsid w:val="005161B8"/>
    <w:rsid w:val="0051625A"/>
    <w:rsid w:val="0051635F"/>
    <w:rsid w:val="0051648D"/>
    <w:rsid w:val="0051660F"/>
    <w:rsid w:val="005166FE"/>
    <w:rsid w:val="00516CDE"/>
    <w:rsid w:val="00516E22"/>
    <w:rsid w:val="005171C0"/>
    <w:rsid w:val="00517250"/>
    <w:rsid w:val="0051731C"/>
    <w:rsid w:val="00517780"/>
    <w:rsid w:val="005178BD"/>
    <w:rsid w:val="005179D5"/>
    <w:rsid w:val="00520068"/>
    <w:rsid w:val="00520710"/>
    <w:rsid w:val="00520753"/>
    <w:rsid w:val="00520808"/>
    <w:rsid w:val="005216A3"/>
    <w:rsid w:val="00521DBA"/>
    <w:rsid w:val="00522966"/>
    <w:rsid w:val="00522D34"/>
    <w:rsid w:val="005231C6"/>
    <w:rsid w:val="005233F0"/>
    <w:rsid w:val="005234A0"/>
    <w:rsid w:val="0052497F"/>
    <w:rsid w:val="00525121"/>
    <w:rsid w:val="0052555B"/>
    <w:rsid w:val="005265E2"/>
    <w:rsid w:val="00526612"/>
    <w:rsid w:val="005268BC"/>
    <w:rsid w:val="00526CB8"/>
    <w:rsid w:val="00526DFF"/>
    <w:rsid w:val="00526EA2"/>
    <w:rsid w:val="00526FE5"/>
    <w:rsid w:val="00527202"/>
    <w:rsid w:val="00527F7C"/>
    <w:rsid w:val="0053074A"/>
    <w:rsid w:val="00530815"/>
    <w:rsid w:val="00531013"/>
    <w:rsid w:val="005313D2"/>
    <w:rsid w:val="005314C5"/>
    <w:rsid w:val="005318AD"/>
    <w:rsid w:val="00531FB7"/>
    <w:rsid w:val="00532027"/>
    <w:rsid w:val="0053234F"/>
    <w:rsid w:val="005328D6"/>
    <w:rsid w:val="005332F2"/>
    <w:rsid w:val="00533652"/>
    <w:rsid w:val="00534111"/>
    <w:rsid w:val="0053466B"/>
    <w:rsid w:val="005348BE"/>
    <w:rsid w:val="0053493A"/>
    <w:rsid w:val="005355B2"/>
    <w:rsid w:val="0053560B"/>
    <w:rsid w:val="005358C5"/>
    <w:rsid w:val="00537182"/>
    <w:rsid w:val="005371C3"/>
    <w:rsid w:val="005378AE"/>
    <w:rsid w:val="0053792E"/>
    <w:rsid w:val="00537C2F"/>
    <w:rsid w:val="00537D22"/>
    <w:rsid w:val="00540090"/>
    <w:rsid w:val="00540131"/>
    <w:rsid w:val="00540919"/>
    <w:rsid w:val="00540D87"/>
    <w:rsid w:val="00541595"/>
    <w:rsid w:val="0054164D"/>
    <w:rsid w:val="005417A3"/>
    <w:rsid w:val="00541AE1"/>
    <w:rsid w:val="00541B38"/>
    <w:rsid w:val="00542543"/>
    <w:rsid w:val="00542B04"/>
    <w:rsid w:val="005432A7"/>
    <w:rsid w:val="00543A5B"/>
    <w:rsid w:val="00543E9D"/>
    <w:rsid w:val="005443A5"/>
    <w:rsid w:val="0054447A"/>
    <w:rsid w:val="00544764"/>
    <w:rsid w:val="00544F1E"/>
    <w:rsid w:val="005451B9"/>
    <w:rsid w:val="00545411"/>
    <w:rsid w:val="005457FA"/>
    <w:rsid w:val="00545872"/>
    <w:rsid w:val="00546099"/>
    <w:rsid w:val="00546BD4"/>
    <w:rsid w:val="005471F7"/>
    <w:rsid w:val="00547906"/>
    <w:rsid w:val="00547B69"/>
    <w:rsid w:val="00550272"/>
    <w:rsid w:val="00550383"/>
    <w:rsid w:val="005506F0"/>
    <w:rsid w:val="00550F3C"/>
    <w:rsid w:val="00551E4B"/>
    <w:rsid w:val="005522EA"/>
    <w:rsid w:val="0055242D"/>
    <w:rsid w:val="00552C6C"/>
    <w:rsid w:val="0055327C"/>
    <w:rsid w:val="005534D3"/>
    <w:rsid w:val="00554129"/>
    <w:rsid w:val="005546C2"/>
    <w:rsid w:val="00554BC5"/>
    <w:rsid w:val="005551B3"/>
    <w:rsid w:val="005559C3"/>
    <w:rsid w:val="00555A0E"/>
    <w:rsid w:val="00555C4C"/>
    <w:rsid w:val="005564A4"/>
    <w:rsid w:val="005564FE"/>
    <w:rsid w:val="00556585"/>
    <w:rsid w:val="00556AF9"/>
    <w:rsid w:val="00556D17"/>
    <w:rsid w:val="00557589"/>
    <w:rsid w:val="0055758D"/>
    <w:rsid w:val="005575CF"/>
    <w:rsid w:val="005576D3"/>
    <w:rsid w:val="005577CA"/>
    <w:rsid w:val="00557B47"/>
    <w:rsid w:val="0056014C"/>
    <w:rsid w:val="00560202"/>
    <w:rsid w:val="00560281"/>
    <w:rsid w:val="005602AA"/>
    <w:rsid w:val="00560425"/>
    <w:rsid w:val="0056104A"/>
    <w:rsid w:val="005611F6"/>
    <w:rsid w:val="00561D76"/>
    <w:rsid w:val="0056238D"/>
    <w:rsid w:val="00562554"/>
    <w:rsid w:val="00562B9B"/>
    <w:rsid w:val="00563343"/>
    <w:rsid w:val="00563C4C"/>
    <w:rsid w:val="005642F8"/>
    <w:rsid w:val="00564821"/>
    <w:rsid w:val="00564896"/>
    <w:rsid w:val="00564AFD"/>
    <w:rsid w:val="00564E02"/>
    <w:rsid w:val="0056514E"/>
    <w:rsid w:val="00565806"/>
    <w:rsid w:val="00565A00"/>
    <w:rsid w:val="00565BA9"/>
    <w:rsid w:val="00565EEB"/>
    <w:rsid w:val="005668F6"/>
    <w:rsid w:val="00566944"/>
    <w:rsid w:val="00566D23"/>
    <w:rsid w:val="005670A5"/>
    <w:rsid w:val="005678E9"/>
    <w:rsid w:val="00567BBE"/>
    <w:rsid w:val="00567C13"/>
    <w:rsid w:val="00567D52"/>
    <w:rsid w:val="0057001D"/>
    <w:rsid w:val="0057043B"/>
    <w:rsid w:val="00570722"/>
    <w:rsid w:val="00570947"/>
    <w:rsid w:val="00571196"/>
    <w:rsid w:val="00571494"/>
    <w:rsid w:val="0057169A"/>
    <w:rsid w:val="00571944"/>
    <w:rsid w:val="00571986"/>
    <w:rsid w:val="005724E8"/>
    <w:rsid w:val="0057285B"/>
    <w:rsid w:val="00573665"/>
    <w:rsid w:val="00573721"/>
    <w:rsid w:val="00573DC8"/>
    <w:rsid w:val="005741F4"/>
    <w:rsid w:val="0057457E"/>
    <w:rsid w:val="00574985"/>
    <w:rsid w:val="00574EFA"/>
    <w:rsid w:val="00575296"/>
    <w:rsid w:val="00575925"/>
    <w:rsid w:val="005759F6"/>
    <w:rsid w:val="00575AE8"/>
    <w:rsid w:val="00575DE8"/>
    <w:rsid w:val="00576D03"/>
    <w:rsid w:val="00576F8C"/>
    <w:rsid w:val="00577102"/>
    <w:rsid w:val="0057723E"/>
    <w:rsid w:val="005779DD"/>
    <w:rsid w:val="00577B53"/>
    <w:rsid w:val="0058018F"/>
    <w:rsid w:val="00580534"/>
    <w:rsid w:val="0058068E"/>
    <w:rsid w:val="0058186C"/>
    <w:rsid w:val="005818FD"/>
    <w:rsid w:val="00581C79"/>
    <w:rsid w:val="005820E5"/>
    <w:rsid w:val="005821DE"/>
    <w:rsid w:val="0058232D"/>
    <w:rsid w:val="00582F4E"/>
    <w:rsid w:val="00583630"/>
    <w:rsid w:val="00583CCB"/>
    <w:rsid w:val="005840C5"/>
    <w:rsid w:val="005841E5"/>
    <w:rsid w:val="005841F2"/>
    <w:rsid w:val="00584775"/>
    <w:rsid w:val="00585313"/>
    <w:rsid w:val="00585471"/>
    <w:rsid w:val="00585618"/>
    <w:rsid w:val="00585F5A"/>
    <w:rsid w:val="005860CD"/>
    <w:rsid w:val="00586105"/>
    <w:rsid w:val="00586295"/>
    <w:rsid w:val="005868B0"/>
    <w:rsid w:val="0058699C"/>
    <w:rsid w:val="005875D2"/>
    <w:rsid w:val="00590010"/>
    <w:rsid w:val="00590093"/>
    <w:rsid w:val="0059011C"/>
    <w:rsid w:val="00590A09"/>
    <w:rsid w:val="00590E48"/>
    <w:rsid w:val="00590E61"/>
    <w:rsid w:val="00591110"/>
    <w:rsid w:val="00591502"/>
    <w:rsid w:val="005922B5"/>
    <w:rsid w:val="005925EB"/>
    <w:rsid w:val="00592E22"/>
    <w:rsid w:val="00593E32"/>
    <w:rsid w:val="00593F15"/>
    <w:rsid w:val="00594408"/>
    <w:rsid w:val="005946FD"/>
    <w:rsid w:val="00594800"/>
    <w:rsid w:val="00594AD6"/>
    <w:rsid w:val="00594F94"/>
    <w:rsid w:val="005953CA"/>
    <w:rsid w:val="005953F8"/>
    <w:rsid w:val="0059572F"/>
    <w:rsid w:val="00595969"/>
    <w:rsid w:val="00595B05"/>
    <w:rsid w:val="00596283"/>
    <w:rsid w:val="0059636A"/>
    <w:rsid w:val="005963E2"/>
    <w:rsid w:val="005966A5"/>
    <w:rsid w:val="00596B20"/>
    <w:rsid w:val="00596F4F"/>
    <w:rsid w:val="00597731"/>
    <w:rsid w:val="00597F3C"/>
    <w:rsid w:val="00597FB1"/>
    <w:rsid w:val="005A0173"/>
    <w:rsid w:val="005A09EC"/>
    <w:rsid w:val="005A0E49"/>
    <w:rsid w:val="005A136E"/>
    <w:rsid w:val="005A13C8"/>
    <w:rsid w:val="005A1B5F"/>
    <w:rsid w:val="005A1CC8"/>
    <w:rsid w:val="005A212F"/>
    <w:rsid w:val="005A279A"/>
    <w:rsid w:val="005A2D3C"/>
    <w:rsid w:val="005A2DF5"/>
    <w:rsid w:val="005A3136"/>
    <w:rsid w:val="005A3B62"/>
    <w:rsid w:val="005A3ED8"/>
    <w:rsid w:val="005A409F"/>
    <w:rsid w:val="005A4231"/>
    <w:rsid w:val="005A46B9"/>
    <w:rsid w:val="005A46F5"/>
    <w:rsid w:val="005A49F3"/>
    <w:rsid w:val="005A4B8E"/>
    <w:rsid w:val="005A5878"/>
    <w:rsid w:val="005A5B4F"/>
    <w:rsid w:val="005A5C0A"/>
    <w:rsid w:val="005A5C19"/>
    <w:rsid w:val="005A617E"/>
    <w:rsid w:val="005A6240"/>
    <w:rsid w:val="005A6622"/>
    <w:rsid w:val="005A6CBE"/>
    <w:rsid w:val="005A6DEC"/>
    <w:rsid w:val="005A7637"/>
    <w:rsid w:val="005A7C58"/>
    <w:rsid w:val="005A7DF9"/>
    <w:rsid w:val="005A7EA3"/>
    <w:rsid w:val="005B0511"/>
    <w:rsid w:val="005B073B"/>
    <w:rsid w:val="005B0DF1"/>
    <w:rsid w:val="005B0EBB"/>
    <w:rsid w:val="005B0F1C"/>
    <w:rsid w:val="005B0F77"/>
    <w:rsid w:val="005B1348"/>
    <w:rsid w:val="005B163B"/>
    <w:rsid w:val="005B182E"/>
    <w:rsid w:val="005B19A0"/>
    <w:rsid w:val="005B1A2D"/>
    <w:rsid w:val="005B1B6F"/>
    <w:rsid w:val="005B1D50"/>
    <w:rsid w:val="005B2AA6"/>
    <w:rsid w:val="005B2E1A"/>
    <w:rsid w:val="005B2E25"/>
    <w:rsid w:val="005B36D1"/>
    <w:rsid w:val="005B376C"/>
    <w:rsid w:val="005B3EB2"/>
    <w:rsid w:val="005B40B0"/>
    <w:rsid w:val="005B43B2"/>
    <w:rsid w:val="005B69B7"/>
    <w:rsid w:val="005B6D65"/>
    <w:rsid w:val="005B70A3"/>
    <w:rsid w:val="005B7124"/>
    <w:rsid w:val="005B7374"/>
    <w:rsid w:val="005B739E"/>
    <w:rsid w:val="005B73DC"/>
    <w:rsid w:val="005B7716"/>
    <w:rsid w:val="005B7719"/>
    <w:rsid w:val="005B77E7"/>
    <w:rsid w:val="005C0039"/>
    <w:rsid w:val="005C03F3"/>
    <w:rsid w:val="005C05ED"/>
    <w:rsid w:val="005C1DEC"/>
    <w:rsid w:val="005C32D9"/>
    <w:rsid w:val="005C339A"/>
    <w:rsid w:val="005C3520"/>
    <w:rsid w:val="005C35DB"/>
    <w:rsid w:val="005C3B17"/>
    <w:rsid w:val="005C4A09"/>
    <w:rsid w:val="005C4BB8"/>
    <w:rsid w:val="005C5116"/>
    <w:rsid w:val="005C5243"/>
    <w:rsid w:val="005C551E"/>
    <w:rsid w:val="005C57D4"/>
    <w:rsid w:val="005C591A"/>
    <w:rsid w:val="005C5DFC"/>
    <w:rsid w:val="005C69DD"/>
    <w:rsid w:val="005C6A35"/>
    <w:rsid w:val="005C6F49"/>
    <w:rsid w:val="005C7013"/>
    <w:rsid w:val="005C75DA"/>
    <w:rsid w:val="005C762E"/>
    <w:rsid w:val="005C7D49"/>
    <w:rsid w:val="005D01D1"/>
    <w:rsid w:val="005D0B0F"/>
    <w:rsid w:val="005D100A"/>
    <w:rsid w:val="005D15D4"/>
    <w:rsid w:val="005D1BD5"/>
    <w:rsid w:val="005D235E"/>
    <w:rsid w:val="005D2665"/>
    <w:rsid w:val="005D2E67"/>
    <w:rsid w:val="005D30A3"/>
    <w:rsid w:val="005D30BD"/>
    <w:rsid w:val="005D3A77"/>
    <w:rsid w:val="005D40BC"/>
    <w:rsid w:val="005D416D"/>
    <w:rsid w:val="005D42F3"/>
    <w:rsid w:val="005D4B24"/>
    <w:rsid w:val="005D4C2E"/>
    <w:rsid w:val="005D59C5"/>
    <w:rsid w:val="005D60A2"/>
    <w:rsid w:val="005D6195"/>
    <w:rsid w:val="005D61F1"/>
    <w:rsid w:val="005D63C5"/>
    <w:rsid w:val="005D63F7"/>
    <w:rsid w:val="005D674D"/>
    <w:rsid w:val="005D6E0C"/>
    <w:rsid w:val="005D70C1"/>
    <w:rsid w:val="005D78BF"/>
    <w:rsid w:val="005D7E20"/>
    <w:rsid w:val="005E0248"/>
    <w:rsid w:val="005E06C0"/>
    <w:rsid w:val="005E0F47"/>
    <w:rsid w:val="005E10DD"/>
    <w:rsid w:val="005E12F6"/>
    <w:rsid w:val="005E14FA"/>
    <w:rsid w:val="005E1802"/>
    <w:rsid w:val="005E1891"/>
    <w:rsid w:val="005E1EF8"/>
    <w:rsid w:val="005E2281"/>
    <w:rsid w:val="005E23EA"/>
    <w:rsid w:val="005E2622"/>
    <w:rsid w:val="005E2D32"/>
    <w:rsid w:val="005E2EB5"/>
    <w:rsid w:val="005E3203"/>
    <w:rsid w:val="005E355E"/>
    <w:rsid w:val="005E38BE"/>
    <w:rsid w:val="005E3A2B"/>
    <w:rsid w:val="005E3A40"/>
    <w:rsid w:val="005E3B90"/>
    <w:rsid w:val="005E3E98"/>
    <w:rsid w:val="005E42EA"/>
    <w:rsid w:val="005E45B5"/>
    <w:rsid w:val="005E4692"/>
    <w:rsid w:val="005E4860"/>
    <w:rsid w:val="005E4878"/>
    <w:rsid w:val="005E4BE1"/>
    <w:rsid w:val="005E52CD"/>
    <w:rsid w:val="005E614C"/>
    <w:rsid w:val="005E61C8"/>
    <w:rsid w:val="005E627C"/>
    <w:rsid w:val="005E6394"/>
    <w:rsid w:val="005E6C94"/>
    <w:rsid w:val="005E70DB"/>
    <w:rsid w:val="005E725C"/>
    <w:rsid w:val="005E74B8"/>
    <w:rsid w:val="005E76CE"/>
    <w:rsid w:val="005E7DE2"/>
    <w:rsid w:val="005F0037"/>
    <w:rsid w:val="005F05CD"/>
    <w:rsid w:val="005F05DC"/>
    <w:rsid w:val="005F0C5C"/>
    <w:rsid w:val="005F0C5F"/>
    <w:rsid w:val="005F101E"/>
    <w:rsid w:val="005F1208"/>
    <w:rsid w:val="005F1477"/>
    <w:rsid w:val="005F1525"/>
    <w:rsid w:val="005F15DD"/>
    <w:rsid w:val="005F1A6B"/>
    <w:rsid w:val="005F1ED8"/>
    <w:rsid w:val="005F20F5"/>
    <w:rsid w:val="005F2127"/>
    <w:rsid w:val="005F245E"/>
    <w:rsid w:val="005F2500"/>
    <w:rsid w:val="005F29E4"/>
    <w:rsid w:val="005F2D14"/>
    <w:rsid w:val="005F2FF9"/>
    <w:rsid w:val="005F374A"/>
    <w:rsid w:val="005F3A2D"/>
    <w:rsid w:val="005F3BEE"/>
    <w:rsid w:val="005F415E"/>
    <w:rsid w:val="005F41EE"/>
    <w:rsid w:val="005F4471"/>
    <w:rsid w:val="005F461D"/>
    <w:rsid w:val="005F4AC6"/>
    <w:rsid w:val="005F4FF3"/>
    <w:rsid w:val="005F511E"/>
    <w:rsid w:val="005F53F5"/>
    <w:rsid w:val="005F5615"/>
    <w:rsid w:val="005F59BE"/>
    <w:rsid w:val="005F5F3A"/>
    <w:rsid w:val="005F6117"/>
    <w:rsid w:val="005F6B2B"/>
    <w:rsid w:val="005F6BCF"/>
    <w:rsid w:val="005F7055"/>
    <w:rsid w:val="005F72A5"/>
    <w:rsid w:val="005F74F1"/>
    <w:rsid w:val="005F76F7"/>
    <w:rsid w:val="005F781A"/>
    <w:rsid w:val="005F7990"/>
    <w:rsid w:val="005F7BEA"/>
    <w:rsid w:val="005F7BF7"/>
    <w:rsid w:val="005F7F03"/>
    <w:rsid w:val="00600D61"/>
    <w:rsid w:val="00600DCF"/>
    <w:rsid w:val="00600EA8"/>
    <w:rsid w:val="0060107B"/>
    <w:rsid w:val="00601AAC"/>
    <w:rsid w:val="00601B54"/>
    <w:rsid w:val="00602273"/>
    <w:rsid w:val="0060280B"/>
    <w:rsid w:val="006029A1"/>
    <w:rsid w:val="00602B79"/>
    <w:rsid w:val="006035A8"/>
    <w:rsid w:val="0060369C"/>
    <w:rsid w:val="00603945"/>
    <w:rsid w:val="0060415B"/>
    <w:rsid w:val="00604683"/>
    <w:rsid w:val="0060490D"/>
    <w:rsid w:val="00604D73"/>
    <w:rsid w:val="00604F9D"/>
    <w:rsid w:val="006052C4"/>
    <w:rsid w:val="006059B7"/>
    <w:rsid w:val="00605C4F"/>
    <w:rsid w:val="006063AF"/>
    <w:rsid w:val="006065CC"/>
    <w:rsid w:val="00606704"/>
    <w:rsid w:val="00606770"/>
    <w:rsid w:val="00606A59"/>
    <w:rsid w:val="00606E95"/>
    <w:rsid w:val="00606F2E"/>
    <w:rsid w:val="00606F60"/>
    <w:rsid w:val="006074F4"/>
    <w:rsid w:val="00607671"/>
    <w:rsid w:val="00607BB6"/>
    <w:rsid w:val="006102B2"/>
    <w:rsid w:val="00610508"/>
    <w:rsid w:val="00610542"/>
    <w:rsid w:val="00610783"/>
    <w:rsid w:val="00610BEE"/>
    <w:rsid w:val="006116A3"/>
    <w:rsid w:val="006126B2"/>
    <w:rsid w:val="00612799"/>
    <w:rsid w:val="00612853"/>
    <w:rsid w:val="00612898"/>
    <w:rsid w:val="0061290D"/>
    <w:rsid w:val="006129B7"/>
    <w:rsid w:val="00612B2E"/>
    <w:rsid w:val="00612E17"/>
    <w:rsid w:val="00612EAD"/>
    <w:rsid w:val="00613147"/>
    <w:rsid w:val="0061342D"/>
    <w:rsid w:val="006134BD"/>
    <w:rsid w:val="006136FA"/>
    <w:rsid w:val="00613CC6"/>
    <w:rsid w:val="00614054"/>
    <w:rsid w:val="006148E7"/>
    <w:rsid w:val="0061491A"/>
    <w:rsid w:val="006149E6"/>
    <w:rsid w:val="00614A6D"/>
    <w:rsid w:val="00614D27"/>
    <w:rsid w:val="006152FE"/>
    <w:rsid w:val="006154D6"/>
    <w:rsid w:val="00615693"/>
    <w:rsid w:val="00615704"/>
    <w:rsid w:val="00615F92"/>
    <w:rsid w:val="0061612B"/>
    <w:rsid w:val="00616534"/>
    <w:rsid w:val="00616EC5"/>
    <w:rsid w:val="00616F23"/>
    <w:rsid w:val="00617075"/>
    <w:rsid w:val="006172D6"/>
    <w:rsid w:val="0061733D"/>
    <w:rsid w:val="0061746A"/>
    <w:rsid w:val="00617582"/>
    <w:rsid w:val="006179BA"/>
    <w:rsid w:val="00620065"/>
    <w:rsid w:val="00620F66"/>
    <w:rsid w:val="00621465"/>
    <w:rsid w:val="00621583"/>
    <w:rsid w:val="006218DE"/>
    <w:rsid w:val="00621A59"/>
    <w:rsid w:val="00621C6D"/>
    <w:rsid w:val="00621FE1"/>
    <w:rsid w:val="00622376"/>
    <w:rsid w:val="00622B5A"/>
    <w:rsid w:val="00622C09"/>
    <w:rsid w:val="00622CF2"/>
    <w:rsid w:val="00623078"/>
    <w:rsid w:val="006231C5"/>
    <w:rsid w:val="00623873"/>
    <w:rsid w:val="00623A00"/>
    <w:rsid w:val="00623F45"/>
    <w:rsid w:val="00624855"/>
    <w:rsid w:val="00624B3C"/>
    <w:rsid w:val="00624F21"/>
    <w:rsid w:val="006250B4"/>
    <w:rsid w:val="0062512A"/>
    <w:rsid w:val="00625255"/>
    <w:rsid w:val="00625809"/>
    <w:rsid w:val="00625DCD"/>
    <w:rsid w:val="00626C63"/>
    <w:rsid w:val="00626D57"/>
    <w:rsid w:val="00627ABA"/>
    <w:rsid w:val="0063049B"/>
    <w:rsid w:val="00630981"/>
    <w:rsid w:val="00632389"/>
    <w:rsid w:val="006325AD"/>
    <w:rsid w:val="006327C5"/>
    <w:rsid w:val="00632DD9"/>
    <w:rsid w:val="0063378F"/>
    <w:rsid w:val="00633857"/>
    <w:rsid w:val="00633997"/>
    <w:rsid w:val="00633F9D"/>
    <w:rsid w:val="006340D5"/>
    <w:rsid w:val="00634695"/>
    <w:rsid w:val="00634CDD"/>
    <w:rsid w:val="00635A6C"/>
    <w:rsid w:val="00635D62"/>
    <w:rsid w:val="00636897"/>
    <w:rsid w:val="006368D7"/>
    <w:rsid w:val="00636A3D"/>
    <w:rsid w:val="006372BC"/>
    <w:rsid w:val="00637FC7"/>
    <w:rsid w:val="006406F6"/>
    <w:rsid w:val="00640CA1"/>
    <w:rsid w:val="0064141B"/>
    <w:rsid w:val="006416F2"/>
    <w:rsid w:val="006421B5"/>
    <w:rsid w:val="00642539"/>
    <w:rsid w:val="0064254F"/>
    <w:rsid w:val="006425DF"/>
    <w:rsid w:val="00642777"/>
    <w:rsid w:val="006428D6"/>
    <w:rsid w:val="00643E17"/>
    <w:rsid w:val="0064452D"/>
    <w:rsid w:val="0064466F"/>
    <w:rsid w:val="00644B6C"/>
    <w:rsid w:val="006453E7"/>
    <w:rsid w:val="0064553B"/>
    <w:rsid w:val="0064596C"/>
    <w:rsid w:val="00645D76"/>
    <w:rsid w:val="006465F7"/>
    <w:rsid w:val="0064725A"/>
    <w:rsid w:val="00647E0E"/>
    <w:rsid w:val="00651893"/>
    <w:rsid w:val="006519B9"/>
    <w:rsid w:val="00651B00"/>
    <w:rsid w:val="00652089"/>
    <w:rsid w:val="006520B8"/>
    <w:rsid w:val="006520E3"/>
    <w:rsid w:val="00652A81"/>
    <w:rsid w:val="00652B21"/>
    <w:rsid w:val="00653336"/>
    <w:rsid w:val="006533C6"/>
    <w:rsid w:val="0065359E"/>
    <w:rsid w:val="006539B7"/>
    <w:rsid w:val="00654678"/>
    <w:rsid w:val="0065470C"/>
    <w:rsid w:val="00654BBD"/>
    <w:rsid w:val="00654EFB"/>
    <w:rsid w:val="00655245"/>
    <w:rsid w:val="0065529E"/>
    <w:rsid w:val="006557C4"/>
    <w:rsid w:val="006558A6"/>
    <w:rsid w:val="0065594C"/>
    <w:rsid w:val="00655DE5"/>
    <w:rsid w:val="00655F3A"/>
    <w:rsid w:val="0065630D"/>
    <w:rsid w:val="00656511"/>
    <w:rsid w:val="0065687D"/>
    <w:rsid w:val="0065699E"/>
    <w:rsid w:val="00656A01"/>
    <w:rsid w:val="00656AEE"/>
    <w:rsid w:val="00656DB6"/>
    <w:rsid w:val="00657185"/>
    <w:rsid w:val="0065742F"/>
    <w:rsid w:val="00657BD6"/>
    <w:rsid w:val="00657D1E"/>
    <w:rsid w:val="00657D27"/>
    <w:rsid w:val="00657DB6"/>
    <w:rsid w:val="00660334"/>
    <w:rsid w:val="00660DBD"/>
    <w:rsid w:val="00660F37"/>
    <w:rsid w:val="0066133B"/>
    <w:rsid w:val="006619E9"/>
    <w:rsid w:val="00661A53"/>
    <w:rsid w:val="00661C38"/>
    <w:rsid w:val="006621BD"/>
    <w:rsid w:val="00662C1D"/>
    <w:rsid w:val="00662DEC"/>
    <w:rsid w:val="006638D9"/>
    <w:rsid w:val="006643EF"/>
    <w:rsid w:val="00664676"/>
    <w:rsid w:val="006647D9"/>
    <w:rsid w:val="0066481F"/>
    <w:rsid w:val="00664C11"/>
    <w:rsid w:val="006652A2"/>
    <w:rsid w:val="00665E75"/>
    <w:rsid w:val="00666697"/>
    <w:rsid w:val="006667C4"/>
    <w:rsid w:val="00666856"/>
    <w:rsid w:val="0066689A"/>
    <w:rsid w:val="006673A6"/>
    <w:rsid w:val="00667405"/>
    <w:rsid w:val="006674AA"/>
    <w:rsid w:val="00667F5E"/>
    <w:rsid w:val="006704ED"/>
    <w:rsid w:val="00670985"/>
    <w:rsid w:val="00670BB8"/>
    <w:rsid w:val="006714AE"/>
    <w:rsid w:val="0067163B"/>
    <w:rsid w:val="00671D61"/>
    <w:rsid w:val="00671E33"/>
    <w:rsid w:val="00671EA4"/>
    <w:rsid w:val="006720A6"/>
    <w:rsid w:val="00672166"/>
    <w:rsid w:val="00672C08"/>
    <w:rsid w:val="00672EE0"/>
    <w:rsid w:val="00673763"/>
    <w:rsid w:val="006737BC"/>
    <w:rsid w:val="00674155"/>
    <w:rsid w:val="00674393"/>
    <w:rsid w:val="00674A04"/>
    <w:rsid w:val="0067542B"/>
    <w:rsid w:val="006754AB"/>
    <w:rsid w:val="006755DF"/>
    <w:rsid w:val="0067561C"/>
    <w:rsid w:val="006758C2"/>
    <w:rsid w:val="006758FA"/>
    <w:rsid w:val="00675910"/>
    <w:rsid w:val="0067594B"/>
    <w:rsid w:val="006760A1"/>
    <w:rsid w:val="006760F9"/>
    <w:rsid w:val="00676C18"/>
    <w:rsid w:val="00676C3B"/>
    <w:rsid w:val="0067719D"/>
    <w:rsid w:val="006772BD"/>
    <w:rsid w:val="00677F36"/>
    <w:rsid w:val="006800FE"/>
    <w:rsid w:val="0068028A"/>
    <w:rsid w:val="00680379"/>
    <w:rsid w:val="0068052A"/>
    <w:rsid w:val="00680BB5"/>
    <w:rsid w:val="00680DBA"/>
    <w:rsid w:val="00681166"/>
    <w:rsid w:val="00681203"/>
    <w:rsid w:val="00681984"/>
    <w:rsid w:val="00682ACE"/>
    <w:rsid w:val="00682C20"/>
    <w:rsid w:val="006833C5"/>
    <w:rsid w:val="006836ED"/>
    <w:rsid w:val="00683707"/>
    <w:rsid w:val="00683C05"/>
    <w:rsid w:val="0068415B"/>
    <w:rsid w:val="006849D3"/>
    <w:rsid w:val="006849D9"/>
    <w:rsid w:val="00684BC6"/>
    <w:rsid w:val="006859D7"/>
    <w:rsid w:val="00686D5C"/>
    <w:rsid w:val="0068716A"/>
    <w:rsid w:val="006872A9"/>
    <w:rsid w:val="00687703"/>
    <w:rsid w:val="0068F780"/>
    <w:rsid w:val="0069017B"/>
    <w:rsid w:val="006904B5"/>
    <w:rsid w:val="00690FC8"/>
    <w:rsid w:val="006910D3"/>
    <w:rsid w:val="006911F0"/>
    <w:rsid w:val="006916EA"/>
    <w:rsid w:val="0069196B"/>
    <w:rsid w:val="00691C1C"/>
    <w:rsid w:val="00692309"/>
    <w:rsid w:val="006929CE"/>
    <w:rsid w:val="006942FF"/>
    <w:rsid w:val="00694345"/>
    <w:rsid w:val="00694687"/>
    <w:rsid w:val="00694926"/>
    <w:rsid w:val="00694DDB"/>
    <w:rsid w:val="00695269"/>
    <w:rsid w:val="00695440"/>
    <w:rsid w:val="006955C8"/>
    <w:rsid w:val="00695D18"/>
    <w:rsid w:val="006965AE"/>
    <w:rsid w:val="00696BD0"/>
    <w:rsid w:val="00697302"/>
    <w:rsid w:val="006973E2"/>
    <w:rsid w:val="006974BC"/>
    <w:rsid w:val="00697FEB"/>
    <w:rsid w:val="006A0142"/>
    <w:rsid w:val="006A05DF"/>
    <w:rsid w:val="006A0D23"/>
    <w:rsid w:val="006A0F59"/>
    <w:rsid w:val="006A1529"/>
    <w:rsid w:val="006A18E7"/>
    <w:rsid w:val="006A1FC8"/>
    <w:rsid w:val="006A2023"/>
    <w:rsid w:val="006A25CB"/>
    <w:rsid w:val="006A2A47"/>
    <w:rsid w:val="006A2B28"/>
    <w:rsid w:val="006A2D8D"/>
    <w:rsid w:val="006A3130"/>
    <w:rsid w:val="006A39FB"/>
    <w:rsid w:val="006A3C4D"/>
    <w:rsid w:val="006A4A8F"/>
    <w:rsid w:val="006A4DF0"/>
    <w:rsid w:val="006A5525"/>
    <w:rsid w:val="006A5D71"/>
    <w:rsid w:val="006A606A"/>
    <w:rsid w:val="006A60E0"/>
    <w:rsid w:val="006A6492"/>
    <w:rsid w:val="006A6961"/>
    <w:rsid w:val="006A6B72"/>
    <w:rsid w:val="006A6DEF"/>
    <w:rsid w:val="006A703A"/>
    <w:rsid w:val="006A70B9"/>
    <w:rsid w:val="006A7128"/>
    <w:rsid w:val="006B007A"/>
    <w:rsid w:val="006B018E"/>
    <w:rsid w:val="006B04DB"/>
    <w:rsid w:val="006B159E"/>
    <w:rsid w:val="006B16A7"/>
    <w:rsid w:val="006B18E5"/>
    <w:rsid w:val="006B1E02"/>
    <w:rsid w:val="006B21A0"/>
    <w:rsid w:val="006B2296"/>
    <w:rsid w:val="006B2932"/>
    <w:rsid w:val="006B29B6"/>
    <w:rsid w:val="006B2A5B"/>
    <w:rsid w:val="006B3094"/>
    <w:rsid w:val="006B439D"/>
    <w:rsid w:val="006B4FC2"/>
    <w:rsid w:val="006B50FD"/>
    <w:rsid w:val="006B520A"/>
    <w:rsid w:val="006B5376"/>
    <w:rsid w:val="006B5461"/>
    <w:rsid w:val="006B54A4"/>
    <w:rsid w:val="006B553E"/>
    <w:rsid w:val="006B556A"/>
    <w:rsid w:val="006B5BF2"/>
    <w:rsid w:val="006B5FE2"/>
    <w:rsid w:val="006B67F9"/>
    <w:rsid w:val="006B7286"/>
    <w:rsid w:val="006B7447"/>
    <w:rsid w:val="006B7453"/>
    <w:rsid w:val="006B74F2"/>
    <w:rsid w:val="006C0323"/>
    <w:rsid w:val="006C06D5"/>
    <w:rsid w:val="006C0909"/>
    <w:rsid w:val="006C090A"/>
    <w:rsid w:val="006C0DF1"/>
    <w:rsid w:val="006C14F1"/>
    <w:rsid w:val="006C167F"/>
    <w:rsid w:val="006C2207"/>
    <w:rsid w:val="006C2260"/>
    <w:rsid w:val="006C2C1F"/>
    <w:rsid w:val="006C315B"/>
    <w:rsid w:val="006C31CD"/>
    <w:rsid w:val="006C31FD"/>
    <w:rsid w:val="006C329F"/>
    <w:rsid w:val="006C36F7"/>
    <w:rsid w:val="006C3E78"/>
    <w:rsid w:val="006C410E"/>
    <w:rsid w:val="006C45E7"/>
    <w:rsid w:val="006C48DF"/>
    <w:rsid w:val="006C4EDF"/>
    <w:rsid w:val="006C547D"/>
    <w:rsid w:val="006C58C2"/>
    <w:rsid w:val="006C6004"/>
    <w:rsid w:val="006C6191"/>
    <w:rsid w:val="006C6533"/>
    <w:rsid w:val="006C6792"/>
    <w:rsid w:val="006C7203"/>
    <w:rsid w:val="006C7517"/>
    <w:rsid w:val="006C7B41"/>
    <w:rsid w:val="006C7BC3"/>
    <w:rsid w:val="006C7E21"/>
    <w:rsid w:val="006D08A4"/>
    <w:rsid w:val="006D0FE4"/>
    <w:rsid w:val="006D160E"/>
    <w:rsid w:val="006D1A00"/>
    <w:rsid w:val="006D1F3B"/>
    <w:rsid w:val="006D1F99"/>
    <w:rsid w:val="006D2C19"/>
    <w:rsid w:val="006D2DD1"/>
    <w:rsid w:val="006D3787"/>
    <w:rsid w:val="006D37CA"/>
    <w:rsid w:val="006D39B8"/>
    <w:rsid w:val="006D3FFA"/>
    <w:rsid w:val="006D551D"/>
    <w:rsid w:val="006D5AF5"/>
    <w:rsid w:val="006D5C2F"/>
    <w:rsid w:val="006D5C5E"/>
    <w:rsid w:val="006D5DBE"/>
    <w:rsid w:val="006D5EB4"/>
    <w:rsid w:val="006D6388"/>
    <w:rsid w:val="006D63BA"/>
    <w:rsid w:val="006D6A7B"/>
    <w:rsid w:val="006D6B03"/>
    <w:rsid w:val="006D6BE5"/>
    <w:rsid w:val="006D704D"/>
    <w:rsid w:val="006D7C1B"/>
    <w:rsid w:val="006D7DAD"/>
    <w:rsid w:val="006D7E22"/>
    <w:rsid w:val="006E042A"/>
    <w:rsid w:val="006E0608"/>
    <w:rsid w:val="006E1736"/>
    <w:rsid w:val="006E1C95"/>
    <w:rsid w:val="006E1E33"/>
    <w:rsid w:val="006E26CC"/>
    <w:rsid w:val="006E2841"/>
    <w:rsid w:val="006E2A88"/>
    <w:rsid w:val="006E3A05"/>
    <w:rsid w:val="006E3A29"/>
    <w:rsid w:val="006E3F27"/>
    <w:rsid w:val="006E3F85"/>
    <w:rsid w:val="006E40E3"/>
    <w:rsid w:val="006E421F"/>
    <w:rsid w:val="006E4977"/>
    <w:rsid w:val="006E526C"/>
    <w:rsid w:val="006E5358"/>
    <w:rsid w:val="006E5946"/>
    <w:rsid w:val="006E597D"/>
    <w:rsid w:val="006E59C9"/>
    <w:rsid w:val="006E6019"/>
    <w:rsid w:val="006E62EC"/>
    <w:rsid w:val="006E6327"/>
    <w:rsid w:val="006E6949"/>
    <w:rsid w:val="006E69FA"/>
    <w:rsid w:val="006E7946"/>
    <w:rsid w:val="006E7C0B"/>
    <w:rsid w:val="006E7C81"/>
    <w:rsid w:val="006F00BA"/>
    <w:rsid w:val="006F03B1"/>
    <w:rsid w:val="006F048A"/>
    <w:rsid w:val="006F0666"/>
    <w:rsid w:val="006F0853"/>
    <w:rsid w:val="006F096E"/>
    <w:rsid w:val="006F0F0B"/>
    <w:rsid w:val="006F17AD"/>
    <w:rsid w:val="006F1915"/>
    <w:rsid w:val="006F1F25"/>
    <w:rsid w:val="006F1F58"/>
    <w:rsid w:val="006F2832"/>
    <w:rsid w:val="006F30A3"/>
    <w:rsid w:val="006F30F3"/>
    <w:rsid w:val="006F34CF"/>
    <w:rsid w:val="006F35ED"/>
    <w:rsid w:val="006F3646"/>
    <w:rsid w:val="006F3897"/>
    <w:rsid w:val="006F38DF"/>
    <w:rsid w:val="006F39CA"/>
    <w:rsid w:val="006F432E"/>
    <w:rsid w:val="006F4463"/>
    <w:rsid w:val="006F4854"/>
    <w:rsid w:val="006F4CFC"/>
    <w:rsid w:val="006F5CC0"/>
    <w:rsid w:val="006F6007"/>
    <w:rsid w:val="006F6046"/>
    <w:rsid w:val="006F6443"/>
    <w:rsid w:val="006F6647"/>
    <w:rsid w:val="006F6897"/>
    <w:rsid w:val="006F6920"/>
    <w:rsid w:val="006F6EC3"/>
    <w:rsid w:val="006F70E8"/>
    <w:rsid w:val="00700215"/>
    <w:rsid w:val="00700A35"/>
    <w:rsid w:val="007011DF"/>
    <w:rsid w:val="00701645"/>
    <w:rsid w:val="00701999"/>
    <w:rsid w:val="00701A5C"/>
    <w:rsid w:val="00701C1B"/>
    <w:rsid w:val="00701C85"/>
    <w:rsid w:val="00702005"/>
    <w:rsid w:val="00702A77"/>
    <w:rsid w:val="00702E2A"/>
    <w:rsid w:val="00703222"/>
    <w:rsid w:val="007032F9"/>
    <w:rsid w:val="007033BA"/>
    <w:rsid w:val="00703459"/>
    <w:rsid w:val="00704413"/>
    <w:rsid w:val="00704B70"/>
    <w:rsid w:val="00705033"/>
    <w:rsid w:val="00705703"/>
    <w:rsid w:val="00705840"/>
    <w:rsid w:val="007058BF"/>
    <w:rsid w:val="00705D02"/>
    <w:rsid w:val="00705EC8"/>
    <w:rsid w:val="007065BB"/>
    <w:rsid w:val="007066AA"/>
    <w:rsid w:val="0070672A"/>
    <w:rsid w:val="00706C8A"/>
    <w:rsid w:val="00706FF5"/>
    <w:rsid w:val="007074AB"/>
    <w:rsid w:val="0070770D"/>
    <w:rsid w:val="007079BC"/>
    <w:rsid w:val="00710036"/>
    <w:rsid w:val="0071009B"/>
    <w:rsid w:val="007102C1"/>
    <w:rsid w:val="00710983"/>
    <w:rsid w:val="00710DE5"/>
    <w:rsid w:val="007114A4"/>
    <w:rsid w:val="00711F49"/>
    <w:rsid w:val="0071219A"/>
    <w:rsid w:val="007122ED"/>
    <w:rsid w:val="007126C1"/>
    <w:rsid w:val="00712852"/>
    <w:rsid w:val="00712C64"/>
    <w:rsid w:val="00712C93"/>
    <w:rsid w:val="007130DD"/>
    <w:rsid w:val="00713198"/>
    <w:rsid w:val="00714136"/>
    <w:rsid w:val="007143AA"/>
    <w:rsid w:val="007144FA"/>
    <w:rsid w:val="007146EE"/>
    <w:rsid w:val="0071554C"/>
    <w:rsid w:val="007159B4"/>
    <w:rsid w:val="00715BF4"/>
    <w:rsid w:val="00715EDF"/>
    <w:rsid w:val="0071643C"/>
    <w:rsid w:val="00716543"/>
    <w:rsid w:val="0071682E"/>
    <w:rsid w:val="00717165"/>
    <w:rsid w:val="00717EA1"/>
    <w:rsid w:val="00717F3E"/>
    <w:rsid w:val="007200ED"/>
    <w:rsid w:val="007205D6"/>
    <w:rsid w:val="007206C5"/>
    <w:rsid w:val="007206D0"/>
    <w:rsid w:val="00720D68"/>
    <w:rsid w:val="00721377"/>
    <w:rsid w:val="0072142F"/>
    <w:rsid w:val="00721483"/>
    <w:rsid w:val="00721504"/>
    <w:rsid w:val="007215D7"/>
    <w:rsid w:val="00721B17"/>
    <w:rsid w:val="007220A6"/>
    <w:rsid w:val="00722172"/>
    <w:rsid w:val="00723532"/>
    <w:rsid w:val="00723E7C"/>
    <w:rsid w:val="007241CF"/>
    <w:rsid w:val="007244F0"/>
    <w:rsid w:val="00724629"/>
    <w:rsid w:val="007248A1"/>
    <w:rsid w:val="0072493D"/>
    <w:rsid w:val="00724DC8"/>
    <w:rsid w:val="00725885"/>
    <w:rsid w:val="00725B2F"/>
    <w:rsid w:val="0072600A"/>
    <w:rsid w:val="007265A4"/>
    <w:rsid w:val="00726D74"/>
    <w:rsid w:val="00726F42"/>
    <w:rsid w:val="007274E4"/>
    <w:rsid w:val="00727B27"/>
    <w:rsid w:val="00727E59"/>
    <w:rsid w:val="00730A2C"/>
    <w:rsid w:val="00730C29"/>
    <w:rsid w:val="00730D4B"/>
    <w:rsid w:val="00730F14"/>
    <w:rsid w:val="007312BD"/>
    <w:rsid w:val="007318BC"/>
    <w:rsid w:val="00731978"/>
    <w:rsid w:val="007323DD"/>
    <w:rsid w:val="00732657"/>
    <w:rsid w:val="0073313D"/>
    <w:rsid w:val="00733375"/>
    <w:rsid w:val="007333F0"/>
    <w:rsid w:val="00733829"/>
    <w:rsid w:val="00733A66"/>
    <w:rsid w:val="00733F02"/>
    <w:rsid w:val="0073414B"/>
    <w:rsid w:val="007344EA"/>
    <w:rsid w:val="00734517"/>
    <w:rsid w:val="00734C0C"/>
    <w:rsid w:val="007351FA"/>
    <w:rsid w:val="00735C25"/>
    <w:rsid w:val="00735E97"/>
    <w:rsid w:val="00735F30"/>
    <w:rsid w:val="00736178"/>
    <w:rsid w:val="00736332"/>
    <w:rsid w:val="0073662A"/>
    <w:rsid w:val="007369C2"/>
    <w:rsid w:val="00736A26"/>
    <w:rsid w:val="00736A5C"/>
    <w:rsid w:val="007370FB"/>
    <w:rsid w:val="00737110"/>
    <w:rsid w:val="00737B62"/>
    <w:rsid w:val="00740879"/>
    <w:rsid w:val="00742350"/>
    <w:rsid w:val="0074290F"/>
    <w:rsid w:val="00742AE4"/>
    <w:rsid w:val="00742B11"/>
    <w:rsid w:val="00742BEB"/>
    <w:rsid w:val="00742F34"/>
    <w:rsid w:val="00743BBD"/>
    <w:rsid w:val="00743F0A"/>
    <w:rsid w:val="0074476B"/>
    <w:rsid w:val="00744835"/>
    <w:rsid w:val="00744A6E"/>
    <w:rsid w:val="007457F2"/>
    <w:rsid w:val="007467F4"/>
    <w:rsid w:val="007468B2"/>
    <w:rsid w:val="00746A42"/>
    <w:rsid w:val="00746B63"/>
    <w:rsid w:val="00747451"/>
    <w:rsid w:val="00747884"/>
    <w:rsid w:val="0075033A"/>
    <w:rsid w:val="00750EAF"/>
    <w:rsid w:val="0075163D"/>
    <w:rsid w:val="00751CCC"/>
    <w:rsid w:val="0075281F"/>
    <w:rsid w:val="00752846"/>
    <w:rsid w:val="007528B1"/>
    <w:rsid w:val="00753051"/>
    <w:rsid w:val="007532C2"/>
    <w:rsid w:val="007535B9"/>
    <w:rsid w:val="0075360F"/>
    <w:rsid w:val="007538DD"/>
    <w:rsid w:val="00753A3F"/>
    <w:rsid w:val="00753C62"/>
    <w:rsid w:val="00754543"/>
    <w:rsid w:val="007549F9"/>
    <w:rsid w:val="00754BD1"/>
    <w:rsid w:val="00754D5C"/>
    <w:rsid w:val="00754EE2"/>
    <w:rsid w:val="00754FD9"/>
    <w:rsid w:val="00755248"/>
    <w:rsid w:val="00755392"/>
    <w:rsid w:val="007556B2"/>
    <w:rsid w:val="0075582D"/>
    <w:rsid w:val="0075592E"/>
    <w:rsid w:val="00755C8F"/>
    <w:rsid w:val="00755E1F"/>
    <w:rsid w:val="0075613F"/>
    <w:rsid w:val="00756429"/>
    <w:rsid w:val="0075644B"/>
    <w:rsid w:val="00756976"/>
    <w:rsid w:val="00756BAC"/>
    <w:rsid w:val="007576F9"/>
    <w:rsid w:val="0075794F"/>
    <w:rsid w:val="00757B9E"/>
    <w:rsid w:val="007606B3"/>
    <w:rsid w:val="007614B1"/>
    <w:rsid w:val="00761542"/>
    <w:rsid w:val="007618C3"/>
    <w:rsid w:val="00761D33"/>
    <w:rsid w:val="007621CF"/>
    <w:rsid w:val="00762465"/>
    <w:rsid w:val="007627F1"/>
    <w:rsid w:val="007628DA"/>
    <w:rsid w:val="00762937"/>
    <w:rsid w:val="00763094"/>
    <w:rsid w:val="00763102"/>
    <w:rsid w:val="00763B49"/>
    <w:rsid w:val="00763BD8"/>
    <w:rsid w:val="00763D8B"/>
    <w:rsid w:val="00764231"/>
    <w:rsid w:val="00764925"/>
    <w:rsid w:val="00764BBE"/>
    <w:rsid w:val="00764C03"/>
    <w:rsid w:val="00764DFD"/>
    <w:rsid w:val="00765568"/>
    <w:rsid w:val="00765604"/>
    <w:rsid w:val="00765689"/>
    <w:rsid w:val="00765AAF"/>
    <w:rsid w:val="00765B2C"/>
    <w:rsid w:val="00765CAA"/>
    <w:rsid w:val="007660FA"/>
    <w:rsid w:val="0076621B"/>
    <w:rsid w:val="00767322"/>
    <w:rsid w:val="0076781F"/>
    <w:rsid w:val="00767B19"/>
    <w:rsid w:val="00767BD5"/>
    <w:rsid w:val="00767DE4"/>
    <w:rsid w:val="00770079"/>
    <w:rsid w:val="00770537"/>
    <w:rsid w:val="00770797"/>
    <w:rsid w:val="00770AAF"/>
    <w:rsid w:val="007713E7"/>
    <w:rsid w:val="0077143C"/>
    <w:rsid w:val="00771780"/>
    <w:rsid w:val="0077205A"/>
    <w:rsid w:val="007720F9"/>
    <w:rsid w:val="00772BD2"/>
    <w:rsid w:val="007732E9"/>
    <w:rsid w:val="007735E1"/>
    <w:rsid w:val="00773D78"/>
    <w:rsid w:val="00773DFD"/>
    <w:rsid w:val="0077414D"/>
    <w:rsid w:val="0077453D"/>
    <w:rsid w:val="00775283"/>
    <w:rsid w:val="00775C1B"/>
    <w:rsid w:val="00775C54"/>
    <w:rsid w:val="007760B5"/>
    <w:rsid w:val="00776B8D"/>
    <w:rsid w:val="00776C87"/>
    <w:rsid w:val="00776E3A"/>
    <w:rsid w:val="00777347"/>
    <w:rsid w:val="00777395"/>
    <w:rsid w:val="00777599"/>
    <w:rsid w:val="00777845"/>
    <w:rsid w:val="007801B7"/>
    <w:rsid w:val="0078047D"/>
    <w:rsid w:val="00780524"/>
    <w:rsid w:val="00780B83"/>
    <w:rsid w:val="007811BD"/>
    <w:rsid w:val="00781BDB"/>
    <w:rsid w:val="0078204F"/>
    <w:rsid w:val="007821A2"/>
    <w:rsid w:val="00782364"/>
    <w:rsid w:val="007831CB"/>
    <w:rsid w:val="007838D0"/>
    <w:rsid w:val="00783A4E"/>
    <w:rsid w:val="00784653"/>
    <w:rsid w:val="00784A66"/>
    <w:rsid w:val="00784AB5"/>
    <w:rsid w:val="00784BDA"/>
    <w:rsid w:val="00785270"/>
    <w:rsid w:val="00785A55"/>
    <w:rsid w:val="00785B3B"/>
    <w:rsid w:val="00785BD1"/>
    <w:rsid w:val="00786118"/>
    <w:rsid w:val="00786F1F"/>
    <w:rsid w:val="0078716C"/>
    <w:rsid w:val="007872D7"/>
    <w:rsid w:val="007874E4"/>
    <w:rsid w:val="00787875"/>
    <w:rsid w:val="00787E88"/>
    <w:rsid w:val="007907CC"/>
    <w:rsid w:val="0079098D"/>
    <w:rsid w:val="00790A2E"/>
    <w:rsid w:val="00791268"/>
    <w:rsid w:val="00791468"/>
    <w:rsid w:val="00791FF2"/>
    <w:rsid w:val="00792137"/>
    <w:rsid w:val="00792356"/>
    <w:rsid w:val="00793AD7"/>
    <w:rsid w:val="00793D8E"/>
    <w:rsid w:val="00793EFB"/>
    <w:rsid w:val="00793FD7"/>
    <w:rsid w:val="007941FE"/>
    <w:rsid w:val="00794431"/>
    <w:rsid w:val="00794A07"/>
    <w:rsid w:val="00794D25"/>
    <w:rsid w:val="007951B3"/>
    <w:rsid w:val="007957B5"/>
    <w:rsid w:val="0079581E"/>
    <w:rsid w:val="0079588F"/>
    <w:rsid w:val="00795960"/>
    <w:rsid w:val="00795C9B"/>
    <w:rsid w:val="00796471"/>
    <w:rsid w:val="0079652D"/>
    <w:rsid w:val="0079657B"/>
    <w:rsid w:val="00796894"/>
    <w:rsid w:val="00796ACA"/>
    <w:rsid w:val="00796EDB"/>
    <w:rsid w:val="0079721C"/>
    <w:rsid w:val="00797459"/>
    <w:rsid w:val="0079754B"/>
    <w:rsid w:val="0079776A"/>
    <w:rsid w:val="00797827"/>
    <w:rsid w:val="00797DD0"/>
    <w:rsid w:val="00797F98"/>
    <w:rsid w:val="007A016D"/>
    <w:rsid w:val="007A0380"/>
    <w:rsid w:val="007A06B2"/>
    <w:rsid w:val="007A090B"/>
    <w:rsid w:val="007A0912"/>
    <w:rsid w:val="007A1248"/>
    <w:rsid w:val="007A1E67"/>
    <w:rsid w:val="007A20DF"/>
    <w:rsid w:val="007A2434"/>
    <w:rsid w:val="007A245C"/>
    <w:rsid w:val="007A29C5"/>
    <w:rsid w:val="007A34C2"/>
    <w:rsid w:val="007A383B"/>
    <w:rsid w:val="007A3A60"/>
    <w:rsid w:val="007A3A7B"/>
    <w:rsid w:val="007A3BC0"/>
    <w:rsid w:val="007A4622"/>
    <w:rsid w:val="007A47B8"/>
    <w:rsid w:val="007A48AB"/>
    <w:rsid w:val="007A4BDA"/>
    <w:rsid w:val="007A4D8C"/>
    <w:rsid w:val="007A5053"/>
    <w:rsid w:val="007A5101"/>
    <w:rsid w:val="007A5178"/>
    <w:rsid w:val="007A54B9"/>
    <w:rsid w:val="007A5A7F"/>
    <w:rsid w:val="007A5FFA"/>
    <w:rsid w:val="007A6117"/>
    <w:rsid w:val="007A6243"/>
    <w:rsid w:val="007A6269"/>
    <w:rsid w:val="007A6458"/>
    <w:rsid w:val="007A6669"/>
    <w:rsid w:val="007A77DA"/>
    <w:rsid w:val="007A7FAA"/>
    <w:rsid w:val="007B00F5"/>
    <w:rsid w:val="007B054A"/>
    <w:rsid w:val="007B0E10"/>
    <w:rsid w:val="007B1453"/>
    <w:rsid w:val="007B19FD"/>
    <w:rsid w:val="007B1CE5"/>
    <w:rsid w:val="007B253D"/>
    <w:rsid w:val="007B3B02"/>
    <w:rsid w:val="007B3CCE"/>
    <w:rsid w:val="007B3F4C"/>
    <w:rsid w:val="007B3F78"/>
    <w:rsid w:val="007B417E"/>
    <w:rsid w:val="007B4411"/>
    <w:rsid w:val="007B4B4A"/>
    <w:rsid w:val="007B4E43"/>
    <w:rsid w:val="007B4F8A"/>
    <w:rsid w:val="007B57FD"/>
    <w:rsid w:val="007B5862"/>
    <w:rsid w:val="007B5882"/>
    <w:rsid w:val="007B5977"/>
    <w:rsid w:val="007B5C4D"/>
    <w:rsid w:val="007B668C"/>
    <w:rsid w:val="007B6B67"/>
    <w:rsid w:val="007B6E4F"/>
    <w:rsid w:val="007B6F4A"/>
    <w:rsid w:val="007B7565"/>
    <w:rsid w:val="007B760E"/>
    <w:rsid w:val="007B76BC"/>
    <w:rsid w:val="007C02AB"/>
    <w:rsid w:val="007C079B"/>
    <w:rsid w:val="007C083B"/>
    <w:rsid w:val="007C086C"/>
    <w:rsid w:val="007C097A"/>
    <w:rsid w:val="007C0E6C"/>
    <w:rsid w:val="007C10B6"/>
    <w:rsid w:val="007C11B1"/>
    <w:rsid w:val="007C138B"/>
    <w:rsid w:val="007C14A3"/>
    <w:rsid w:val="007C1E4F"/>
    <w:rsid w:val="007C2016"/>
    <w:rsid w:val="007C2185"/>
    <w:rsid w:val="007C27D3"/>
    <w:rsid w:val="007C2B38"/>
    <w:rsid w:val="007C3DE2"/>
    <w:rsid w:val="007C40C5"/>
    <w:rsid w:val="007C44C9"/>
    <w:rsid w:val="007C4610"/>
    <w:rsid w:val="007C4A65"/>
    <w:rsid w:val="007C50BB"/>
    <w:rsid w:val="007C51DA"/>
    <w:rsid w:val="007C5698"/>
    <w:rsid w:val="007C5706"/>
    <w:rsid w:val="007C5C8B"/>
    <w:rsid w:val="007C60B0"/>
    <w:rsid w:val="007C63CC"/>
    <w:rsid w:val="007C68AE"/>
    <w:rsid w:val="007C6F35"/>
    <w:rsid w:val="007C78FD"/>
    <w:rsid w:val="007C7E4C"/>
    <w:rsid w:val="007C7EBA"/>
    <w:rsid w:val="007D051F"/>
    <w:rsid w:val="007D11FD"/>
    <w:rsid w:val="007D15F8"/>
    <w:rsid w:val="007D2361"/>
    <w:rsid w:val="007D2543"/>
    <w:rsid w:val="007D2882"/>
    <w:rsid w:val="007D310C"/>
    <w:rsid w:val="007D324E"/>
    <w:rsid w:val="007D32D5"/>
    <w:rsid w:val="007D38FB"/>
    <w:rsid w:val="007D3A02"/>
    <w:rsid w:val="007D3F39"/>
    <w:rsid w:val="007D42E3"/>
    <w:rsid w:val="007D44FE"/>
    <w:rsid w:val="007D492B"/>
    <w:rsid w:val="007D4E3F"/>
    <w:rsid w:val="007D54FB"/>
    <w:rsid w:val="007D59B0"/>
    <w:rsid w:val="007D61DF"/>
    <w:rsid w:val="007D628D"/>
    <w:rsid w:val="007D62DC"/>
    <w:rsid w:val="007D6443"/>
    <w:rsid w:val="007D709A"/>
    <w:rsid w:val="007D740F"/>
    <w:rsid w:val="007D7A86"/>
    <w:rsid w:val="007D7E75"/>
    <w:rsid w:val="007E0369"/>
    <w:rsid w:val="007E04FC"/>
    <w:rsid w:val="007E05B1"/>
    <w:rsid w:val="007E0A9D"/>
    <w:rsid w:val="007E0ADC"/>
    <w:rsid w:val="007E1216"/>
    <w:rsid w:val="007E123F"/>
    <w:rsid w:val="007E22AE"/>
    <w:rsid w:val="007E29FA"/>
    <w:rsid w:val="007E2A56"/>
    <w:rsid w:val="007E2FDD"/>
    <w:rsid w:val="007E3AA3"/>
    <w:rsid w:val="007E40F4"/>
    <w:rsid w:val="007E41D6"/>
    <w:rsid w:val="007E43FA"/>
    <w:rsid w:val="007E4551"/>
    <w:rsid w:val="007E517E"/>
    <w:rsid w:val="007E5346"/>
    <w:rsid w:val="007E61A6"/>
    <w:rsid w:val="007E628F"/>
    <w:rsid w:val="007E6756"/>
    <w:rsid w:val="007E6FB6"/>
    <w:rsid w:val="007E7741"/>
    <w:rsid w:val="007E7A77"/>
    <w:rsid w:val="007E7D5B"/>
    <w:rsid w:val="007E7F4F"/>
    <w:rsid w:val="007F001D"/>
    <w:rsid w:val="007F0570"/>
    <w:rsid w:val="007F0649"/>
    <w:rsid w:val="007F0690"/>
    <w:rsid w:val="007F07C7"/>
    <w:rsid w:val="007F0AAB"/>
    <w:rsid w:val="007F0B38"/>
    <w:rsid w:val="007F0DC9"/>
    <w:rsid w:val="007F0E41"/>
    <w:rsid w:val="007F176C"/>
    <w:rsid w:val="007F1B6C"/>
    <w:rsid w:val="007F1BBE"/>
    <w:rsid w:val="007F1D3B"/>
    <w:rsid w:val="007F2991"/>
    <w:rsid w:val="007F3203"/>
    <w:rsid w:val="007F4484"/>
    <w:rsid w:val="007F46F0"/>
    <w:rsid w:val="007F4BCB"/>
    <w:rsid w:val="007F4D04"/>
    <w:rsid w:val="007F4FE7"/>
    <w:rsid w:val="007F50FE"/>
    <w:rsid w:val="007F574B"/>
    <w:rsid w:val="007F5B2A"/>
    <w:rsid w:val="007F5B86"/>
    <w:rsid w:val="007F5C63"/>
    <w:rsid w:val="007F652F"/>
    <w:rsid w:val="007F667B"/>
    <w:rsid w:val="007F695D"/>
    <w:rsid w:val="007F6B35"/>
    <w:rsid w:val="007F6F02"/>
    <w:rsid w:val="007F7271"/>
    <w:rsid w:val="007F74C9"/>
    <w:rsid w:val="007F7A7D"/>
    <w:rsid w:val="007F7C85"/>
    <w:rsid w:val="0080052B"/>
    <w:rsid w:val="00800A77"/>
    <w:rsid w:val="008011C0"/>
    <w:rsid w:val="008012BE"/>
    <w:rsid w:val="00801DD8"/>
    <w:rsid w:val="00801FA9"/>
    <w:rsid w:val="0080280B"/>
    <w:rsid w:val="00802B16"/>
    <w:rsid w:val="008030D4"/>
    <w:rsid w:val="008039D0"/>
    <w:rsid w:val="00803B10"/>
    <w:rsid w:val="00804326"/>
    <w:rsid w:val="0080467C"/>
    <w:rsid w:val="008048AA"/>
    <w:rsid w:val="00806163"/>
    <w:rsid w:val="008064C5"/>
    <w:rsid w:val="00807176"/>
    <w:rsid w:val="008071DB"/>
    <w:rsid w:val="0080751E"/>
    <w:rsid w:val="00807889"/>
    <w:rsid w:val="008100A7"/>
    <w:rsid w:val="0081043E"/>
    <w:rsid w:val="00810C3C"/>
    <w:rsid w:val="00810CE7"/>
    <w:rsid w:val="00811409"/>
    <w:rsid w:val="008116ED"/>
    <w:rsid w:val="00812389"/>
    <w:rsid w:val="00812E9F"/>
    <w:rsid w:val="008134A6"/>
    <w:rsid w:val="00813BED"/>
    <w:rsid w:val="00813E7B"/>
    <w:rsid w:val="0081409B"/>
    <w:rsid w:val="008145C8"/>
    <w:rsid w:val="00814874"/>
    <w:rsid w:val="008149C0"/>
    <w:rsid w:val="00814E9F"/>
    <w:rsid w:val="008153B5"/>
    <w:rsid w:val="00815759"/>
    <w:rsid w:val="00815BB1"/>
    <w:rsid w:val="00815BC9"/>
    <w:rsid w:val="00815C49"/>
    <w:rsid w:val="00816195"/>
    <w:rsid w:val="00816249"/>
    <w:rsid w:val="008168BB"/>
    <w:rsid w:val="0081691B"/>
    <w:rsid w:val="008171B8"/>
    <w:rsid w:val="008177D8"/>
    <w:rsid w:val="00817F79"/>
    <w:rsid w:val="0082032B"/>
    <w:rsid w:val="0082054E"/>
    <w:rsid w:val="00820E0E"/>
    <w:rsid w:val="00821195"/>
    <w:rsid w:val="008213E7"/>
    <w:rsid w:val="0082151A"/>
    <w:rsid w:val="00821B1E"/>
    <w:rsid w:val="00821FD2"/>
    <w:rsid w:val="008220B7"/>
    <w:rsid w:val="00822231"/>
    <w:rsid w:val="00822833"/>
    <w:rsid w:val="0082285A"/>
    <w:rsid w:val="00822D74"/>
    <w:rsid w:val="008232CF"/>
    <w:rsid w:val="00823813"/>
    <w:rsid w:val="0082384E"/>
    <w:rsid w:val="008239CA"/>
    <w:rsid w:val="00823A18"/>
    <w:rsid w:val="00823B72"/>
    <w:rsid w:val="00823BE2"/>
    <w:rsid w:val="00823C86"/>
    <w:rsid w:val="00823F27"/>
    <w:rsid w:val="0082435A"/>
    <w:rsid w:val="00824C75"/>
    <w:rsid w:val="00824E16"/>
    <w:rsid w:val="00825030"/>
    <w:rsid w:val="008250E6"/>
    <w:rsid w:val="00825DB8"/>
    <w:rsid w:val="00826003"/>
    <w:rsid w:val="008260BB"/>
    <w:rsid w:val="0082620B"/>
    <w:rsid w:val="00826792"/>
    <w:rsid w:val="00826B3F"/>
    <w:rsid w:val="00827915"/>
    <w:rsid w:val="00827CFD"/>
    <w:rsid w:val="0083040B"/>
    <w:rsid w:val="00830964"/>
    <w:rsid w:val="00830A1C"/>
    <w:rsid w:val="00830C2E"/>
    <w:rsid w:val="0083156E"/>
    <w:rsid w:val="008315D4"/>
    <w:rsid w:val="0083177B"/>
    <w:rsid w:val="00831BAF"/>
    <w:rsid w:val="0083227B"/>
    <w:rsid w:val="008325E8"/>
    <w:rsid w:val="0083295B"/>
    <w:rsid w:val="00832B7D"/>
    <w:rsid w:val="00832CD8"/>
    <w:rsid w:val="00832CF6"/>
    <w:rsid w:val="00832CF9"/>
    <w:rsid w:val="00832D4F"/>
    <w:rsid w:val="00832F48"/>
    <w:rsid w:val="0083389C"/>
    <w:rsid w:val="00833D34"/>
    <w:rsid w:val="008346CE"/>
    <w:rsid w:val="00834862"/>
    <w:rsid w:val="00834902"/>
    <w:rsid w:val="00834A78"/>
    <w:rsid w:val="00834E6B"/>
    <w:rsid w:val="00835846"/>
    <w:rsid w:val="008358D4"/>
    <w:rsid w:val="00835A10"/>
    <w:rsid w:val="00835A19"/>
    <w:rsid w:val="00835B8D"/>
    <w:rsid w:val="0083690A"/>
    <w:rsid w:val="00836C74"/>
    <w:rsid w:val="008372AB"/>
    <w:rsid w:val="00837326"/>
    <w:rsid w:val="00837750"/>
    <w:rsid w:val="00837F7A"/>
    <w:rsid w:val="008407F6"/>
    <w:rsid w:val="0084091E"/>
    <w:rsid w:val="0084094A"/>
    <w:rsid w:val="00840D3C"/>
    <w:rsid w:val="00840DBF"/>
    <w:rsid w:val="0084248F"/>
    <w:rsid w:val="00842663"/>
    <w:rsid w:val="00842800"/>
    <w:rsid w:val="00842AC5"/>
    <w:rsid w:val="00842E84"/>
    <w:rsid w:val="0084366A"/>
    <w:rsid w:val="00843AE4"/>
    <w:rsid w:val="00843D30"/>
    <w:rsid w:val="0084475B"/>
    <w:rsid w:val="008447B0"/>
    <w:rsid w:val="00844B53"/>
    <w:rsid w:val="00845870"/>
    <w:rsid w:val="008464B0"/>
    <w:rsid w:val="0084659E"/>
    <w:rsid w:val="008466AF"/>
    <w:rsid w:val="00846BE4"/>
    <w:rsid w:val="00846D02"/>
    <w:rsid w:val="0084752E"/>
    <w:rsid w:val="008475A6"/>
    <w:rsid w:val="0084766A"/>
    <w:rsid w:val="008479D3"/>
    <w:rsid w:val="00847EA3"/>
    <w:rsid w:val="00850149"/>
    <w:rsid w:val="00850291"/>
    <w:rsid w:val="008503C0"/>
    <w:rsid w:val="0085138F"/>
    <w:rsid w:val="00851B3B"/>
    <w:rsid w:val="008525D8"/>
    <w:rsid w:val="00852686"/>
    <w:rsid w:val="008526FA"/>
    <w:rsid w:val="00852D80"/>
    <w:rsid w:val="00852E59"/>
    <w:rsid w:val="00853E24"/>
    <w:rsid w:val="00854071"/>
    <w:rsid w:val="008543EE"/>
    <w:rsid w:val="0085531F"/>
    <w:rsid w:val="0085551E"/>
    <w:rsid w:val="00855805"/>
    <w:rsid w:val="008559B5"/>
    <w:rsid w:val="00855C68"/>
    <w:rsid w:val="00856094"/>
    <w:rsid w:val="008560AA"/>
    <w:rsid w:val="008561A1"/>
    <w:rsid w:val="008564B8"/>
    <w:rsid w:val="00856871"/>
    <w:rsid w:val="00856908"/>
    <w:rsid w:val="008572CC"/>
    <w:rsid w:val="008575B5"/>
    <w:rsid w:val="00860462"/>
    <w:rsid w:val="008605C7"/>
    <w:rsid w:val="00860A4E"/>
    <w:rsid w:val="00860B77"/>
    <w:rsid w:val="00860E4D"/>
    <w:rsid w:val="00860ED2"/>
    <w:rsid w:val="0086137E"/>
    <w:rsid w:val="008617DA"/>
    <w:rsid w:val="008618EE"/>
    <w:rsid w:val="00861C4A"/>
    <w:rsid w:val="00861C8C"/>
    <w:rsid w:val="00861DC6"/>
    <w:rsid w:val="00861F15"/>
    <w:rsid w:val="00861FD8"/>
    <w:rsid w:val="00862238"/>
    <w:rsid w:val="00862925"/>
    <w:rsid w:val="00863A1F"/>
    <w:rsid w:val="00863D3D"/>
    <w:rsid w:val="00863DCB"/>
    <w:rsid w:val="008643CD"/>
    <w:rsid w:val="00864882"/>
    <w:rsid w:val="00864B1E"/>
    <w:rsid w:val="00864E00"/>
    <w:rsid w:val="008653C0"/>
    <w:rsid w:val="0086560B"/>
    <w:rsid w:val="00866389"/>
    <w:rsid w:val="0086669D"/>
    <w:rsid w:val="00866BB5"/>
    <w:rsid w:val="00867450"/>
    <w:rsid w:val="00867861"/>
    <w:rsid w:val="00867B84"/>
    <w:rsid w:val="00867CD9"/>
    <w:rsid w:val="0087062D"/>
    <w:rsid w:val="008708E8"/>
    <w:rsid w:val="00870998"/>
    <w:rsid w:val="00870AB4"/>
    <w:rsid w:val="00870AFB"/>
    <w:rsid w:val="008714F9"/>
    <w:rsid w:val="008715F0"/>
    <w:rsid w:val="0087181F"/>
    <w:rsid w:val="00871963"/>
    <w:rsid w:val="00871C2F"/>
    <w:rsid w:val="00871E7C"/>
    <w:rsid w:val="00872811"/>
    <w:rsid w:val="008728AB"/>
    <w:rsid w:val="008728C5"/>
    <w:rsid w:val="00872A98"/>
    <w:rsid w:val="00873078"/>
    <w:rsid w:val="0087351E"/>
    <w:rsid w:val="00873CE9"/>
    <w:rsid w:val="00873EFE"/>
    <w:rsid w:val="0087416D"/>
    <w:rsid w:val="00874364"/>
    <w:rsid w:val="00874A5E"/>
    <w:rsid w:val="00874CA8"/>
    <w:rsid w:val="00874F5C"/>
    <w:rsid w:val="00874FA2"/>
    <w:rsid w:val="00875703"/>
    <w:rsid w:val="00876005"/>
    <w:rsid w:val="00876312"/>
    <w:rsid w:val="00876780"/>
    <w:rsid w:val="00877F7F"/>
    <w:rsid w:val="00877F92"/>
    <w:rsid w:val="008805A0"/>
    <w:rsid w:val="008810DD"/>
    <w:rsid w:val="008816CE"/>
    <w:rsid w:val="008816FB"/>
    <w:rsid w:val="00881E44"/>
    <w:rsid w:val="00881E9A"/>
    <w:rsid w:val="008822AF"/>
    <w:rsid w:val="00882316"/>
    <w:rsid w:val="00882417"/>
    <w:rsid w:val="008826C3"/>
    <w:rsid w:val="00882854"/>
    <w:rsid w:val="00882FB9"/>
    <w:rsid w:val="0088313C"/>
    <w:rsid w:val="00883578"/>
    <w:rsid w:val="00883CE1"/>
    <w:rsid w:val="0088412A"/>
    <w:rsid w:val="008847A2"/>
    <w:rsid w:val="00884D37"/>
    <w:rsid w:val="00885170"/>
    <w:rsid w:val="0088526F"/>
    <w:rsid w:val="00885666"/>
    <w:rsid w:val="0088606B"/>
    <w:rsid w:val="008861FD"/>
    <w:rsid w:val="008864A2"/>
    <w:rsid w:val="0088692F"/>
    <w:rsid w:val="008870D5"/>
    <w:rsid w:val="00887889"/>
    <w:rsid w:val="00887E26"/>
    <w:rsid w:val="00890569"/>
    <w:rsid w:val="00890D19"/>
    <w:rsid w:val="008918D5"/>
    <w:rsid w:val="00891CAD"/>
    <w:rsid w:val="00891FAB"/>
    <w:rsid w:val="00892162"/>
    <w:rsid w:val="008921EB"/>
    <w:rsid w:val="008927E9"/>
    <w:rsid w:val="00892AA3"/>
    <w:rsid w:val="0089311F"/>
    <w:rsid w:val="008934E3"/>
    <w:rsid w:val="008937E7"/>
    <w:rsid w:val="008941C5"/>
    <w:rsid w:val="0089461C"/>
    <w:rsid w:val="00894729"/>
    <w:rsid w:val="008948E6"/>
    <w:rsid w:val="00894FFE"/>
    <w:rsid w:val="008951AA"/>
    <w:rsid w:val="00895492"/>
    <w:rsid w:val="00896485"/>
    <w:rsid w:val="00896921"/>
    <w:rsid w:val="00896B04"/>
    <w:rsid w:val="00896CC0"/>
    <w:rsid w:val="00896DA5"/>
    <w:rsid w:val="00897291"/>
    <w:rsid w:val="008975DC"/>
    <w:rsid w:val="00897884"/>
    <w:rsid w:val="008978C0"/>
    <w:rsid w:val="008979CE"/>
    <w:rsid w:val="00897A0D"/>
    <w:rsid w:val="00897B88"/>
    <w:rsid w:val="00897CBB"/>
    <w:rsid w:val="00897E30"/>
    <w:rsid w:val="008A0055"/>
    <w:rsid w:val="008A00E8"/>
    <w:rsid w:val="008A045B"/>
    <w:rsid w:val="008A09B1"/>
    <w:rsid w:val="008A0F9B"/>
    <w:rsid w:val="008A10BF"/>
    <w:rsid w:val="008A1102"/>
    <w:rsid w:val="008A12D1"/>
    <w:rsid w:val="008A13F9"/>
    <w:rsid w:val="008A166A"/>
    <w:rsid w:val="008A176C"/>
    <w:rsid w:val="008A17F8"/>
    <w:rsid w:val="008A1A9D"/>
    <w:rsid w:val="008A2AB9"/>
    <w:rsid w:val="008A2AF6"/>
    <w:rsid w:val="008A329C"/>
    <w:rsid w:val="008A3433"/>
    <w:rsid w:val="008A362F"/>
    <w:rsid w:val="008A3C30"/>
    <w:rsid w:val="008A3DEB"/>
    <w:rsid w:val="008A4124"/>
    <w:rsid w:val="008A4770"/>
    <w:rsid w:val="008A4EDC"/>
    <w:rsid w:val="008A5333"/>
    <w:rsid w:val="008A539F"/>
    <w:rsid w:val="008A5944"/>
    <w:rsid w:val="008A61BD"/>
    <w:rsid w:val="008A7648"/>
    <w:rsid w:val="008B15A1"/>
    <w:rsid w:val="008B17A9"/>
    <w:rsid w:val="008B1872"/>
    <w:rsid w:val="008B21DC"/>
    <w:rsid w:val="008B22BA"/>
    <w:rsid w:val="008B2503"/>
    <w:rsid w:val="008B2505"/>
    <w:rsid w:val="008B2592"/>
    <w:rsid w:val="008B27CF"/>
    <w:rsid w:val="008B2922"/>
    <w:rsid w:val="008B2C4C"/>
    <w:rsid w:val="008B333C"/>
    <w:rsid w:val="008B366F"/>
    <w:rsid w:val="008B3681"/>
    <w:rsid w:val="008B3896"/>
    <w:rsid w:val="008B3D88"/>
    <w:rsid w:val="008B456E"/>
    <w:rsid w:val="008B48B6"/>
    <w:rsid w:val="008B48F4"/>
    <w:rsid w:val="008B4C18"/>
    <w:rsid w:val="008B4C8E"/>
    <w:rsid w:val="008B4E97"/>
    <w:rsid w:val="008B5B91"/>
    <w:rsid w:val="008B60E0"/>
    <w:rsid w:val="008B615C"/>
    <w:rsid w:val="008B61BB"/>
    <w:rsid w:val="008B64EF"/>
    <w:rsid w:val="008B675D"/>
    <w:rsid w:val="008B6829"/>
    <w:rsid w:val="008B6AA8"/>
    <w:rsid w:val="008B6B9D"/>
    <w:rsid w:val="008B73B6"/>
    <w:rsid w:val="008B7A15"/>
    <w:rsid w:val="008C021F"/>
    <w:rsid w:val="008C0A71"/>
    <w:rsid w:val="008C0C78"/>
    <w:rsid w:val="008C0F2E"/>
    <w:rsid w:val="008C14DB"/>
    <w:rsid w:val="008C1952"/>
    <w:rsid w:val="008C268A"/>
    <w:rsid w:val="008C2D60"/>
    <w:rsid w:val="008C3348"/>
    <w:rsid w:val="008C3771"/>
    <w:rsid w:val="008C3858"/>
    <w:rsid w:val="008C3D13"/>
    <w:rsid w:val="008C4AD9"/>
    <w:rsid w:val="008C5188"/>
    <w:rsid w:val="008C57CD"/>
    <w:rsid w:val="008C5CD2"/>
    <w:rsid w:val="008C617C"/>
    <w:rsid w:val="008C6E70"/>
    <w:rsid w:val="008C7618"/>
    <w:rsid w:val="008C7742"/>
    <w:rsid w:val="008C7B96"/>
    <w:rsid w:val="008D0397"/>
    <w:rsid w:val="008D03DC"/>
    <w:rsid w:val="008D0661"/>
    <w:rsid w:val="008D071A"/>
    <w:rsid w:val="008D094E"/>
    <w:rsid w:val="008D10E2"/>
    <w:rsid w:val="008D1473"/>
    <w:rsid w:val="008D1BAB"/>
    <w:rsid w:val="008D1D90"/>
    <w:rsid w:val="008D1DBC"/>
    <w:rsid w:val="008D1DC1"/>
    <w:rsid w:val="008D26AC"/>
    <w:rsid w:val="008D2BB8"/>
    <w:rsid w:val="008D2DF4"/>
    <w:rsid w:val="008D32D9"/>
    <w:rsid w:val="008D33BE"/>
    <w:rsid w:val="008D3624"/>
    <w:rsid w:val="008D368A"/>
    <w:rsid w:val="008D396F"/>
    <w:rsid w:val="008D3CED"/>
    <w:rsid w:val="008D3D58"/>
    <w:rsid w:val="008D4138"/>
    <w:rsid w:val="008D4A2A"/>
    <w:rsid w:val="008D4B83"/>
    <w:rsid w:val="008D4CBE"/>
    <w:rsid w:val="008D4F40"/>
    <w:rsid w:val="008D5131"/>
    <w:rsid w:val="008D53FA"/>
    <w:rsid w:val="008D5A2B"/>
    <w:rsid w:val="008D60A8"/>
    <w:rsid w:val="008D6D71"/>
    <w:rsid w:val="008D6DF8"/>
    <w:rsid w:val="008D6EBB"/>
    <w:rsid w:val="008D786D"/>
    <w:rsid w:val="008D7F6D"/>
    <w:rsid w:val="008E0112"/>
    <w:rsid w:val="008E05E1"/>
    <w:rsid w:val="008E06BA"/>
    <w:rsid w:val="008E0B1B"/>
    <w:rsid w:val="008E11BB"/>
    <w:rsid w:val="008E19ED"/>
    <w:rsid w:val="008E1A61"/>
    <w:rsid w:val="008E2295"/>
    <w:rsid w:val="008E2C0F"/>
    <w:rsid w:val="008E32D7"/>
    <w:rsid w:val="008E3385"/>
    <w:rsid w:val="008E338D"/>
    <w:rsid w:val="008E38AF"/>
    <w:rsid w:val="008E3E85"/>
    <w:rsid w:val="008E4FA3"/>
    <w:rsid w:val="008E558C"/>
    <w:rsid w:val="008E5D63"/>
    <w:rsid w:val="008E5FB6"/>
    <w:rsid w:val="008E615B"/>
    <w:rsid w:val="008E7180"/>
    <w:rsid w:val="008E7250"/>
    <w:rsid w:val="008E73F4"/>
    <w:rsid w:val="008E76D1"/>
    <w:rsid w:val="008E7753"/>
    <w:rsid w:val="008F0929"/>
    <w:rsid w:val="008F0E23"/>
    <w:rsid w:val="008F0F5B"/>
    <w:rsid w:val="008F1369"/>
    <w:rsid w:val="008F2115"/>
    <w:rsid w:val="008F24D7"/>
    <w:rsid w:val="008F2622"/>
    <w:rsid w:val="008F2EBC"/>
    <w:rsid w:val="008F32ED"/>
    <w:rsid w:val="008F33AD"/>
    <w:rsid w:val="008F3F50"/>
    <w:rsid w:val="008F43BD"/>
    <w:rsid w:val="008F4828"/>
    <w:rsid w:val="008F4A0E"/>
    <w:rsid w:val="008F4EAD"/>
    <w:rsid w:val="008F511C"/>
    <w:rsid w:val="008F5376"/>
    <w:rsid w:val="008F559B"/>
    <w:rsid w:val="008F597D"/>
    <w:rsid w:val="008F5DB5"/>
    <w:rsid w:val="008F5DEF"/>
    <w:rsid w:val="008F5EC3"/>
    <w:rsid w:val="008F5F5A"/>
    <w:rsid w:val="008F6D85"/>
    <w:rsid w:val="008F6E63"/>
    <w:rsid w:val="008F72F0"/>
    <w:rsid w:val="008F7913"/>
    <w:rsid w:val="008F7B7F"/>
    <w:rsid w:val="008F7E9F"/>
    <w:rsid w:val="008F7EC4"/>
    <w:rsid w:val="0090063B"/>
    <w:rsid w:val="00900663"/>
    <w:rsid w:val="00900CDC"/>
    <w:rsid w:val="00900E18"/>
    <w:rsid w:val="00901414"/>
    <w:rsid w:val="009017DF"/>
    <w:rsid w:val="00901A30"/>
    <w:rsid w:val="00901A59"/>
    <w:rsid w:val="00901FAD"/>
    <w:rsid w:val="00902535"/>
    <w:rsid w:val="0090258A"/>
    <w:rsid w:val="009027C5"/>
    <w:rsid w:val="00902A78"/>
    <w:rsid w:val="00902B8F"/>
    <w:rsid w:val="009037D1"/>
    <w:rsid w:val="00903E77"/>
    <w:rsid w:val="0090428B"/>
    <w:rsid w:val="009048C4"/>
    <w:rsid w:val="00905A38"/>
    <w:rsid w:val="00905C5F"/>
    <w:rsid w:val="00905D29"/>
    <w:rsid w:val="009064EE"/>
    <w:rsid w:val="0090710B"/>
    <w:rsid w:val="009073AA"/>
    <w:rsid w:val="009076CD"/>
    <w:rsid w:val="00907D61"/>
    <w:rsid w:val="00907E7C"/>
    <w:rsid w:val="00907F17"/>
    <w:rsid w:val="00910449"/>
    <w:rsid w:val="009106C2"/>
    <w:rsid w:val="0091072E"/>
    <w:rsid w:val="00910A0F"/>
    <w:rsid w:val="00910F65"/>
    <w:rsid w:val="009117CC"/>
    <w:rsid w:val="009119B9"/>
    <w:rsid w:val="00911DCF"/>
    <w:rsid w:val="009125F2"/>
    <w:rsid w:val="00912770"/>
    <w:rsid w:val="009129D6"/>
    <w:rsid w:val="00912CE7"/>
    <w:rsid w:val="00912D2F"/>
    <w:rsid w:val="00912E47"/>
    <w:rsid w:val="0091308D"/>
    <w:rsid w:val="009130D3"/>
    <w:rsid w:val="00913796"/>
    <w:rsid w:val="009137AA"/>
    <w:rsid w:val="009146F0"/>
    <w:rsid w:val="00914B45"/>
    <w:rsid w:val="009154F4"/>
    <w:rsid w:val="009156DD"/>
    <w:rsid w:val="00915CA8"/>
    <w:rsid w:val="00915CFF"/>
    <w:rsid w:val="00916061"/>
    <w:rsid w:val="009162A2"/>
    <w:rsid w:val="0091683C"/>
    <w:rsid w:val="009169CC"/>
    <w:rsid w:val="0091702A"/>
    <w:rsid w:val="0091714C"/>
    <w:rsid w:val="0091721E"/>
    <w:rsid w:val="00917D38"/>
    <w:rsid w:val="00917F27"/>
    <w:rsid w:val="009201BB"/>
    <w:rsid w:val="009205C3"/>
    <w:rsid w:val="009205F0"/>
    <w:rsid w:val="00920A45"/>
    <w:rsid w:val="00920C93"/>
    <w:rsid w:val="00920E8B"/>
    <w:rsid w:val="009211F2"/>
    <w:rsid w:val="0092140D"/>
    <w:rsid w:val="00921ADC"/>
    <w:rsid w:val="00921D0F"/>
    <w:rsid w:val="009221D6"/>
    <w:rsid w:val="00922B62"/>
    <w:rsid w:val="00922E4F"/>
    <w:rsid w:val="0092321D"/>
    <w:rsid w:val="00923B20"/>
    <w:rsid w:val="00924146"/>
    <w:rsid w:val="00924290"/>
    <w:rsid w:val="009244B4"/>
    <w:rsid w:val="009246E1"/>
    <w:rsid w:val="0092486A"/>
    <w:rsid w:val="00924A0C"/>
    <w:rsid w:val="00924FB4"/>
    <w:rsid w:val="00925C6A"/>
    <w:rsid w:val="00925F8F"/>
    <w:rsid w:val="009262B0"/>
    <w:rsid w:val="009262FF"/>
    <w:rsid w:val="009267BB"/>
    <w:rsid w:val="00930A3B"/>
    <w:rsid w:val="00930EDF"/>
    <w:rsid w:val="00930FF1"/>
    <w:rsid w:val="009311DA"/>
    <w:rsid w:val="00931522"/>
    <w:rsid w:val="00931FE3"/>
    <w:rsid w:val="00932401"/>
    <w:rsid w:val="00932780"/>
    <w:rsid w:val="00932913"/>
    <w:rsid w:val="009329D4"/>
    <w:rsid w:val="00932DAC"/>
    <w:rsid w:val="009335A7"/>
    <w:rsid w:val="009336D9"/>
    <w:rsid w:val="00933766"/>
    <w:rsid w:val="00933C13"/>
    <w:rsid w:val="00933D00"/>
    <w:rsid w:val="0093474F"/>
    <w:rsid w:val="00935469"/>
    <w:rsid w:val="0093577D"/>
    <w:rsid w:val="00935AD4"/>
    <w:rsid w:val="00935C40"/>
    <w:rsid w:val="00936197"/>
    <w:rsid w:val="0093651E"/>
    <w:rsid w:val="00936968"/>
    <w:rsid w:val="00936A97"/>
    <w:rsid w:val="00936E17"/>
    <w:rsid w:val="009370C1"/>
    <w:rsid w:val="009371C5"/>
    <w:rsid w:val="00940291"/>
    <w:rsid w:val="00941033"/>
    <w:rsid w:val="00941216"/>
    <w:rsid w:val="009412B8"/>
    <w:rsid w:val="00941365"/>
    <w:rsid w:val="009423EB"/>
    <w:rsid w:val="009427BB"/>
    <w:rsid w:val="009429B8"/>
    <w:rsid w:val="00943014"/>
    <w:rsid w:val="009430CD"/>
    <w:rsid w:val="00943971"/>
    <w:rsid w:val="00943DB7"/>
    <w:rsid w:val="00943E11"/>
    <w:rsid w:val="0094406C"/>
    <w:rsid w:val="009441CE"/>
    <w:rsid w:val="009441FD"/>
    <w:rsid w:val="00944355"/>
    <w:rsid w:val="0094436C"/>
    <w:rsid w:val="0094449F"/>
    <w:rsid w:val="00944520"/>
    <w:rsid w:val="00944D81"/>
    <w:rsid w:val="00945237"/>
    <w:rsid w:val="00945302"/>
    <w:rsid w:val="0094578B"/>
    <w:rsid w:val="009459E5"/>
    <w:rsid w:val="00945D94"/>
    <w:rsid w:val="0094615F"/>
    <w:rsid w:val="00946252"/>
    <w:rsid w:val="00946415"/>
    <w:rsid w:val="00946A52"/>
    <w:rsid w:val="00946F0C"/>
    <w:rsid w:val="0094716F"/>
    <w:rsid w:val="0094742D"/>
    <w:rsid w:val="0094777E"/>
    <w:rsid w:val="009478EF"/>
    <w:rsid w:val="00947EA3"/>
    <w:rsid w:val="0095029F"/>
    <w:rsid w:val="00951531"/>
    <w:rsid w:val="009522D3"/>
    <w:rsid w:val="0095246C"/>
    <w:rsid w:val="00952671"/>
    <w:rsid w:val="009529AA"/>
    <w:rsid w:val="00952F25"/>
    <w:rsid w:val="00952F9D"/>
    <w:rsid w:val="00952FB3"/>
    <w:rsid w:val="0095330D"/>
    <w:rsid w:val="00953331"/>
    <w:rsid w:val="00953362"/>
    <w:rsid w:val="009534F9"/>
    <w:rsid w:val="00953CA0"/>
    <w:rsid w:val="0095448E"/>
    <w:rsid w:val="009546C7"/>
    <w:rsid w:val="00954E5A"/>
    <w:rsid w:val="0095525F"/>
    <w:rsid w:val="00955741"/>
    <w:rsid w:val="00955845"/>
    <w:rsid w:val="00955C90"/>
    <w:rsid w:val="00955F3A"/>
    <w:rsid w:val="009563FF"/>
    <w:rsid w:val="00956477"/>
    <w:rsid w:val="00957922"/>
    <w:rsid w:val="00957A64"/>
    <w:rsid w:val="00960D30"/>
    <w:rsid w:val="0096130A"/>
    <w:rsid w:val="0096156B"/>
    <w:rsid w:val="00961991"/>
    <w:rsid w:val="00961AE2"/>
    <w:rsid w:val="00962E15"/>
    <w:rsid w:val="0096393E"/>
    <w:rsid w:val="009647E9"/>
    <w:rsid w:val="009648B7"/>
    <w:rsid w:val="00964AC2"/>
    <w:rsid w:val="00965037"/>
    <w:rsid w:val="0096573A"/>
    <w:rsid w:val="009664EC"/>
    <w:rsid w:val="00966A8E"/>
    <w:rsid w:val="00966E8F"/>
    <w:rsid w:val="009674F2"/>
    <w:rsid w:val="00967668"/>
    <w:rsid w:val="00967689"/>
    <w:rsid w:val="00967708"/>
    <w:rsid w:val="00967DA0"/>
    <w:rsid w:val="0097030C"/>
    <w:rsid w:val="0097049D"/>
    <w:rsid w:val="00970522"/>
    <w:rsid w:val="009705CA"/>
    <w:rsid w:val="00970719"/>
    <w:rsid w:val="0097079C"/>
    <w:rsid w:val="00970D67"/>
    <w:rsid w:val="00970EB5"/>
    <w:rsid w:val="00971346"/>
    <w:rsid w:val="00971581"/>
    <w:rsid w:val="009719B6"/>
    <w:rsid w:val="00971BD4"/>
    <w:rsid w:val="00972297"/>
    <w:rsid w:val="0097245F"/>
    <w:rsid w:val="00972506"/>
    <w:rsid w:val="00972D94"/>
    <w:rsid w:val="00972EE0"/>
    <w:rsid w:val="00972EE6"/>
    <w:rsid w:val="00972F16"/>
    <w:rsid w:val="00973007"/>
    <w:rsid w:val="00973116"/>
    <w:rsid w:val="009736E3"/>
    <w:rsid w:val="00973711"/>
    <w:rsid w:val="0097381B"/>
    <w:rsid w:val="0097395E"/>
    <w:rsid w:val="00973D4F"/>
    <w:rsid w:val="00973E17"/>
    <w:rsid w:val="00974500"/>
    <w:rsid w:val="0097461A"/>
    <w:rsid w:val="00974949"/>
    <w:rsid w:val="00974CF0"/>
    <w:rsid w:val="00974E41"/>
    <w:rsid w:val="009752B6"/>
    <w:rsid w:val="009760C7"/>
    <w:rsid w:val="00976915"/>
    <w:rsid w:val="00976C5C"/>
    <w:rsid w:val="00976C6A"/>
    <w:rsid w:val="009772AC"/>
    <w:rsid w:val="00977A1E"/>
    <w:rsid w:val="00977E60"/>
    <w:rsid w:val="00977EDB"/>
    <w:rsid w:val="0098011B"/>
    <w:rsid w:val="009804C1"/>
    <w:rsid w:val="0098068D"/>
    <w:rsid w:val="0098098C"/>
    <w:rsid w:val="0098099D"/>
    <w:rsid w:val="009812A8"/>
    <w:rsid w:val="00981F69"/>
    <w:rsid w:val="00982A00"/>
    <w:rsid w:val="00983626"/>
    <w:rsid w:val="0098368D"/>
    <w:rsid w:val="00983A4F"/>
    <w:rsid w:val="0098409D"/>
    <w:rsid w:val="009844BD"/>
    <w:rsid w:val="00985832"/>
    <w:rsid w:val="00986140"/>
    <w:rsid w:val="0098634A"/>
    <w:rsid w:val="0098644E"/>
    <w:rsid w:val="00986580"/>
    <w:rsid w:val="00986A0A"/>
    <w:rsid w:val="00986AD0"/>
    <w:rsid w:val="00986D93"/>
    <w:rsid w:val="00987174"/>
    <w:rsid w:val="00987604"/>
    <w:rsid w:val="0098783C"/>
    <w:rsid w:val="00987D6E"/>
    <w:rsid w:val="009902B1"/>
    <w:rsid w:val="00990604"/>
    <w:rsid w:val="009906E0"/>
    <w:rsid w:val="00991085"/>
    <w:rsid w:val="00991308"/>
    <w:rsid w:val="009919C2"/>
    <w:rsid w:val="00991EDA"/>
    <w:rsid w:val="00992450"/>
    <w:rsid w:val="00992DDC"/>
    <w:rsid w:val="00992EBB"/>
    <w:rsid w:val="00992FB7"/>
    <w:rsid w:val="00993B63"/>
    <w:rsid w:val="00994138"/>
    <w:rsid w:val="00994544"/>
    <w:rsid w:val="009945C8"/>
    <w:rsid w:val="0099494B"/>
    <w:rsid w:val="0099537A"/>
    <w:rsid w:val="0099568B"/>
    <w:rsid w:val="009956DC"/>
    <w:rsid w:val="00995EEF"/>
    <w:rsid w:val="0099616D"/>
    <w:rsid w:val="009971E1"/>
    <w:rsid w:val="0099753F"/>
    <w:rsid w:val="009978FE"/>
    <w:rsid w:val="00997D13"/>
    <w:rsid w:val="009A00CE"/>
    <w:rsid w:val="009A07CF"/>
    <w:rsid w:val="009A0AE8"/>
    <w:rsid w:val="009A0CAE"/>
    <w:rsid w:val="009A16D3"/>
    <w:rsid w:val="009A1722"/>
    <w:rsid w:val="009A1737"/>
    <w:rsid w:val="009A19FB"/>
    <w:rsid w:val="009A1AA1"/>
    <w:rsid w:val="009A1AA6"/>
    <w:rsid w:val="009A23B2"/>
    <w:rsid w:val="009A2582"/>
    <w:rsid w:val="009A292F"/>
    <w:rsid w:val="009A37D1"/>
    <w:rsid w:val="009A37E8"/>
    <w:rsid w:val="009A3F69"/>
    <w:rsid w:val="009A4C64"/>
    <w:rsid w:val="009A5C50"/>
    <w:rsid w:val="009A5D02"/>
    <w:rsid w:val="009A63B2"/>
    <w:rsid w:val="009A6990"/>
    <w:rsid w:val="009A69EB"/>
    <w:rsid w:val="009A6B1B"/>
    <w:rsid w:val="009A6BFD"/>
    <w:rsid w:val="009A6F9A"/>
    <w:rsid w:val="009A7AB3"/>
    <w:rsid w:val="009A7E67"/>
    <w:rsid w:val="009A7F86"/>
    <w:rsid w:val="009AC13A"/>
    <w:rsid w:val="009B06D0"/>
    <w:rsid w:val="009B09AB"/>
    <w:rsid w:val="009B0A6F"/>
    <w:rsid w:val="009B13FF"/>
    <w:rsid w:val="009B17BE"/>
    <w:rsid w:val="009B286F"/>
    <w:rsid w:val="009B319A"/>
    <w:rsid w:val="009B32F3"/>
    <w:rsid w:val="009B35DD"/>
    <w:rsid w:val="009B3CC3"/>
    <w:rsid w:val="009B4279"/>
    <w:rsid w:val="009B4B1E"/>
    <w:rsid w:val="009B5B91"/>
    <w:rsid w:val="009B5E11"/>
    <w:rsid w:val="009B5F5A"/>
    <w:rsid w:val="009B6534"/>
    <w:rsid w:val="009B6574"/>
    <w:rsid w:val="009B675D"/>
    <w:rsid w:val="009B68C8"/>
    <w:rsid w:val="009B6FB6"/>
    <w:rsid w:val="009B7329"/>
    <w:rsid w:val="009B7508"/>
    <w:rsid w:val="009B7B14"/>
    <w:rsid w:val="009B7B4B"/>
    <w:rsid w:val="009B7F13"/>
    <w:rsid w:val="009C02EB"/>
    <w:rsid w:val="009C0C7A"/>
    <w:rsid w:val="009C18F4"/>
    <w:rsid w:val="009C19FC"/>
    <w:rsid w:val="009C1F84"/>
    <w:rsid w:val="009C2176"/>
    <w:rsid w:val="009C2E99"/>
    <w:rsid w:val="009C34D8"/>
    <w:rsid w:val="009C3597"/>
    <w:rsid w:val="009C36C1"/>
    <w:rsid w:val="009C3D48"/>
    <w:rsid w:val="009C4426"/>
    <w:rsid w:val="009C45A9"/>
    <w:rsid w:val="009C4758"/>
    <w:rsid w:val="009C475F"/>
    <w:rsid w:val="009C47B7"/>
    <w:rsid w:val="009C4C3F"/>
    <w:rsid w:val="009C4F4E"/>
    <w:rsid w:val="009C5586"/>
    <w:rsid w:val="009C5D9F"/>
    <w:rsid w:val="009C60B6"/>
    <w:rsid w:val="009C61B5"/>
    <w:rsid w:val="009C6534"/>
    <w:rsid w:val="009C670F"/>
    <w:rsid w:val="009C675F"/>
    <w:rsid w:val="009C6EF9"/>
    <w:rsid w:val="009C73D0"/>
    <w:rsid w:val="009C7B32"/>
    <w:rsid w:val="009D0D09"/>
    <w:rsid w:val="009D0EB0"/>
    <w:rsid w:val="009D0EBC"/>
    <w:rsid w:val="009D111B"/>
    <w:rsid w:val="009D12B7"/>
    <w:rsid w:val="009D14E0"/>
    <w:rsid w:val="009D1509"/>
    <w:rsid w:val="009D1641"/>
    <w:rsid w:val="009D1F77"/>
    <w:rsid w:val="009D2A4F"/>
    <w:rsid w:val="009D2B0D"/>
    <w:rsid w:val="009D2BF8"/>
    <w:rsid w:val="009D3237"/>
    <w:rsid w:val="009D43A6"/>
    <w:rsid w:val="009D4576"/>
    <w:rsid w:val="009D4ED0"/>
    <w:rsid w:val="009D4F37"/>
    <w:rsid w:val="009D4F95"/>
    <w:rsid w:val="009D512D"/>
    <w:rsid w:val="009D5AF6"/>
    <w:rsid w:val="009D5BF3"/>
    <w:rsid w:val="009D5FE5"/>
    <w:rsid w:val="009D64B0"/>
    <w:rsid w:val="009D6A7E"/>
    <w:rsid w:val="009D6B58"/>
    <w:rsid w:val="009D70E0"/>
    <w:rsid w:val="009D7713"/>
    <w:rsid w:val="009D7B31"/>
    <w:rsid w:val="009D7D6B"/>
    <w:rsid w:val="009E0191"/>
    <w:rsid w:val="009E02FB"/>
    <w:rsid w:val="009E034B"/>
    <w:rsid w:val="009E058F"/>
    <w:rsid w:val="009E07CA"/>
    <w:rsid w:val="009E0E9E"/>
    <w:rsid w:val="009E165B"/>
    <w:rsid w:val="009E1944"/>
    <w:rsid w:val="009E1B40"/>
    <w:rsid w:val="009E1B75"/>
    <w:rsid w:val="009E2816"/>
    <w:rsid w:val="009E2AC0"/>
    <w:rsid w:val="009E2D43"/>
    <w:rsid w:val="009E31B3"/>
    <w:rsid w:val="009E3684"/>
    <w:rsid w:val="009E3868"/>
    <w:rsid w:val="009E3FC6"/>
    <w:rsid w:val="009E41C3"/>
    <w:rsid w:val="009E5300"/>
    <w:rsid w:val="009E5A65"/>
    <w:rsid w:val="009E5CC3"/>
    <w:rsid w:val="009E693B"/>
    <w:rsid w:val="009E69D0"/>
    <w:rsid w:val="009E6D0B"/>
    <w:rsid w:val="009E772A"/>
    <w:rsid w:val="009E79ED"/>
    <w:rsid w:val="009F06CF"/>
    <w:rsid w:val="009F075A"/>
    <w:rsid w:val="009F09C1"/>
    <w:rsid w:val="009F09C2"/>
    <w:rsid w:val="009F1017"/>
    <w:rsid w:val="009F1068"/>
    <w:rsid w:val="009F10A8"/>
    <w:rsid w:val="009F163F"/>
    <w:rsid w:val="009F17CD"/>
    <w:rsid w:val="009F17F9"/>
    <w:rsid w:val="009F1936"/>
    <w:rsid w:val="009F22B2"/>
    <w:rsid w:val="009F22F4"/>
    <w:rsid w:val="009F2AC5"/>
    <w:rsid w:val="009F2E49"/>
    <w:rsid w:val="009F2ECA"/>
    <w:rsid w:val="009F347C"/>
    <w:rsid w:val="009F3A36"/>
    <w:rsid w:val="009F3CE7"/>
    <w:rsid w:val="009F42B4"/>
    <w:rsid w:val="009F43DB"/>
    <w:rsid w:val="009F4CA1"/>
    <w:rsid w:val="009F4FA8"/>
    <w:rsid w:val="009F4FE3"/>
    <w:rsid w:val="009F55FD"/>
    <w:rsid w:val="009F60A9"/>
    <w:rsid w:val="009F616E"/>
    <w:rsid w:val="009F6419"/>
    <w:rsid w:val="009F66BB"/>
    <w:rsid w:val="009F6BC1"/>
    <w:rsid w:val="009F6FFB"/>
    <w:rsid w:val="009F702B"/>
    <w:rsid w:val="009F72F0"/>
    <w:rsid w:val="009F7934"/>
    <w:rsid w:val="00A0057D"/>
    <w:rsid w:val="00A00EC9"/>
    <w:rsid w:val="00A0160E"/>
    <w:rsid w:val="00A01831"/>
    <w:rsid w:val="00A01A0B"/>
    <w:rsid w:val="00A01E7D"/>
    <w:rsid w:val="00A01F5B"/>
    <w:rsid w:val="00A02071"/>
    <w:rsid w:val="00A025B2"/>
    <w:rsid w:val="00A026D3"/>
    <w:rsid w:val="00A0279D"/>
    <w:rsid w:val="00A02C2F"/>
    <w:rsid w:val="00A02F6C"/>
    <w:rsid w:val="00A02FA7"/>
    <w:rsid w:val="00A02FC4"/>
    <w:rsid w:val="00A0327F"/>
    <w:rsid w:val="00A032C2"/>
    <w:rsid w:val="00A03314"/>
    <w:rsid w:val="00A03FDB"/>
    <w:rsid w:val="00A04040"/>
    <w:rsid w:val="00A048C8"/>
    <w:rsid w:val="00A04DC1"/>
    <w:rsid w:val="00A0502F"/>
    <w:rsid w:val="00A055EF"/>
    <w:rsid w:val="00A058D9"/>
    <w:rsid w:val="00A064B2"/>
    <w:rsid w:val="00A06513"/>
    <w:rsid w:val="00A06563"/>
    <w:rsid w:val="00A074A4"/>
    <w:rsid w:val="00A07678"/>
    <w:rsid w:val="00A077F0"/>
    <w:rsid w:val="00A1013B"/>
    <w:rsid w:val="00A1030B"/>
    <w:rsid w:val="00A10337"/>
    <w:rsid w:val="00A104AE"/>
    <w:rsid w:val="00A105DD"/>
    <w:rsid w:val="00A109CE"/>
    <w:rsid w:val="00A10CB4"/>
    <w:rsid w:val="00A1133A"/>
    <w:rsid w:val="00A11517"/>
    <w:rsid w:val="00A115BA"/>
    <w:rsid w:val="00A11850"/>
    <w:rsid w:val="00A118AE"/>
    <w:rsid w:val="00A11DF4"/>
    <w:rsid w:val="00A128B4"/>
    <w:rsid w:val="00A12CB4"/>
    <w:rsid w:val="00A12F55"/>
    <w:rsid w:val="00A12F6A"/>
    <w:rsid w:val="00A13C79"/>
    <w:rsid w:val="00A145A5"/>
    <w:rsid w:val="00A1468B"/>
    <w:rsid w:val="00A14C92"/>
    <w:rsid w:val="00A152AF"/>
    <w:rsid w:val="00A1547E"/>
    <w:rsid w:val="00A15A7C"/>
    <w:rsid w:val="00A16413"/>
    <w:rsid w:val="00A16684"/>
    <w:rsid w:val="00A16CE4"/>
    <w:rsid w:val="00A173B4"/>
    <w:rsid w:val="00A175D3"/>
    <w:rsid w:val="00A17C46"/>
    <w:rsid w:val="00A1CA71"/>
    <w:rsid w:val="00A20309"/>
    <w:rsid w:val="00A20BF7"/>
    <w:rsid w:val="00A20C9A"/>
    <w:rsid w:val="00A21992"/>
    <w:rsid w:val="00A21C2F"/>
    <w:rsid w:val="00A21D47"/>
    <w:rsid w:val="00A2262B"/>
    <w:rsid w:val="00A2264B"/>
    <w:rsid w:val="00A22C4F"/>
    <w:rsid w:val="00A23486"/>
    <w:rsid w:val="00A23876"/>
    <w:rsid w:val="00A2424A"/>
    <w:rsid w:val="00A244B1"/>
    <w:rsid w:val="00A247DA"/>
    <w:rsid w:val="00A254B6"/>
    <w:rsid w:val="00A258DD"/>
    <w:rsid w:val="00A275A6"/>
    <w:rsid w:val="00A30171"/>
    <w:rsid w:val="00A301BB"/>
    <w:rsid w:val="00A30616"/>
    <w:rsid w:val="00A3091A"/>
    <w:rsid w:val="00A30A48"/>
    <w:rsid w:val="00A30EC8"/>
    <w:rsid w:val="00A3107A"/>
    <w:rsid w:val="00A32461"/>
    <w:rsid w:val="00A330B7"/>
    <w:rsid w:val="00A33E32"/>
    <w:rsid w:val="00A34502"/>
    <w:rsid w:val="00A34619"/>
    <w:rsid w:val="00A34AF7"/>
    <w:rsid w:val="00A34FE0"/>
    <w:rsid w:val="00A34FFF"/>
    <w:rsid w:val="00A359E5"/>
    <w:rsid w:val="00A35AB7"/>
    <w:rsid w:val="00A363C2"/>
    <w:rsid w:val="00A365EC"/>
    <w:rsid w:val="00A365FB"/>
    <w:rsid w:val="00A36878"/>
    <w:rsid w:val="00A36A68"/>
    <w:rsid w:val="00A37839"/>
    <w:rsid w:val="00A37FAB"/>
    <w:rsid w:val="00A407D6"/>
    <w:rsid w:val="00A408E7"/>
    <w:rsid w:val="00A40E01"/>
    <w:rsid w:val="00A40E6C"/>
    <w:rsid w:val="00A41607"/>
    <w:rsid w:val="00A4179F"/>
    <w:rsid w:val="00A41ACF"/>
    <w:rsid w:val="00A42028"/>
    <w:rsid w:val="00A42990"/>
    <w:rsid w:val="00A42B18"/>
    <w:rsid w:val="00A4304E"/>
    <w:rsid w:val="00A4304F"/>
    <w:rsid w:val="00A437FE"/>
    <w:rsid w:val="00A43B64"/>
    <w:rsid w:val="00A44426"/>
    <w:rsid w:val="00A4489D"/>
    <w:rsid w:val="00A448F9"/>
    <w:rsid w:val="00A45270"/>
    <w:rsid w:val="00A454FC"/>
    <w:rsid w:val="00A45718"/>
    <w:rsid w:val="00A460A6"/>
    <w:rsid w:val="00A46405"/>
    <w:rsid w:val="00A46D02"/>
    <w:rsid w:val="00A46EE0"/>
    <w:rsid w:val="00A5003B"/>
    <w:rsid w:val="00A500C9"/>
    <w:rsid w:val="00A50122"/>
    <w:rsid w:val="00A5044D"/>
    <w:rsid w:val="00A504D2"/>
    <w:rsid w:val="00A504EE"/>
    <w:rsid w:val="00A508C5"/>
    <w:rsid w:val="00A50B17"/>
    <w:rsid w:val="00A50F97"/>
    <w:rsid w:val="00A511B4"/>
    <w:rsid w:val="00A51482"/>
    <w:rsid w:val="00A51BC6"/>
    <w:rsid w:val="00A527B4"/>
    <w:rsid w:val="00A52851"/>
    <w:rsid w:val="00A52B3C"/>
    <w:rsid w:val="00A52C34"/>
    <w:rsid w:val="00A52D33"/>
    <w:rsid w:val="00A52ED0"/>
    <w:rsid w:val="00A533CB"/>
    <w:rsid w:val="00A535A6"/>
    <w:rsid w:val="00A53D28"/>
    <w:rsid w:val="00A54CC5"/>
    <w:rsid w:val="00A54EA0"/>
    <w:rsid w:val="00A55308"/>
    <w:rsid w:val="00A55C43"/>
    <w:rsid w:val="00A55D27"/>
    <w:rsid w:val="00A55D53"/>
    <w:rsid w:val="00A55F45"/>
    <w:rsid w:val="00A56AEE"/>
    <w:rsid w:val="00A56B96"/>
    <w:rsid w:val="00A56C0C"/>
    <w:rsid w:val="00A56C12"/>
    <w:rsid w:val="00A57071"/>
    <w:rsid w:val="00A574D0"/>
    <w:rsid w:val="00A57755"/>
    <w:rsid w:val="00A579D1"/>
    <w:rsid w:val="00A57FF1"/>
    <w:rsid w:val="00A60265"/>
    <w:rsid w:val="00A6046C"/>
    <w:rsid w:val="00A60540"/>
    <w:rsid w:val="00A60647"/>
    <w:rsid w:val="00A614D3"/>
    <w:rsid w:val="00A61551"/>
    <w:rsid w:val="00A6230B"/>
    <w:rsid w:val="00A6257B"/>
    <w:rsid w:val="00A63493"/>
    <w:rsid w:val="00A638D1"/>
    <w:rsid w:val="00A645AC"/>
    <w:rsid w:val="00A64EC6"/>
    <w:rsid w:val="00A6529F"/>
    <w:rsid w:val="00A6539E"/>
    <w:rsid w:val="00A6553D"/>
    <w:rsid w:val="00A656BB"/>
    <w:rsid w:val="00A65744"/>
    <w:rsid w:val="00A657E8"/>
    <w:rsid w:val="00A6666B"/>
    <w:rsid w:val="00A676DE"/>
    <w:rsid w:val="00A677DA"/>
    <w:rsid w:val="00A67816"/>
    <w:rsid w:val="00A67B49"/>
    <w:rsid w:val="00A67F70"/>
    <w:rsid w:val="00A6A4D7"/>
    <w:rsid w:val="00A701BE"/>
    <w:rsid w:val="00A70AFE"/>
    <w:rsid w:val="00A72179"/>
    <w:rsid w:val="00A72369"/>
    <w:rsid w:val="00A724C1"/>
    <w:rsid w:val="00A7260F"/>
    <w:rsid w:val="00A726F7"/>
    <w:rsid w:val="00A72CE2"/>
    <w:rsid w:val="00A730BB"/>
    <w:rsid w:val="00A7386E"/>
    <w:rsid w:val="00A73BE0"/>
    <w:rsid w:val="00A747A7"/>
    <w:rsid w:val="00A74B2C"/>
    <w:rsid w:val="00A74CBF"/>
    <w:rsid w:val="00A74D0E"/>
    <w:rsid w:val="00A74E8F"/>
    <w:rsid w:val="00A757D8"/>
    <w:rsid w:val="00A7607C"/>
    <w:rsid w:val="00A769C8"/>
    <w:rsid w:val="00A76B0E"/>
    <w:rsid w:val="00A76F65"/>
    <w:rsid w:val="00A77BFD"/>
    <w:rsid w:val="00A77C81"/>
    <w:rsid w:val="00A8009F"/>
    <w:rsid w:val="00A8039F"/>
    <w:rsid w:val="00A80680"/>
    <w:rsid w:val="00A80987"/>
    <w:rsid w:val="00A80B75"/>
    <w:rsid w:val="00A80BCD"/>
    <w:rsid w:val="00A80C4F"/>
    <w:rsid w:val="00A80D67"/>
    <w:rsid w:val="00A81087"/>
    <w:rsid w:val="00A810C8"/>
    <w:rsid w:val="00A8171C"/>
    <w:rsid w:val="00A81C9C"/>
    <w:rsid w:val="00A822B2"/>
    <w:rsid w:val="00A8247E"/>
    <w:rsid w:val="00A8248C"/>
    <w:rsid w:val="00A8276D"/>
    <w:rsid w:val="00A8284B"/>
    <w:rsid w:val="00A829C1"/>
    <w:rsid w:val="00A82F22"/>
    <w:rsid w:val="00A82F3E"/>
    <w:rsid w:val="00A831DA"/>
    <w:rsid w:val="00A83460"/>
    <w:rsid w:val="00A838CD"/>
    <w:rsid w:val="00A83A60"/>
    <w:rsid w:val="00A8400D"/>
    <w:rsid w:val="00A84802"/>
    <w:rsid w:val="00A84811"/>
    <w:rsid w:val="00A849CA"/>
    <w:rsid w:val="00A84AF7"/>
    <w:rsid w:val="00A8604B"/>
    <w:rsid w:val="00A8616C"/>
    <w:rsid w:val="00A86451"/>
    <w:rsid w:val="00A86CF5"/>
    <w:rsid w:val="00A87739"/>
    <w:rsid w:val="00A87940"/>
    <w:rsid w:val="00A87F9E"/>
    <w:rsid w:val="00A9019C"/>
    <w:rsid w:val="00A90362"/>
    <w:rsid w:val="00A90C41"/>
    <w:rsid w:val="00A90FE5"/>
    <w:rsid w:val="00A912A4"/>
    <w:rsid w:val="00A914A8"/>
    <w:rsid w:val="00A91667"/>
    <w:rsid w:val="00A91A9B"/>
    <w:rsid w:val="00A9303A"/>
    <w:rsid w:val="00A934BD"/>
    <w:rsid w:val="00A93852"/>
    <w:rsid w:val="00A940C0"/>
    <w:rsid w:val="00A9426D"/>
    <w:rsid w:val="00A94578"/>
    <w:rsid w:val="00A949F9"/>
    <w:rsid w:val="00A94C9F"/>
    <w:rsid w:val="00A95085"/>
    <w:rsid w:val="00A95D22"/>
    <w:rsid w:val="00A9618F"/>
    <w:rsid w:val="00A96222"/>
    <w:rsid w:val="00A96AC8"/>
    <w:rsid w:val="00A96ADC"/>
    <w:rsid w:val="00A96F2C"/>
    <w:rsid w:val="00A97308"/>
    <w:rsid w:val="00A975A9"/>
    <w:rsid w:val="00A97CA7"/>
    <w:rsid w:val="00A97FB6"/>
    <w:rsid w:val="00AA062A"/>
    <w:rsid w:val="00AA0A5E"/>
    <w:rsid w:val="00AA0BA2"/>
    <w:rsid w:val="00AA0BD2"/>
    <w:rsid w:val="00AA0C9D"/>
    <w:rsid w:val="00AA0F73"/>
    <w:rsid w:val="00AA0F80"/>
    <w:rsid w:val="00AA116A"/>
    <w:rsid w:val="00AA14BB"/>
    <w:rsid w:val="00AA157F"/>
    <w:rsid w:val="00AA2255"/>
    <w:rsid w:val="00AA28BC"/>
    <w:rsid w:val="00AA2BFD"/>
    <w:rsid w:val="00AA2DE9"/>
    <w:rsid w:val="00AA3B4A"/>
    <w:rsid w:val="00AA48F7"/>
    <w:rsid w:val="00AA6097"/>
    <w:rsid w:val="00AA657A"/>
    <w:rsid w:val="00AA68F3"/>
    <w:rsid w:val="00AA6929"/>
    <w:rsid w:val="00AA6DAC"/>
    <w:rsid w:val="00AA7228"/>
    <w:rsid w:val="00AA737D"/>
    <w:rsid w:val="00AA7A17"/>
    <w:rsid w:val="00AA7B3B"/>
    <w:rsid w:val="00AA7B61"/>
    <w:rsid w:val="00AB00B3"/>
    <w:rsid w:val="00AB028A"/>
    <w:rsid w:val="00AB0363"/>
    <w:rsid w:val="00AB05BE"/>
    <w:rsid w:val="00AB0FB9"/>
    <w:rsid w:val="00AB13EB"/>
    <w:rsid w:val="00AB1A60"/>
    <w:rsid w:val="00AB2E6C"/>
    <w:rsid w:val="00AB30AB"/>
    <w:rsid w:val="00AB351E"/>
    <w:rsid w:val="00AB356A"/>
    <w:rsid w:val="00AB3786"/>
    <w:rsid w:val="00AB404B"/>
    <w:rsid w:val="00AB40AD"/>
    <w:rsid w:val="00AB4B0D"/>
    <w:rsid w:val="00AB5E4B"/>
    <w:rsid w:val="00AB5F74"/>
    <w:rsid w:val="00AB628C"/>
    <w:rsid w:val="00AB6523"/>
    <w:rsid w:val="00AB673A"/>
    <w:rsid w:val="00AB691E"/>
    <w:rsid w:val="00AB6BC8"/>
    <w:rsid w:val="00AB71CB"/>
    <w:rsid w:val="00AB7D2D"/>
    <w:rsid w:val="00AC0AFC"/>
    <w:rsid w:val="00AC1151"/>
    <w:rsid w:val="00AC14F5"/>
    <w:rsid w:val="00AC15EB"/>
    <w:rsid w:val="00AC1635"/>
    <w:rsid w:val="00AC1705"/>
    <w:rsid w:val="00AC17B4"/>
    <w:rsid w:val="00AC18C4"/>
    <w:rsid w:val="00AC19C1"/>
    <w:rsid w:val="00AC26A3"/>
    <w:rsid w:val="00AC2906"/>
    <w:rsid w:val="00AC3140"/>
    <w:rsid w:val="00AC314B"/>
    <w:rsid w:val="00AC31A9"/>
    <w:rsid w:val="00AC31AC"/>
    <w:rsid w:val="00AC327F"/>
    <w:rsid w:val="00AC34E5"/>
    <w:rsid w:val="00AC35E9"/>
    <w:rsid w:val="00AC3896"/>
    <w:rsid w:val="00AC42BA"/>
    <w:rsid w:val="00AC46AD"/>
    <w:rsid w:val="00AC4804"/>
    <w:rsid w:val="00AC4BBD"/>
    <w:rsid w:val="00AC4DAE"/>
    <w:rsid w:val="00AC4F77"/>
    <w:rsid w:val="00AC5BB4"/>
    <w:rsid w:val="00AC6022"/>
    <w:rsid w:val="00AC616A"/>
    <w:rsid w:val="00AC6199"/>
    <w:rsid w:val="00AC6459"/>
    <w:rsid w:val="00AC6771"/>
    <w:rsid w:val="00AC695D"/>
    <w:rsid w:val="00AC6C57"/>
    <w:rsid w:val="00AC7BBA"/>
    <w:rsid w:val="00AD0BB2"/>
    <w:rsid w:val="00AD0D0E"/>
    <w:rsid w:val="00AD10A1"/>
    <w:rsid w:val="00AD123E"/>
    <w:rsid w:val="00AD15B4"/>
    <w:rsid w:val="00AD1CE0"/>
    <w:rsid w:val="00AD28A6"/>
    <w:rsid w:val="00AD2D4A"/>
    <w:rsid w:val="00AD2E76"/>
    <w:rsid w:val="00AD2E9F"/>
    <w:rsid w:val="00AD31A7"/>
    <w:rsid w:val="00AD3814"/>
    <w:rsid w:val="00AD3852"/>
    <w:rsid w:val="00AD3919"/>
    <w:rsid w:val="00AD3E97"/>
    <w:rsid w:val="00AD43F9"/>
    <w:rsid w:val="00AD4540"/>
    <w:rsid w:val="00AD4C6D"/>
    <w:rsid w:val="00AD4D51"/>
    <w:rsid w:val="00AD4D6B"/>
    <w:rsid w:val="00AD5520"/>
    <w:rsid w:val="00AD5816"/>
    <w:rsid w:val="00AD591E"/>
    <w:rsid w:val="00AD5AC6"/>
    <w:rsid w:val="00AD5C69"/>
    <w:rsid w:val="00AD61BF"/>
    <w:rsid w:val="00AD6931"/>
    <w:rsid w:val="00AD693C"/>
    <w:rsid w:val="00AD6A54"/>
    <w:rsid w:val="00AD7085"/>
    <w:rsid w:val="00AD7087"/>
    <w:rsid w:val="00AD7240"/>
    <w:rsid w:val="00AD7505"/>
    <w:rsid w:val="00AD7BD9"/>
    <w:rsid w:val="00AD7EDA"/>
    <w:rsid w:val="00AE0138"/>
    <w:rsid w:val="00AE0EA2"/>
    <w:rsid w:val="00AE1140"/>
    <w:rsid w:val="00AE1210"/>
    <w:rsid w:val="00AE13A8"/>
    <w:rsid w:val="00AE144F"/>
    <w:rsid w:val="00AE21B6"/>
    <w:rsid w:val="00AE2EEC"/>
    <w:rsid w:val="00AE2EF1"/>
    <w:rsid w:val="00AE2F71"/>
    <w:rsid w:val="00AE349B"/>
    <w:rsid w:val="00AE3837"/>
    <w:rsid w:val="00AE3973"/>
    <w:rsid w:val="00AE3C0C"/>
    <w:rsid w:val="00AE481E"/>
    <w:rsid w:val="00AE482C"/>
    <w:rsid w:val="00AE4E3A"/>
    <w:rsid w:val="00AE5259"/>
    <w:rsid w:val="00AE5FC4"/>
    <w:rsid w:val="00AE5FE3"/>
    <w:rsid w:val="00AE6116"/>
    <w:rsid w:val="00AF0B8B"/>
    <w:rsid w:val="00AF0C34"/>
    <w:rsid w:val="00AF10D8"/>
    <w:rsid w:val="00AF10DA"/>
    <w:rsid w:val="00AF19B1"/>
    <w:rsid w:val="00AF1CA9"/>
    <w:rsid w:val="00AF1FC1"/>
    <w:rsid w:val="00AF24E4"/>
    <w:rsid w:val="00AF27E0"/>
    <w:rsid w:val="00AF2A62"/>
    <w:rsid w:val="00AF2AE1"/>
    <w:rsid w:val="00AF3093"/>
    <w:rsid w:val="00AF31DB"/>
    <w:rsid w:val="00AF397F"/>
    <w:rsid w:val="00AF3CB4"/>
    <w:rsid w:val="00AF3EAD"/>
    <w:rsid w:val="00AF4C8E"/>
    <w:rsid w:val="00AF4D81"/>
    <w:rsid w:val="00AF4DB6"/>
    <w:rsid w:val="00AF5058"/>
    <w:rsid w:val="00AF5991"/>
    <w:rsid w:val="00AF59A0"/>
    <w:rsid w:val="00AF5C03"/>
    <w:rsid w:val="00AF5D5B"/>
    <w:rsid w:val="00AF6BA7"/>
    <w:rsid w:val="00AF6F4C"/>
    <w:rsid w:val="00AF7619"/>
    <w:rsid w:val="00AF7DC2"/>
    <w:rsid w:val="00AF7EC4"/>
    <w:rsid w:val="00B000E5"/>
    <w:rsid w:val="00B001EC"/>
    <w:rsid w:val="00B002A2"/>
    <w:rsid w:val="00B0045B"/>
    <w:rsid w:val="00B0074C"/>
    <w:rsid w:val="00B008B9"/>
    <w:rsid w:val="00B0148E"/>
    <w:rsid w:val="00B0195D"/>
    <w:rsid w:val="00B01E25"/>
    <w:rsid w:val="00B01EF4"/>
    <w:rsid w:val="00B02165"/>
    <w:rsid w:val="00B0235F"/>
    <w:rsid w:val="00B02364"/>
    <w:rsid w:val="00B02478"/>
    <w:rsid w:val="00B02A9E"/>
    <w:rsid w:val="00B02B7A"/>
    <w:rsid w:val="00B02E72"/>
    <w:rsid w:val="00B0429D"/>
    <w:rsid w:val="00B047AD"/>
    <w:rsid w:val="00B04A32"/>
    <w:rsid w:val="00B04FF1"/>
    <w:rsid w:val="00B05C25"/>
    <w:rsid w:val="00B06231"/>
    <w:rsid w:val="00B066B3"/>
    <w:rsid w:val="00B0677C"/>
    <w:rsid w:val="00B06936"/>
    <w:rsid w:val="00B06C19"/>
    <w:rsid w:val="00B06DB5"/>
    <w:rsid w:val="00B06F5B"/>
    <w:rsid w:val="00B0751A"/>
    <w:rsid w:val="00B07557"/>
    <w:rsid w:val="00B07622"/>
    <w:rsid w:val="00B0769D"/>
    <w:rsid w:val="00B07A29"/>
    <w:rsid w:val="00B10011"/>
    <w:rsid w:val="00B10BF6"/>
    <w:rsid w:val="00B10FC8"/>
    <w:rsid w:val="00B112A3"/>
    <w:rsid w:val="00B11A1F"/>
    <w:rsid w:val="00B11DB1"/>
    <w:rsid w:val="00B11F85"/>
    <w:rsid w:val="00B1208C"/>
    <w:rsid w:val="00B12779"/>
    <w:rsid w:val="00B12A5D"/>
    <w:rsid w:val="00B12E7B"/>
    <w:rsid w:val="00B13391"/>
    <w:rsid w:val="00B13397"/>
    <w:rsid w:val="00B13BC2"/>
    <w:rsid w:val="00B1414C"/>
    <w:rsid w:val="00B1420E"/>
    <w:rsid w:val="00B149DE"/>
    <w:rsid w:val="00B152AA"/>
    <w:rsid w:val="00B15529"/>
    <w:rsid w:val="00B160CE"/>
    <w:rsid w:val="00B1656A"/>
    <w:rsid w:val="00B1686C"/>
    <w:rsid w:val="00B17332"/>
    <w:rsid w:val="00B17744"/>
    <w:rsid w:val="00B17868"/>
    <w:rsid w:val="00B17879"/>
    <w:rsid w:val="00B17BFF"/>
    <w:rsid w:val="00B20339"/>
    <w:rsid w:val="00B207BE"/>
    <w:rsid w:val="00B20919"/>
    <w:rsid w:val="00B20F07"/>
    <w:rsid w:val="00B21958"/>
    <w:rsid w:val="00B21BBB"/>
    <w:rsid w:val="00B22A9A"/>
    <w:rsid w:val="00B22D32"/>
    <w:rsid w:val="00B22E5E"/>
    <w:rsid w:val="00B23701"/>
    <w:rsid w:val="00B238B6"/>
    <w:rsid w:val="00B23992"/>
    <w:rsid w:val="00B23C23"/>
    <w:rsid w:val="00B243C5"/>
    <w:rsid w:val="00B24689"/>
    <w:rsid w:val="00B24A7B"/>
    <w:rsid w:val="00B24EF5"/>
    <w:rsid w:val="00B24FBB"/>
    <w:rsid w:val="00B25280"/>
    <w:rsid w:val="00B25373"/>
    <w:rsid w:val="00B254F0"/>
    <w:rsid w:val="00B25D90"/>
    <w:rsid w:val="00B26012"/>
    <w:rsid w:val="00B2692C"/>
    <w:rsid w:val="00B26D4D"/>
    <w:rsid w:val="00B272C3"/>
    <w:rsid w:val="00B27542"/>
    <w:rsid w:val="00B2773B"/>
    <w:rsid w:val="00B27927"/>
    <w:rsid w:val="00B30618"/>
    <w:rsid w:val="00B30C0C"/>
    <w:rsid w:val="00B30C7D"/>
    <w:rsid w:val="00B31596"/>
    <w:rsid w:val="00B31916"/>
    <w:rsid w:val="00B31DCD"/>
    <w:rsid w:val="00B31E1B"/>
    <w:rsid w:val="00B31EF0"/>
    <w:rsid w:val="00B3219C"/>
    <w:rsid w:val="00B32815"/>
    <w:rsid w:val="00B32CD2"/>
    <w:rsid w:val="00B32EFA"/>
    <w:rsid w:val="00B32F2D"/>
    <w:rsid w:val="00B331B0"/>
    <w:rsid w:val="00B332F3"/>
    <w:rsid w:val="00B334DC"/>
    <w:rsid w:val="00B33815"/>
    <w:rsid w:val="00B33E1F"/>
    <w:rsid w:val="00B33E45"/>
    <w:rsid w:val="00B33F6C"/>
    <w:rsid w:val="00B34452"/>
    <w:rsid w:val="00B3447E"/>
    <w:rsid w:val="00B34CCD"/>
    <w:rsid w:val="00B355EA"/>
    <w:rsid w:val="00B3560A"/>
    <w:rsid w:val="00B35B78"/>
    <w:rsid w:val="00B35C99"/>
    <w:rsid w:val="00B35DC7"/>
    <w:rsid w:val="00B360C9"/>
    <w:rsid w:val="00B362AB"/>
    <w:rsid w:val="00B365DE"/>
    <w:rsid w:val="00B367F2"/>
    <w:rsid w:val="00B36893"/>
    <w:rsid w:val="00B36E66"/>
    <w:rsid w:val="00B36E68"/>
    <w:rsid w:val="00B37C32"/>
    <w:rsid w:val="00B401BD"/>
    <w:rsid w:val="00B4041F"/>
    <w:rsid w:val="00B40FBD"/>
    <w:rsid w:val="00B4106D"/>
    <w:rsid w:val="00B41658"/>
    <w:rsid w:val="00B4242F"/>
    <w:rsid w:val="00B42BA7"/>
    <w:rsid w:val="00B42DA3"/>
    <w:rsid w:val="00B42FCD"/>
    <w:rsid w:val="00B43A1E"/>
    <w:rsid w:val="00B43C24"/>
    <w:rsid w:val="00B4408A"/>
    <w:rsid w:val="00B44223"/>
    <w:rsid w:val="00B442C0"/>
    <w:rsid w:val="00B44301"/>
    <w:rsid w:val="00B44323"/>
    <w:rsid w:val="00B449E1"/>
    <w:rsid w:val="00B44C78"/>
    <w:rsid w:val="00B45766"/>
    <w:rsid w:val="00B45A7C"/>
    <w:rsid w:val="00B45D12"/>
    <w:rsid w:val="00B45FCE"/>
    <w:rsid w:val="00B46517"/>
    <w:rsid w:val="00B46F2F"/>
    <w:rsid w:val="00B476B5"/>
    <w:rsid w:val="00B477E6"/>
    <w:rsid w:val="00B478B9"/>
    <w:rsid w:val="00B47D10"/>
    <w:rsid w:val="00B507CD"/>
    <w:rsid w:val="00B509FC"/>
    <w:rsid w:val="00B50D35"/>
    <w:rsid w:val="00B51047"/>
    <w:rsid w:val="00B512E5"/>
    <w:rsid w:val="00B513CA"/>
    <w:rsid w:val="00B51BA6"/>
    <w:rsid w:val="00B51FC2"/>
    <w:rsid w:val="00B523BC"/>
    <w:rsid w:val="00B524D1"/>
    <w:rsid w:val="00B52730"/>
    <w:rsid w:val="00B52EF9"/>
    <w:rsid w:val="00B536AB"/>
    <w:rsid w:val="00B53937"/>
    <w:rsid w:val="00B53A39"/>
    <w:rsid w:val="00B53D3A"/>
    <w:rsid w:val="00B54165"/>
    <w:rsid w:val="00B54673"/>
    <w:rsid w:val="00B54C46"/>
    <w:rsid w:val="00B55390"/>
    <w:rsid w:val="00B55568"/>
    <w:rsid w:val="00B555BF"/>
    <w:rsid w:val="00B5570E"/>
    <w:rsid w:val="00B558FD"/>
    <w:rsid w:val="00B55AB3"/>
    <w:rsid w:val="00B55C6C"/>
    <w:rsid w:val="00B56002"/>
    <w:rsid w:val="00B56A0F"/>
    <w:rsid w:val="00B57114"/>
    <w:rsid w:val="00B57584"/>
    <w:rsid w:val="00B575BE"/>
    <w:rsid w:val="00B577A8"/>
    <w:rsid w:val="00B577B3"/>
    <w:rsid w:val="00B5797B"/>
    <w:rsid w:val="00B57AA0"/>
    <w:rsid w:val="00B600AB"/>
    <w:rsid w:val="00B6057C"/>
    <w:rsid w:val="00B6089E"/>
    <w:rsid w:val="00B60BA6"/>
    <w:rsid w:val="00B614C8"/>
    <w:rsid w:val="00B617B5"/>
    <w:rsid w:val="00B61FA9"/>
    <w:rsid w:val="00B6206E"/>
    <w:rsid w:val="00B62C19"/>
    <w:rsid w:val="00B6314C"/>
    <w:rsid w:val="00B63917"/>
    <w:rsid w:val="00B6433B"/>
    <w:rsid w:val="00B645A4"/>
    <w:rsid w:val="00B6473A"/>
    <w:rsid w:val="00B64DED"/>
    <w:rsid w:val="00B6520F"/>
    <w:rsid w:val="00B65B3B"/>
    <w:rsid w:val="00B666F7"/>
    <w:rsid w:val="00B669D4"/>
    <w:rsid w:val="00B67038"/>
    <w:rsid w:val="00B67796"/>
    <w:rsid w:val="00B7006E"/>
    <w:rsid w:val="00B70081"/>
    <w:rsid w:val="00B700DD"/>
    <w:rsid w:val="00B70155"/>
    <w:rsid w:val="00B70183"/>
    <w:rsid w:val="00B703F3"/>
    <w:rsid w:val="00B70CCF"/>
    <w:rsid w:val="00B7104B"/>
    <w:rsid w:val="00B71686"/>
    <w:rsid w:val="00B718ED"/>
    <w:rsid w:val="00B71B49"/>
    <w:rsid w:val="00B71BDE"/>
    <w:rsid w:val="00B71DA6"/>
    <w:rsid w:val="00B71DE1"/>
    <w:rsid w:val="00B71F53"/>
    <w:rsid w:val="00B71F65"/>
    <w:rsid w:val="00B7201F"/>
    <w:rsid w:val="00B7228D"/>
    <w:rsid w:val="00B7242B"/>
    <w:rsid w:val="00B727C4"/>
    <w:rsid w:val="00B72CD2"/>
    <w:rsid w:val="00B72D64"/>
    <w:rsid w:val="00B73744"/>
    <w:rsid w:val="00B73C89"/>
    <w:rsid w:val="00B74582"/>
    <w:rsid w:val="00B74ABA"/>
    <w:rsid w:val="00B74C7E"/>
    <w:rsid w:val="00B74E1E"/>
    <w:rsid w:val="00B7521A"/>
    <w:rsid w:val="00B75371"/>
    <w:rsid w:val="00B75573"/>
    <w:rsid w:val="00B75C9F"/>
    <w:rsid w:val="00B76325"/>
    <w:rsid w:val="00B76975"/>
    <w:rsid w:val="00B769EC"/>
    <w:rsid w:val="00B771A1"/>
    <w:rsid w:val="00B772FB"/>
    <w:rsid w:val="00B773D3"/>
    <w:rsid w:val="00B775BD"/>
    <w:rsid w:val="00B77C4B"/>
    <w:rsid w:val="00B77EF7"/>
    <w:rsid w:val="00B80309"/>
    <w:rsid w:val="00B8036E"/>
    <w:rsid w:val="00B80630"/>
    <w:rsid w:val="00B80B9B"/>
    <w:rsid w:val="00B812A5"/>
    <w:rsid w:val="00B819DB"/>
    <w:rsid w:val="00B81C8B"/>
    <w:rsid w:val="00B82004"/>
    <w:rsid w:val="00B82287"/>
    <w:rsid w:val="00B8241D"/>
    <w:rsid w:val="00B827A4"/>
    <w:rsid w:val="00B82DD3"/>
    <w:rsid w:val="00B831C3"/>
    <w:rsid w:val="00B83250"/>
    <w:rsid w:val="00B8327C"/>
    <w:rsid w:val="00B835A8"/>
    <w:rsid w:val="00B83A0D"/>
    <w:rsid w:val="00B83AB7"/>
    <w:rsid w:val="00B83F18"/>
    <w:rsid w:val="00B84628"/>
    <w:rsid w:val="00B84A64"/>
    <w:rsid w:val="00B84CB0"/>
    <w:rsid w:val="00B84D00"/>
    <w:rsid w:val="00B851DC"/>
    <w:rsid w:val="00B85D61"/>
    <w:rsid w:val="00B8610E"/>
    <w:rsid w:val="00B86290"/>
    <w:rsid w:val="00B8675C"/>
    <w:rsid w:val="00B86E79"/>
    <w:rsid w:val="00B86F22"/>
    <w:rsid w:val="00B86F63"/>
    <w:rsid w:val="00B8723F"/>
    <w:rsid w:val="00B90255"/>
    <w:rsid w:val="00B90772"/>
    <w:rsid w:val="00B90E32"/>
    <w:rsid w:val="00B90E3E"/>
    <w:rsid w:val="00B913D8"/>
    <w:rsid w:val="00B9178E"/>
    <w:rsid w:val="00B91D61"/>
    <w:rsid w:val="00B91EEC"/>
    <w:rsid w:val="00B9210D"/>
    <w:rsid w:val="00B92377"/>
    <w:rsid w:val="00B92B3B"/>
    <w:rsid w:val="00B930C8"/>
    <w:rsid w:val="00B938AD"/>
    <w:rsid w:val="00B94136"/>
    <w:rsid w:val="00B942E5"/>
    <w:rsid w:val="00B94637"/>
    <w:rsid w:val="00B949C2"/>
    <w:rsid w:val="00B94C7C"/>
    <w:rsid w:val="00B94F9E"/>
    <w:rsid w:val="00B9549B"/>
    <w:rsid w:val="00B95E21"/>
    <w:rsid w:val="00B962FD"/>
    <w:rsid w:val="00B9661B"/>
    <w:rsid w:val="00B967A8"/>
    <w:rsid w:val="00B96F70"/>
    <w:rsid w:val="00B975CD"/>
    <w:rsid w:val="00B977C4"/>
    <w:rsid w:val="00B97865"/>
    <w:rsid w:val="00B97DBF"/>
    <w:rsid w:val="00B97EDF"/>
    <w:rsid w:val="00BA0596"/>
    <w:rsid w:val="00BA072A"/>
    <w:rsid w:val="00BA09E3"/>
    <w:rsid w:val="00BA0D3B"/>
    <w:rsid w:val="00BA0DA9"/>
    <w:rsid w:val="00BA0DAF"/>
    <w:rsid w:val="00BA0EDD"/>
    <w:rsid w:val="00BA142F"/>
    <w:rsid w:val="00BA1861"/>
    <w:rsid w:val="00BA1E05"/>
    <w:rsid w:val="00BA1E9B"/>
    <w:rsid w:val="00BA1EC6"/>
    <w:rsid w:val="00BA25C8"/>
    <w:rsid w:val="00BA2A38"/>
    <w:rsid w:val="00BA2E05"/>
    <w:rsid w:val="00BA3B16"/>
    <w:rsid w:val="00BA3BBD"/>
    <w:rsid w:val="00BA4692"/>
    <w:rsid w:val="00BA4936"/>
    <w:rsid w:val="00BA5065"/>
    <w:rsid w:val="00BA50EB"/>
    <w:rsid w:val="00BA584C"/>
    <w:rsid w:val="00BA61D2"/>
    <w:rsid w:val="00BA62D7"/>
    <w:rsid w:val="00BA63D9"/>
    <w:rsid w:val="00BA6657"/>
    <w:rsid w:val="00BA6D06"/>
    <w:rsid w:val="00BA7684"/>
    <w:rsid w:val="00BA77AD"/>
    <w:rsid w:val="00BA77DF"/>
    <w:rsid w:val="00BA7A1D"/>
    <w:rsid w:val="00BA7C19"/>
    <w:rsid w:val="00BA7C7F"/>
    <w:rsid w:val="00BB03B6"/>
    <w:rsid w:val="00BB03BC"/>
    <w:rsid w:val="00BB0CE6"/>
    <w:rsid w:val="00BB113D"/>
    <w:rsid w:val="00BB12EF"/>
    <w:rsid w:val="00BB130E"/>
    <w:rsid w:val="00BB18AC"/>
    <w:rsid w:val="00BB2028"/>
    <w:rsid w:val="00BB2154"/>
    <w:rsid w:val="00BB2AD1"/>
    <w:rsid w:val="00BB2E67"/>
    <w:rsid w:val="00BB396E"/>
    <w:rsid w:val="00BB3DD6"/>
    <w:rsid w:val="00BB4833"/>
    <w:rsid w:val="00BB4A9C"/>
    <w:rsid w:val="00BB4F28"/>
    <w:rsid w:val="00BB5023"/>
    <w:rsid w:val="00BB5592"/>
    <w:rsid w:val="00BB57D0"/>
    <w:rsid w:val="00BB5B08"/>
    <w:rsid w:val="00BB5BB6"/>
    <w:rsid w:val="00BB5EA2"/>
    <w:rsid w:val="00BB61DB"/>
    <w:rsid w:val="00BB6663"/>
    <w:rsid w:val="00BB6E63"/>
    <w:rsid w:val="00BB71A3"/>
    <w:rsid w:val="00BB776A"/>
    <w:rsid w:val="00BB7AFF"/>
    <w:rsid w:val="00BB7B2E"/>
    <w:rsid w:val="00BB7F2D"/>
    <w:rsid w:val="00BC0676"/>
    <w:rsid w:val="00BC09F1"/>
    <w:rsid w:val="00BC0A05"/>
    <w:rsid w:val="00BC0F1F"/>
    <w:rsid w:val="00BC141E"/>
    <w:rsid w:val="00BC2239"/>
    <w:rsid w:val="00BC24EB"/>
    <w:rsid w:val="00BC2833"/>
    <w:rsid w:val="00BC28D0"/>
    <w:rsid w:val="00BC2B7D"/>
    <w:rsid w:val="00BC2D7B"/>
    <w:rsid w:val="00BC3715"/>
    <w:rsid w:val="00BC3AE1"/>
    <w:rsid w:val="00BC4152"/>
    <w:rsid w:val="00BC417C"/>
    <w:rsid w:val="00BC536E"/>
    <w:rsid w:val="00BC5713"/>
    <w:rsid w:val="00BC585E"/>
    <w:rsid w:val="00BC5885"/>
    <w:rsid w:val="00BC65A8"/>
    <w:rsid w:val="00BC677F"/>
    <w:rsid w:val="00BC7594"/>
    <w:rsid w:val="00BD0070"/>
    <w:rsid w:val="00BD0615"/>
    <w:rsid w:val="00BD06F3"/>
    <w:rsid w:val="00BD0752"/>
    <w:rsid w:val="00BD089C"/>
    <w:rsid w:val="00BD08DA"/>
    <w:rsid w:val="00BD08FD"/>
    <w:rsid w:val="00BD0A9A"/>
    <w:rsid w:val="00BD0EC0"/>
    <w:rsid w:val="00BD1497"/>
    <w:rsid w:val="00BD15E7"/>
    <w:rsid w:val="00BD1A0A"/>
    <w:rsid w:val="00BD1C2D"/>
    <w:rsid w:val="00BD1CD2"/>
    <w:rsid w:val="00BD1E6A"/>
    <w:rsid w:val="00BD1EB7"/>
    <w:rsid w:val="00BD207C"/>
    <w:rsid w:val="00BD2AE9"/>
    <w:rsid w:val="00BD2D47"/>
    <w:rsid w:val="00BD36C9"/>
    <w:rsid w:val="00BD3B5D"/>
    <w:rsid w:val="00BD3BB9"/>
    <w:rsid w:val="00BD40ED"/>
    <w:rsid w:val="00BD4132"/>
    <w:rsid w:val="00BD41AC"/>
    <w:rsid w:val="00BD4343"/>
    <w:rsid w:val="00BD4A11"/>
    <w:rsid w:val="00BD4F5D"/>
    <w:rsid w:val="00BD5217"/>
    <w:rsid w:val="00BD5414"/>
    <w:rsid w:val="00BD58CD"/>
    <w:rsid w:val="00BD5CD2"/>
    <w:rsid w:val="00BD5F4D"/>
    <w:rsid w:val="00BD6C79"/>
    <w:rsid w:val="00BD6E2E"/>
    <w:rsid w:val="00BD7094"/>
    <w:rsid w:val="00BD720F"/>
    <w:rsid w:val="00BD7700"/>
    <w:rsid w:val="00BD78A1"/>
    <w:rsid w:val="00BD7B27"/>
    <w:rsid w:val="00BD7BC1"/>
    <w:rsid w:val="00BD7C34"/>
    <w:rsid w:val="00BD7C62"/>
    <w:rsid w:val="00BD7D9B"/>
    <w:rsid w:val="00BD7FBD"/>
    <w:rsid w:val="00BE0078"/>
    <w:rsid w:val="00BE038E"/>
    <w:rsid w:val="00BE0F45"/>
    <w:rsid w:val="00BE1278"/>
    <w:rsid w:val="00BE1320"/>
    <w:rsid w:val="00BE14A0"/>
    <w:rsid w:val="00BE1EB5"/>
    <w:rsid w:val="00BE1F42"/>
    <w:rsid w:val="00BE2372"/>
    <w:rsid w:val="00BE2395"/>
    <w:rsid w:val="00BE2545"/>
    <w:rsid w:val="00BE291F"/>
    <w:rsid w:val="00BE2AD9"/>
    <w:rsid w:val="00BE2ED0"/>
    <w:rsid w:val="00BE2F3D"/>
    <w:rsid w:val="00BE32BD"/>
    <w:rsid w:val="00BE3BAC"/>
    <w:rsid w:val="00BE3C58"/>
    <w:rsid w:val="00BE3D0E"/>
    <w:rsid w:val="00BE48B9"/>
    <w:rsid w:val="00BE491F"/>
    <w:rsid w:val="00BE492F"/>
    <w:rsid w:val="00BE56F6"/>
    <w:rsid w:val="00BE59C3"/>
    <w:rsid w:val="00BE5D3B"/>
    <w:rsid w:val="00BE6380"/>
    <w:rsid w:val="00BE6466"/>
    <w:rsid w:val="00BE64A5"/>
    <w:rsid w:val="00BE6AB6"/>
    <w:rsid w:val="00BE6BE4"/>
    <w:rsid w:val="00BE6F60"/>
    <w:rsid w:val="00BE6FC3"/>
    <w:rsid w:val="00BE724A"/>
    <w:rsid w:val="00BE7646"/>
    <w:rsid w:val="00BE7818"/>
    <w:rsid w:val="00BE7AA1"/>
    <w:rsid w:val="00BE7AD2"/>
    <w:rsid w:val="00BE7EA3"/>
    <w:rsid w:val="00BF017D"/>
    <w:rsid w:val="00BF0492"/>
    <w:rsid w:val="00BF0622"/>
    <w:rsid w:val="00BF064A"/>
    <w:rsid w:val="00BF115E"/>
    <w:rsid w:val="00BF2D53"/>
    <w:rsid w:val="00BF2EA3"/>
    <w:rsid w:val="00BF3448"/>
    <w:rsid w:val="00BF3465"/>
    <w:rsid w:val="00BF4015"/>
    <w:rsid w:val="00BF42FA"/>
    <w:rsid w:val="00BF4385"/>
    <w:rsid w:val="00BF4683"/>
    <w:rsid w:val="00BF4849"/>
    <w:rsid w:val="00BF48B5"/>
    <w:rsid w:val="00BF49E8"/>
    <w:rsid w:val="00BF4AD5"/>
    <w:rsid w:val="00BF4E04"/>
    <w:rsid w:val="00BF51B5"/>
    <w:rsid w:val="00BF548B"/>
    <w:rsid w:val="00BF550E"/>
    <w:rsid w:val="00BF5736"/>
    <w:rsid w:val="00BF5A47"/>
    <w:rsid w:val="00BF61B7"/>
    <w:rsid w:val="00BF66BD"/>
    <w:rsid w:val="00BF6868"/>
    <w:rsid w:val="00BF6A2A"/>
    <w:rsid w:val="00BF6B39"/>
    <w:rsid w:val="00BF6C04"/>
    <w:rsid w:val="00BF7667"/>
    <w:rsid w:val="00BF7E53"/>
    <w:rsid w:val="00C00111"/>
    <w:rsid w:val="00C00225"/>
    <w:rsid w:val="00C00497"/>
    <w:rsid w:val="00C00C2C"/>
    <w:rsid w:val="00C015D1"/>
    <w:rsid w:val="00C019A2"/>
    <w:rsid w:val="00C01A67"/>
    <w:rsid w:val="00C020D7"/>
    <w:rsid w:val="00C023BA"/>
    <w:rsid w:val="00C02B25"/>
    <w:rsid w:val="00C02DE1"/>
    <w:rsid w:val="00C030B6"/>
    <w:rsid w:val="00C033B8"/>
    <w:rsid w:val="00C03776"/>
    <w:rsid w:val="00C03D30"/>
    <w:rsid w:val="00C03DFC"/>
    <w:rsid w:val="00C041D0"/>
    <w:rsid w:val="00C04BAA"/>
    <w:rsid w:val="00C0501B"/>
    <w:rsid w:val="00C05093"/>
    <w:rsid w:val="00C05460"/>
    <w:rsid w:val="00C05568"/>
    <w:rsid w:val="00C0642D"/>
    <w:rsid w:val="00C06564"/>
    <w:rsid w:val="00C06628"/>
    <w:rsid w:val="00C067FC"/>
    <w:rsid w:val="00C06ED4"/>
    <w:rsid w:val="00C06EEE"/>
    <w:rsid w:val="00C0700A"/>
    <w:rsid w:val="00C07686"/>
    <w:rsid w:val="00C07BC1"/>
    <w:rsid w:val="00C07F85"/>
    <w:rsid w:val="00C1039F"/>
    <w:rsid w:val="00C108E9"/>
    <w:rsid w:val="00C10BBA"/>
    <w:rsid w:val="00C10E6E"/>
    <w:rsid w:val="00C10FFE"/>
    <w:rsid w:val="00C11D51"/>
    <w:rsid w:val="00C120FC"/>
    <w:rsid w:val="00C128E1"/>
    <w:rsid w:val="00C12993"/>
    <w:rsid w:val="00C12A99"/>
    <w:rsid w:val="00C13066"/>
    <w:rsid w:val="00C13888"/>
    <w:rsid w:val="00C13A7B"/>
    <w:rsid w:val="00C13C6D"/>
    <w:rsid w:val="00C1445C"/>
    <w:rsid w:val="00C14FB2"/>
    <w:rsid w:val="00C1503E"/>
    <w:rsid w:val="00C159DE"/>
    <w:rsid w:val="00C15E98"/>
    <w:rsid w:val="00C170C6"/>
    <w:rsid w:val="00C17483"/>
    <w:rsid w:val="00C1765B"/>
    <w:rsid w:val="00C17EB0"/>
    <w:rsid w:val="00C17FF6"/>
    <w:rsid w:val="00C2020F"/>
    <w:rsid w:val="00C20301"/>
    <w:rsid w:val="00C2057A"/>
    <w:rsid w:val="00C20646"/>
    <w:rsid w:val="00C20936"/>
    <w:rsid w:val="00C20C90"/>
    <w:rsid w:val="00C215DA"/>
    <w:rsid w:val="00C2187B"/>
    <w:rsid w:val="00C21D62"/>
    <w:rsid w:val="00C21E4F"/>
    <w:rsid w:val="00C2239B"/>
    <w:rsid w:val="00C223E6"/>
    <w:rsid w:val="00C22F7E"/>
    <w:rsid w:val="00C23167"/>
    <w:rsid w:val="00C23507"/>
    <w:rsid w:val="00C236F1"/>
    <w:rsid w:val="00C24089"/>
    <w:rsid w:val="00C24218"/>
    <w:rsid w:val="00C243AD"/>
    <w:rsid w:val="00C24522"/>
    <w:rsid w:val="00C2479C"/>
    <w:rsid w:val="00C247E2"/>
    <w:rsid w:val="00C24A3E"/>
    <w:rsid w:val="00C24EAE"/>
    <w:rsid w:val="00C24FB7"/>
    <w:rsid w:val="00C253F5"/>
    <w:rsid w:val="00C25787"/>
    <w:rsid w:val="00C258E4"/>
    <w:rsid w:val="00C26294"/>
    <w:rsid w:val="00C264F4"/>
    <w:rsid w:val="00C26E59"/>
    <w:rsid w:val="00C2738D"/>
    <w:rsid w:val="00C27827"/>
    <w:rsid w:val="00C27DA5"/>
    <w:rsid w:val="00C302DB"/>
    <w:rsid w:val="00C30447"/>
    <w:rsid w:val="00C308B6"/>
    <w:rsid w:val="00C30EAE"/>
    <w:rsid w:val="00C31853"/>
    <w:rsid w:val="00C31BD3"/>
    <w:rsid w:val="00C31C1D"/>
    <w:rsid w:val="00C31EDA"/>
    <w:rsid w:val="00C3225D"/>
    <w:rsid w:val="00C325B6"/>
    <w:rsid w:val="00C326AC"/>
    <w:rsid w:val="00C32861"/>
    <w:rsid w:val="00C32E89"/>
    <w:rsid w:val="00C330B7"/>
    <w:rsid w:val="00C337E8"/>
    <w:rsid w:val="00C337F6"/>
    <w:rsid w:val="00C33F29"/>
    <w:rsid w:val="00C34354"/>
    <w:rsid w:val="00C34621"/>
    <w:rsid w:val="00C346C7"/>
    <w:rsid w:val="00C349F6"/>
    <w:rsid w:val="00C34F18"/>
    <w:rsid w:val="00C360FF"/>
    <w:rsid w:val="00C362F0"/>
    <w:rsid w:val="00C369C4"/>
    <w:rsid w:val="00C36BFE"/>
    <w:rsid w:val="00C36CCE"/>
    <w:rsid w:val="00C36F55"/>
    <w:rsid w:val="00C37273"/>
    <w:rsid w:val="00C373AE"/>
    <w:rsid w:val="00C37683"/>
    <w:rsid w:val="00C37750"/>
    <w:rsid w:val="00C37765"/>
    <w:rsid w:val="00C37DC7"/>
    <w:rsid w:val="00C40576"/>
    <w:rsid w:val="00C408FB"/>
    <w:rsid w:val="00C40A25"/>
    <w:rsid w:val="00C40BFC"/>
    <w:rsid w:val="00C41342"/>
    <w:rsid w:val="00C4186A"/>
    <w:rsid w:val="00C418C1"/>
    <w:rsid w:val="00C42CE4"/>
    <w:rsid w:val="00C42E2C"/>
    <w:rsid w:val="00C434B4"/>
    <w:rsid w:val="00C437B1"/>
    <w:rsid w:val="00C43882"/>
    <w:rsid w:val="00C43887"/>
    <w:rsid w:val="00C43D05"/>
    <w:rsid w:val="00C43F0B"/>
    <w:rsid w:val="00C4439D"/>
    <w:rsid w:val="00C44C5A"/>
    <w:rsid w:val="00C45021"/>
    <w:rsid w:val="00C450A3"/>
    <w:rsid w:val="00C459B2"/>
    <w:rsid w:val="00C45AA7"/>
    <w:rsid w:val="00C45B22"/>
    <w:rsid w:val="00C462CF"/>
    <w:rsid w:val="00C47118"/>
    <w:rsid w:val="00C47AA9"/>
    <w:rsid w:val="00C47F3C"/>
    <w:rsid w:val="00C5034B"/>
    <w:rsid w:val="00C508DC"/>
    <w:rsid w:val="00C50B12"/>
    <w:rsid w:val="00C50C41"/>
    <w:rsid w:val="00C5133B"/>
    <w:rsid w:val="00C514BB"/>
    <w:rsid w:val="00C518E2"/>
    <w:rsid w:val="00C51A05"/>
    <w:rsid w:val="00C51CCB"/>
    <w:rsid w:val="00C527FA"/>
    <w:rsid w:val="00C52819"/>
    <w:rsid w:val="00C53703"/>
    <w:rsid w:val="00C53835"/>
    <w:rsid w:val="00C53E15"/>
    <w:rsid w:val="00C53FC0"/>
    <w:rsid w:val="00C5459C"/>
    <w:rsid w:val="00C546A0"/>
    <w:rsid w:val="00C555F6"/>
    <w:rsid w:val="00C56473"/>
    <w:rsid w:val="00C5652E"/>
    <w:rsid w:val="00C57DAE"/>
    <w:rsid w:val="00C6007B"/>
    <w:rsid w:val="00C6070E"/>
    <w:rsid w:val="00C60BC7"/>
    <w:rsid w:val="00C61794"/>
    <w:rsid w:val="00C61888"/>
    <w:rsid w:val="00C62053"/>
    <w:rsid w:val="00C62568"/>
    <w:rsid w:val="00C62EFF"/>
    <w:rsid w:val="00C6316A"/>
    <w:rsid w:val="00C632A9"/>
    <w:rsid w:val="00C639F0"/>
    <w:rsid w:val="00C649FB"/>
    <w:rsid w:val="00C64B81"/>
    <w:rsid w:val="00C64E5A"/>
    <w:rsid w:val="00C64E75"/>
    <w:rsid w:val="00C64FDD"/>
    <w:rsid w:val="00C6551F"/>
    <w:rsid w:val="00C65533"/>
    <w:rsid w:val="00C656DE"/>
    <w:rsid w:val="00C65810"/>
    <w:rsid w:val="00C65C34"/>
    <w:rsid w:val="00C65C43"/>
    <w:rsid w:val="00C66147"/>
    <w:rsid w:val="00C66815"/>
    <w:rsid w:val="00C66894"/>
    <w:rsid w:val="00C66D34"/>
    <w:rsid w:val="00C67865"/>
    <w:rsid w:val="00C700B2"/>
    <w:rsid w:val="00C70BCB"/>
    <w:rsid w:val="00C70FC7"/>
    <w:rsid w:val="00C7140F"/>
    <w:rsid w:val="00C71BC0"/>
    <w:rsid w:val="00C71F6F"/>
    <w:rsid w:val="00C7211D"/>
    <w:rsid w:val="00C72294"/>
    <w:rsid w:val="00C724EA"/>
    <w:rsid w:val="00C726AF"/>
    <w:rsid w:val="00C728AC"/>
    <w:rsid w:val="00C728B1"/>
    <w:rsid w:val="00C73061"/>
    <w:rsid w:val="00C7313D"/>
    <w:rsid w:val="00C73316"/>
    <w:rsid w:val="00C73792"/>
    <w:rsid w:val="00C73A26"/>
    <w:rsid w:val="00C73D8E"/>
    <w:rsid w:val="00C73F8E"/>
    <w:rsid w:val="00C7431B"/>
    <w:rsid w:val="00C751A5"/>
    <w:rsid w:val="00C751B9"/>
    <w:rsid w:val="00C75B4A"/>
    <w:rsid w:val="00C75C25"/>
    <w:rsid w:val="00C75CBA"/>
    <w:rsid w:val="00C767F4"/>
    <w:rsid w:val="00C76833"/>
    <w:rsid w:val="00C76B4C"/>
    <w:rsid w:val="00C77331"/>
    <w:rsid w:val="00C773E5"/>
    <w:rsid w:val="00C77A2B"/>
    <w:rsid w:val="00C77C6D"/>
    <w:rsid w:val="00C804A6"/>
    <w:rsid w:val="00C805A9"/>
    <w:rsid w:val="00C80DE7"/>
    <w:rsid w:val="00C81D7C"/>
    <w:rsid w:val="00C81EBC"/>
    <w:rsid w:val="00C82703"/>
    <w:rsid w:val="00C82737"/>
    <w:rsid w:val="00C82956"/>
    <w:rsid w:val="00C82993"/>
    <w:rsid w:val="00C82B30"/>
    <w:rsid w:val="00C834A4"/>
    <w:rsid w:val="00C83737"/>
    <w:rsid w:val="00C837D5"/>
    <w:rsid w:val="00C838F6"/>
    <w:rsid w:val="00C83F3F"/>
    <w:rsid w:val="00C8470C"/>
    <w:rsid w:val="00C84CD9"/>
    <w:rsid w:val="00C84DD9"/>
    <w:rsid w:val="00C851A4"/>
    <w:rsid w:val="00C857B2"/>
    <w:rsid w:val="00C85934"/>
    <w:rsid w:val="00C85F37"/>
    <w:rsid w:val="00C860C7"/>
    <w:rsid w:val="00C868B0"/>
    <w:rsid w:val="00C86CB5"/>
    <w:rsid w:val="00C86DE6"/>
    <w:rsid w:val="00C870AF"/>
    <w:rsid w:val="00C871E4"/>
    <w:rsid w:val="00C8778D"/>
    <w:rsid w:val="00C87917"/>
    <w:rsid w:val="00C87D65"/>
    <w:rsid w:val="00C903C9"/>
    <w:rsid w:val="00C90D0E"/>
    <w:rsid w:val="00C90F19"/>
    <w:rsid w:val="00C912C1"/>
    <w:rsid w:val="00C91EF4"/>
    <w:rsid w:val="00C92CA8"/>
    <w:rsid w:val="00C92FF6"/>
    <w:rsid w:val="00C934D9"/>
    <w:rsid w:val="00C93A31"/>
    <w:rsid w:val="00C93FE8"/>
    <w:rsid w:val="00C94417"/>
    <w:rsid w:val="00C9483B"/>
    <w:rsid w:val="00C9486F"/>
    <w:rsid w:val="00C94B2E"/>
    <w:rsid w:val="00C94D43"/>
    <w:rsid w:val="00C94DB7"/>
    <w:rsid w:val="00C95A9C"/>
    <w:rsid w:val="00C95DA5"/>
    <w:rsid w:val="00C95ECC"/>
    <w:rsid w:val="00C96061"/>
    <w:rsid w:val="00C9627A"/>
    <w:rsid w:val="00C964D7"/>
    <w:rsid w:val="00C965C2"/>
    <w:rsid w:val="00C96907"/>
    <w:rsid w:val="00C970BB"/>
    <w:rsid w:val="00C97195"/>
    <w:rsid w:val="00C97F20"/>
    <w:rsid w:val="00CA0343"/>
    <w:rsid w:val="00CA06FF"/>
    <w:rsid w:val="00CA0A10"/>
    <w:rsid w:val="00CA1036"/>
    <w:rsid w:val="00CA152E"/>
    <w:rsid w:val="00CA18FF"/>
    <w:rsid w:val="00CA1DE5"/>
    <w:rsid w:val="00CA2012"/>
    <w:rsid w:val="00CA23DD"/>
    <w:rsid w:val="00CA2491"/>
    <w:rsid w:val="00CA2ABF"/>
    <w:rsid w:val="00CA3ECF"/>
    <w:rsid w:val="00CA41DA"/>
    <w:rsid w:val="00CA4334"/>
    <w:rsid w:val="00CA4E84"/>
    <w:rsid w:val="00CA543D"/>
    <w:rsid w:val="00CA58C3"/>
    <w:rsid w:val="00CA5FAA"/>
    <w:rsid w:val="00CA6F33"/>
    <w:rsid w:val="00CA713C"/>
    <w:rsid w:val="00CA7B49"/>
    <w:rsid w:val="00CA7C5C"/>
    <w:rsid w:val="00CB0AC8"/>
    <w:rsid w:val="00CB0C0B"/>
    <w:rsid w:val="00CB0F78"/>
    <w:rsid w:val="00CB1068"/>
    <w:rsid w:val="00CB1212"/>
    <w:rsid w:val="00CB17F2"/>
    <w:rsid w:val="00CB2060"/>
    <w:rsid w:val="00CB284F"/>
    <w:rsid w:val="00CB2EF5"/>
    <w:rsid w:val="00CB2FB9"/>
    <w:rsid w:val="00CB34A4"/>
    <w:rsid w:val="00CB34DC"/>
    <w:rsid w:val="00CB3CCF"/>
    <w:rsid w:val="00CB3EE1"/>
    <w:rsid w:val="00CB447A"/>
    <w:rsid w:val="00CB44B3"/>
    <w:rsid w:val="00CB4750"/>
    <w:rsid w:val="00CB4BCF"/>
    <w:rsid w:val="00CB4F18"/>
    <w:rsid w:val="00CB51BA"/>
    <w:rsid w:val="00CB523C"/>
    <w:rsid w:val="00CB59F2"/>
    <w:rsid w:val="00CB5F2D"/>
    <w:rsid w:val="00CB6125"/>
    <w:rsid w:val="00CB6D75"/>
    <w:rsid w:val="00CB705C"/>
    <w:rsid w:val="00CC0288"/>
    <w:rsid w:val="00CC066D"/>
    <w:rsid w:val="00CC0F03"/>
    <w:rsid w:val="00CC1385"/>
    <w:rsid w:val="00CC1917"/>
    <w:rsid w:val="00CC1BA8"/>
    <w:rsid w:val="00CC1BC4"/>
    <w:rsid w:val="00CC1CA2"/>
    <w:rsid w:val="00CC1F70"/>
    <w:rsid w:val="00CC2009"/>
    <w:rsid w:val="00CC20E4"/>
    <w:rsid w:val="00CC280C"/>
    <w:rsid w:val="00CC2ABC"/>
    <w:rsid w:val="00CC2EC8"/>
    <w:rsid w:val="00CC3B58"/>
    <w:rsid w:val="00CC3B87"/>
    <w:rsid w:val="00CC40CE"/>
    <w:rsid w:val="00CC473F"/>
    <w:rsid w:val="00CC4751"/>
    <w:rsid w:val="00CC485E"/>
    <w:rsid w:val="00CC49CE"/>
    <w:rsid w:val="00CC4D6A"/>
    <w:rsid w:val="00CC5033"/>
    <w:rsid w:val="00CC5234"/>
    <w:rsid w:val="00CC559A"/>
    <w:rsid w:val="00CC61AC"/>
    <w:rsid w:val="00CC6D98"/>
    <w:rsid w:val="00CC6DFC"/>
    <w:rsid w:val="00CC710A"/>
    <w:rsid w:val="00CC73CA"/>
    <w:rsid w:val="00CC746C"/>
    <w:rsid w:val="00CD040C"/>
    <w:rsid w:val="00CD044F"/>
    <w:rsid w:val="00CD04D3"/>
    <w:rsid w:val="00CD1036"/>
    <w:rsid w:val="00CD1074"/>
    <w:rsid w:val="00CD1098"/>
    <w:rsid w:val="00CD114A"/>
    <w:rsid w:val="00CD1AE6"/>
    <w:rsid w:val="00CD1DAF"/>
    <w:rsid w:val="00CD253B"/>
    <w:rsid w:val="00CD3158"/>
    <w:rsid w:val="00CD389F"/>
    <w:rsid w:val="00CD4060"/>
    <w:rsid w:val="00CD4B7D"/>
    <w:rsid w:val="00CD4FA5"/>
    <w:rsid w:val="00CD5882"/>
    <w:rsid w:val="00CD5BAA"/>
    <w:rsid w:val="00CD5F28"/>
    <w:rsid w:val="00CD6A9F"/>
    <w:rsid w:val="00CD7499"/>
    <w:rsid w:val="00CD7DDD"/>
    <w:rsid w:val="00CD7EDE"/>
    <w:rsid w:val="00CE02D0"/>
    <w:rsid w:val="00CE0351"/>
    <w:rsid w:val="00CE0646"/>
    <w:rsid w:val="00CE07AF"/>
    <w:rsid w:val="00CE0DA8"/>
    <w:rsid w:val="00CE1544"/>
    <w:rsid w:val="00CE17F1"/>
    <w:rsid w:val="00CE1857"/>
    <w:rsid w:val="00CE1D19"/>
    <w:rsid w:val="00CE2474"/>
    <w:rsid w:val="00CE3194"/>
    <w:rsid w:val="00CE3E28"/>
    <w:rsid w:val="00CE4200"/>
    <w:rsid w:val="00CE4B12"/>
    <w:rsid w:val="00CE4B86"/>
    <w:rsid w:val="00CE4C9E"/>
    <w:rsid w:val="00CE4ECF"/>
    <w:rsid w:val="00CE5028"/>
    <w:rsid w:val="00CE5182"/>
    <w:rsid w:val="00CE5562"/>
    <w:rsid w:val="00CE55DB"/>
    <w:rsid w:val="00CE6606"/>
    <w:rsid w:val="00CE661E"/>
    <w:rsid w:val="00CE68D9"/>
    <w:rsid w:val="00CE73EF"/>
    <w:rsid w:val="00CE7628"/>
    <w:rsid w:val="00CE7E34"/>
    <w:rsid w:val="00CF02E8"/>
    <w:rsid w:val="00CF0ED0"/>
    <w:rsid w:val="00CF19E2"/>
    <w:rsid w:val="00CF1A8C"/>
    <w:rsid w:val="00CF255E"/>
    <w:rsid w:val="00CF3470"/>
    <w:rsid w:val="00CF3E24"/>
    <w:rsid w:val="00CF4761"/>
    <w:rsid w:val="00CF4852"/>
    <w:rsid w:val="00CF4FB8"/>
    <w:rsid w:val="00CF512E"/>
    <w:rsid w:val="00CF5F04"/>
    <w:rsid w:val="00CF60B7"/>
    <w:rsid w:val="00CF684E"/>
    <w:rsid w:val="00CF6DED"/>
    <w:rsid w:val="00CF73C8"/>
    <w:rsid w:val="00CF73FE"/>
    <w:rsid w:val="00CF742C"/>
    <w:rsid w:val="00CF776F"/>
    <w:rsid w:val="00CF79B0"/>
    <w:rsid w:val="00CF7CF6"/>
    <w:rsid w:val="00D005C2"/>
    <w:rsid w:val="00D008D6"/>
    <w:rsid w:val="00D00A5E"/>
    <w:rsid w:val="00D00BD3"/>
    <w:rsid w:val="00D01205"/>
    <w:rsid w:val="00D012C4"/>
    <w:rsid w:val="00D013E1"/>
    <w:rsid w:val="00D0149B"/>
    <w:rsid w:val="00D016C3"/>
    <w:rsid w:val="00D01833"/>
    <w:rsid w:val="00D022E9"/>
    <w:rsid w:val="00D02AC5"/>
    <w:rsid w:val="00D02C09"/>
    <w:rsid w:val="00D0330D"/>
    <w:rsid w:val="00D03824"/>
    <w:rsid w:val="00D03871"/>
    <w:rsid w:val="00D03A53"/>
    <w:rsid w:val="00D03E74"/>
    <w:rsid w:val="00D03F6A"/>
    <w:rsid w:val="00D045DD"/>
    <w:rsid w:val="00D05330"/>
    <w:rsid w:val="00D0539B"/>
    <w:rsid w:val="00D055DE"/>
    <w:rsid w:val="00D0582D"/>
    <w:rsid w:val="00D0588E"/>
    <w:rsid w:val="00D06554"/>
    <w:rsid w:val="00D06DC8"/>
    <w:rsid w:val="00D06E3E"/>
    <w:rsid w:val="00D07845"/>
    <w:rsid w:val="00D07A98"/>
    <w:rsid w:val="00D07E13"/>
    <w:rsid w:val="00D07E68"/>
    <w:rsid w:val="00D1041A"/>
    <w:rsid w:val="00D105EE"/>
    <w:rsid w:val="00D10F62"/>
    <w:rsid w:val="00D1104A"/>
    <w:rsid w:val="00D119E8"/>
    <w:rsid w:val="00D11C88"/>
    <w:rsid w:val="00D11D20"/>
    <w:rsid w:val="00D11F0F"/>
    <w:rsid w:val="00D122F9"/>
    <w:rsid w:val="00D12D87"/>
    <w:rsid w:val="00D12DBF"/>
    <w:rsid w:val="00D12F24"/>
    <w:rsid w:val="00D134B3"/>
    <w:rsid w:val="00D13EF0"/>
    <w:rsid w:val="00D14186"/>
    <w:rsid w:val="00D141E9"/>
    <w:rsid w:val="00D143C5"/>
    <w:rsid w:val="00D144CA"/>
    <w:rsid w:val="00D1451B"/>
    <w:rsid w:val="00D14982"/>
    <w:rsid w:val="00D14F32"/>
    <w:rsid w:val="00D15116"/>
    <w:rsid w:val="00D15135"/>
    <w:rsid w:val="00D157D1"/>
    <w:rsid w:val="00D15CD8"/>
    <w:rsid w:val="00D162F1"/>
    <w:rsid w:val="00D16B74"/>
    <w:rsid w:val="00D170F2"/>
    <w:rsid w:val="00D173DE"/>
    <w:rsid w:val="00D1758B"/>
    <w:rsid w:val="00D17C1B"/>
    <w:rsid w:val="00D2042F"/>
    <w:rsid w:val="00D205CD"/>
    <w:rsid w:val="00D20F46"/>
    <w:rsid w:val="00D21FEE"/>
    <w:rsid w:val="00D22138"/>
    <w:rsid w:val="00D22680"/>
    <w:rsid w:val="00D2283B"/>
    <w:rsid w:val="00D23107"/>
    <w:rsid w:val="00D23CBC"/>
    <w:rsid w:val="00D23CD3"/>
    <w:rsid w:val="00D23EA0"/>
    <w:rsid w:val="00D23FBE"/>
    <w:rsid w:val="00D24265"/>
    <w:rsid w:val="00D24880"/>
    <w:rsid w:val="00D24AAB"/>
    <w:rsid w:val="00D25278"/>
    <w:rsid w:val="00D256DF"/>
    <w:rsid w:val="00D269FA"/>
    <w:rsid w:val="00D26A8A"/>
    <w:rsid w:val="00D27A0B"/>
    <w:rsid w:val="00D27B36"/>
    <w:rsid w:val="00D30869"/>
    <w:rsid w:val="00D30D61"/>
    <w:rsid w:val="00D30DE3"/>
    <w:rsid w:val="00D318B8"/>
    <w:rsid w:val="00D323DE"/>
    <w:rsid w:val="00D328D4"/>
    <w:rsid w:val="00D329FE"/>
    <w:rsid w:val="00D32D58"/>
    <w:rsid w:val="00D33422"/>
    <w:rsid w:val="00D336AA"/>
    <w:rsid w:val="00D336B0"/>
    <w:rsid w:val="00D33A35"/>
    <w:rsid w:val="00D33E1C"/>
    <w:rsid w:val="00D35546"/>
    <w:rsid w:val="00D3586B"/>
    <w:rsid w:val="00D358D5"/>
    <w:rsid w:val="00D3598C"/>
    <w:rsid w:val="00D35C41"/>
    <w:rsid w:val="00D36209"/>
    <w:rsid w:val="00D36270"/>
    <w:rsid w:val="00D365D7"/>
    <w:rsid w:val="00D36C4D"/>
    <w:rsid w:val="00D36CB2"/>
    <w:rsid w:val="00D36D65"/>
    <w:rsid w:val="00D37657"/>
    <w:rsid w:val="00D379A9"/>
    <w:rsid w:val="00D379C6"/>
    <w:rsid w:val="00D37E82"/>
    <w:rsid w:val="00D37EE5"/>
    <w:rsid w:val="00D37F36"/>
    <w:rsid w:val="00D40765"/>
    <w:rsid w:val="00D408E4"/>
    <w:rsid w:val="00D41004"/>
    <w:rsid w:val="00D417A5"/>
    <w:rsid w:val="00D418C2"/>
    <w:rsid w:val="00D41E27"/>
    <w:rsid w:val="00D42DBC"/>
    <w:rsid w:val="00D42F46"/>
    <w:rsid w:val="00D43497"/>
    <w:rsid w:val="00D43C96"/>
    <w:rsid w:val="00D43F3C"/>
    <w:rsid w:val="00D447C4"/>
    <w:rsid w:val="00D44F47"/>
    <w:rsid w:val="00D44FC9"/>
    <w:rsid w:val="00D4511C"/>
    <w:rsid w:val="00D4511D"/>
    <w:rsid w:val="00D45339"/>
    <w:rsid w:val="00D45E02"/>
    <w:rsid w:val="00D46549"/>
    <w:rsid w:val="00D466BF"/>
    <w:rsid w:val="00D46A5B"/>
    <w:rsid w:val="00D46E51"/>
    <w:rsid w:val="00D47170"/>
    <w:rsid w:val="00D47506"/>
    <w:rsid w:val="00D4758D"/>
    <w:rsid w:val="00D50008"/>
    <w:rsid w:val="00D50946"/>
    <w:rsid w:val="00D50E49"/>
    <w:rsid w:val="00D512E7"/>
    <w:rsid w:val="00D5132B"/>
    <w:rsid w:val="00D513FA"/>
    <w:rsid w:val="00D51641"/>
    <w:rsid w:val="00D51BA2"/>
    <w:rsid w:val="00D524E1"/>
    <w:rsid w:val="00D52654"/>
    <w:rsid w:val="00D52ECE"/>
    <w:rsid w:val="00D52F10"/>
    <w:rsid w:val="00D53B51"/>
    <w:rsid w:val="00D53BCA"/>
    <w:rsid w:val="00D53D5D"/>
    <w:rsid w:val="00D54024"/>
    <w:rsid w:val="00D542AC"/>
    <w:rsid w:val="00D545D4"/>
    <w:rsid w:val="00D54675"/>
    <w:rsid w:val="00D552F8"/>
    <w:rsid w:val="00D5569E"/>
    <w:rsid w:val="00D55D2D"/>
    <w:rsid w:val="00D55FD7"/>
    <w:rsid w:val="00D56B7D"/>
    <w:rsid w:val="00D5709A"/>
    <w:rsid w:val="00D5753E"/>
    <w:rsid w:val="00D5773A"/>
    <w:rsid w:val="00D5F748"/>
    <w:rsid w:val="00D603D8"/>
    <w:rsid w:val="00D61727"/>
    <w:rsid w:val="00D61DC5"/>
    <w:rsid w:val="00D61F7C"/>
    <w:rsid w:val="00D622DC"/>
    <w:rsid w:val="00D6252B"/>
    <w:rsid w:val="00D625A3"/>
    <w:rsid w:val="00D62709"/>
    <w:rsid w:val="00D62972"/>
    <w:rsid w:val="00D62C85"/>
    <w:rsid w:val="00D62FA4"/>
    <w:rsid w:val="00D63431"/>
    <w:rsid w:val="00D63A9F"/>
    <w:rsid w:val="00D63B99"/>
    <w:rsid w:val="00D63D72"/>
    <w:rsid w:val="00D64A64"/>
    <w:rsid w:val="00D64FE5"/>
    <w:rsid w:val="00D652F2"/>
    <w:rsid w:val="00D655B3"/>
    <w:rsid w:val="00D66154"/>
    <w:rsid w:val="00D66462"/>
    <w:rsid w:val="00D67334"/>
    <w:rsid w:val="00D67517"/>
    <w:rsid w:val="00D67715"/>
    <w:rsid w:val="00D679EC"/>
    <w:rsid w:val="00D67E6A"/>
    <w:rsid w:val="00D67F71"/>
    <w:rsid w:val="00D7029D"/>
    <w:rsid w:val="00D70627"/>
    <w:rsid w:val="00D70D9B"/>
    <w:rsid w:val="00D71186"/>
    <w:rsid w:val="00D717F5"/>
    <w:rsid w:val="00D71A1F"/>
    <w:rsid w:val="00D71A85"/>
    <w:rsid w:val="00D72496"/>
    <w:rsid w:val="00D7272C"/>
    <w:rsid w:val="00D72842"/>
    <w:rsid w:val="00D72B6D"/>
    <w:rsid w:val="00D72DF9"/>
    <w:rsid w:val="00D72EB1"/>
    <w:rsid w:val="00D73580"/>
    <w:rsid w:val="00D73788"/>
    <w:rsid w:val="00D74232"/>
    <w:rsid w:val="00D74E10"/>
    <w:rsid w:val="00D74FD3"/>
    <w:rsid w:val="00D75460"/>
    <w:rsid w:val="00D757BE"/>
    <w:rsid w:val="00D75AB5"/>
    <w:rsid w:val="00D75DCA"/>
    <w:rsid w:val="00D761CA"/>
    <w:rsid w:val="00D761CD"/>
    <w:rsid w:val="00D7635D"/>
    <w:rsid w:val="00D763AC"/>
    <w:rsid w:val="00D76BFC"/>
    <w:rsid w:val="00D76DD8"/>
    <w:rsid w:val="00D77025"/>
    <w:rsid w:val="00D7748A"/>
    <w:rsid w:val="00D7751C"/>
    <w:rsid w:val="00D779C3"/>
    <w:rsid w:val="00D77CD1"/>
    <w:rsid w:val="00D80420"/>
    <w:rsid w:val="00D8053E"/>
    <w:rsid w:val="00D80B48"/>
    <w:rsid w:val="00D81134"/>
    <w:rsid w:val="00D813D7"/>
    <w:rsid w:val="00D815D6"/>
    <w:rsid w:val="00D81F79"/>
    <w:rsid w:val="00D82313"/>
    <w:rsid w:val="00D823CE"/>
    <w:rsid w:val="00D82630"/>
    <w:rsid w:val="00D8450D"/>
    <w:rsid w:val="00D85152"/>
    <w:rsid w:val="00D85A08"/>
    <w:rsid w:val="00D85C6A"/>
    <w:rsid w:val="00D85FE8"/>
    <w:rsid w:val="00D860C8"/>
    <w:rsid w:val="00D86405"/>
    <w:rsid w:val="00D868ED"/>
    <w:rsid w:val="00D86A72"/>
    <w:rsid w:val="00D86A83"/>
    <w:rsid w:val="00D86B59"/>
    <w:rsid w:val="00D86BFB"/>
    <w:rsid w:val="00D86D3B"/>
    <w:rsid w:val="00D86D7B"/>
    <w:rsid w:val="00D86E29"/>
    <w:rsid w:val="00D8738E"/>
    <w:rsid w:val="00D87743"/>
    <w:rsid w:val="00D87AB0"/>
    <w:rsid w:val="00D87B5A"/>
    <w:rsid w:val="00D9046C"/>
    <w:rsid w:val="00D9055D"/>
    <w:rsid w:val="00D9078E"/>
    <w:rsid w:val="00D909E2"/>
    <w:rsid w:val="00D91221"/>
    <w:rsid w:val="00D914A7"/>
    <w:rsid w:val="00D919C8"/>
    <w:rsid w:val="00D919F1"/>
    <w:rsid w:val="00D91A79"/>
    <w:rsid w:val="00D91B95"/>
    <w:rsid w:val="00D91D06"/>
    <w:rsid w:val="00D9270E"/>
    <w:rsid w:val="00D92F9F"/>
    <w:rsid w:val="00D93036"/>
    <w:rsid w:val="00D9396B"/>
    <w:rsid w:val="00D93A5F"/>
    <w:rsid w:val="00D945B2"/>
    <w:rsid w:val="00D94EBE"/>
    <w:rsid w:val="00D94FEE"/>
    <w:rsid w:val="00D95106"/>
    <w:rsid w:val="00D954FE"/>
    <w:rsid w:val="00D95B8C"/>
    <w:rsid w:val="00D95F2A"/>
    <w:rsid w:val="00D96043"/>
    <w:rsid w:val="00D96590"/>
    <w:rsid w:val="00D96B93"/>
    <w:rsid w:val="00D96E85"/>
    <w:rsid w:val="00D96F5B"/>
    <w:rsid w:val="00D9721A"/>
    <w:rsid w:val="00D97444"/>
    <w:rsid w:val="00D974B8"/>
    <w:rsid w:val="00D977A1"/>
    <w:rsid w:val="00DA015F"/>
    <w:rsid w:val="00DA06A8"/>
    <w:rsid w:val="00DA0C85"/>
    <w:rsid w:val="00DA0E37"/>
    <w:rsid w:val="00DA111A"/>
    <w:rsid w:val="00DA16D2"/>
    <w:rsid w:val="00DA18B3"/>
    <w:rsid w:val="00DA1D22"/>
    <w:rsid w:val="00DA1E5B"/>
    <w:rsid w:val="00DA208A"/>
    <w:rsid w:val="00DA20CA"/>
    <w:rsid w:val="00DA220B"/>
    <w:rsid w:val="00DA2788"/>
    <w:rsid w:val="00DA2E17"/>
    <w:rsid w:val="00DA2FED"/>
    <w:rsid w:val="00DA31FF"/>
    <w:rsid w:val="00DA380A"/>
    <w:rsid w:val="00DA3A62"/>
    <w:rsid w:val="00DA3F54"/>
    <w:rsid w:val="00DA4653"/>
    <w:rsid w:val="00DA4A8E"/>
    <w:rsid w:val="00DA4B8A"/>
    <w:rsid w:val="00DA4C16"/>
    <w:rsid w:val="00DA4D36"/>
    <w:rsid w:val="00DA4EAF"/>
    <w:rsid w:val="00DA5002"/>
    <w:rsid w:val="00DA54D5"/>
    <w:rsid w:val="00DA5BBD"/>
    <w:rsid w:val="00DA6241"/>
    <w:rsid w:val="00DA635D"/>
    <w:rsid w:val="00DA655A"/>
    <w:rsid w:val="00DA6A03"/>
    <w:rsid w:val="00DA6A77"/>
    <w:rsid w:val="00DA6F0E"/>
    <w:rsid w:val="00DA70B4"/>
    <w:rsid w:val="00DA71C5"/>
    <w:rsid w:val="00DA79F1"/>
    <w:rsid w:val="00DA7F68"/>
    <w:rsid w:val="00DB01C3"/>
    <w:rsid w:val="00DB01D7"/>
    <w:rsid w:val="00DB07B5"/>
    <w:rsid w:val="00DB1581"/>
    <w:rsid w:val="00DB189C"/>
    <w:rsid w:val="00DB1AAF"/>
    <w:rsid w:val="00DB2469"/>
    <w:rsid w:val="00DB2934"/>
    <w:rsid w:val="00DB3288"/>
    <w:rsid w:val="00DB328B"/>
    <w:rsid w:val="00DB3438"/>
    <w:rsid w:val="00DB36B9"/>
    <w:rsid w:val="00DB3B66"/>
    <w:rsid w:val="00DB40A1"/>
    <w:rsid w:val="00DB5C88"/>
    <w:rsid w:val="00DB5D51"/>
    <w:rsid w:val="00DB6144"/>
    <w:rsid w:val="00DB63DB"/>
    <w:rsid w:val="00DB6674"/>
    <w:rsid w:val="00DB667E"/>
    <w:rsid w:val="00DB6794"/>
    <w:rsid w:val="00DB6DB4"/>
    <w:rsid w:val="00DB6ECE"/>
    <w:rsid w:val="00DB723D"/>
    <w:rsid w:val="00DB7292"/>
    <w:rsid w:val="00DB741F"/>
    <w:rsid w:val="00DC015B"/>
    <w:rsid w:val="00DC0187"/>
    <w:rsid w:val="00DC0552"/>
    <w:rsid w:val="00DC0D9A"/>
    <w:rsid w:val="00DC171F"/>
    <w:rsid w:val="00DC1C99"/>
    <w:rsid w:val="00DC1CF3"/>
    <w:rsid w:val="00DC2549"/>
    <w:rsid w:val="00DC2AC1"/>
    <w:rsid w:val="00DC3400"/>
    <w:rsid w:val="00DC3A64"/>
    <w:rsid w:val="00DC4680"/>
    <w:rsid w:val="00DC47EE"/>
    <w:rsid w:val="00DC4AAC"/>
    <w:rsid w:val="00DC54F4"/>
    <w:rsid w:val="00DC579E"/>
    <w:rsid w:val="00DC59B7"/>
    <w:rsid w:val="00DC6FD4"/>
    <w:rsid w:val="00DC7623"/>
    <w:rsid w:val="00DC76FA"/>
    <w:rsid w:val="00DD0247"/>
    <w:rsid w:val="00DD04C4"/>
    <w:rsid w:val="00DD0759"/>
    <w:rsid w:val="00DD0973"/>
    <w:rsid w:val="00DD0DD4"/>
    <w:rsid w:val="00DD1869"/>
    <w:rsid w:val="00DD1B54"/>
    <w:rsid w:val="00DD1DC7"/>
    <w:rsid w:val="00DD1EC6"/>
    <w:rsid w:val="00DD1EF3"/>
    <w:rsid w:val="00DD212A"/>
    <w:rsid w:val="00DD22A5"/>
    <w:rsid w:val="00DD23EC"/>
    <w:rsid w:val="00DD250B"/>
    <w:rsid w:val="00DD2635"/>
    <w:rsid w:val="00DD26D2"/>
    <w:rsid w:val="00DD273E"/>
    <w:rsid w:val="00DD2A37"/>
    <w:rsid w:val="00DD2A65"/>
    <w:rsid w:val="00DD2BA9"/>
    <w:rsid w:val="00DD2E7D"/>
    <w:rsid w:val="00DD335C"/>
    <w:rsid w:val="00DD33D1"/>
    <w:rsid w:val="00DD33F2"/>
    <w:rsid w:val="00DD3574"/>
    <w:rsid w:val="00DD3E64"/>
    <w:rsid w:val="00DD524B"/>
    <w:rsid w:val="00DD53E9"/>
    <w:rsid w:val="00DD62BA"/>
    <w:rsid w:val="00DD64D3"/>
    <w:rsid w:val="00DD6604"/>
    <w:rsid w:val="00DD677B"/>
    <w:rsid w:val="00DD67D7"/>
    <w:rsid w:val="00DD6B02"/>
    <w:rsid w:val="00DD6D2E"/>
    <w:rsid w:val="00DD7245"/>
    <w:rsid w:val="00DD7A84"/>
    <w:rsid w:val="00DD7D2B"/>
    <w:rsid w:val="00DE090D"/>
    <w:rsid w:val="00DE0FF7"/>
    <w:rsid w:val="00DE151B"/>
    <w:rsid w:val="00DE151E"/>
    <w:rsid w:val="00DE1955"/>
    <w:rsid w:val="00DE1CBD"/>
    <w:rsid w:val="00DE2516"/>
    <w:rsid w:val="00DE261A"/>
    <w:rsid w:val="00DE2F4E"/>
    <w:rsid w:val="00DE41D1"/>
    <w:rsid w:val="00DE45D8"/>
    <w:rsid w:val="00DE45E9"/>
    <w:rsid w:val="00DE53E1"/>
    <w:rsid w:val="00DE547A"/>
    <w:rsid w:val="00DE56C2"/>
    <w:rsid w:val="00DE57D1"/>
    <w:rsid w:val="00DE6142"/>
    <w:rsid w:val="00DE614E"/>
    <w:rsid w:val="00DE61D6"/>
    <w:rsid w:val="00DE6462"/>
    <w:rsid w:val="00DE69F4"/>
    <w:rsid w:val="00DE6E06"/>
    <w:rsid w:val="00DE6ED8"/>
    <w:rsid w:val="00DE7A4D"/>
    <w:rsid w:val="00DE7E0B"/>
    <w:rsid w:val="00DF0969"/>
    <w:rsid w:val="00DF168B"/>
    <w:rsid w:val="00DF1E61"/>
    <w:rsid w:val="00DF2040"/>
    <w:rsid w:val="00DF20D4"/>
    <w:rsid w:val="00DF25EF"/>
    <w:rsid w:val="00DF27A8"/>
    <w:rsid w:val="00DF2A48"/>
    <w:rsid w:val="00DF2F66"/>
    <w:rsid w:val="00DF3271"/>
    <w:rsid w:val="00DF34CF"/>
    <w:rsid w:val="00DF34D1"/>
    <w:rsid w:val="00DF37AE"/>
    <w:rsid w:val="00DF3ADA"/>
    <w:rsid w:val="00DF4AF1"/>
    <w:rsid w:val="00DF4CD0"/>
    <w:rsid w:val="00DF50BD"/>
    <w:rsid w:val="00DF520D"/>
    <w:rsid w:val="00DF52B0"/>
    <w:rsid w:val="00DF640D"/>
    <w:rsid w:val="00DF69E9"/>
    <w:rsid w:val="00DF71C9"/>
    <w:rsid w:val="00DF74D1"/>
    <w:rsid w:val="00E00A21"/>
    <w:rsid w:val="00E00BAE"/>
    <w:rsid w:val="00E00D89"/>
    <w:rsid w:val="00E01BEB"/>
    <w:rsid w:val="00E01D3E"/>
    <w:rsid w:val="00E01EF0"/>
    <w:rsid w:val="00E022BB"/>
    <w:rsid w:val="00E0231D"/>
    <w:rsid w:val="00E02AAC"/>
    <w:rsid w:val="00E0335C"/>
    <w:rsid w:val="00E035CC"/>
    <w:rsid w:val="00E039E4"/>
    <w:rsid w:val="00E03A64"/>
    <w:rsid w:val="00E03F6C"/>
    <w:rsid w:val="00E0478F"/>
    <w:rsid w:val="00E047F0"/>
    <w:rsid w:val="00E05312"/>
    <w:rsid w:val="00E05330"/>
    <w:rsid w:val="00E055A4"/>
    <w:rsid w:val="00E06917"/>
    <w:rsid w:val="00E06B8B"/>
    <w:rsid w:val="00E06FC2"/>
    <w:rsid w:val="00E07043"/>
    <w:rsid w:val="00E0720C"/>
    <w:rsid w:val="00E07BE2"/>
    <w:rsid w:val="00E105A8"/>
    <w:rsid w:val="00E106BA"/>
    <w:rsid w:val="00E10785"/>
    <w:rsid w:val="00E10B74"/>
    <w:rsid w:val="00E10F79"/>
    <w:rsid w:val="00E11703"/>
    <w:rsid w:val="00E11B32"/>
    <w:rsid w:val="00E11EAB"/>
    <w:rsid w:val="00E1205F"/>
    <w:rsid w:val="00E12272"/>
    <w:rsid w:val="00E12284"/>
    <w:rsid w:val="00E12377"/>
    <w:rsid w:val="00E12706"/>
    <w:rsid w:val="00E12923"/>
    <w:rsid w:val="00E12FB5"/>
    <w:rsid w:val="00E131A1"/>
    <w:rsid w:val="00E13674"/>
    <w:rsid w:val="00E13E5A"/>
    <w:rsid w:val="00E14641"/>
    <w:rsid w:val="00E1524F"/>
    <w:rsid w:val="00E15902"/>
    <w:rsid w:val="00E164BD"/>
    <w:rsid w:val="00E16AEE"/>
    <w:rsid w:val="00E16D5F"/>
    <w:rsid w:val="00E17239"/>
    <w:rsid w:val="00E17329"/>
    <w:rsid w:val="00E17703"/>
    <w:rsid w:val="00E178BE"/>
    <w:rsid w:val="00E17D7B"/>
    <w:rsid w:val="00E17DC0"/>
    <w:rsid w:val="00E17EB4"/>
    <w:rsid w:val="00E17FA3"/>
    <w:rsid w:val="00E20830"/>
    <w:rsid w:val="00E20B33"/>
    <w:rsid w:val="00E210E2"/>
    <w:rsid w:val="00E212C2"/>
    <w:rsid w:val="00E215B8"/>
    <w:rsid w:val="00E217C0"/>
    <w:rsid w:val="00E219A8"/>
    <w:rsid w:val="00E21A06"/>
    <w:rsid w:val="00E21B77"/>
    <w:rsid w:val="00E21C03"/>
    <w:rsid w:val="00E21E37"/>
    <w:rsid w:val="00E224CC"/>
    <w:rsid w:val="00E228C4"/>
    <w:rsid w:val="00E22B13"/>
    <w:rsid w:val="00E22DE1"/>
    <w:rsid w:val="00E231EC"/>
    <w:rsid w:val="00E2333F"/>
    <w:rsid w:val="00E234C0"/>
    <w:rsid w:val="00E23A51"/>
    <w:rsid w:val="00E23E66"/>
    <w:rsid w:val="00E24771"/>
    <w:rsid w:val="00E24B18"/>
    <w:rsid w:val="00E24BEC"/>
    <w:rsid w:val="00E24F18"/>
    <w:rsid w:val="00E254A6"/>
    <w:rsid w:val="00E25F43"/>
    <w:rsid w:val="00E25F59"/>
    <w:rsid w:val="00E25F97"/>
    <w:rsid w:val="00E25FEB"/>
    <w:rsid w:val="00E265B4"/>
    <w:rsid w:val="00E266F7"/>
    <w:rsid w:val="00E26764"/>
    <w:rsid w:val="00E26EA5"/>
    <w:rsid w:val="00E26EEA"/>
    <w:rsid w:val="00E2735F"/>
    <w:rsid w:val="00E27DB4"/>
    <w:rsid w:val="00E32E11"/>
    <w:rsid w:val="00E33436"/>
    <w:rsid w:val="00E337D2"/>
    <w:rsid w:val="00E33966"/>
    <w:rsid w:val="00E339AA"/>
    <w:rsid w:val="00E33E66"/>
    <w:rsid w:val="00E34593"/>
    <w:rsid w:val="00E34A44"/>
    <w:rsid w:val="00E34C8C"/>
    <w:rsid w:val="00E353FD"/>
    <w:rsid w:val="00E35580"/>
    <w:rsid w:val="00E3586B"/>
    <w:rsid w:val="00E35E73"/>
    <w:rsid w:val="00E3682B"/>
    <w:rsid w:val="00E36920"/>
    <w:rsid w:val="00E36BFC"/>
    <w:rsid w:val="00E36D9E"/>
    <w:rsid w:val="00E36DE5"/>
    <w:rsid w:val="00E371C0"/>
    <w:rsid w:val="00E373C3"/>
    <w:rsid w:val="00E374F8"/>
    <w:rsid w:val="00E37827"/>
    <w:rsid w:val="00E4013B"/>
    <w:rsid w:val="00E408BA"/>
    <w:rsid w:val="00E40C28"/>
    <w:rsid w:val="00E40C57"/>
    <w:rsid w:val="00E40EB5"/>
    <w:rsid w:val="00E41431"/>
    <w:rsid w:val="00E4165C"/>
    <w:rsid w:val="00E41B14"/>
    <w:rsid w:val="00E41FC3"/>
    <w:rsid w:val="00E420F8"/>
    <w:rsid w:val="00E42476"/>
    <w:rsid w:val="00E4249D"/>
    <w:rsid w:val="00E4291E"/>
    <w:rsid w:val="00E42B14"/>
    <w:rsid w:val="00E437C7"/>
    <w:rsid w:val="00E437CD"/>
    <w:rsid w:val="00E43CA5"/>
    <w:rsid w:val="00E43D73"/>
    <w:rsid w:val="00E43F3A"/>
    <w:rsid w:val="00E4410E"/>
    <w:rsid w:val="00E44238"/>
    <w:rsid w:val="00E443B8"/>
    <w:rsid w:val="00E44486"/>
    <w:rsid w:val="00E4453A"/>
    <w:rsid w:val="00E448E8"/>
    <w:rsid w:val="00E44C29"/>
    <w:rsid w:val="00E44F9F"/>
    <w:rsid w:val="00E454B0"/>
    <w:rsid w:val="00E45558"/>
    <w:rsid w:val="00E4575F"/>
    <w:rsid w:val="00E45A28"/>
    <w:rsid w:val="00E45C66"/>
    <w:rsid w:val="00E45CA7"/>
    <w:rsid w:val="00E45D8E"/>
    <w:rsid w:val="00E45FB4"/>
    <w:rsid w:val="00E45FCD"/>
    <w:rsid w:val="00E45FE8"/>
    <w:rsid w:val="00E462DC"/>
    <w:rsid w:val="00E4649D"/>
    <w:rsid w:val="00E46AF8"/>
    <w:rsid w:val="00E46D20"/>
    <w:rsid w:val="00E46FB1"/>
    <w:rsid w:val="00E47A09"/>
    <w:rsid w:val="00E47B29"/>
    <w:rsid w:val="00E47C73"/>
    <w:rsid w:val="00E47D1D"/>
    <w:rsid w:val="00E47D52"/>
    <w:rsid w:val="00E47EF6"/>
    <w:rsid w:val="00E50074"/>
    <w:rsid w:val="00E5053D"/>
    <w:rsid w:val="00E506A8"/>
    <w:rsid w:val="00E5071A"/>
    <w:rsid w:val="00E50ED3"/>
    <w:rsid w:val="00E51346"/>
    <w:rsid w:val="00E51723"/>
    <w:rsid w:val="00E51970"/>
    <w:rsid w:val="00E51A50"/>
    <w:rsid w:val="00E51F35"/>
    <w:rsid w:val="00E5213E"/>
    <w:rsid w:val="00E5312A"/>
    <w:rsid w:val="00E53C9C"/>
    <w:rsid w:val="00E5496D"/>
    <w:rsid w:val="00E54C45"/>
    <w:rsid w:val="00E5539D"/>
    <w:rsid w:val="00E56C07"/>
    <w:rsid w:val="00E56CB5"/>
    <w:rsid w:val="00E56D78"/>
    <w:rsid w:val="00E57213"/>
    <w:rsid w:val="00E5770D"/>
    <w:rsid w:val="00E6005E"/>
    <w:rsid w:val="00E602D2"/>
    <w:rsid w:val="00E60D4D"/>
    <w:rsid w:val="00E60DF5"/>
    <w:rsid w:val="00E61005"/>
    <w:rsid w:val="00E610F8"/>
    <w:rsid w:val="00E613D4"/>
    <w:rsid w:val="00E6195A"/>
    <w:rsid w:val="00E62A27"/>
    <w:rsid w:val="00E62EC8"/>
    <w:rsid w:val="00E632DA"/>
    <w:rsid w:val="00E633F1"/>
    <w:rsid w:val="00E6340D"/>
    <w:rsid w:val="00E63927"/>
    <w:rsid w:val="00E63A8B"/>
    <w:rsid w:val="00E64314"/>
    <w:rsid w:val="00E64420"/>
    <w:rsid w:val="00E650F6"/>
    <w:rsid w:val="00E6565C"/>
    <w:rsid w:val="00E6598D"/>
    <w:rsid w:val="00E65D0C"/>
    <w:rsid w:val="00E65E74"/>
    <w:rsid w:val="00E65E98"/>
    <w:rsid w:val="00E662B7"/>
    <w:rsid w:val="00E66413"/>
    <w:rsid w:val="00E6672B"/>
    <w:rsid w:val="00E66828"/>
    <w:rsid w:val="00E66926"/>
    <w:rsid w:val="00E669A2"/>
    <w:rsid w:val="00E66BCE"/>
    <w:rsid w:val="00E671D5"/>
    <w:rsid w:val="00E6799F"/>
    <w:rsid w:val="00E67E91"/>
    <w:rsid w:val="00E7066C"/>
    <w:rsid w:val="00E70882"/>
    <w:rsid w:val="00E70A75"/>
    <w:rsid w:val="00E71674"/>
    <w:rsid w:val="00E719CB"/>
    <w:rsid w:val="00E71C94"/>
    <w:rsid w:val="00E71D19"/>
    <w:rsid w:val="00E7228B"/>
    <w:rsid w:val="00E72C61"/>
    <w:rsid w:val="00E73DF0"/>
    <w:rsid w:val="00E7418E"/>
    <w:rsid w:val="00E742FA"/>
    <w:rsid w:val="00E7432A"/>
    <w:rsid w:val="00E745A2"/>
    <w:rsid w:val="00E747FA"/>
    <w:rsid w:val="00E74B5A"/>
    <w:rsid w:val="00E75242"/>
    <w:rsid w:val="00E75313"/>
    <w:rsid w:val="00E754B4"/>
    <w:rsid w:val="00E75F62"/>
    <w:rsid w:val="00E763C7"/>
    <w:rsid w:val="00E76819"/>
    <w:rsid w:val="00E77050"/>
    <w:rsid w:val="00E77249"/>
    <w:rsid w:val="00E77625"/>
    <w:rsid w:val="00E7779C"/>
    <w:rsid w:val="00E8050F"/>
    <w:rsid w:val="00E8065B"/>
    <w:rsid w:val="00E81542"/>
    <w:rsid w:val="00E8170E"/>
    <w:rsid w:val="00E82281"/>
    <w:rsid w:val="00E82ABF"/>
    <w:rsid w:val="00E82C10"/>
    <w:rsid w:val="00E8300C"/>
    <w:rsid w:val="00E8310F"/>
    <w:rsid w:val="00E8379E"/>
    <w:rsid w:val="00E83BF0"/>
    <w:rsid w:val="00E83D5A"/>
    <w:rsid w:val="00E84058"/>
    <w:rsid w:val="00E843E2"/>
    <w:rsid w:val="00E844CE"/>
    <w:rsid w:val="00E8464B"/>
    <w:rsid w:val="00E846CC"/>
    <w:rsid w:val="00E84888"/>
    <w:rsid w:val="00E851A4"/>
    <w:rsid w:val="00E8523F"/>
    <w:rsid w:val="00E85304"/>
    <w:rsid w:val="00E854E1"/>
    <w:rsid w:val="00E855CE"/>
    <w:rsid w:val="00E85A04"/>
    <w:rsid w:val="00E85B0F"/>
    <w:rsid w:val="00E8617A"/>
    <w:rsid w:val="00E86C27"/>
    <w:rsid w:val="00E872FC"/>
    <w:rsid w:val="00E87C5D"/>
    <w:rsid w:val="00E90654"/>
    <w:rsid w:val="00E90B93"/>
    <w:rsid w:val="00E9214B"/>
    <w:rsid w:val="00E92350"/>
    <w:rsid w:val="00E92807"/>
    <w:rsid w:val="00E9285C"/>
    <w:rsid w:val="00E928FD"/>
    <w:rsid w:val="00E92927"/>
    <w:rsid w:val="00E92CC0"/>
    <w:rsid w:val="00E92FE2"/>
    <w:rsid w:val="00E93145"/>
    <w:rsid w:val="00E93336"/>
    <w:rsid w:val="00E93DD2"/>
    <w:rsid w:val="00E944E5"/>
    <w:rsid w:val="00E947E8"/>
    <w:rsid w:val="00E9486C"/>
    <w:rsid w:val="00E949DA"/>
    <w:rsid w:val="00E94CF1"/>
    <w:rsid w:val="00E95362"/>
    <w:rsid w:val="00E954F9"/>
    <w:rsid w:val="00E95673"/>
    <w:rsid w:val="00E956B5"/>
    <w:rsid w:val="00E96789"/>
    <w:rsid w:val="00E9682D"/>
    <w:rsid w:val="00E9682E"/>
    <w:rsid w:val="00E97698"/>
    <w:rsid w:val="00EA00CC"/>
    <w:rsid w:val="00EA0242"/>
    <w:rsid w:val="00EA03C9"/>
    <w:rsid w:val="00EA08F8"/>
    <w:rsid w:val="00EA0B4E"/>
    <w:rsid w:val="00EA0DCF"/>
    <w:rsid w:val="00EA0E4D"/>
    <w:rsid w:val="00EA1ED5"/>
    <w:rsid w:val="00EA1FE2"/>
    <w:rsid w:val="00EA3838"/>
    <w:rsid w:val="00EA3CAF"/>
    <w:rsid w:val="00EA4181"/>
    <w:rsid w:val="00EA496D"/>
    <w:rsid w:val="00EA4D12"/>
    <w:rsid w:val="00EA4DD4"/>
    <w:rsid w:val="00EA4F5D"/>
    <w:rsid w:val="00EA539F"/>
    <w:rsid w:val="00EA542B"/>
    <w:rsid w:val="00EA6542"/>
    <w:rsid w:val="00EA6BFB"/>
    <w:rsid w:val="00EA6C04"/>
    <w:rsid w:val="00EA75F5"/>
    <w:rsid w:val="00EA7601"/>
    <w:rsid w:val="00EA764D"/>
    <w:rsid w:val="00EA787F"/>
    <w:rsid w:val="00EA7AC2"/>
    <w:rsid w:val="00EB0550"/>
    <w:rsid w:val="00EB0970"/>
    <w:rsid w:val="00EB1E63"/>
    <w:rsid w:val="00EB200C"/>
    <w:rsid w:val="00EB2658"/>
    <w:rsid w:val="00EB2BEF"/>
    <w:rsid w:val="00EB2DF3"/>
    <w:rsid w:val="00EB2F0E"/>
    <w:rsid w:val="00EB3E59"/>
    <w:rsid w:val="00EB4A0E"/>
    <w:rsid w:val="00EB4A28"/>
    <w:rsid w:val="00EB4A95"/>
    <w:rsid w:val="00EB4FBE"/>
    <w:rsid w:val="00EB5033"/>
    <w:rsid w:val="00EB52AA"/>
    <w:rsid w:val="00EB53AC"/>
    <w:rsid w:val="00EB5510"/>
    <w:rsid w:val="00EB5A96"/>
    <w:rsid w:val="00EB620E"/>
    <w:rsid w:val="00EB69FC"/>
    <w:rsid w:val="00EB6B55"/>
    <w:rsid w:val="00EB6B95"/>
    <w:rsid w:val="00EB738F"/>
    <w:rsid w:val="00EB74A0"/>
    <w:rsid w:val="00EB775D"/>
    <w:rsid w:val="00EC0221"/>
    <w:rsid w:val="00EC02DC"/>
    <w:rsid w:val="00EC0398"/>
    <w:rsid w:val="00EC06C2"/>
    <w:rsid w:val="00EC09D4"/>
    <w:rsid w:val="00EC0BE3"/>
    <w:rsid w:val="00EC0BF9"/>
    <w:rsid w:val="00EC1305"/>
    <w:rsid w:val="00EC18A7"/>
    <w:rsid w:val="00EC2034"/>
    <w:rsid w:val="00EC2063"/>
    <w:rsid w:val="00EC213B"/>
    <w:rsid w:val="00EC21AF"/>
    <w:rsid w:val="00EC21DE"/>
    <w:rsid w:val="00EC23CA"/>
    <w:rsid w:val="00EC2BA9"/>
    <w:rsid w:val="00EC2E79"/>
    <w:rsid w:val="00EC2F7D"/>
    <w:rsid w:val="00EC352B"/>
    <w:rsid w:val="00EC40B9"/>
    <w:rsid w:val="00EC421A"/>
    <w:rsid w:val="00EC4B23"/>
    <w:rsid w:val="00EC4EA2"/>
    <w:rsid w:val="00EC57F6"/>
    <w:rsid w:val="00EC665C"/>
    <w:rsid w:val="00EC66C0"/>
    <w:rsid w:val="00EC6BA5"/>
    <w:rsid w:val="00EC70A6"/>
    <w:rsid w:val="00EC715A"/>
    <w:rsid w:val="00EC769A"/>
    <w:rsid w:val="00EC7C92"/>
    <w:rsid w:val="00ED1289"/>
    <w:rsid w:val="00ED16A7"/>
    <w:rsid w:val="00ED17E5"/>
    <w:rsid w:val="00ED1BD9"/>
    <w:rsid w:val="00ED233F"/>
    <w:rsid w:val="00ED2491"/>
    <w:rsid w:val="00ED2894"/>
    <w:rsid w:val="00ED2A9D"/>
    <w:rsid w:val="00ED35AA"/>
    <w:rsid w:val="00ED38E6"/>
    <w:rsid w:val="00ED3AB7"/>
    <w:rsid w:val="00ED4768"/>
    <w:rsid w:val="00ED500F"/>
    <w:rsid w:val="00ED5160"/>
    <w:rsid w:val="00ED5203"/>
    <w:rsid w:val="00ED5475"/>
    <w:rsid w:val="00ED55D9"/>
    <w:rsid w:val="00ED584A"/>
    <w:rsid w:val="00ED5A22"/>
    <w:rsid w:val="00ED689C"/>
    <w:rsid w:val="00ED6EC0"/>
    <w:rsid w:val="00ED6F5F"/>
    <w:rsid w:val="00ED7362"/>
    <w:rsid w:val="00ED76A2"/>
    <w:rsid w:val="00ED7B3C"/>
    <w:rsid w:val="00EE05CB"/>
    <w:rsid w:val="00EE06A7"/>
    <w:rsid w:val="00EE10B1"/>
    <w:rsid w:val="00EE1F6E"/>
    <w:rsid w:val="00EE2262"/>
    <w:rsid w:val="00EE22EB"/>
    <w:rsid w:val="00EE24D3"/>
    <w:rsid w:val="00EE2C0C"/>
    <w:rsid w:val="00EE33FD"/>
    <w:rsid w:val="00EE3573"/>
    <w:rsid w:val="00EE3E2D"/>
    <w:rsid w:val="00EE4939"/>
    <w:rsid w:val="00EE51C9"/>
    <w:rsid w:val="00EE5C86"/>
    <w:rsid w:val="00EE5D39"/>
    <w:rsid w:val="00EE6CDA"/>
    <w:rsid w:val="00EE7069"/>
    <w:rsid w:val="00EE715B"/>
    <w:rsid w:val="00EE722A"/>
    <w:rsid w:val="00EE77E2"/>
    <w:rsid w:val="00EE7AF1"/>
    <w:rsid w:val="00EE7B80"/>
    <w:rsid w:val="00EF0071"/>
    <w:rsid w:val="00EF08B6"/>
    <w:rsid w:val="00EF107D"/>
    <w:rsid w:val="00EF20D8"/>
    <w:rsid w:val="00EF26E8"/>
    <w:rsid w:val="00EF29B6"/>
    <w:rsid w:val="00EF2DF0"/>
    <w:rsid w:val="00EF312E"/>
    <w:rsid w:val="00EF31D4"/>
    <w:rsid w:val="00EF35DE"/>
    <w:rsid w:val="00EF3B73"/>
    <w:rsid w:val="00EF3F96"/>
    <w:rsid w:val="00EF4189"/>
    <w:rsid w:val="00EF44EC"/>
    <w:rsid w:val="00EF457F"/>
    <w:rsid w:val="00EF4752"/>
    <w:rsid w:val="00EF487E"/>
    <w:rsid w:val="00EF4D38"/>
    <w:rsid w:val="00EF5141"/>
    <w:rsid w:val="00EF514B"/>
    <w:rsid w:val="00EF5339"/>
    <w:rsid w:val="00EF5DE0"/>
    <w:rsid w:val="00EF5ED9"/>
    <w:rsid w:val="00EF64F5"/>
    <w:rsid w:val="00EF6640"/>
    <w:rsid w:val="00EF6C41"/>
    <w:rsid w:val="00EF6CFE"/>
    <w:rsid w:val="00EF6D65"/>
    <w:rsid w:val="00EF6E54"/>
    <w:rsid w:val="00EF6E95"/>
    <w:rsid w:val="00EF71C3"/>
    <w:rsid w:val="00EF720B"/>
    <w:rsid w:val="00EF77E1"/>
    <w:rsid w:val="00EF7F24"/>
    <w:rsid w:val="00F0099F"/>
    <w:rsid w:val="00F00B82"/>
    <w:rsid w:val="00F00DB1"/>
    <w:rsid w:val="00F01049"/>
    <w:rsid w:val="00F0117E"/>
    <w:rsid w:val="00F011A6"/>
    <w:rsid w:val="00F017BD"/>
    <w:rsid w:val="00F017D7"/>
    <w:rsid w:val="00F01C38"/>
    <w:rsid w:val="00F01C8D"/>
    <w:rsid w:val="00F021AD"/>
    <w:rsid w:val="00F021C0"/>
    <w:rsid w:val="00F0226E"/>
    <w:rsid w:val="00F026DF"/>
    <w:rsid w:val="00F02E42"/>
    <w:rsid w:val="00F02E93"/>
    <w:rsid w:val="00F031F4"/>
    <w:rsid w:val="00F03208"/>
    <w:rsid w:val="00F0336C"/>
    <w:rsid w:val="00F03A93"/>
    <w:rsid w:val="00F04035"/>
    <w:rsid w:val="00F04329"/>
    <w:rsid w:val="00F0449A"/>
    <w:rsid w:val="00F04624"/>
    <w:rsid w:val="00F05774"/>
    <w:rsid w:val="00F05AF2"/>
    <w:rsid w:val="00F062F4"/>
    <w:rsid w:val="00F062F6"/>
    <w:rsid w:val="00F06E12"/>
    <w:rsid w:val="00F06E95"/>
    <w:rsid w:val="00F0779B"/>
    <w:rsid w:val="00F07ABE"/>
    <w:rsid w:val="00F1037F"/>
    <w:rsid w:val="00F10840"/>
    <w:rsid w:val="00F108DB"/>
    <w:rsid w:val="00F111C9"/>
    <w:rsid w:val="00F116C5"/>
    <w:rsid w:val="00F11E0E"/>
    <w:rsid w:val="00F12F5C"/>
    <w:rsid w:val="00F14055"/>
    <w:rsid w:val="00F140D4"/>
    <w:rsid w:val="00F145FA"/>
    <w:rsid w:val="00F147F3"/>
    <w:rsid w:val="00F14B1E"/>
    <w:rsid w:val="00F14C64"/>
    <w:rsid w:val="00F14D0E"/>
    <w:rsid w:val="00F1531B"/>
    <w:rsid w:val="00F15B24"/>
    <w:rsid w:val="00F15D24"/>
    <w:rsid w:val="00F16743"/>
    <w:rsid w:val="00F16C02"/>
    <w:rsid w:val="00F16E46"/>
    <w:rsid w:val="00F16F46"/>
    <w:rsid w:val="00F17E63"/>
    <w:rsid w:val="00F20301"/>
    <w:rsid w:val="00F208F8"/>
    <w:rsid w:val="00F209CD"/>
    <w:rsid w:val="00F2150B"/>
    <w:rsid w:val="00F22650"/>
    <w:rsid w:val="00F23AE4"/>
    <w:rsid w:val="00F23B77"/>
    <w:rsid w:val="00F23ECA"/>
    <w:rsid w:val="00F23FDD"/>
    <w:rsid w:val="00F24079"/>
    <w:rsid w:val="00F24939"/>
    <w:rsid w:val="00F252EF"/>
    <w:rsid w:val="00F25960"/>
    <w:rsid w:val="00F25BF9"/>
    <w:rsid w:val="00F2610C"/>
    <w:rsid w:val="00F26276"/>
    <w:rsid w:val="00F26494"/>
    <w:rsid w:val="00F268AB"/>
    <w:rsid w:val="00F272CC"/>
    <w:rsid w:val="00F27381"/>
    <w:rsid w:val="00F27563"/>
    <w:rsid w:val="00F277C5"/>
    <w:rsid w:val="00F2792E"/>
    <w:rsid w:val="00F279FE"/>
    <w:rsid w:val="00F27AA3"/>
    <w:rsid w:val="00F27FD6"/>
    <w:rsid w:val="00F300E0"/>
    <w:rsid w:val="00F30B94"/>
    <w:rsid w:val="00F31237"/>
    <w:rsid w:val="00F31336"/>
    <w:rsid w:val="00F31442"/>
    <w:rsid w:val="00F3175D"/>
    <w:rsid w:val="00F3193E"/>
    <w:rsid w:val="00F31BB3"/>
    <w:rsid w:val="00F32AA4"/>
    <w:rsid w:val="00F33052"/>
    <w:rsid w:val="00F33363"/>
    <w:rsid w:val="00F33370"/>
    <w:rsid w:val="00F335C0"/>
    <w:rsid w:val="00F33722"/>
    <w:rsid w:val="00F339C4"/>
    <w:rsid w:val="00F33E8A"/>
    <w:rsid w:val="00F340B2"/>
    <w:rsid w:val="00F34284"/>
    <w:rsid w:val="00F3461D"/>
    <w:rsid w:val="00F34B28"/>
    <w:rsid w:val="00F34C40"/>
    <w:rsid w:val="00F34D14"/>
    <w:rsid w:val="00F35007"/>
    <w:rsid w:val="00F350F2"/>
    <w:rsid w:val="00F35735"/>
    <w:rsid w:val="00F35812"/>
    <w:rsid w:val="00F359C9"/>
    <w:rsid w:val="00F35C2B"/>
    <w:rsid w:val="00F3660C"/>
    <w:rsid w:val="00F36BF6"/>
    <w:rsid w:val="00F36FE9"/>
    <w:rsid w:val="00F37102"/>
    <w:rsid w:val="00F37AB9"/>
    <w:rsid w:val="00F37D7B"/>
    <w:rsid w:val="00F40011"/>
    <w:rsid w:val="00F40177"/>
    <w:rsid w:val="00F40B25"/>
    <w:rsid w:val="00F40BF2"/>
    <w:rsid w:val="00F42C95"/>
    <w:rsid w:val="00F42D33"/>
    <w:rsid w:val="00F42EFB"/>
    <w:rsid w:val="00F42F57"/>
    <w:rsid w:val="00F43827"/>
    <w:rsid w:val="00F4388E"/>
    <w:rsid w:val="00F4409D"/>
    <w:rsid w:val="00F446D8"/>
    <w:rsid w:val="00F447F2"/>
    <w:rsid w:val="00F44B57"/>
    <w:rsid w:val="00F46C84"/>
    <w:rsid w:val="00F473E2"/>
    <w:rsid w:val="00F475E9"/>
    <w:rsid w:val="00F47785"/>
    <w:rsid w:val="00F47BB6"/>
    <w:rsid w:val="00F47E48"/>
    <w:rsid w:val="00F5026F"/>
    <w:rsid w:val="00F50621"/>
    <w:rsid w:val="00F50EFE"/>
    <w:rsid w:val="00F5166F"/>
    <w:rsid w:val="00F51C32"/>
    <w:rsid w:val="00F51CC6"/>
    <w:rsid w:val="00F523F0"/>
    <w:rsid w:val="00F52521"/>
    <w:rsid w:val="00F52956"/>
    <w:rsid w:val="00F529B8"/>
    <w:rsid w:val="00F5307B"/>
    <w:rsid w:val="00F53CD1"/>
    <w:rsid w:val="00F54500"/>
    <w:rsid w:val="00F549B2"/>
    <w:rsid w:val="00F54D3F"/>
    <w:rsid w:val="00F54E58"/>
    <w:rsid w:val="00F558AC"/>
    <w:rsid w:val="00F5590B"/>
    <w:rsid w:val="00F55B93"/>
    <w:rsid w:val="00F55BEA"/>
    <w:rsid w:val="00F56181"/>
    <w:rsid w:val="00F5711C"/>
    <w:rsid w:val="00F573C3"/>
    <w:rsid w:val="00F573F5"/>
    <w:rsid w:val="00F578D0"/>
    <w:rsid w:val="00F578D6"/>
    <w:rsid w:val="00F57BDA"/>
    <w:rsid w:val="00F57E6E"/>
    <w:rsid w:val="00F600DC"/>
    <w:rsid w:val="00F606D0"/>
    <w:rsid w:val="00F60B47"/>
    <w:rsid w:val="00F61174"/>
    <w:rsid w:val="00F615BA"/>
    <w:rsid w:val="00F61754"/>
    <w:rsid w:val="00F61C1B"/>
    <w:rsid w:val="00F61C30"/>
    <w:rsid w:val="00F61FE4"/>
    <w:rsid w:val="00F62471"/>
    <w:rsid w:val="00F62752"/>
    <w:rsid w:val="00F62B5A"/>
    <w:rsid w:val="00F6341B"/>
    <w:rsid w:val="00F636EE"/>
    <w:rsid w:val="00F637E6"/>
    <w:rsid w:val="00F64207"/>
    <w:rsid w:val="00F64377"/>
    <w:rsid w:val="00F64BDF"/>
    <w:rsid w:val="00F6563F"/>
    <w:rsid w:val="00F6594F"/>
    <w:rsid w:val="00F65AE3"/>
    <w:rsid w:val="00F65B27"/>
    <w:rsid w:val="00F6600E"/>
    <w:rsid w:val="00F6737B"/>
    <w:rsid w:val="00F6738C"/>
    <w:rsid w:val="00F676DD"/>
    <w:rsid w:val="00F67CE3"/>
    <w:rsid w:val="00F67EB8"/>
    <w:rsid w:val="00F709F9"/>
    <w:rsid w:val="00F70B47"/>
    <w:rsid w:val="00F70D15"/>
    <w:rsid w:val="00F70FB2"/>
    <w:rsid w:val="00F71668"/>
    <w:rsid w:val="00F71CAD"/>
    <w:rsid w:val="00F71F7B"/>
    <w:rsid w:val="00F72CFC"/>
    <w:rsid w:val="00F7358A"/>
    <w:rsid w:val="00F73614"/>
    <w:rsid w:val="00F73748"/>
    <w:rsid w:val="00F73CAF"/>
    <w:rsid w:val="00F7460F"/>
    <w:rsid w:val="00F748FB"/>
    <w:rsid w:val="00F74939"/>
    <w:rsid w:val="00F74CD9"/>
    <w:rsid w:val="00F751B9"/>
    <w:rsid w:val="00F7593D"/>
    <w:rsid w:val="00F7598D"/>
    <w:rsid w:val="00F75B96"/>
    <w:rsid w:val="00F75D4D"/>
    <w:rsid w:val="00F75EF8"/>
    <w:rsid w:val="00F765B1"/>
    <w:rsid w:val="00F7691C"/>
    <w:rsid w:val="00F76E3C"/>
    <w:rsid w:val="00F77290"/>
    <w:rsid w:val="00F77548"/>
    <w:rsid w:val="00F77566"/>
    <w:rsid w:val="00F801F8"/>
    <w:rsid w:val="00F81468"/>
    <w:rsid w:val="00F814FA"/>
    <w:rsid w:val="00F8196D"/>
    <w:rsid w:val="00F81A7C"/>
    <w:rsid w:val="00F81C04"/>
    <w:rsid w:val="00F81FC8"/>
    <w:rsid w:val="00F82430"/>
    <w:rsid w:val="00F82439"/>
    <w:rsid w:val="00F8271B"/>
    <w:rsid w:val="00F82872"/>
    <w:rsid w:val="00F82F3D"/>
    <w:rsid w:val="00F830BA"/>
    <w:rsid w:val="00F836FE"/>
    <w:rsid w:val="00F8393D"/>
    <w:rsid w:val="00F83BC4"/>
    <w:rsid w:val="00F84326"/>
    <w:rsid w:val="00F84574"/>
    <w:rsid w:val="00F8498A"/>
    <w:rsid w:val="00F84ECF"/>
    <w:rsid w:val="00F854FD"/>
    <w:rsid w:val="00F85647"/>
    <w:rsid w:val="00F85BC6"/>
    <w:rsid w:val="00F85FFE"/>
    <w:rsid w:val="00F8607B"/>
    <w:rsid w:val="00F87417"/>
    <w:rsid w:val="00F875B4"/>
    <w:rsid w:val="00F87C31"/>
    <w:rsid w:val="00F903D3"/>
    <w:rsid w:val="00F907BC"/>
    <w:rsid w:val="00F909E4"/>
    <w:rsid w:val="00F91068"/>
    <w:rsid w:val="00F91481"/>
    <w:rsid w:val="00F915AC"/>
    <w:rsid w:val="00F91618"/>
    <w:rsid w:val="00F91CFD"/>
    <w:rsid w:val="00F92722"/>
    <w:rsid w:val="00F929FA"/>
    <w:rsid w:val="00F92CAE"/>
    <w:rsid w:val="00F92CDD"/>
    <w:rsid w:val="00F93D17"/>
    <w:rsid w:val="00F95118"/>
    <w:rsid w:val="00F95356"/>
    <w:rsid w:val="00F957CE"/>
    <w:rsid w:val="00F9586E"/>
    <w:rsid w:val="00F95874"/>
    <w:rsid w:val="00F95C55"/>
    <w:rsid w:val="00F95EC8"/>
    <w:rsid w:val="00F96D4A"/>
    <w:rsid w:val="00F97725"/>
    <w:rsid w:val="00FA0318"/>
    <w:rsid w:val="00FA06D7"/>
    <w:rsid w:val="00FA08AD"/>
    <w:rsid w:val="00FA0B7B"/>
    <w:rsid w:val="00FA0CC1"/>
    <w:rsid w:val="00FA0F44"/>
    <w:rsid w:val="00FA1080"/>
    <w:rsid w:val="00FA1734"/>
    <w:rsid w:val="00FA17A4"/>
    <w:rsid w:val="00FA1A7D"/>
    <w:rsid w:val="00FA1A8E"/>
    <w:rsid w:val="00FA2064"/>
    <w:rsid w:val="00FA2FF5"/>
    <w:rsid w:val="00FA34C6"/>
    <w:rsid w:val="00FA352A"/>
    <w:rsid w:val="00FA367C"/>
    <w:rsid w:val="00FA36D9"/>
    <w:rsid w:val="00FA3A63"/>
    <w:rsid w:val="00FA409E"/>
    <w:rsid w:val="00FA4244"/>
    <w:rsid w:val="00FA4CE4"/>
    <w:rsid w:val="00FA5784"/>
    <w:rsid w:val="00FA603A"/>
    <w:rsid w:val="00FA658A"/>
    <w:rsid w:val="00FA66F3"/>
    <w:rsid w:val="00FA6B8F"/>
    <w:rsid w:val="00FA7B41"/>
    <w:rsid w:val="00FA7D54"/>
    <w:rsid w:val="00FB0515"/>
    <w:rsid w:val="00FB07E5"/>
    <w:rsid w:val="00FB1616"/>
    <w:rsid w:val="00FB1891"/>
    <w:rsid w:val="00FB1A76"/>
    <w:rsid w:val="00FB1B91"/>
    <w:rsid w:val="00FB209E"/>
    <w:rsid w:val="00FB3C45"/>
    <w:rsid w:val="00FB3DF7"/>
    <w:rsid w:val="00FB3F69"/>
    <w:rsid w:val="00FB4477"/>
    <w:rsid w:val="00FB531F"/>
    <w:rsid w:val="00FB5A02"/>
    <w:rsid w:val="00FB5CB3"/>
    <w:rsid w:val="00FB5F13"/>
    <w:rsid w:val="00FB66EE"/>
    <w:rsid w:val="00FB6BF7"/>
    <w:rsid w:val="00FB7DFE"/>
    <w:rsid w:val="00FB7E38"/>
    <w:rsid w:val="00FC019F"/>
    <w:rsid w:val="00FC0686"/>
    <w:rsid w:val="00FC0CFF"/>
    <w:rsid w:val="00FC0D90"/>
    <w:rsid w:val="00FC1B74"/>
    <w:rsid w:val="00FC1E34"/>
    <w:rsid w:val="00FC2149"/>
    <w:rsid w:val="00FC2FB6"/>
    <w:rsid w:val="00FC3487"/>
    <w:rsid w:val="00FC390E"/>
    <w:rsid w:val="00FC599A"/>
    <w:rsid w:val="00FC6DD7"/>
    <w:rsid w:val="00FC777C"/>
    <w:rsid w:val="00FD0CBF"/>
    <w:rsid w:val="00FD0EC5"/>
    <w:rsid w:val="00FD0FD9"/>
    <w:rsid w:val="00FD154F"/>
    <w:rsid w:val="00FD17CE"/>
    <w:rsid w:val="00FD1901"/>
    <w:rsid w:val="00FD1A95"/>
    <w:rsid w:val="00FD1B15"/>
    <w:rsid w:val="00FD230C"/>
    <w:rsid w:val="00FD23F2"/>
    <w:rsid w:val="00FD274A"/>
    <w:rsid w:val="00FD2964"/>
    <w:rsid w:val="00FD2E23"/>
    <w:rsid w:val="00FD3197"/>
    <w:rsid w:val="00FD32E9"/>
    <w:rsid w:val="00FD3604"/>
    <w:rsid w:val="00FD3850"/>
    <w:rsid w:val="00FD3B53"/>
    <w:rsid w:val="00FD3E98"/>
    <w:rsid w:val="00FD4083"/>
    <w:rsid w:val="00FD42D2"/>
    <w:rsid w:val="00FD4389"/>
    <w:rsid w:val="00FD43D1"/>
    <w:rsid w:val="00FD46C4"/>
    <w:rsid w:val="00FD4725"/>
    <w:rsid w:val="00FD4B4C"/>
    <w:rsid w:val="00FD4E39"/>
    <w:rsid w:val="00FD4FCF"/>
    <w:rsid w:val="00FD500E"/>
    <w:rsid w:val="00FD52C9"/>
    <w:rsid w:val="00FD5715"/>
    <w:rsid w:val="00FD590E"/>
    <w:rsid w:val="00FD5A0A"/>
    <w:rsid w:val="00FD5DDA"/>
    <w:rsid w:val="00FD5F1D"/>
    <w:rsid w:val="00FD6239"/>
    <w:rsid w:val="00FD6323"/>
    <w:rsid w:val="00FD6417"/>
    <w:rsid w:val="00FD6C4A"/>
    <w:rsid w:val="00FD6E28"/>
    <w:rsid w:val="00FD77C0"/>
    <w:rsid w:val="00FE048E"/>
    <w:rsid w:val="00FE04AC"/>
    <w:rsid w:val="00FE0502"/>
    <w:rsid w:val="00FE07AE"/>
    <w:rsid w:val="00FE07DE"/>
    <w:rsid w:val="00FE0ADC"/>
    <w:rsid w:val="00FE146F"/>
    <w:rsid w:val="00FE1869"/>
    <w:rsid w:val="00FE1E5E"/>
    <w:rsid w:val="00FE1E61"/>
    <w:rsid w:val="00FE1E74"/>
    <w:rsid w:val="00FE22A1"/>
    <w:rsid w:val="00FE22E5"/>
    <w:rsid w:val="00FE23E2"/>
    <w:rsid w:val="00FE25E0"/>
    <w:rsid w:val="00FE2AE1"/>
    <w:rsid w:val="00FE327D"/>
    <w:rsid w:val="00FE3534"/>
    <w:rsid w:val="00FE401F"/>
    <w:rsid w:val="00FE4115"/>
    <w:rsid w:val="00FE4E1A"/>
    <w:rsid w:val="00FE505A"/>
    <w:rsid w:val="00FE5361"/>
    <w:rsid w:val="00FE5DA9"/>
    <w:rsid w:val="00FE5EC6"/>
    <w:rsid w:val="00FE6518"/>
    <w:rsid w:val="00FE6546"/>
    <w:rsid w:val="00FE6632"/>
    <w:rsid w:val="00FE70C1"/>
    <w:rsid w:val="00FE77EE"/>
    <w:rsid w:val="00FE7B0D"/>
    <w:rsid w:val="00FE7B1E"/>
    <w:rsid w:val="00FE7E80"/>
    <w:rsid w:val="00FF0637"/>
    <w:rsid w:val="00FF23C7"/>
    <w:rsid w:val="00FF2475"/>
    <w:rsid w:val="00FF2664"/>
    <w:rsid w:val="00FF2E0A"/>
    <w:rsid w:val="00FF306C"/>
    <w:rsid w:val="00FF3170"/>
    <w:rsid w:val="00FF34D3"/>
    <w:rsid w:val="00FF368B"/>
    <w:rsid w:val="00FF3802"/>
    <w:rsid w:val="00FF3C79"/>
    <w:rsid w:val="00FF3CED"/>
    <w:rsid w:val="00FF3CFB"/>
    <w:rsid w:val="00FF4137"/>
    <w:rsid w:val="00FF425A"/>
    <w:rsid w:val="00FF4A2A"/>
    <w:rsid w:val="00FF60F0"/>
    <w:rsid w:val="00FF6514"/>
    <w:rsid w:val="00FF71A1"/>
    <w:rsid w:val="00FF72F6"/>
    <w:rsid w:val="00FF759F"/>
    <w:rsid w:val="00FF7E72"/>
    <w:rsid w:val="01596AF3"/>
    <w:rsid w:val="017B76D9"/>
    <w:rsid w:val="018E411F"/>
    <w:rsid w:val="02C3A012"/>
    <w:rsid w:val="02DCB5C4"/>
    <w:rsid w:val="031D0E8F"/>
    <w:rsid w:val="032CBBF4"/>
    <w:rsid w:val="039A3B18"/>
    <w:rsid w:val="03A39E54"/>
    <w:rsid w:val="03B4060B"/>
    <w:rsid w:val="0440DA8A"/>
    <w:rsid w:val="045585F8"/>
    <w:rsid w:val="04C86075"/>
    <w:rsid w:val="04F3A4BF"/>
    <w:rsid w:val="05008A87"/>
    <w:rsid w:val="0514D945"/>
    <w:rsid w:val="054E1116"/>
    <w:rsid w:val="0576E590"/>
    <w:rsid w:val="05789938"/>
    <w:rsid w:val="05CC897E"/>
    <w:rsid w:val="05FCD19D"/>
    <w:rsid w:val="0631ED96"/>
    <w:rsid w:val="065E842B"/>
    <w:rsid w:val="068A8A1A"/>
    <w:rsid w:val="06F32EDC"/>
    <w:rsid w:val="0745BD8C"/>
    <w:rsid w:val="07481937"/>
    <w:rsid w:val="07566A8B"/>
    <w:rsid w:val="07810828"/>
    <w:rsid w:val="07A6E909"/>
    <w:rsid w:val="08310A15"/>
    <w:rsid w:val="0869FA36"/>
    <w:rsid w:val="086DDA4D"/>
    <w:rsid w:val="092102C3"/>
    <w:rsid w:val="09718F41"/>
    <w:rsid w:val="09A41BD9"/>
    <w:rsid w:val="0A05142D"/>
    <w:rsid w:val="0A19C196"/>
    <w:rsid w:val="0A43BA6D"/>
    <w:rsid w:val="0A4922E6"/>
    <w:rsid w:val="0A64259E"/>
    <w:rsid w:val="0AC1774C"/>
    <w:rsid w:val="0AFBEACA"/>
    <w:rsid w:val="0B365F48"/>
    <w:rsid w:val="0B473BFB"/>
    <w:rsid w:val="0BA6E054"/>
    <w:rsid w:val="0C4AE1AD"/>
    <w:rsid w:val="0C609F01"/>
    <w:rsid w:val="0CB50D0A"/>
    <w:rsid w:val="0D190D89"/>
    <w:rsid w:val="0D3B6F13"/>
    <w:rsid w:val="0D641AC6"/>
    <w:rsid w:val="0D80FECF"/>
    <w:rsid w:val="0DB28A80"/>
    <w:rsid w:val="0DD20FA4"/>
    <w:rsid w:val="0DE0FCBC"/>
    <w:rsid w:val="0E0286B9"/>
    <w:rsid w:val="0E220ADC"/>
    <w:rsid w:val="0F67CE0A"/>
    <w:rsid w:val="0F855869"/>
    <w:rsid w:val="0FE94DC7"/>
    <w:rsid w:val="0FEA7BA5"/>
    <w:rsid w:val="1003896E"/>
    <w:rsid w:val="101EB4B0"/>
    <w:rsid w:val="1067C94B"/>
    <w:rsid w:val="10E82B74"/>
    <w:rsid w:val="10F5BE80"/>
    <w:rsid w:val="1116C0BA"/>
    <w:rsid w:val="119F0F77"/>
    <w:rsid w:val="12606D30"/>
    <w:rsid w:val="12642A80"/>
    <w:rsid w:val="12CC8931"/>
    <w:rsid w:val="12DDC4E8"/>
    <w:rsid w:val="12FF492A"/>
    <w:rsid w:val="136F5B40"/>
    <w:rsid w:val="1389573E"/>
    <w:rsid w:val="138AE4E7"/>
    <w:rsid w:val="13A87CAF"/>
    <w:rsid w:val="13C06E51"/>
    <w:rsid w:val="13C20CD6"/>
    <w:rsid w:val="13E8AE0D"/>
    <w:rsid w:val="141A2F32"/>
    <w:rsid w:val="1437DBEB"/>
    <w:rsid w:val="14A92D91"/>
    <w:rsid w:val="14AB10CA"/>
    <w:rsid w:val="14E45F97"/>
    <w:rsid w:val="14F4AFE8"/>
    <w:rsid w:val="14F7067F"/>
    <w:rsid w:val="14FDD862"/>
    <w:rsid w:val="15BBF514"/>
    <w:rsid w:val="15F0244A"/>
    <w:rsid w:val="1614CB22"/>
    <w:rsid w:val="162E88B9"/>
    <w:rsid w:val="162F70EF"/>
    <w:rsid w:val="1682BD03"/>
    <w:rsid w:val="16B8936E"/>
    <w:rsid w:val="16BF47E6"/>
    <w:rsid w:val="16D078E9"/>
    <w:rsid w:val="176601D4"/>
    <w:rsid w:val="1798A541"/>
    <w:rsid w:val="17C3B742"/>
    <w:rsid w:val="17DDCD96"/>
    <w:rsid w:val="18B6A45D"/>
    <w:rsid w:val="1950F2E6"/>
    <w:rsid w:val="1964215F"/>
    <w:rsid w:val="19D53944"/>
    <w:rsid w:val="1A437C4B"/>
    <w:rsid w:val="1A66BE07"/>
    <w:rsid w:val="1A81E5AD"/>
    <w:rsid w:val="1ABEA685"/>
    <w:rsid w:val="1AD07D6F"/>
    <w:rsid w:val="1AE1D530"/>
    <w:rsid w:val="1AF70A3F"/>
    <w:rsid w:val="1B234867"/>
    <w:rsid w:val="1B4C61AB"/>
    <w:rsid w:val="1BA69A2B"/>
    <w:rsid w:val="1BCB5E09"/>
    <w:rsid w:val="1BD6B026"/>
    <w:rsid w:val="1CB6B96B"/>
    <w:rsid w:val="1CCFB430"/>
    <w:rsid w:val="1D4862BA"/>
    <w:rsid w:val="1D6FE159"/>
    <w:rsid w:val="1D775FBB"/>
    <w:rsid w:val="1D96D0BC"/>
    <w:rsid w:val="1DE74D75"/>
    <w:rsid w:val="1E02C133"/>
    <w:rsid w:val="1FA0F49F"/>
    <w:rsid w:val="1FA70C0D"/>
    <w:rsid w:val="1FB750F9"/>
    <w:rsid w:val="1FBF4DC8"/>
    <w:rsid w:val="20051E77"/>
    <w:rsid w:val="200ABF1C"/>
    <w:rsid w:val="2041A7B0"/>
    <w:rsid w:val="20721FB5"/>
    <w:rsid w:val="2089F31E"/>
    <w:rsid w:val="208B5805"/>
    <w:rsid w:val="215A7E46"/>
    <w:rsid w:val="21603E7A"/>
    <w:rsid w:val="217CA37D"/>
    <w:rsid w:val="2196B627"/>
    <w:rsid w:val="227F21E0"/>
    <w:rsid w:val="2288590C"/>
    <w:rsid w:val="22E0DCC4"/>
    <w:rsid w:val="22E32290"/>
    <w:rsid w:val="231376D0"/>
    <w:rsid w:val="236261CD"/>
    <w:rsid w:val="236BD18B"/>
    <w:rsid w:val="23827104"/>
    <w:rsid w:val="23AF261F"/>
    <w:rsid w:val="23BC3993"/>
    <w:rsid w:val="23C7103F"/>
    <w:rsid w:val="23CD798D"/>
    <w:rsid w:val="23FE3D20"/>
    <w:rsid w:val="24866AE2"/>
    <w:rsid w:val="2524638F"/>
    <w:rsid w:val="25D41050"/>
    <w:rsid w:val="25DE4717"/>
    <w:rsid w:val="26027AAC"/>
    <w:rsid w:val="262AF217"/>
    <w:rsid w:val="26436D43"/>
    <w:rsid w:val="2660D843"/>
    <w:rsid w:val="2674E6EE"/>
    <w:rsid w:val="26D58662"/>
    <w:rsid w:val="26FEB101"/>
    <w:rsid w:val="27A8D4BE"/>
    <w:rsid w:val="27BED95F"/>
    <w:rsid w:val="27C0DB6F"/>
    <w:rsid w:val="27CDE5B5"/>
    <w:rsid w:val="27E5F29E"/>
    <w:rsid w:val="27ED5915"/>
    <w:rsid w:val="27FCA8A4"/>
    <w:rsid w:val="28052CDD"/>
    <w:rsid w:val="2823735B"/>
    <w:rsid w:val="283F42AE"/>
    <w:rsid w:val="2853849E"/>
    <w:rsid w:val="285A1048"/>
    <w:rsid w:val="287156C3"/>
    <w:rsid w:val="287DF750"/>
    <w:rsid w:val="28A2766F"/>
    <w:rsid w:val="28C6E8CD"/>
    <w:rsid w:val="2959DC05"/>
    <w:rsid w:val="2975AC9C"/>
    <w:rsid w:val="2980DECC"/>
    <w:rsid w:val="29987905"/>
    <w:rsid w:val="29D8EECF"/>
    <w:rsid w:val="29DB130F"/>
    <w:rsid w:val="29F73693"/>
    <w:rsid w:val="2A3B278E"/>
    <w:rsid w:val="2A52400C"/>
    <w:rsid w:val="2A58898C"/>
    <w:rsid w:val="2A8C04E6"/>
    <w:rsid w:val="2AE9BEB4"/>
    <w:rsid w:val="2B91CF82"/>
    <w:rsid w:val="2BB738BA"/>
    <w:rsid w:val="2BBD2048"/>
    <w:rsid w:val="2C79829B"/>
    <w:rsid w:val="2C82E315"/>
    <w:rsid w:val="2CA17EDF"/>
    <w:rsid w:val="2CBD459E"/>
    <w:rsid w:val="2D2E55B9"/>
    <w:rsid w:val="2D769EB8"/>
    <w:rsid w:val="2D8B578C"/>
    <w:rsid w:val="2DCBEDFB"/>
    <w:rsid w:val="2E4DB58D"/>
    <w:rsid w:val="2E8C2D75"/>
    <w:rsid w:val="2E943AF5"/>
    <w:rsid w:val="2EB07028"/>
    <w:rsid w:val="2ED36BCC"/>
    <w:rsid w:val="2ED3F424"/>
    <w:rsid w:val="2F0668AB"/>
    <w:rsid w:val="2FBEF83E"/>
    <w:rsid w:val="30D45799"/>
    <w:rsid w:val="30F78DFF"/>
    <w:rsid w:val="31B91B09"/>
    <w:rsid w:val="31FFA4C8"/>
    <w:rsid w:val="325FAA92"/>
    <w:rsid w:val="32959B7A"/>
    <w:rsid w:val="32AC9B9E"/>
    <w:rsid w:val="32ADAE8D"/>
    <w:rsid w:val="32E4922E"/>
    <w:rsid w:val="32E4D462"/>
    <w:rsid w:val="33057ACF"/>
    <w:rsid w:val="3336B00A"/>
    <w:rsid w:val="335225BE"/>
    <w:rsid w:val="3358E6C3"/>
    <w:rsid w:val="3362CFD2"/>
    <w:rsid w:val="33682022"/>
    <w:rsid w:val="339C3D30"/>
    <w:rsid w:val="344D9BA4"/>
    <w:rsid w:val="349B9A5A"/>
    <w:rsid w:val="34B3B7F4"/>
    <w:rsid w:val="34F42FFD"/>
    <w:rsid w:val="34FE5EAD"/>
    <w:rsid w:val="3510F273"/>
    <w:rsid w:val="3537900B"/>
    <w:rsid w:val="3546CDA8"/>
    <w:rsid w:val="357E968C"/>
    <w:rsid w:val="35862BAC"/>
    <w:rsid w:val="35D2C8EF"/>
    <w:rsid w:val="362F1A0A"/>
    <w:rsid w:val="36645209"/>
    <w:rsid w:val="36CB4000"/>
    <w:rsid w:val="3712F9A3"/>
    <w:rsid w:val="375580ED"/>
    <w:rsid w:val="37BDC998"/>
    <w:rsid w:val="38191E50"/>
    <w:rsid w:val="383BC124"/>
    <w:rsid w:val="385B5AC5"/>
    <w:rsid w:val="38C46448"/>
    <w:rsid w:val="38E57A79"/>
    <w:rsid w:val="39546219"/>
    <w:rsid w:val="396A2288"/>
    <w:rsid w:val="3A4A9A65"/>
    <w:rsid w:val="3B14E1DC"/>
    <w:rsid w:val="3B3DAE36"/>
    <w:rsid w:val="3B58B3AA"/>
    <w:rsid w:val="3B68C44A"/>
    <w:rsid w:val="3B71DD62"/>
    <w:rsid w:val="3BC7C3A4"/>
    <w:rsid w:val="3C00AE57"/>
    <w:rsid w:val="3C709F42"/>
    <w:rsid w:val="3C824412"/>
    <w:rsid w:val="3CFEEC23"/>
    <w:rsid w:val="3D431327"/>
    <w:rsid w:val="3D7982F6"/>
    <w:rsid w:val="3DB1C226"/>
    <w:rsid w:val="3DBD2E6A"/>
    <w:rsid w:val="3DBFEAEF"/>
    <w:rsid w:val="3E037231"/>
    <w:rsid w:val="3EB64B57"/>
    <w:rsid w:val="3EFA7964"/>
    <w:rsid w:val="3F455C4E"/>
    <w:rsid w:val="3F4678ED"/>
    <w:rsid w:val="3F73294D"/>
    <w:rsid w:val="3F9BE84A"/>
    <w:rsid w:val="3FA16AFF"/>
    <w:rsid w:val="3FB34CB1"/>
    <w:rsid w:val="3FD0EEAF"/>
    <w:rsid w:val="3FD6EEE8"/>
    <w:rsid w:val="409B2C22"/>
    <w:rsid w:val="40AE79C5"/>
    <w:rsid w:val="40BB000F"/>
    <w:rsid w:val="40BF804F"/>
    <w:rsid w:val="40EF3517"/>
    <w:rsid w:val="411C77C3"/>
    <w:rsid w:val="4150C8C8"/>
    <w:rsid w:val="41536006"/>
    <w:rsid w:val="4156DCA5"/>
    <w:rsid w:val="415DE92B"/>
    <w:rsid w:val="41771188"/>
    <w:rsid w:val="4184C68D"/>
    <w:rsid w:val="41A6D839"/>
    <w:rsid w:val="41AE6903"/>
    <w:rsid w:val="41BE31A7"/>
    <w:rsid w:val="41EB9C57"/>
    <w:rsid w:val="42001D76"/>
    <w:rsid w:val="420B1958"/>
    <w:rsid w:val="4237CB70"/>
    <w:rsid w:val="42B09BC5"/>
    <w:rsid w:val="431F0171"/>
    <w:rsid w:val="432CF804"/>
    <w:rsid w:val="435BE738"/>
    <w:rsid w:val="4385FCB8"/>
    <w:rsid w:val="438FF137"/>
    <w:rsid w:val="43942668"/>
    <w:rsid w:val="43D7D98F"/>
    <w:rsid w:val="441E03DB"/>
    <w:rsid w:val="442CC0A7"/>
    <w:rsid w:val="4444A9AF"/>
    <w:rsid w:val="44C8C865"/>
    <w:rsid w:val="44F93CFC"/>
    <w:rsid w:val="451ECDF7"/>
    <w:rsid w:val="45564A04"/>
    <w:rsid w:val="4587A297"/>
    <w:rsid w:val="45F55BB9"/>
    <w:rsid w:val="45FE8E6E"/>
    <w:rsid w:val="46166FF5"/>
    <w:rsid w:val="46DC6BE2"/>
    <w:rsid w:val="4712BF7E"/>
    <w:rsid w:val="4790EE41"/>
    <w:rsid w:val="47CB27B8"/>
    <w:rsid w:val="4820F33E"/>
    <w:rsid w:val="48354849"/>
    <w:rsid w:val="4842E9B8"/>
    <w:rsid w:val="4882514F"/>
    <w:rsid w:val="48F1B0D5"/>
    <w:rsid w:val="49529A52"/>
    <w:rsid w:val="49747634"/>
    <w:rsid w:val="49A2D894"/>
    <w:rsid w:val="4A7D8374"/>
    <w:rsid w:val="4AF17981"/>
    <w:rsid w:val="4AF8EA0D"/>
    <w:rsid w:val="4B3D636A"/>
    <w:rsid w:val="4BC0B7AB"/>
    <w:rsid w:val="4C696B29"/>
    <w:rsid w:val="4C7B8712"/>
    <w:rsid w:val="4C8B6487"/>
    <w:rsid w:val="4C997B70"/>
    <w:rsid w:val="4CA14DC4"/>
    <w:rsid w:val="4D25C7B1"/>
    <w:rsid w:val="4D952D23"/>
    <w:rsid w:val="4E373956"/>
    <w:rsid w:val="4E6CE150"/>
    <w:rsid w:val="4F1604F8"/>
    <w:rsid w:val="4F5E2A57"/>
    <w:rsid w:val="4F90414B"/>
    <w:rsid w:val="4FCAAE67"/>
    <w:rsid w:val="4FEE34EA"/>
    <w:rsid w:val="5009FEDD"/>
    <w:rsid w:val="503F6E82"/>
    <w:rsid w:val="511C202C"/>
    <w:rsid w:val="513D40A9"/>
    <w:rsid w:val="5147B3C8"/>
    <w:rsid w:val="515BFDFA"/>
    <w:rsid w:val="516EDA18"/>
    <w:rsid w:val="516EE7D7"/>
    <w:rsid w:val="51724679"/>
    <w:rsid w:val="518F5B5C"/>
    <w:rsid w:val="51DCAED0"/>
    <w:rsid w:val="51ED6D00"/>
    <w:rsid w:val="52953291"/>
    <w:rsid w:val="52C99B91"/>
    <w:rsid w:val="52D9FCF3"/>
    <w:rsid w:val="52FDA0AE"/>
    <w:rsid w:val="531432D4"/>
    <w:rsid w:val="536E6758"/>
    <w:rsid w:val="5397B365"/>
    <w:rsid w:val="539AD703"/>
    <w:rsid w:val="53A54421"/>
    <w:rsid w:val="53CBF7D2"/>
    <w:rsid w:val="5405D03E"/>
    <w:rsid w:val="54C098DB"/>
    <w:rsid w:val="54C1E24A"/>
    <w:rsid w:val="54CC62E2"/>
    <w:rsid w:val="5522E43D"/>
    <w:rsid w:val="5529F481"/>
    <w:rsid w:val="55539C79"/>
    <w:rsid w:val="5566515C"/>
    <w:rsid w:val="55BB624F"/>
    <w:rsid w:val="55D221F2"/>
    <w:rsid w:val="55EE3A9C"/>
    <w:rsid w:val="55FA9C39"/>
    <w:rsid w:val="561E35BD"/>
    <w:rsid w:val="5621E21B"/>
    <w:rsid w:val="56450888"/>
    <w:rsid w:val="5687D41A"/>
    <w:rsid w:val="5714F84B"/>
    <w:rsid w:val="5717C4DC"/>
    <w:rsid w:val="574852E3"/>
    <w:rsid w:val="57871973"/>
    <w:rsid w:val="579D30C3"/>
    <w:rsid w:val="5819DBCD"/>
    <w:rsid w:val="5829B5DE"/>
    <w:rsid w:val="58A1E1AB"/>
    <w:rsid w:val="58ABD453"/>
    <w:rsid w:val="58FE5097"/>
    <w:rsid w:val="5926CADE"/>
    <w:rsid w:val="59281FBC"/>
    <w:rsid w:val="5938569D"/>
    <w:rsid w:val="594B0DCB"/>
    <w:rsid w:val="5969F39B"/>
    <w:rsid w:val="597C0743"/>
    <w:rsid w:val="59AD60BE"/>
    <w:rsid w:val="5A3C2D47"/>
    <w:rsid w:val="5A5FD9A6"/>
    <w:rsid w:val="5AB95FC5"/>
    <w:rsid w:val="5AC54798"/>
    <w:rsid w:val="5AFF34D8"/>
    <w:rsid w:val="5B0609D8"/>
    <w:rsid w:val="5B169A3C"/>
    <w:rsid w:val="5B4EBB03"/>
    <w:rsid w:val="5BD70D21"/>
    <w:rsid w:val="5BF730C7"/>
    <w:rsid w:val="5C17507B"/>
    <w:rsid w:val="5C3DE408"/>
    <w:rsid w:val="5C593CE0"/>
    <w:rsid w:val="5CB11677"/>
    <w:rsid w:val="5CB3BE74"/>
    <w:rsid w:val="5CCCA55E"/>
    <w:rsid w:val="5CF792C8"/>
    <w:rsid w:val="5D846A53"/>
    <w:rsid w:val="5D86C346"/>
    <w:rsid w:val="5DA5FEB8"/>
    <w:rsid w:val="5DBA2E48"/>
    <w:rsid w:val="5DD9B01B"/>
    <w:rsid w:val="5DDBE4E4"/>
    <w:rsid w:val="5DF11BCA"/>
    <w:rsid w:val="5E1881C8"/>
    <w:rsid w:val="5E466058"/>
    <w:rsid w:val="5E4713AD"/>
    <w:rsid w:val="5E79BDA2"/>
    <w:rsid w:val="5EC3415F"/>
    <w:rsid w:val="5ED493BF"/>
    <w:rsid w:val="5EE0C6D5"/>
    <w:rsid w:val="5EFE8551"/>
    <w:rsid w:val="5F2D2A93"/>
    <w:rsid w:val="5FB45229"/>
    <w:rsid w:val="601CE617"/>
    <w:rsid w:val="60DD9F7A"/>
    <w:rsid w:val="6119E8B2"/>
    <w:rsid w:val="61DC9F15"/>
    <w:rsid w:val="620C1926"/>
    <w:rsid w:val="624F263E"/>
    <w:rsid w:val="629A84C3"/>
    <w:rsid w:val="62CD9FE0"/>
    <w:rsid w:val="62CDA9BF"/>
    <w:rsid w:val="62E6958D"/>
    <w:rsid w:val="62F610EC"/>
    <w:rsid w:val="636CCB41"/>
    <w:rsid w:val="63F6409A"/>
    <w:rsid w:val="6498ABF7"/>
    <w:rsid w:val="64A48AEF"/>
    <w:rsid w:val="64C56BB8"/>
    <w:rsid w:val="655512FE"/>
    <w:rsid w:val="65898DFD"/>
    <w:rsid w:val="65E2CBDE"/>
    <w:rsid w:val="6609DC25"/>
    <w:rsid w:val="661FE22A"/>
    <w:rsid w:val="663D1F3E"/>
    <w:rsid w:val="666DD572"/>
    <w:rsid w:val="66EFBB6B"/>
    <w:rsid w:val="670FA27F"/>
    <w:rsid w:val="67AFF891"/>
    <w:rsid w:val="680D82BB"/>
    <w:rsid w:val="68126426"/>
    <w:rsid w:val="68499733"/>
    <w:rsid w:val="68AE5D58"/>
    <w:rsid w:val="68B08213"/>
    <w:rsid w:val="68CED9FC"/>
    <w:rsid w:val="68F68E71"/>
    <w:rsid w:val="6941CA8C"/>
    <w:rsid w:val="6968E421"/>
    <w:rsid w:val="69A0379A"/>
    <w:rsid w:val="6A206E27"/>
    <w:rsid w:val="6A40B1E7"/>
    <w:rsid w:val="6ADD9AED"/>
    <w:rsid w:val="6AE4B753"/>
    <w:rsid w:val="6B3B9DED"/>
    <w:rsid w:val="6B4F9EDF"/>
    <w:rsid w:val="6B70ADAC"/>
    <w:rsid w:val="6B88E812"/>
    <w:rsid w:val="6BC61ACA"/>
    <w:rsid w:val="6C696CFD"/>
    <w:rsid w:val="6C6B9A0D"/>
    <w:rsid w:val="6D0C19ED"/>
    <w:rsid w:val="6D11442C"/>
    <w:rsid w:val="6D1AC950"/>
    <w:rsid w:val="6DB95137"/>
    <w:rsid w:val="6DDFE51C"/>
    <w:rsid w:val="6E780FEE"/>
    <w:rsid w:val="6ED6B112"/>
    <w:rsid w:val="6ED82C73"/>
    <w:rsid w:val="6EDF166B"/>
    <w:rsid w:val="6F06E98E"/>
    <w:rsid w:val="6F373414"/>
    <w:rsid w:val="6F59A015"/>
    <w:rsid w:val="6F7EAAE2"/>
    <w:rsid w:val="6FF942A0"/>
    <w:rsid w:val="6FFAD4E2"/>
    <w:rsid w:val="70A048AE"/>
    <w:rsid w:val="7139ECDC"/>
    <w:rsid w:val="715311EE"/>
    <w:rsid w:val="7156D51B"/>
    <w:rsid w:val="7196A543"/>
    <w:rsid w:val="71C1E241"/>
    <w:rsid w:val="72156B12"/>
    <w:rsid w:val="721BCCCA"/>
    <w:rsid w:val="722C1B9D"/>
    <w:rsid w:val="726171CB"/>
    <w:rsid w:val="726BD29E"/>
    <w:rsid w:val="72797351"/>
    <w:rsid w:val="734BA6BC"/>
    <w:rsid w:val="735CB6C3"/>
    <w:rsid w:val="73CC7753"/>
    <w:rsid w:val="73DCB14B"/>
    <w:rsid w:val="73E9C9CC"/>
    <w:rsid w:val="73FD8362"/>
    <w:rsid w:val="7412A14B"/>
    <w:rsid w:val="741C7C45"/>
    <w:rsid w:val="7430C849"/>
    <w:rsid w:val="74C24D78"/>
    <w:rsid w:val="74FBE622"/>
    <w:rsid w:val="752FAB3A"/>
    <w:rsid w:val="753D19AC"/>
    <w:rsid w:val="757A14D4"/>
    <w:rsid w:val="7581E273"/>
    <w:rsid w:val="758DEF58"/>
    <w:rsid w:val="7599884C"/>
    <w:rsid w:val="759D5256"/>
    <w:rsid w:val="75B22237"/>
    <w:rsid w:val="75BA7D67"/>
    <w:rsid w:val="75E6C64D"/>
    <w:rsid w:val="761D4DA8"/>
    <w:rsid w:val="76235D8B"/>
    <w:rsid w:val="76456B2F"/>
    <w:rsid w:val="765AFABC"/>
    <w:rsid w:val="765E1DD9"/>
    <w:rsid w:val="766473E7"/>
    <w:rsid w:val="7699F086"/>
    <w:rsid w:val="76B3B8FF"/>
    <w:rsid w:val="76E2900B"/>
    <w:rsid w:val="77564DC8"/>
    <w:rsid w:val="781F5CB5"/>
    <w:rsid w:val="784E94B6"/>
    <w:rsid w:val="78657361"/>
    <w:rsid w:val="787D9549"/>
    <w:rsid w:val="78CBD569"/>
    <w:rsid w:val="78D3F9CA"/>
    <w:rsid w:val="7907C966"/>
    <w:rsid w:val="790B2C0C"/>
    <w:rsid w:val="795369F8"/>
    <w:rsid w:val="796EAA09"/>
    <w:rsid w:val="79A72530"/>
    <w:rsid w:val="79D45845"/>
    <w:rsid w:val="7A03AE71"/>
    <w:rsid w:val="7A11822E"/>
    <w:rsid w:val="7A3899E3"/>
    <w:rsid w:val="7A3B0F99"/>
    <w:rsid w:val="7A6EF676"/>
    <w:rsid w:val="7A965FD3"/>
    <w:rsid w:val="7AC8BEF1"/>
    <w:rsid w:val="7AF00D4D"/>
    <w:rsid w:val="7BAA498D"/>
    <w:rsid w:val="7C2512DB"/>
    <w:rsid w:val="7CEDEE56"/>
    <w:rsid w:val="7CF791A9"/>
    <w:rsid w:val="7D0B1C34"/>
    <w:rsid w:val="7D251EA4"/>
    <w:rsid w:val="7D402BE7"/>
    <w:rsid w:val="7D83E983"/>
    <w:rsid w:val="7E03766B"/>
    <w:rsid w:val="7E46E830"/>
    <w:rsid w:val="7E838EE1"/>
    <w:rsid w:val="7E888330"/>
    <w:rsid w:val="7EA01284"/>
    <w:rsid w:val="7EA2CC4D"/>
    <w:rsid w:val="7EC02542"/>
    <w:rsid w:val="7EF030C9"/>
    <w:rsid w:val="7F0CDCF4"/>
    <w:rsid w:val="7F13F665"/>
    <w:rsid w:val="7F419520"/>
    <w:rsid w:val="7F453D4C"/>
    <w:rsid w:val="7F545A85"/>
    <w:rsid w:val="7F89CE8E"/>
    <w:rsid w:val="7FDFA677"/>
    <w:rsid w:val="7FE9F9FA"/>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00D6640A-3643-468C-9532-669B4505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FA3A63"/>
    <w:pPr>
      <w:tabs>
        <w:tab w:val="left" w:pos="660"/>
        <w:tab w:val="right" w:leader="dot" w:pos="9350"/>
      </w:tabs>
      <w:spacing w:after="0"/>
      <w:ind w:left="220"/>
    </w:pPr>
    <w:rPr>
      <w:rFonts w:ascii="Calibri" w:hAnsi="Calibri"/>
      <w:smallCaps/>
      <w:sz w:val="20"/>
    </w:rPr>
  </w:style>
  <w:style w:type="paragraph" w:styleId="TOC1">
    <w:name w:val="toc 1"/>
    <w:basedOn w:val="Normal"/>
    <w:next w:val="Normal"/>
    <w:autoRedefine/>
    <w:uiPriority w:val="39"/>
    <w:qFormat/>
    <w:rsid w:val="00BD0070"/>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25"/>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ui-provider">
    <w:name w:val="ui-provider"/>
    <w:basedOn w:val="DefaultParagraphFont"/>
    <w:rsid w:val="008E0112"/>
  </w:style>
  <w:style w:type="character" w:customStyle="1" w:styleId="spellingerror">
    <w:name w:val="spellingerror"/>
    <w:basedOn w:val="DefaultParagraphFont"/>
    <w:rsid w:val="00FE77EE"/>
  </w:style>
  <w:style w:type="character" w:customStyle="1" w:styleId="xxxcontentpasted0">
    <w:name w:val="x_x_x_contentpasted0"/>
    <w:basedOn w:val="DefaultParagraphFont"/>
    <w:rsid w:val="00495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560363687">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46382500">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2.lbl.gov/dir/assets/docs/TRL%20guide.pdf" TargetMode="External"/><Relationship Id="rId3" Type="http://schemas.openxmlformats.org/officeDocument/2006/relationships/customXml" Target="../customXml/item3.xml"/><Relationship Id="rId21" Type="http://schemas.openxmlformats.org/officeDocument/2006/relationships/hyperlink" Target="mailto:Erica.Rodriguez@energy.ca.gov" TargetMode="External"/><Relationship Id="rId7" Type="http://schemas.openxmlformats.org/officeDocument/2006/relationships/settings" Target="settings.xml"/><Relationship Id="rId12" Type="http://schemas.openxmlformats.org/officeDocument/2006/relationships/hyperlink" Target="http://www.energy.ca.gov/contracts/index.html" TargetMode="External"/><Relationship Id="rId17" Type="http://schemas.openxmlformats.org/officeDocument/2006/relationships/hyperlink" Target="http://www.caiso.com/Documents/gross-and-net-load-peaks-fact-sheet.pdf"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www.empowerinnovation.net" TargetMode="External"/><Relationship Id="rId20" Type="http://schemas.openxmlformats.org/officeDocument/2006/relationships/hyperlink" Target="https://zoom.us/jo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nergy.ca.gov/contracts/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Natalie.johnson@energy.ca.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cec.ucdavis.edu/resources/what-is-time-dependent-valuation-tdv/" TargetMode="External"/><Relationship Id="rId2" Type="http://schemas.openxmlformats.org/officeDocument/2006/relationships/hyperlink" Target="https://gcc02.safelinks.protection.outlook.com/?url=https%3A%2F%2Fwww.energy.ca.gov%2Fpublications%2F2023%2Fdevelop-and-field-test-flexible-demand-response-control-strategies-water-pumping&amp;data=05%7C01%7C%7C262d35aaf784409701bb08dbdbc647a7%7Cac3a124413f44ef68d1bbaa27148194e%7C0%7C0%7C638345416899958590%7CUnknown%7CTWFpbGZsb3d8eyJWIjoiMC4wLjAwMDAiLCJQIjoiV2luMzIiLCJBTiI6Ik1haWwiLCJXVCI6Mn0%3D%7C3000%7C%7C%7C&amp;sdata=DwmNKmr7tPJVYorUFZXFbKZysXwUC%2FjB4F0%2B8iG73%2Bw%3D&amp;reserved=0" TargetMode="External"/><Relationship Id="rId1" Type="http://schemas.openxmlformats.org/officeDocument/2006/relationships/hyperlink" Target="https://www.globest.com/2019/06/17/california-is-the-top-market-for-cold-storage/?slreturn=202200051620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4" ma:contentTypeDescription="Create a new document." ma:contentTypeScope="" ma:versionID="8236cefe1985be9430e7a2ffeab18636">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e513c18936db15cc17a51b3fd79f0dfb"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Evola, Christina@Energy</DisplayName>
        <AccountId>329</AccountId>
        <AccountType/>
      </UserInfo>
      <UserInfo>
        <DisplayName>Werner, Misa@Energy</DisplayName>
        <AccountId>221</AccountId>
        <AccountType/>
      </UserInfo>
    </SharedWithUsers>
  </documentManagement>
</p:properties>
</file>

<file path=customXml/itemProps1.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2.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3.xml><?xml version="1.0" encoding="utf-8"?>
<ds:datastoreItem xmlns:ds="http://schemas.openxmlformats.org/officeDocument/2006/customXml" ds:itemID="{A8447D52-8213-45C7-80DB-DA5FC2702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s>
</ds:datastoreItem>
</file>

<file path=docProps/app.xml><?xml version="1.0" encoding="utf-8"?>
<Properties xmlns="http://schemas.openxmlformats.org/officeDocument/2006/extended-properties" xmlns:vt="http://schemas.openxmlformats.org/officeDocument/2006/docPropsVTypes">
  <Template>RFP Template.dot</Template>
  <TotalTime>58</TotalTime>
  <Pages>42</Pages>
  <Words>14068</Words>
  <Characters>81455</Characters>
  <Application>Microsoft Office Word</Application>
  <DocSecurity>0</DocSecurity>
  <Lines>1810</Lines>
  <Paragraphs>845</Paragraphs>
  <ScaleCrop>false</ScaleCrop>
  <HeadingPairs>
    <vt:vector size="2" baseType="variant">
      <vt:variant>
        <vt:lpstr>Title</vt:lpstr>
      </vt:variant>
      <vt:variant>
        <vt:i4>1</vt:i4>
      </vt:variant>
    </vt:vector>
  </HeadingPairs>
  <TitlesOfParts>
    <vt:vector size="1" baseType="lpstr">
      <vt:lpstr>00_GFO-23-301_Application_Manual Addendum 2</vt:lpstr>
    </vt:vector>
  </TitlesOfParts>
  <Company/>
  <LinksUpToDate>false</LinksUpToDate>
  <CharactersWithSpaces>94678</CharactersWithSpaces>
  <SharedDoc>false</SharedDoc>
  <HLinks>
    <vt:vector size="78" baseType="variant">
      <vt:variant>
        <vt:i4>5701732</vt:i4>
      </vt:variant>
      <vt:variant>
        <vt:i4>105</vt:i4>
      </vt:variant>
      <vt:variant>
        <vt:i4>0</vt:i4>
      </vt:variant>
      <vt:variant>
        <vt:i4>5</vt:i4>
      </vt:variant>
      <vt:variant>
        <vt:lpwstr>mailto:Natalie.johnson@energy.ca.gov</vt:lpwstr>
      </vt:variant>
      <vt:variant>
        <vt:lpwstr/>
      </vt:variant>
      <vt:variant>
        <vt:i4>4587629</vt:i4>
      </vt:variant>
      <vt:variant>
        <vt:i4>102</vt:i4>
      </vt:variant>
      <vt:variant>
        <vt:i4>0</vt:i4>
      </vt:variant>
      <vt:variant>
        <vt:i4>5</vt:i4>
      </vt:variant>
      <vt:variant>
        <vt:lpwstr>mailto:Erica.Rodriguez@energy.ca.gov</vt:lpwstr>
      </vt:variant>
      <vt:variant>
        <vt:lpwstr/>
      </vt:variant>
      <vt:variant>
        <vt:i4>4718603</vt:i4>
      </vt:variant>
      <vt:variant>
        <vt:i4>99</vt:i4>
      </vt:variant>
      <vt:variant>
        <vt:i4>0</vt:i4>
      </vt:variant>
      <vt:variant>
        <vt:i4>5</vt:i4>
      </vt:variant>
      <vt:variant>
        <vt:lpwstr>https://zoom.us/join</vt:lpwstr>
      </vt:variant>
      <vt:variant>
        <vt:lpwstr/>
      </vt:variant>
      <vt:variant>
        <vt:i4>852040</vt:i4>
      </vt:variant>
      <vt:variant>
        <vt:i4>96</vt:i4>
      </vt:variant>
      <vt:variant>
        <vt:i4>0</vt:i4>
      </vt:variant>
      <vt:variant>
        <vt:i4>5</vt:i4>
      </vt:variant>
      <vt:variant>
        <vt:lpwstr>http://www.energy.ca.gov/contracts/index.html</vt:lpwstr>
      </vt:variant>
      <vt:variant>
        <vt:lpwstr/>
      </vt:variant>
      <vt:variant>
        <vt:i4>6488160</vt:i4>
      </vt:variant>
      <vt:variant>
        <vt:i4>93</vt:i4>
      </vt:variant>
      <vt:variant>
        <vt:i4>0</vt:i4>
      </vt:variant>
      <vt:variant>
        <vt:i4>5</vt:i4>
      </vt:variant>
      <vt:variant>
        <vt:lpwstr>https://www2.lbl.gov/dir/assets/docs/TRL guide.pdf</vt:lpwstr>
      </vt:variant>
      <vt:variant>
        <vt:lpwstr/>
      </vt:variant>
      <vt:variant>
        <vt:i4>3211305</vt:i4>
      </vt:variant>
      <vt:variant>
        <vt:i4>90</vt:i4>
      </vt:variant>
      <vt:variant>
        <vt:i4>0</vt:i4>
      </vt:variant>
      <vt:variant>
        <vt:i4>5</vt:i4>
      </vt:variant>
      <vt:variant>
        <vt:lpwstr>http://www.caiso.com/Documents/gross-and-net-load-peaks-fact-sheet.pdf</vt:lpwstr>
      </vt:variant>
      <vt:variant>
        <vt:lpwstr/>
      </vt:variant>
      <vt:variant>
        <vt:i4>4587542</vt:i4>
      </vt:variant>
      <vt:variant>
        <vt:i4>87</vt:i4>
      </vt:variant>
      <vt:variant>
        <vt:i4>0</vt:i4>
      </vt:variant>
      <vt:variant>
        <vt:i4>5</vt:i4>
      </vt:variant>
      <vt:variant>
        <vt:lpwstr>http://www.empowerinnovation.net/</vt:lpwstr>
      </vt:variant>
      <vt:variant>
        <vt:lpwstr/>
      </vt:variant>
      <vt:variant>
        <vt:i4>852040</vt:i4>
      </vt:variant>
      <vt:variant>
        <vt:i4>0</vt:i4>
      </vt:variant>
      <vt:variant>
        <vt:i4>0</vt:i4>
      </vt:variant>
      <vt:variant>
        <vt:i4>5</vt:i4>
      </vt:variant>
      <vt:variant>
        <vt:lpwstr>http://www.energy.ca.gov/contracts/index.html</vt:lpwstr>
      </vt:variant>
      <vt:variant>
        <vt:lpwstr/>
      </vt:variant>
      <vt:variant>
        <vt:i4>7733360</vt:i4>
      </vt:variant>
      <vt:variant>
        <vt:i4>6</vt:i4>
      </vt:variant>
      <vt:variant>
        <vt:i4>0</vt:i4>
      </vt:variant>
      <vt:variant>
        <vt:i4>5</vt:i4>
      </vt:variant>
      <vt:variant>
        <vt:lpwstr>https://wcec.ucdavis.edu/resources/what-is-time-dependent-valuation-tdv/</vt:lpwstr>
      </vt:variant>
      <vt:variant>
        <vt:lpwstr>:~:text=TDV%20is%20a%20code%20compliance,hottest%20days%20of%20the%20year.</vt:lpwstr>
      </vt:variant>
      <vt:variant>
        <vt:i4>2359399</vt:i4>
      </vt:variant>
      <vt:variant>
        <vt:i4>3</vt:i4>
      </vt:variant>
      <vt:variant>
        <vt:i4>0</vt:i4>
      </vt:variant>
      <vt:variant>
        <vt:i4>5</vt:i4>
      </vt:variant>
      <vt:variant>
        <vt:lpwstr>https://gcc02.safelinks.protection.outlook.com/?url=https%3A%2F%2Fwww.energy.ca.gov%2Fpublications%2F2023%2Fdevelop-and-field-test-flexible-demand-response-control-strategies-water-pumping&amp;data=05%7C01%7C%7C262d35aaf784409701bb08dbdbc647a7%7Cac3a124413f44ef68d1bbaa27148194e%7C0%7C0%7C638345416899958590%7CUnknown%7CTWFpbGZsb3d8eyJWIjoiMC4wLjAwMDAiLCJQIjoiV2luMzIiLCJBTiI6Ik1haWwiLCJXVCI6Mn0%3D%7C3000%7C%7C%7C&amp;sdata=DwmNKmr7tPJVYorUFZXFbKZysXwUC%2FjB4F0%2B8iG73%2Bw%3D&amp;reserved=0</vt:lpwstr>
      </vt:variant>
      <vt:variant>
        <vt:lpwstr/>
      </vt:variant>
      <vt:variant>
        <vt:i4>5963845</vt:i4>
      </vt:variant>
      <vt:variant>
        <vt:i4>0</vt:i4>
      </vt:variant>
      <vt:variant>
        <vt:i4>0</vt:i4>
      </vt:variant>
      <vt:variant>
        <vt:i4>5</vt:i4>
      </vt:variant>
      <vt:variant>
        <vt:lpwstr>https://www.globest.com/2019/06/17/california-is-the-top-market-for-cold-storage/?slreturn=20220005162007</vt:lpwstr>
      </vt:variant>
      <vt:variant>
        <vt:lpwstr/>
      </vt:variant>
      <vt:variant>
        <vt:i4>6553675</vt:i4>
      </vt:variant>
      <vt:variant>
        <vt:i4>3</vt:i4>
      </vt:variant>
      <vt:variant>
        <vt:i4>0</vt:i4>
      </vt:variant>
      <vt:variant>
        <vt:i4>5</vt:i4>
      </vt:variant>
      <vt:variant>
        <vt:lpwstr>mailto:christian.fredericks@energy.ca.gov</vt:lpwstr>
      </vt:variant>
      <vt:variant>
        <vt:lpwstr/>
      </vt:variant>
      <vt:variant>
        <vt:i4>6553675</vt:i4>
      </vt:variant>
      <vt:variant>
        <vt:i4>0</vt:i4>
      </vt:variant>
      <vt:variant>
        <vt:i4>0</vt:i4>
      </vt:variant>
      <vt:variant>
        <vt:i4>5</vt:i4>
      </vt:variant>
      <vt:variant>
        <vt:lpwstr>mailto:christian.fredericks@energy.ca.gov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00_GFO-23-301_Application_Manual Addendum 2</dc:title>
  <dc:subject/>
  <dc:creator>California Energy Commission</dc:creator>
  <cp:keywords/>
  <dc:description/>
  <cp:lastModifiedBy>Worster, Brad@Energy</cp:lastModifiedBy>
  <cp:revision>11</cp:revision>
  <cp:lastPrinted>2020-10-23T20:23:00Z</cp:lastPrinted>
  <dcterms:created xsi:type="dcterms:W3CDTF">2023-11-14T19:20:00Z</dcterms:created>
  <dcterms:modified xsi:type="dcterms:W3CDTF">2023-12-08T22:38:00Z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adf603f39d2daf50d3fa6144ecb77ad5f8c34cf3c91eca6544c3a9538a6543f4</vt:lpwstr>
  </property>
</Properties>
</file>