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3C5C" w14:textId="77777777" w:rsidR="00B075B9" w:rsidRDefault="00B075B9" w:rsidP="00B075B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sz w:val="40"/>
          <w:szCs w:val="40"/>
        </w:rPr>
        <w:t>Questions and Answers</w:t>
      </w:r>
      <w:r>
        <w:rPr>
          <w:rStyle w:val="eop"/>
          <w:rFonts w:ascii="Tahoma" w:hAnsi="Tahoma" w:cs="Tahoma"/>
          <w:sz w:val="40"/>
          <w:szCs w:val="40"/>
        </w:rPr>
        <w:t> </w:t>
      </w:r>
    </w:p>
    <w:p w14:paraId="118F8CDC" w14:textId="2D35289C" w:rsidR="00B075B9" w:rsidRDefault="00B075B9" w:rsidP="00B075B9">
      <w:pPr>
        <w:pStyle w:val="paragraph"/>
        <w:spacing w:before="0" w:beforeAutospacing="0" w:after="0" w:afterAutospacing="0"/>
        <w:jc w:val="center"/>
        <w:textAlignment w:val="baseline"/>
        <w:rPr>
          <w:rFonts w:ascii="Segoe UI" w:hAnsi="Segoe UI" w:cs="Segoe UI"/>
          <w:color w:val="5A5A5A"/>
          <w:sz w:val="18"/>
          <w:szCs w:val="18"/>
        </w:rPr>
      </w:pPr>
      <w:r>
        <w:rPr>
          <w:rStyle w:val="normaltextrun"/>
          <w:rFonts w:ascii="Tahoma" w:hAnsi="Tahoma" w:cs="Tahoma"/>
          <w:b/>
          <w:bCs/>
          <w:color w:val="000000"/>
        </w:rPr>
        <w:t>GFO-23-301</w:t>
      </w:r>
      <w:r>
        <w:rPr>
          <w:rStyle w:val="eop"/>
          <w:rFonts w:ascii="Tahoma" w:hAnsi="Tahoma" w:cs="Tahoma"/>
          <w:color w:val="000000"/>
        </w:rPr>
        <w:t> </w:t>
      </w:r>
    </w:p>
    <w:p w14:paraId="1539A43E" w14:textId="77777777" w:rsidR="00B075B9" w:rsidRDefault="00B075B9" w:rsidP="00B075B9">
      <w:pPr>
        <w:pStyle w:val="paragraph"/>
        <w:spacing w:before="0" w:beforeAutospacing="0" w:after="0" w:afterAutospacing="0"/>
        <w:jc w:val="center"/>
        <w:textAlignment w:val="baseline"/>
        <w:rPr>
          <w:rStyle w:val="normaltextrun"/>
          <w:rFonts w:ascii="Tahoma" w:hAnsi="Tahoma" w:cs="Tahoma"/>
          <w:b/>
          <w:bCs/>
          <w:color w:val="000000"/>
        </w:rPr>
      </w:pPr>
      <w:r w:rsidRPr="00B075B9">
        <w:rPr>
          <w:rStyle w:val="normaltextrun"/>
          <w:rFonts w:ascii="Tahoma" w:hAnsi="Tahoma" w:cs="Tahoma"/>
          <w:b/>
          <w:bCs/>
          <w:color w:val="000000"/>
        </w:rPr>
        <w:t>Energy Efficiency and Load Flexibility in Industrial and Commercial Cold Storage Facilities</w:t>
      </w:r>
    </w:p>
    <w:p w14:paraId="7E81A20C" w14:textId="0366A8FE" w:rsidR="00D318DA" w:rsidRPr="00D318DA" w:rsidRDefault="00AB7341" w:rsidP="00D318DA">
      <w:pPr>
        <w:pStyle w:val="paragraph"/>
        <w:spacing w:before="0" w:beforeAutospacing="0" w:after="0" w:afterAutospacing="0"/>
        <w:jc w:val="center"/>
        <w:textAlignment w:val="baseline"/>
        <w:rPr>
          <w:rStyle w:val="normaltextrun"/>
          <w:rFonts w:ascii="Segoe UI" w:hAnsi="Segoe UI" w:cs="Segoe UI"/>
          <w:strike/>
          <w:color w:val="5A5A5A"/>
          <w:sz w:val="18"/>
          <w:szCs w:val="18"/>
        </w:rPr>
      </w:pPr>
      <w:r w:rsidRPr="00AB7341">
        <w:rPr>
          <w:rStyle w:val="normaltextrun"/>
          <w:rFonts w:ascii="Tahoma" w:hAnsi="Tahoma" w:cs="Tahoma"/>
          <w:color w:val="000000"/>
        </w:rPr>
        <w:t>[</w:t>
      </w:r>
      <w:r w:rsidR="00D318DA" w:rsidRPr="00D318DA">
        <w:rPr>
          <w:rStyle w:val="normaltextrun"/>
          <w:rFonts w:ascii="Tahoma" w:hAnsi="Tahoma" w:cs="Tahoma"/>
          <w:strike/>
          <w:color w:val="000000"/>
        </w:rPr>
        <w:t>November 8th, 2023</w:t>
      </w:r>
      <w:r w:rsidRPr="00AB7341">
        <w:rPr>
          <w:rStyle w:val="eop"/>
          <w:rFonts w:ascii="Tahoma" w:hAnsi="Tahoma" w:cs="Tahoma"/>
          <w:color w:val="000000"/>
        </w:rPr>
        <w:t>]</w:t>
      </w:r>
    </w:p>
    <w:p w14:paraId="7D3F8207" w14:textId="720B0A3C" w:rsidR="00B075B9" w:rsidRDefault="009E0044" w:rsidP="00B075B9">
      <w:pPr>
        <w:pStyle w:val="paragraph"/>
        <w:spacing w:before="0" w:beforeAutospacing="0" w:after="0" w:afterAutospacing="0"/>
        <w:jc w:val="center"/>
        <w:textAlignment w:val="baseline"/>
        <w:rPr>
          <w:rStyle w:val="eop"/>
          <w:rFonts w:ascii="Tahoma" w:hAnsi="Tahoma" w:cs="Tahoma"/>
          <w:b/>
          <w:bCs/>
          <w:color w:val="000000" w:themeColor="text1"/>
          <w:u w:val="single"/>
        </w:rPr>
      </w:pPr>
      <w:r w:rsidRPr="00D318DA">
        <w:rPr>
          <w:rStyle w:val="normaltextrun"/>
          <w:rFonts w:ascii="Tahoma" w:hAnsi="Tahoma" w:cs="Tahoma"/>
          <w:b/>
          <w:bCs/>
          <w:color w:val="000000" w:themeColor="text1"/>
          <w:u w:val="single"/>
        </w:rPr>
        <w:t xml:space="preserve">December </w:t>
      </w:r>
      <w:r w:rsidR="003075FC">
        <w:rPr>
          <w:rStyle w:val="normaltextrun"/>
          <w:rFonts w:ascii="Tahoma" w:hAnsi="Tahoma" w:cs="Tahoma"/>
          <w:b/>
          <w:bCs/>
          <w:color w:val="000000" w:themeColor="text1"/>
          <w:u w:val="single"/>
        </w:rPr>
        <w:t>14</w:t>
      </w:r>
      <w:r w:rsidR="19B1412F" w:rsidRPr="00D318DA">
        <w:rPr>
          <w:rStyle w:val="normaltextrun"/>
          <w:rFonts w:ascii="Tahoma" w:hAnsi="Tahoma" w:cs="Tahoma"/>
          <w:b/>
          <w:bCs/>
          <w:color w:val="000000" w:themeColor="text1"/>
          <w:u w:val="single"/>
        </w:rPr>
        <w:t>th</w:t>
      </w:r>
      <w:r w:rsidR="00B075B9" w:rsidRPr="00D318DA">
        <w:rPr>
          <w:rStyle w:val="normaltextrun"/>
          <w:rFonts w:ascii="Tahoma" w:hAnsi="Tahoma" w:cs="Tahoma"/>
          <w:b/>
          <w:bCs/>
          <w:color w:val="000000" w:themeColor="text1"/>
          <w:u w:val="single"/>
        </w:rPr>
        <w:t>, 2023</w:t>
      </w:r>
      <w:r w:rsidR="00B075B9" w:rsidRPr="00D318DA">
        <w:rPr>
          <w:rStyle w:val="eop"/>
          <w:rFonts w:ascii="Tahoma" w:hAnsi="Tahoma" w:cs="Tahoma"/>
          <w:b/>
          <w:bCs/>
          <w:color w:val="000000" w:themeColor="text1"/>
          <w:u w:val="single"/>
        </w:rPr>
        <w:t> </w:t>
      </w:r>
    </w:p>
    <w:p w14:paraId="32D7A0BF" w14:textId="77777777" w:rsidR="00AB7341" w:rsidRDefault="00AB7341" w:rsidP="00B075B9">
      <w:pPr>
        <w:pStyle w:val="paragraph"/>
        <w:spacing w:before="0" w:beforeAutospacing="0" w:after="0" w:afterAutospacing="0"/>
        <w:jc w:val="center"/>
        <w:textAlignment w:val="baseline"/>
        <w:rPr>
          <w:rStyle w:val="eop"/>
          <w:rFonts w:ascii="Tahoma" w:hAnsi="Tahoma" w:cs="Tahoma"/>
          <w:b/>
          <w:bCs/>
          <w:color w:val="000000" w:themeColor="text1"/>
          <w:u w:val="single"/>
        </w:rPr>
      </w:pPr>
    </w:p>
    <w:p w14:paraId="7680E61B" w14:textId="77777777" w:rsidR="00B02FE6" w:rsidRPr="00AB7341" w:rsidRDefault="00B02FE6" w:rsidP="00B075B9">
      <w:pPr>
        <w:pStyle w:val="paragraph"/>
        <w:spacing w:before="0" w:beforeAutospacing="0" w:after="0" w:afterAutospacing="0"/>
        <w:jc w:val="center"/>
        <w:textAlignment w:val="baseline"/>
        <w:rPr>
          <w:rStyle w:val="eop"/>
          <w:rFonts w:ascii="Tahoma" w:hAnsi="Tahoma" w:cs="Tahoma"/>
          <w:b/>
          <w:bCs/>
          <w:color w:val="000000" w:themeColor="text1"/>
          <w:u w:val="single"/>
        </w:rPr>
      </w:pPr>
    </w:p>
    <w:p w14:paraId="0390D45D" w14:textId="77777777" w:rsidR="00AB7341" w:rsidRPr="00AB7341" w:rsidRDefault="00AB7341" w:rsidP="00AB7341">
      <w:pPr>
        <w:keepLines/>
        <w:widowControl w:val="0"/>
        <w:jc w:val="center"/>
        <w:rPr>
          <w:rFonts w:ascii="Tahoma" w:hAnsi="Tahoma" w:cs="Tahoma"/>
          <w:sz w:val="24"/>
          <w:szCs w:val="24"/>
        </w:rPr>
      </w:pPr>
      <w:r w:rsidRPr="00AB7341">
        <w:rPr>
          <w:rFonts w:ascii="Tahoma" w:hAnsi="Tahoma" w:cs="Tahoma"/>
          <w:sz w:val="24"/>
          <w:szCs w:val="24"/>
        </w:rPr>
        <w:t xml:space="preserve">Added language appears in </w:t>
      </w:r>
      <w:r w:rsidRPr="00AB7341">
        <w:rPr>
          <w:rFonts w:ascii="Tahoma" w:hAnsi="Tahoma" w:cs="Tahoma"/>
          <w:b/>
          <w:bCs/>
          <w:sz w:val="24"/>
          <w:szCs w:val="24"/>
          <w:u w:val="single"/>
        </w:rPr>
        <w:t>bold underline</w:t>
      </w:r>
      <w:r w:rsidRPr="00AB7341">
        <w:rPr>
          <w:rFonts w:ascii="Tahoma" w:hAnsi="Tahoma" w:cs="Tahoma"/>
          <w:sz w:val="24"/>
          <w:szCs w:val="24"/>
        </w:rPr>
        <w:t>, and deleted language appears in [</w:t>
      </w:r>
      <w:r w:rsidRPr="00AB7341">
        <w:rPr>
          <w:rFonts w:ascii="Tahoma" w:hAnsi="Tahoma" w:cs="Tahoma"/>
          <w:strike/>
          <w:sz w:val="24"/>
          <w:szCs w:val="24"/>
        </w:rPr>
        <w:t>strikethrough</w:t>
      </w:r>
      <w:r w:rsidRPr="00AB7341">
        <w:rPr>
          <w:rFonts w:ascii="Tahoma" w:hAnsi="Tahoma" w:cs="Tahoma"/>
          <w:sz w:val="24"/>
          <w:szCs w:val="24"/>
        </w:rPr>
        <w:t>] and within square brackets.</w:t>
      </w:r>
    </w:p>
    <w:p w14:paraId="6C180F69" w14:textId="77777777" w:rsidR="00AB7341" w:rsidRPr="00D318DA" w:rsidRDefault="00AB7341" w:rsidP="00B075B9">
      <w:pPr>
        <w:pStyle w:val="paragraph"/>
        <w:spacing w:before="0" w:beforeAutospacing="0" w:after="0" w:afterAutospacing="0"/>
        <w:jc w:val="center"/>
        <w:textAlignment w:val="baseline"/>
        <w:rPr>
          <w:rFonts w:ascii="Segoe UI" w:hAnsi="Segoe UI" w:cs="Segoe UI"/>
          <w:b/>
          <w:bCs/>
          <w:color w:val="5A5A5A"/>
          <w:sz w:val="18"/>
          <w:szCs w:val="18"/>
          <w:u w:val="single"/>
        </w:rPr>
      </w:pPr>
    </w:p>
    <w:p w14:paraId="3ED708A2" w14:textId="783FDAE1" w:rsidR="00B075B9" w:rsidRDefault="00B075B9" w:rsidP="00B02FE6">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b/>
          <w:bCs/>
        </w:rPr>
        <w:t> </w:t>
      </w:r>
      <w:r>
        <w:rPr>
          <w:rStyle w:val="eop"/>
          <w:rFonts w:ascii="Tahoma" w:hAnsi="Tahoma" w:cs="Tahoma"/>
        </w:rPr>
        <w:t> </w:t>
      </w:r>
      <w:r>
        <w:rPr>
          <w:rStyle w:val="normaltextrun"/>
          <w:rFonts w:ascii="Tahoma" w:hAnsi="Tahoma" w:cs="Tahoma"/>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r>
        <w:rPr>
          <w:rStyle w:val="eop"/>
          <w:rFonts w:ascii="Tahoma" w:hAnsi="Tahoma" w:cs="Tahoma"/>
        </w:rPr>
        <w:t> </w:t>
      </w:r>
    </w:p>
    <w:p w14:paraId="27ED4F33" w14:textId="77777777" w:rsidR="00C2179C" w:rsidRDefault="00C2179C" w:rsidP="00B075B9">
      <w:pPr>
        <w:pStyle w:val="paragraph"/>
        <w:spacing w:before="0" w:beforeAutospacing="0" w:after="0" w:afterAutospacing="0"/>
        <w:textAlignment w:val="baseline"/>
        <w:rPr>
          <w:rStyle w:val="eop"/>
          <w:rFonts w:ascii="Tahoma" w:hAnsi="Tahoma" w:cs="Tahoma"/>
        </w:rPr>
      </w:pPr>
    </w:p>
    <w:p w14:paraId="7574EDED" w14:textId="77777777" w:rsidR="00C2179C" w:rsidRPr="00C4771F" w:rsidRDefault="00C2179C" w:rsidP="00C2179C">
      <w:pPr>
        <w:pStyle w:val="NormalWeb"/>
        <w:rPr>
          <w:rStyle w:val="normaltextrun"/>
          <w:rFonts w:ascii="Tahoma" w:hAnsi="Tahoma" w:cs="Tahoma"/>
        </w:rPr>
      </w:pPr>
      <w:r w:rsidRPr="00C4771F">
        <w:rPr>
          <w:rStyle w:val="normaltextrun"/>
          <w:rFonts w:ascii="Tahoma" w:hAnsi="Tahoma" w:cs="Tahoma"/>
        </w:rPr>
        <w:t>Table of Contents:</w:t>
      </w:r>
    </w:p>
    <w:tbl>
      <w:tblPr>
        <w:tblStyle w:val="TableGrid"/>
        <w:tblW w:w="0" w:type="auto"/>
        <w:tblLook w:val="04A0" w:firstRow="1" w:lastRow="0" w:firstColumn="1" w:lastColumn="0" w:noHBand="0" w:noVBand="1"/>
      </w:tblPr>
      <w:tblGrid>
        <w:gridCol w:w="4675"/>
        <w:gridCol w:w="2790"/>
      </w:tblGrid>
      <w:tr w:rsidR="00EA10E0" w14:paraId="248A58DD" w14:textId="77777777" w:rsidTr="00C4771F">
        <w:tc>
          <w:tcPr>
            <w:tcW w:w="4675" w:type="dxa"/>
          </w:tcPr>
          <w:p w14:paraId="7E669C12" w14:textId="097A3AEA" w:rsidR="00EA10E0" w:rsidRPr="00C4771F" w:rsidRDefault="00AF220A" w:rsidP="00C2179C">
            <w:pPr>
              <w:pStyle w:val="NormalWeb"/>
              <w:rPr>
                <w:rStyle w:val="normaltextrun"/>
                <w:rFonts w:ascii="Tahoma" w:hAnsi="Tahoma" w:cs="Tahoma"/>
                <w:sz w:val="22"/>
                <w:szCs w:val="22"/>
              </w:rPr>
            </w:pPr>
            <w:r w:rsidRPr="00C4771F">
              <w:rPr>
                <w:rStyle w:val="normaltextrun"/>
                <w:rFonts w:ascii="Tahoma" w:hAnsi="Tahoma" w:cs="Tahoma"/>
                <w:sz w:val="22"/>
                <w:szCs w:val="22"/>
              </w:rPr>
              <w:t>Topic</w:t>
            </w:r>
          </w:p>
        </w:tc>
        <w:tc>
          <w:tcPr>
            <w:tcW w:w="2790" w:type="dxa"/>
          </w:tcPr>
          <w:p w14:paraId="417E4784" w14:textId="5E460D15" w:rsidR="00EA10E0" w:rsidRPr="00C4771F" w:rsidRDefault="00AF220A" w:rsidP="00C2179C">
            <w:pPr>
              <w:pStyle w:val="NormalWeb"/>
              <w:rPr>
                <w:rStyle w:val="normaltextrun"/>
                <w:rFonts w:ascii="Tahoma" w:hAnsi="Tahoma" w:cs="Tahoma"/>
                <w:sz w:val="22"/>
                <w:szCs w:val="22"/>
              </w:rPr>
            </w:pPr>
            <w:r w:rsidRPr="00585772">
              <w:rPr>
                <w:rStyle w:val="normaltextrun"/>
                <w:rFonts w:ascii="Tahoma" w:hAnsi="Tahoma" w:cs="Tahoma"/>
                <w:sz w:val="22"/>
                <w:szCs w:val="22"/>
              </w:rPr>
              <w:t>P</w:t>
            </w:r>
            <w:r w:rsidRPr="00C4771F">
              <w:rPr>
                <w:rStyle w:val="normaltextrun"/>
                <w:rFonts w:ascii="Tahoma" w:hAnsi="Tahoma" w:cs="Tahoma"/>
                <w:sz w:val="22"/>
                <w:szCs w:val="22"/>
              </w:rPr>
              <w:t>age</w:t>
            </w:r>
          </w:p>
        </w:tc>
      </w:tr>
      <w:tr w:rsidR="00EA10E0" w14:paraId="73E59DA0" w14:textId="77777777" w:rsidTr="00C4771F">
        <w:tc>
          <w:tcPr>
            <w:tcW w:w="4675" w:type="dxa"/>
          </w:tcPr>
          <w:p w14:paraId="6A7FDBD1" w14:textId="59414031" w:rsidR="00EA10E0" w:rsidRPr="00C4771F" w:rsidRDefault="00AF220A" w:rsidP="00C2179C">
            <w:pPr>
              <w:pStyle w:val="NormalWeb"/>
              <w:rPr>
                <w:rStyle w:val="normaltextrun"/>
                <w:rFonts w:ascii="Tahoma" w:hAnsi="Tahoma" w:cs="Tahoma"/>
                <w:sz w:val="22"/>
                <w:szCs w:val="22"/>
              </w:rPr>
            </w:pPr>
            <w:r w:rsidRPr="00585772">
              <w:rPr>
                <w:rStyle w:val="normaltextrun"/>
                <w:rFonts w:ascii="Tahoma" w:hAnsi="Tahoma" w:cs="Tahoma"/>
                <w:sz w:val="22"/>
                <w:szCs w:val="22"/>
              </w:rPr>
              <w:t>E</w:t>
            </w:r>
            <w:r w:rsidRPr="00C4771F">
              <w:rPr>
                <w:rStyle w:val="normaltextrun"/>
                <w:rFonts w:ascii="Tahoma" w:hAnsi="Tahoma" w:cs="Tahoma"/>
                <w:sz w:val="22"/>
                <w:szCs w:val="22"/>
              </w:rPr>
              <w:t>ligibility</w:t>
            </w:r>
          </w:p>
        </w:tc>
        <w:tc>
          <w:tcPr>
            <w:tcW w:w="2790" w:type="dxa"/>
          </w:tcPr>
          <w:p w14:paraId="4620D058" w14:textId="63397326" w:rsidR="00EA10E0" w:rsidRPr="009065FE" w:rsidRDefault="00585772" w:rsidP="00C2179C">
            <w:pPr>
              <w:pStyle w:val="NormalWeb"/>
              <w:rPr>
                <w:rStyle w:val="normaltextrun"/>
                <w:rFonts w:ascii="Tahoma" w:hAnsi="Tahoma" w:cs="Tahoma"/>
              </w:rPr>
            </w:pPr>
            <w:r w:rsidRPr="15C27CBC">
              <w:rPr>
                <w:rStyle w:val="normaltextrun"/>
                <w:rFonts w:ascii="Tahoma" w:hAnsi="Tahoma" w:cs="Tahoma"/>
                <w:sz w:val="22"/>
                <w:szCs w:val="22"/>
              </w:rPr>
              <w:t>1</w:t>
            </w:r>
            <w:r w:rsidRPr="00C4771F">
              <w:rPr>
                <w:rStyle w:val="normaltextrun"/>
                <w:rFonts w:ascii="Tahoma" w:hAnsi="Tahoma" w:cs="Tahoma"/>
                <w:sz w:val="22"/>
                <w:szCs w:val="22"/>
              </w:rPr>
              <w:t>-</w:t>
            </w:r>
            <w:r w:rsidR="007178AB" w:rsidRPr="007178AB">
              <w:rPr>
                <w:rStyle w:val="normaltextrun"/>
                <w:rFonts w:ascii="Tahoma" w:hAnsi="Tahoma" w:cs="Tahoma"/>
                <w:b/>
                <w:bCs/>
                <w:sz w:val="22"/>
                <w:szCs w:val="22"/>
                <w:u w:val="single"/>
              </w:rPr>
              <w:t>5</w:t>
            </w:r>
            <w:r w:rsidR="00A12974" w:rsidRPr="00A12974">
              <w:rPr>
                <w:rStyle w:val="normaltextrun"/>
                <w:rFonts w:ascii="Tahoma" w:hAnsi="Tahoma" w:cs="Tahoma"/>
                <w:b/>
                <w:bCs/>
                <w:sz w:val="22"/>
                <w:szCs w:val="22"/>
              </w:rPr>
              <w:t xml:space="preserve"> </w:t>
            </w:r>
            <w:r w:rsidR="009065FE" w:rsidRPr="00A12974">
              <w:rPr>
                <w:rStyle w:val="normaltextrun"/>
                <w:rFonts w:ascii="Tahoma" w:hAnsi="Tahoma" w:cs="Tahoma"/>
                <w:sz w:val="22"/>
                <w:szCs w:val="22"/>
                <w:u w:val="single"/>
              </w:rPr>
              <w:t>[</w:t>
            </w:r>
            <w:r w:rsidR="009065FE" w:rsidRPr="00A12974">
              <w:rPr>
                <w:rStyle w:val="normaltextrun"/>
                <w:rFonts w:ascii="Tahoma" w:hAnsi="Tahoma" w:cs="Tahoma"/>
                <w:strike/>
                <w:sz w:val="22"/>
                <w:szCs w:val="22"/>
              </w:rPr>
              <w:t>4</w:t>
            </w:r>
            <w:r w:rsidR="00A12974" w:rsidRPr="00A12974">
              <w:rPr>
                <w:rStyle w:val="normaltextrun"/>
                <w:rFonts w:ascii="Tahoma" w:hAnsi="Tahoma" w:cs="Tahoma"/>
              </w:rPr>
              <w:t>]</w:t>
            </w:r>
          </w:p>
        </w:tc>
      </w:tr>
      <w:tr w:rsidR="00EA10E0" w14:paraId="1BA6CEDB" w14:textId="77777777" w:rsidTr="00C4771F">
        <w:tc>
          <w:tcPr>
            <w:tcW w:w="4675" w:type="dxa"/>
          </w:tcPr>
          <w:p w14:paraId="4ADD0546" w14:textId="43AA9EDB" w:rsidR="00EA10E0" w:rsidRPr="00C4771F" w:rsidRDefault="005018AF" w:rsidP="00C2179C">
            <w:pPr>
              <w:pStyle w:val="NormalWeb"/>
              <w:rPr>
                <w:rStyle w:val="normaltextrun"/>
                <w:rFonts w:ascii="Tahoma" w:hAnsi="Tahoma" w:cs="Tahoma"/>
                <w:sz w:val="22"/>
                <w:szCs w:val="22"/>
              </w:rPr>
            </w:pPr>
            <w:r w:rsidRPr="00585772">
              <w:rPr>
                <w:rStyle w:val="normaltextrun"/>
                <w:rFonts w:ascii="Tahoma" w:hAnsi="Tahoma" w:cs="Tahoma"/>
                <w:sz w:val="22"/>
                <w:szCs w:val="22"/>
              </w:rPr>
              <w:t>D</w:t>
            </w:r>
            <w:r w:rsidRPr="00C4771F">
              <w:rPr>
                <w:rStyle w:val="normaltextrun"/>
                <w:rFonts w:ascii="Tahoma" w:hAnsi="Tahoma" w:cs="Tahoma"/>
                <w:sz w:val="22"/>
                <w:szCs w:val="22"/>
              </w:rPr>
              <w:t>isadvantaged Communities</w:t>
            </w:r>
          </w:p>
        </w:tc>
        <w:tc>
          <w:tcPr>
            <w:tcW w:w="2790" w:type="dxa"/>
          </w:tcPr>
          <w:p w14:paraId="1C203BE7" w14:textId="09EE5D40" w:rsidR="00EA10E0" w:rsidRPr="00C4771F" w:rsidRDefault="00585772" w:rsidP="00C2179C">
            <w:pPr>
              <w:pStyle w:val="NormalWeb"/>
              <w:rPr>
                <w:rStyle w:val="normaltextrun"/>
                <w:rFonts w:ascii="Tahoma" w:hAnsi="Tahoma" w:cs="Tahoma"/>
                <w:sz w:val="22"/>
                <w:szCs w:val="22"/>
              </w:rPr>
            </w:pPr>
            <w:r w:rsidRPr="00585772">
              <w:rPr>
                <w:rStyle w:val="normaltextrun"/>
                <w:rFonts w:ascii="Tahoma" w:hAnsi="Tahoma" w:cs="Tahoma"/>
                <w:sz w:val="22"/>
                <w:szCs w:val="22"/>
              </w:rPr>
              <w:t>3</w:t>
            </w:r>
          </w:p>
        </w:tc>
      </w:tr>
      <w:tr w:rsidR="00EA10E0" w14:paraId="72855CB4" w14:textId="77777777" w:rsidTr="00C4771F">
        <w:tc>
          <w:tcPr>
            <w:tcW w:w="4675" w:type="dxa"/>
          </w:tcPr>
          <w:p w14:paraId="695A7B67" w14:textId="51A76BB4" w:rsidR="00EA10E0" w:rsidRPr="00C4771F" w:rsidRDefault="02489BFE" w:rsidP="093BAD59">
            <w:pPr>
              <w:pStyle w:val="NormalWeb"/>
              <w:rPr>
                <w:rStyle w:val="normaltextrun"/>
                <w:rFonts w:ascii="Tahoma" w:hAnsi="Tahoma" w:cs="Tahoma"/>
                <w:sz w:val="22"/>
                <w:szCs w:val="22"/>
              </w:rPr>
            </w:pPr>
            <w:r w:rsidRPr="093BAD59">
              <w:rPr>
                <w:rStyle w:val="normaltextrun"/>
                <w:rFonts w:ascii="Tahoma" w:hAnsi="Tahoma" w:cs="Tahoma"/>
                <w:sz w:val="22"/>
                <w:szCs w:val="22"/>
              </w:rPr>
              <w:t>M</w:t>
            </w:r>
            <w:r w:rsidRPr="00C4771F">
              <w:rPr>
                <w:rStyle w:val="normaltextrun"/>
                <w:rFonts w:ascii="Tahoma" w:hAnsi="Tahoma" w:cs="Tahoma"/>
                <w:sz w:val="22"/>
                <w:szCs w:val="22"/>
              </w:rPr>
              <w:t>atch Funding</w:t>
            </w:r>
            <w:r w:rsidR="618FEC13" w:rsidRPr="093BAD59">
              <w:rPr>
                <w:rStyle w:val="normaltextrun"/>
                <w:rFonts w:ascii="Tahoma" w:hAnsi="Tahoma" w:cs="Tahoma"/>
                <w:sz w:val="22"/>
                <w:szCs w:val="22"/>
              </w:rPr>
              <w:t xml:space="preserve"> </w:t>
            </w:r>
            <w:r w:rsidR="618FEC13" w:rsidRPr="093BAD59">
              <w:rPr>
                <w:rStyle w:val="normaltextrun"/>
                <w:rFonts w:ascii="Tahoma" w:hAnsi="Tahoma" w:cs="Tahoma"/>
              </w:rPr>
              <w:t>Qualifications</w:t>
            </w:r>
          </w:p>
        </w:tc>
        <w:tc>
          <w:tcPr>
            <w:tcW w:w="2790" w:type="dxa"/>
          </w:tcPr>
          <w:p w14:paraId="4F3D0212" w14:textId="4FFDE485" w:rsidR="00EA10E0" w:rsidRPr="00C4771F" w:rsidRDefault="00585772" w:rsidP="00C2179C">
            <w:pPr>
              <w:pStyle w:val="NormalWeb"/>
              <w:rPr>
                <w:rStyle w:val="normaltextrun"/>
                <w:rFonts w:ascii="Tahoma" w:hAnsi="Tahoma" w:cs="Tahoma"/>
                <w:sz w:val="22"/>
                <w:szCs w:val="22"/>
              </w:rPr>
            </w:pPr>
            <w:r w:rsidRPr="00585772">
              <w:rPr>
                <w:rStyle w:val="normaltextrun"/>
                <w:rFonts w:ascii="Tahoma" w:hAnsi="Tahoma" w:cs="Tahoma"/>
                <w:sz w:val="22"/>
                <w:szCs w:val="22"/>
              </w:rPr>
              <w:t>4</w:t>
            </w:r>
          </w:p>
        </w:tc>
      </w:tr>
      <w:tr w:rsidR="00AF220A" w14:paraId="1B1F7774" w14:textId="77777777" w:rsidTr="00C4771F">
        <w:tc>
          <w:tcPr>
            <w:tcW w:w="4675" w:type="dxa"/>
          </w:tcPr>
          <w:p w14:paraId="4C790F1D" w14:textId="5C697996" w:rsidR="00AF220A" w:rsidRPr="00585772" w:rsidRDefault="2B4512D3" w:rsidP="00C2179C">
            <w:pPr>
              <w:pStyle w:val="NormalWeb"/>
              <w:rPr>
                <w:rStyle w:val="normaltextrun"/>
                <w:rFonts w:ascii="Tahoma" w:hAnsi="Tahoma" w:cs="Tahoma"/>
                <w:sz w:val="22"/>
                <w:szCs w:val="22"/>
              </w:rPr>
            </w:pPr>
            <w:r w:rsidRPr="32319B09">
              <w:rPr>
                <w:rStyle w:val="normaltextrun"/>
                <w:rFonts w:ascii="Tahoma" w:hAnsi="Tahoma" w:cs="Tahoma"/>
                <w:sz w:val="22"/>
                <w:szCs w:val="22"/>
              </w:rPr>
              <w:t>Demonstration Site Eligibility</w:t>
            </w:r>
          </w:p>
        </w:tc>
        <w:tc>
          <w:tcPr>
            <w:tcW w:w="2790" w:type="dxa"/>
          </w:tcPr>
          <w:p w14:paraId="5B45AD8A" w14:textId="3B15162D" w:rsidR="00AF220A" w:rsidRPr="00585772" w:rsidRDefault="00585772" w:rsidP="00C2179C">
            <w:pPr>
              <w:pStyle w:val="NormalWeb"/>
              <w:rPr>
                <w:rStyle w:val="normaltextrun"/>
                <w:rFonts w:ascii="Tahoma" w:hAnsi="Tahoma" w:cs="Tahoma"/>
                <w:sz w:val="22"/>
                <w:szCs w:val="22"/>
              </w:rPr>
            </w:pPr>
            <w:r w:rsidRPr="00585772">
              <w:rPr>
                <w:rStyle w:val="normaltextrun"/>
                <w:rFonts w:ascii="Tahoma" w:hAnsi="Tahoma" w:cs="Tahoma"/>
                <w:sz w:val="22"/>
                <w:szCs w:val="22"/>
              </w:rPr>
              <w:t>4</w:t>
            </w:r>
          </w:p>
        </w:tc>
      </w:tr>
    </w:tbl>
    <w:p w14:paraId="089562C1" w14:textId="77777777" w:rsidR="00C2179C" w:rsidRDefault="00C2179C" w:rsidP="00B075B9">
      <w:pPr>
        <w:pStyle w:val="paragraph"/>
        <w:spacing w:before="0" w:beforeAutospacing="0" w:after="0" w:afterAutospacing="0"/>
        <w:textAlignment w:val="baseline"/>
        <w:rPr>
          <w:rStyle w:val="eop"/>
          <w:rFonts w:ascii="Tahoma" w:hAnsi="Tahoma" w:cs="Tahoma"/>
        </w:rPr>
      </w:pPr>
    </w:p>
    <w:p w14:paraId="104C122C" w14:textId="77777777" w:rsidR="00B075B9" w:rsidRPr="006B2916" w:rsidRDefault="00B075B9" w:rsidP="00B075B9">
      <w:pPr>
        <w:pStyle w:val="paragraph"/>
        <w:spacing w:before="0" w:beforeAutospacing="0" w:after="0" w:afterAutospacing="0"/>
        <w:textAlignment w:val="baseline"/>
        <w:rPr>
          <w:rFonts w:ascii="Tahoma" w:hAnsi="Tahoma" w:cs="Tahoma"/>
          <w:sz w:val="18"/>
          <w:szCs w:val="18"/>
        </w:rPr>
      </w:pPr>
    </w:p>
    <w:p w14:paraId="41DB1BB6" w14:textId="6A7FE03A" w:rsidR="00F37607" w:rsidRDefault="00B075B9" w:rsidP="00B075B9">
      <w:pPr>
        <w:pStyle w:val="ListParagraph"/>
        <w:numPr>
          <w:ilvl w:val="0"/>
          <w:numId w:val="3"/>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w:t>
      </w:r>
      <w:r w:rsidR="00A27281">
        <w:rPr>
          <w:rFonts w:ascii="Tahoma" w:hAnsi="Tahoma" w:cs="Tahoma"/>
        </w:rPr>
        <w:t>Section I.C states</w:t>
      </w:r>
      <w:r w:rsidR="00CF27D5">
        <w:rPr>
          <w:rFonts w:ascii="Tahoma" w:hAnsi="Tahoma" w:cs="Tahoma"/>
        </w:rPr>
        <w:t xml:space="preserve"> that i</w:t>
      </w:r>
      <w:r w:rsidRPr="006B2916">
        <w:rPr>
          <w:rFonts w:ascii="Tahoma" w:hAnsi="Tahoma" w:cs="Tahoma"/>
        </w:rPr>
        <w:t>ntegrated thermal energy storage technologies, such as dedicated ice storage, brine cold storage that enables operational flexibility, and electric load shifting</w:t>
      </w:r>
      <w:r w:rsidR="00615F43">
        <w:rPr>
          <w:rFonts w:ascii="Tahoma" w:hAnsi="Tahoma" w:cs="Tahoma"/>
        </w:rPr>
        <w:t xml:space="preserve"> </w:t>
      </w:r>
      <w:r w:rsidR="00E53B8A">
        <w:rPr>
          <w:rFonts w:ascii="Tahoma" w:hAnsi="Tahoma" w:cs="Tahoma"/>
        </w:rPr>
        <w:t xml:space="preserve">are </w:t>
      </w:r>
      <w:r w:rsidR="00615F43">
        <w:rPr>
          <w:rFonts w:ascii="Tahoma" w:hAnsi="Tahoma" w:cs="Tahoma"/>
        </w:rPr>
        <w:t>eligible technolog</w:t>
      </w:r>
      <w:r w:rsidR="005C2516">
        <w:rPr>
          <w:rFonts w:ascii="Tahoma" w:hAnsi="Tahoma" w:cs="Tahoma"/>
        </w:rPr>
        <w:t xml:space="preserve">ies for this solicitation. </w:t>
      </w:r>
      <w:r w:rsidRPr="006B2916" w:rsidDel="005C2516">
        <w:rPr>
          <w:rFonts w:ascii="Tahoma" w:hAnsi="Tahoma" w:cs="Tahoma"/>
        </w:rPr>
        <w:t xml:space="preserve"> </w:t>
      </w:r>
    </w:p>
    <w:p w14:paraId="7204305C" w14:textId="77777777" w:rsidR="00F37607" w:rsidRDefault="00F37607" w:rsidP="00F37607">
      <w:pPr>
        <w:pStyle w:val="ListParagraph"/>
        <w:spacing w:line="240" w:lineRule="auto"/>
        <w:rPr>
          <w:rFonts w:ascii="Tahoma" w:hAnsi="Tahoma" w:cs="Tahoma"/>
          <w:b/>
          <w:bCs/>
        </w:rPr>
      </w:pPr>
    </w:p>
    <w:p w14:paraId="75CD15CB" w14:textId="594BA837" w:rsidR="00B075B9" w:rsidRPr="006B2916" w:rsidRDefault="00B075B9" w:rsidP="00D81D25">
      <w:pPr>
        <w:pStyle w:val="ListParagraph"/>
        <w:spacing w:line="240" w:lineRule="auto"/>
        <w:rPr>
          <w:rFonts w:ascii="Tahoma" w:hAnsi="Tahoma" w:cs="Tahoma"/>
        </w:rPr>
      </w:pPr>
      <w:r w:rsidRPr="006B2916">
        <w:rPr>
          <w:rFonts w:ascii="Tahoma" w:hAnsi="Tahoma" w:cs="Tahoma"/>
        </w:rPr>
        <w:t>The above sentence is structured so as to suggest that “electric load shifting”, can be accomplished by a technology other than “integrated thermal energy storage”. Can this be clarified to make it clear that an innovative, TRL 7 to 8 technology that significantly advances the current state of the art in “electric load shifting” is eligible even if it does not rely on “integrated thermal energy storage”? Load shifting alternatives to thermal energy storage could be evaluated during CEC proposal review on the relative potential and cost effectiveness of providing GHG and energy cost reductions.</w:t>
      </w:r>
    </w:p>
    <w:p w14:paraId="75ACC2F6" w14:textId="77777777" w:rsidR="00B075B9" w:rsidRPr="006B2916" w:rsidRDefault="00B075B9" w:rsidP="00B075B9">
      <w:pPr>
        <w:pStyle w:val="ListParagraph"/>
        <w:spacing w:line="240" w:lineRule="auto"/>
        <w:rPr>
          <w:rFonts w:ascii="Tahoma" w:hAnsi="Tahoma" w:cs="Tahoma"/>
          <w:b/>
          <w:bCs/>
        </w:rPr>
      </w:pPr>
    </w:p>
    <w:p w14:paraId="5880BA19" w14:textId="77777777" w:rsidR="00D92611" w:rsidRPr="006B2916" w:rsidRDefault="00D92611" w:rsidP="00B075B9">
      <w:pPr>
        <w:pStyle w:val="ListParagraph"/>
        <w:spacing w:line="240" w:lineRule="auto"/>
        <w:rPr>
          <w:rFonts w:ascii="Tahoma" w:hAnsi="Tahoma" w:cs="Tahoma"/>
          <w:b/>
          <w:bCs/>
        </w:rPr>
      </w:pPr>
    </w:p>
    <w:p w14:paraId="1A631229" w14:textId="572C40E7" w:rsidR="00613B13" w:rsidRDefault="00B075B9" w:rsidP="00B075B9">
      <w:pPr>
        <w:pStyle w:val="ListParagraph"/>
        <w:spacing w:line="240" w:lineRule="auto"/>
        <w:rPr>
          <w:rFonts w:ascii="Tahoma" w:hAnsi="Tahoma" w:cs="Tahoma"/>
        </w:rPr>
      </w:pPr>
      <w:r w:rsidRPr="32319B09">
        <w:rPr>
          <w:rFonts w:ascii="Tahoma" w:hAnsi="Tahoma" w:cs="Tahoma"/>
          <w:b/>
          <w:bCs/>
        </w:rPr>
        <w:t>A:</w:t>
      </w:r>
      <w:r w:rsidRPr="32319B09">
        <w:rPr>
          <w:rFonts w:ascii="Tahoma" w:hAnsi="Tahoma" w:cs="Tahoma"/>
        </w:rPr>
        <w:t xml:space="preserve"> Section I.C. of the solicitation document provide</w:t>
      </w:r>
      <w:r w:rsidR="001A1012" w:rsidRPr="32319B09">
        <w:rPr>
          <w:rFonts w:ascii="Tahoma" w:hAnsi="Tahoma" w:cs="Tahoma"/>
        </w:rPr>
        <w:t>s</w:t>
      </w:r>
      <w:r w:rsidRPr="32319B09">
        <w:rPr>
          <w:rFonts w:ascii="Tahoma" w:hAnsi="Tahoma" w:cs="Tahoma"/>
        </w:rPr>
        <w:t xml:space="preserve"> a list of eligible technologies and integrated thermal energy storage is an example of an eligible technology that can enable industries to shift their electrical loads. </w:t>
      </w:r>
      <w:r w:rsidR="00F05831" w:rsidRPr="32319B09">
        <w:rPr>
          <w:rFonts w:ascii="Tahoma" w:hAnsi="Tahoma" w:cs="Tahoma"/>
        </w:rPr>
        <w:t xml:space="preserve">There could </w:t>
      </w:r>
      <w:r w:rsidR="0080660E" w:rsidRPr="32319B09">
        <w:rPr>
          <w:rFonts w:ascii="Tahoma" w:hAnsi="Tahoma" w:cs="Tahoma"/>
        </w:rPr>
        <w:t xml:space="preserve">be other </w:t>
      </w:r>
      <w:r w:rsidR="00B9221A" w:rsidRPr="32319B09">
        <w:rPr>
          <w:rFonts w:ascii="Tahoma" w:hAnsi="Tahoma" w:cs="Tahoma"/>
        </w:rPr>
        <w:t>approaches</w:t>
      </w:r>
      <w:r w:rsidR="0066001A" w:rsidRPr="32319B09">
        <w:rPr>
          <w:rFonts w:ascii="Tahoma" w:hAnsi="Tahoma" w:cs="Tahoma"/>
        </w:rPr>
        <w:t xml:space="preserve"> to load shifting, such as </w:t>
      </w:r>
      <w:r w:rsidRPr="32319B09">
        <w:rPr>
          <w:rFonts w:ascii="Tahoma" w:hAnsi="Tahoma" w:cs="Tahoma"/>
        </w:rPr>
        <w:t xml:space="preserve">use of advanced controls </w:t>
      </w:r>
      <w:r w:rsidR="0066001A" w:rsidRPr="32319B09">
        <w:rPr>
          <w:rFonts w:ascii="Tahoma" w:hAnsi="Tahoma" w:cs="Tahoma"/>
        </w:rPr>
        <w:t xml:space="preserve">to </w:t>
      </w:r>
      <w:r w:rsidRPr="32319B09">
        <w:rPr>
          <w:rFonts w:ascii="Tahoma" w:hAnsi="Tahoma" w:cs="Tahoma"/>
        </w:rPr>
        <w:t xml:space="preserve">enable shifting of </w:t>
      </w:r>
      <w:r w:rsidR="0066001A" w:rsidRPr="32319B09">
        <w:rPr>
          <w:rFonts w:ascii="Tahoma" w:hAnsi="Tahoma" w:cs="Tahoma"/>
        </w:rPr>
        <w:t xml:space="preserve">equipment </w:t>
      </w:r>
      <w:r w:rsidRPr="32319B09">
        <w:rPr>
          <w:rFonts w:ascii="Tahoma" w:hAnsi="Tahoma" w:cs="Tahoma"/>
        </w:rPr>
        <w:t xml:space="preserve">operating </w:t>
      </w:r>
      <w:r w:rsidRPr="32319B09">
        <w:rPr>
          <w:rFonts w:ascii="Tahoma" w:hAnsi="Tahoma" w:cs="Tahoma"/>
        </w:rPr>
        <w:lastRenderedPageBreak/>
        <w:t>schedules in response to grid conditions. If you are recommending technologies other than those listed in Section I.C.</w:t>
      </w:r>
      <w:r w:rsidR="2113ADD4" w:rsidRPr="32319B09">
        <w:rPr>
          <w:rFonts w:ascii="Tahoma" w:hAnsi="Tahoma" w:cs="Tahoma"/>
        </w:rPr>
        <w:t>,</w:t>
      </w:r>
      <w:r w:rsidRPr="32319B09">
        <w:rPr>
          <w:rFonts w:ascii="Tahoma" w:hAnsi="Tahoma" w:cs="Tahoma"/>
        </w:rPr>
        <w:t xml:space="preserve"> please</w:t>
      </w:r>
      <w:r w:rsidR="00604548" w:rsidRPr="32319B09">
        <w:rPr>
          <w:rFonts w:ascii="Tahoma" w:hAnsi="Tahoma" w:cs="Tahoma"/>
        </w:rPr>
        <w:t xml:space="preserve"> </w:t>
      </w:r>
      <w:r w:rsidR="00056D68" w:rsidRPr="32319B09">
        <w:rPr>
          <w:rFonts w:ascii="Tahoma" w:hAnsi="Tahoma" w:cs="Tahoma"/>
        </w:rPr>
        <w:t xml:space="preserve">submit the request in writing </w:t>
      </w:r>
      <w:r w:rsidR="00604548" w:rsidRPr="32319B09">
        <w:rPr>
          <w:rFonts w:ascii="Tahoma" w:hAnsi="Tahoma" w:cs="Tahoma"/>
        </w:rPr>
        <w:t xml:space="preserve">by </w:t>
      </w:r>
      <w:r w:rsidR="0044602B" w:rsidRPr="32319B09">
        <w:rPr>
          <w:rFonts w:ascii="Tahoma" w:hAnsi="Tahoma" w:cs="Tahoma"/>
        </w:rPr>
        <w:t>November 17</w:t>
      </w:r>
      <w:r w:rsidR="00C93060" w:rsidRPr="32319B09">
        <w:rPr>
          <w:rFonts w:ascii="Tahoma" w:hAnsi="Tahoma" w:cs="Tahoma"/>
        </w:rPr>
        <w:t>, 2023</w:t>
      </w:r>
      <w:r w:rsidR="134313D2" w:rsidRPr="32319B09">
        <w:rPr>
          <w:rFonts w:ascii="Tahoma" w:hAnsi="Tahoma" w:cs="Tahoma"/>
        </w:rPr>
        <w:t>,</w:t>
      </w:r>
      <w:r w:rsidR="00C20913" w:rsidRPr="32319B09">
        <w:rPr>
          <w:rFonts w:ascii="Tahoma" w:hAnsi="Tahoma" w:cs="Tahoma"/>
        </w:rPr>
        <w:t xml:space="preserve"> to the email address noted in </w:t>
      </w:r>
      <w:r w:rsidR="00604548" w:rsidRPr="32319B09">
        <w:rPr>
          <w:rFonts w:ascii="Tahoma" w:hAnsi="Tahoma" w:cs="Tahoma"/>
        </w:rPr>
        <w:t xml:space="preserve">Section I.E. </w:t>
      </w:r>
      <w:r w:rsidR="00C20913" w:rsidRPr="32319B09">
        <w:rPr>
          <w:rFonts w:ascii="Tahoma" w:hAnsi="Tahoma" w:cs="Tahoma"/>
        </w:rPr>
        <w:t>Please</w:t>
      </w:r>
      <w:r w:rsidR="12DAC230" w:rsidRPr="32319B09">
        <w:rPr>
          <w:rFonts w:ascii="Tahoma" w:hAnsi="Tahoma" w:cs="Tahoma"/>
        </w:rPr>
        <w:t xml:space="preserve"> </w:t>
      </w:r>
      <w:r w:rsidRPr="32319B09">
        <w:rPr>
          <w:rFonts w:ascii="Tahoma" w:hAnsi="Tahoma" w:cs="Tahoma"/>
        </w:rPr>
        <w:t>provide justification on why the</w:t>
      </w:r>
      <w:r w:rsidR="00C20913" w:rsidRPr="32319B09">
        <w:rPr>
          <w:rFonts w:ascii="Tahoma" w:hAnsi="Tahoma" w:cs="Tahoma"/>
        </w:rPr>
        <w:t xml:space="preserve"> technology </w:t>
      </w:r>
      <w:r w:rsidRPr="32319B09">
        <w:rPr>
          <w:rFonts w:ascii="Tahoma" w:hAnsi="Tahoma" w:cs="Tahoma"/>
        </w:rPr>
        <w:t>meet</w:t>
      </w:r>
      <w:r w:rsidR="00C20913" w:rsidRPr="32319B09">
        <w:rPr>
          <w:rFonts w:ascii="Tahoma" w:hAnsi="Tahoma" w:cs="Tahoma"/>
        </w:rPr>
        <w:t>s</w:t>
      </w:r>
      <w:r w:rsidRPr="32319B09">
        <w:rPr>
          <w:rFonts w:ascii="Tahoma" w:hAnsi="Tahoma" w:cs="Tahoma"/>
        </w:rPr>
        <w:t xml:space="preserve"> the solicitation’s requirements. </w:t>
      </w:r>
      <w:r w:rsidR="00613B13" w:rsidRPr="32319B09">
        <w:rPr>
          <w:rFonts w:ascii="Tahoma" w:hAnsi="Tahoma" w:cs="Tahoma"/>
        </w:rPr>
        <w:t xml:space="preserve">Please also see </w:t>
      </w:r>
      <w:r w:rsidR="00867AFA" w:rsidRPr="32319B09">
        <w:rPr>
          <w:rFonts w:ascii="Tahoma" w:hAnsi="Tahoma" w:cs="Tahoma"/>
        </w:rPr>
        <w:t xml:space="preserve">Section I.C. </w:t>
      </w:r>
      <w:r w:rsidR="00613B13" w:rsidRPr="32319B09">
        <w:rPr>
          <w:rFonts w:ascii="Tahoma" w:hAnsi="Tahoma" w:cs="Tahoma"/>
        </w:rPr>
        <w:t>of</w:t>
      </w:r>
      <w:r w:rsidR="7C3027FF" w:rsidRPr="32319B09">
        <w:rPr>
          <w:rFonts w:ascii="Tahoma" w:hAnsi="Tahoma" w:cs="Tahoma"/>
        </w:rPr>
        <w:t xml:space="preserve"> the </w:t>
      </w:r>
      <w:r w:rsidR="00867AFA" w:rsidRPr="32319B09">
        <w:rPr>
          <w:rFonts w:ascii="Tahoma" w:hAnsi="Tahoma" w:cs="Tahoma"/>
        </w:rPr>
        <w:t xml:space="preserve">addendum </w:t>
      </w:r>
      <w:r w:rsidR="00613B13" w:rsidRPr="32319B09">
        <w:rPr>
          <w:rFonts w:ascii="Tahoma" w:hAnsi="Tahoma" w:cs="Tahoma"/>
        </w:rPr>
        <w:t>for additional information.</w:t>
      </w:r>
    </w:p>
    <w:p w14:paraId="62FA3302" w14:textId="77777777" w:rsidR="00613B13" w:rsidRDefault="00613B13" w:rsidP="00B075B9">
      <w:pPr>
        <w:pStyle w:val="ListParagraph"/>
        <w:spacing w:line="240" w:lineRule="auto"/>
        <w:rPr>
          <w:rFonts w:ascii="Tahoma" w:hAnsi="Tahoma" w:cs="Tahoma"/>
        </w:rPr>
      </w:pPr>
    </w:p>
    <w:p w14:paraId="13105F6D" w14:textId="674FDBF2" w:rsidR="00F27CA6" w:rsidRDefault="00B075B9" w:rsidP="00B075B9">
      <w:pPr>
        <w:pStyle w:val="ListParagraph"/>
        <w:spacing w:line="240" w:lineRule="auto"/>
        <w:rPr>
          <w:rFonts w:ascii="Tahoma" w:hAnsi="Tahoma" w:cs="Tahoma"/>
        </w:rPr>
      </w:pPr>
      <w:r w:rsidRPr="32319B09">
        <w:rPr>
          <w:rFonts w:ascii="Tahoma" w:hAnsi="Tahoma" w:cs="Tahoma"/>
        </w:rPr>
        <w:t xml:space="preserve">Please note that the proposal can include a package of load shift and/or efficiency technologies that are beneficial to industrial or commercial cold storage facilities. In the </w:t>
      </w:r>
      <w:r w:rsidR="00EB1B47" w:rsidRPr="32319B09">
        <w:rPr>
          <w:rFonts w:ascii="Tahoma" w:hAnsi="Tahoma" w:cs="Tahoma"/>
        </w:rPr>
        <w:t xml:space="preserve">October </w:t>
      </w:r>
      <w:r w:rsidRPr="32319B09">
        <w:rPr>
          <w:rFonts w:ascii="Tahoma" w:hAnsi="Tahoma" w:cs="Tahoma"/>
        </w:rPr>
        <w:t>addendum, we indicated a preference for proposals that have load shifting capability</w:t>
      </w:r>
      <w:r w:rsidR="00302665" w:rsidRPr="32319B09">
        <w:rPr>
          <w:rFonts w:ascii="Tahoma" w:hAnsi="Tahoma" w:cs="Tahoma"/>
        </w:rPr>
        <w:t xml:space="preserve"> for both Groups 1 and 2. The </w:t>
      </w:r>
      <w:r w:rsidR="00F27CA6" w:rsidRPr="32319B09">
        <w:rPr>
          <w:rFonts w:ascii="Tahoma" w:hAnsi="Tahoma" w:cs="Tahoma"/>
        </w:rPr>
        <w:t xml:space="preserve">latest </w:t>
      </w:r>
      <w:r w:rsidR="00302665" w:rsidRPr="32319B09">
        <w:rPr>
          <w:rFonts w:ascii="Tahoma" w:hAnsi="Tahoma" w:cs="Tahoma"/>
        </w:rPr>
        <w:t>addendum can be found at:</w:t>
      </w:r>
      <w:r w:rsidR="00F27CA6" w:rsidRPr="32319B09">
        <w:rPr>
          <w:rFonts w:ascii="Tahoma" w:hAnsi="Tahoma" w:cs="Tahoma"/>
        </w:rPr>
        <w:t xml:space="preserve"> </w:t>
      </w:r>
    </w:p>
    <w:p w14:paraId="1B395002" w14:textId="79A26810" w:rsidR="0022634F" w:rsidRPr="006B2916" w:rsidRDefault="003075FC" w:rsidP="76236A51">
      <w:pPr>
        <w:pStyle w:val="ListParagraph"/>
        <w:spacing w:line="240" w:lineRule="auto"/>
        <w:rPr>
          <w:rFonts w:ascii="Tahoma" w:hAnsi="Tahoma" w:cs="Tahoma"/>
          <w:b/>
          <w:bCs/>
        </w:rPr>
      </w:pPr>
      <w:hyperlink r:id="rId11">
        <w:r w:rsidR="00F27CA6" w:rsidRPr="32319B09">
          <w:rPr>
            <w:rStyle w:val="Hyperlink"/>
          </w:rPr>
          <w:t>GFO-23-301 - Energy Efficiency and Load Flexibility in Industrial and Commercial Cold Storage Facilities (ca.gov)</w:t>
        </w:r>
      </w:hyperlink>
    </w:p>
    <w:p w14:paraId="51157829" w14:textId="2C91E3CC" w:rsidR="32319B09" w:rsidRDefault="32319B09" w:rsidP="32319B09">
      <w:pPr>
        <w:pStyle w:val="ListParagraph"/>
        <w:spacing w:line="240" w:lineRule="auto"/>
      </w:pPr>
    </w:p>
    <w:p w14:paraId="3B300745" w14:textId="427BBDFB" w:rsidR="00B075B9" w:rsidRPr="006B2916" w:rsidRDefault="0022634F" w:rsidP="00B075B9">
      <w:pPr>
        <w:pStyle w:val="ListParagraph"/>
        <w:numPr>
          <w:ilvl w:val="0"/>
          <w:numId w:val="3"/>
        </w:numPr>
        <w:spacing w:line="240" w:lineRule="auto"/>
        <w:rPr>
          <w:rFonts w:ascii="Tahoma" w:hAnsi="Tahoma" w:cs="Tahoma"/>
        </w:rPr>
      </w:pPr>
      <w:r w:rsidRPr="32319B09">
        <w:rPr>
          <w:rFonts w:ascii="Tahoma" w:hAnsi="Tahoma" w:cs="Tahoma"/>
          <w:b/>
          <w:bCs/>
        </w:rPr>
        <w:t>Q:</w:t>
      </w:r>
      <w:r w:rsidRPr="32319B09">
        <w:rPr>
          <w:rFonts w:ascii="Tahoma" w:hAnsi="Tahoma" w:cs="Tahoma"/>
        </w:rPr>
        <w:t xml:space="preserve"> </w:t>
      </w:r>
      <w:r w:rsidR="00B075B9" w:rsidRPr="32319B09">
        <w:rPr>
          <w:rFonts w:ascii="Tahoma" w:hAnsi="Tahoma" w:cs="Tahoma"/>
        </w:rPr>
        <w:t>Solar Ice LLC’s goal is to reduce the power consumption of ice skating rinks by 50%!</w:t>
      </w:r>
      <w:r w:rsidRPr="32319B09">
        <w:rPr>
          <w:rFonts w:ascii="Tahoma" w:hAnsi="Tahoma" w:cs="Tahoma"/>
        </w:rPr>
        <w:t xml:space="preserve"> </w:t>
      </w:r>
      <w:r w:rsidR="00B075B9" w:rsidRPr="32319B09">
        <w:rPr>
          <w:rFonts w:ascii="Tahoma" w:hAnsi="Tahoma" w:cs="Tahoma"/>
        </w:rPr>
        <w:t>Ice rinks are one of the largest recreational consumers of electricity.  On average, an ice rink consumes around 750,000 kWh just to keep a single ice surface frozen year-round.</w:t>
      </w:r>
      <w:r w:rsidRPr="32319B09">
        <w:rPr>
          <w:rFonts w:ascii="Tahoma" w:hAnsi="Tahoma" w:cs="Tahoma"/>
        </w:rPr>
        <w:t xml:space="preserve"> </w:t>
      </w:r>
      <w:r w:rsidR="00B075B9" w:rsidRPr="32319B09">
        <w:rPr>
          <w:rFonts w:ascii="Tahoma" w:hAnsi="Tahoma" w:cs="Tahoma"/>
        </w:rPr>
        <w:t>Our project introduces a revolutionary approach to solar thermal-powered refrigeration using non-imaging optics solar thermal collectors and phase change materials (PCMs) incorporated into our absorption chiller.  This enhanced thermal storage enables extended refrigeration hours, even during sunless periods and evening hours. The system employs an absorption chiller, which, powered by the stored thermal energy, provides efficient refrigeration without the use of greenhouse gas refrigerants. This design not only promotes sustainable energy usage but also alleviates grid load during peak hours and the hottest times of the day.</w:t>
      </w:r>
      <w:r w:rsidRPr="32319B09">
        <w:rPr>
          <w:rFonts w:ascii="Tahoma" w:hAnsi="Tahoma" w:cs="Tahoma"/>
        </w:rPr>
        <w:t xml:space="preserve"> </w:t>
      </w:r>
      <w:r w:rsidR="00B075B9" w:rsidRPr="32319B09">
        <w:rPr>
          <w:rFonts w:ascii="Tahoma" w:hAnsi="Tahoma" w:cs="Tahoma"/>
        </w:rPr>
        <w:t>Currently, Solar Ice is building a 2,000 sq ft demonstration ice rink in the Los Angeles area to validate our innovation, and test in controlled settings, aiming to showcase its real-world feasibility.</w:t>
      </w:r>
      <w:r w:rsidRPr="32319B09">
        <w:rPr>
          <w:rFonts w:ascii="Tahoma" w:hAnsi="Tahoma" w:cs="Tahoma"/>
        </w:rPr>
        <w:t xml:space="preserve"> </w:t>
      </w:r>
      <w:r w:rsidR="00B075B9" w:rsidRPr="32319B09">
        <w:rPr>
          <w:rFonts w:ascii="Tahoma" w:hAnsi="Tahoma" w:cs="Tahoma"/>
        </w:rPr>
        <w:t>Clarify if reducing 50% of the electrical load during peak hours of refrigerating ice rinks would qualify for this program?</w:t>
      </w:r>
    </w:p>
    <w:p w14:paraId="15ECDF2D" w14:textId="4B3C8ABC" w:rsidR="00B075B9" w:rsidRPr="006B2916" w:rsidRDefault="0022634F" w:rsidP="0022634F">
      <w:pPr>
        <w:spacing w:line="240" w:lineRule="auto"/>
        <w:ind w:left="720"/>
        <w:rPr>
          <w:rFonts w:ascii="Tahoma" w:hAnsi="Tahoma" w:cs="Tahoma"/>
        </w:rPr>
      </w:pPr>
      <w:r w:rsidRPr="1EC97481">
        <w:rPr>
          <w:rFonts w:ascii="Tahoma" w:hAnsi="Tahoma" w:cs="Tahoma"/>
          <w:b/>
          <w:bCs/>
        </w:rPr>
        <w:t xml:space="preserve">A: </w:t>
      </w:r>
      <w:r w:rsidR="00B075B9" w:rsidRPr="1EC97481">
        <w:rPr>
          <w:rFonts w:ascii="Tahoma" w:hAnsi="Tahoma" w:cs="Tahoma"/>
        </w:rPr>
        <w:t xml:space="preserve">The focus of this solicitation is on existing industrial and commercial cold storage facilities which handle food, pharmaceutical and other products. Ice rinks are ineligible for this solicitation.  However, it’s possible that your technology could be applicable for industrial and commercial cold storage facilities if it meets the requirements of the solicitation. The 50 percent electrical load reduction during peak hours appears to be aligned with the GFO if it is for an eligible cold storage facility. The amended GFO manual </w:t>
      </w:r>
      <w:r w:rsidR="007768A7">
        <w:rPr>
          <w:rFonts w:ascii="Tahoma" w:hAnsi="Tahoma" w:cs="Tahoma"/>
        </w:rPr>
        <w:t xml:space="preserve">indicates that </w:t>
      </w:r>
      <w:r w:rsidR="00B075B9" w:rsidRPr="1EC97481">
        <w:rPr>
          <w:rFonts w:ascii="Tahoma" w:hAnsi="Tahoma" w:cs="Tahoma"/>
        </w:rPr>
        <w:t>“Load flexibility projects must be able to shift load out of CAISO net peak demand hours driven by the respective IOU’s electricity tariff or other incentive programs available at the time of the project demonstration.”</w:t>
      </w:r>
    </w:p>
    <w:p w14:paraId="7FB066C0" w14:textId="77777777" w:rsidR="0022634F" w:rsidRPr="006B2916" w:rsidRDefault="0022634F" w:rsidP="0022634F">
      <w:pPr>
        <w:spacing w:line="240" w:lineRule="auto"/>
        <w:ind w:left="720"/>
        <w:rPr>
          <w:rFonts w:ascii="Tahoma" w:hAnsi="Tahoma" w:cs="Tahoma"/>
          <w:b/>
          <w:bCs/>
        </w:rPr>
      </w:pPr>
    </w:p>
    <w:p w14:paraId="6CD2E52F" w14:textId="77777777" w:rsidR="0022634F" w:rsidRPr="006B2916" w:rsidRDefault="0022634F" w:rsidP="00B075B9">
      <w:pPr>
        <w:pStyle w:val="ListParagraph"/>
        <w:numPr>
          <w:ilvl w:val="0"/>
          <w:numId w:val="3"/>
        </w:numPr>
        <w:spacing w:line="240" w:lineRule="auto"/>
        <w:rPr>
          <w:rFonts w:ascii="Tahoma" w:hAnsi="Tahoma" w:cs="Tahoma"/>
          <w:b/>
          <w:bCs/>
        </w:rPr>
      </w:pPr>
      <w:r w:rsidRPr="006B2916">
        <w:rPr>
          <w:rFonts w:ascii="Tahoma" w:hAnsi="Tahoma" w:cs="Tahoma"/>
          <w:b/>
          <w:bCs/>
        </w:rPr>
        <w:t>Q:</w:t>
      </w:r>
      <w:r w:rsidRPr="006B2916">
        <w:rPr>
          <w:rFonts w:ascii="Tahoma" w:hAnsi="Tahoma" w:cs="Tahoma"/>
        </w:rPr>
        <w:t xml:space="preserve"> </w:t>
      </w:r>
      <w:r w:rsidR="00B075B9" w:rsidRPr="006B2916">
        <w:rPr>
          <w:rFonts w:ascii="Tahoma" w:hAnsi="Tahoma" w:cs="Tahoma"/>
        </w:rPr>
        <w:t>Does GFO-23-301 fund a Combined Heat and Power (CHP) installation with an adsorption chiller that uses the waste heat from the CHP for cooling? The power would be used to offset the energy usage of the chilling equipment, while the adsorption chiller would offset the chilling load directly.</w:t>
      </w:r>
    </w:p>
    <w:p w14:paraId="6638D48C" w14:textId="77777777" w:rsidR="0022634F" w:rsidRPr="006B2916" w:rsidRDefault="0022634F" w:rsidP="0022634F">
      <w:pPr>
        <w:pStyle w:val="ListParagraph"/>
        <w:spacing w:line="240" w:lineRule="auto"/>
        <w:rPr>
          <w:rFonts w:ascii="Tahoma" w:hAnsi="Tahoma" w:cs="Tahoma"/>
          <w:b/>
          <w:bCs/>
        </w:rPr>
      </w:pPr>
    </w:p>
    <w:p w14:paraId="1005AE6B" w14:textId="3130475C" w:rsidR="00B075B9" w:rsidRPr="006B2916" w:rsidRDefault="0022634F" w:rsidP="0022634F">
      <w:pPr>
        <w:pStyle w:val="ListParagraph"/>
        <w:spacing w:line="240" w:lineRule="auto"/>
        <w:rPr>
          <w:rFonts w:ascii="Tahoma" w:hAnsi="Tahoma" w:cs="Tahoma"/>
        </w:rPr>
      </w:pPr>
      <w:r w:rsidRPr="1EC97481">
        <w:rPr>
          <w:rFonts w:ascii="Tahoma" w:hAnsi="Tahoma" w:cs="Tahoma"/>
          <w:b/>
          <w:bCs/>
        </w:rPr>
        <w:t>A:</w:t>
      </w:r>
      <w:r w:rsidR="1B98442A" w:rsidRPr="1EC97481">
        <w:rPr>
          <w:rFonts w:ascii="Tahoma" w:hAnsi="Tahoma" w:cs="Tahoma"/>
          <w:b/>
          <w:bCs/>
        </w:rPr>
        <w:t xml:space="preserve"> </w:t>
      </w:r>
      <w:r w:rsidR="00B075B9" w:rsidRPr="1EC97481">
        <w:rPr>
          <w:rFonts w:ascii="Tahoma" w:hAnsi="Tahoma" w:cs="Tahoma"/>
        </w:rPr>
        <w:t>No, this GFO does not fund CHP systems.</w:t>
      </w:r>
    </w:p>
    <w:p w14:paraId="199FFAE5" w14:textId="77777777" w:rsidR="0022634F" w:rsidRPr="006B2916" w:rsidRDefault="0022634F" w:rsidP="0022634F">
      <w:pPr>
        <w:pStyle w:val="ListParagraph"/>
        <w:spacing w:line="240" w:lineRule="auto"/>
        <w:rPr>
          <w:rFonts w:ascii="Tahoma" w:hAnsi="Tahoma" w:cs="Tahoma"/>
          <w:b/>
          <w:bCs/>
        </w:rPr>
      </w:pPr>
    </w:p>
    <w:p w14:paraId="3AA07A83" w14:textId="77777777" w:rsidR="0022634F" w:rsidRPr="006B2916" w:rsidRDefault="0022634F" w:rsidP="0022634F">
      <w:pPr>
        <w:pStyle w:val="ListParagraph"/>
        <w:spacing w:line="240" w:lineRule="auto"/>
        <w:rPr>
          <w:rFonts w:ascii="Tahoma" w:hAnsi="Tahoma" w:cs="Tahoma"/>
          <w:b/>
          <w:bCs/>
        </w:rPr>
      </w:pPr>
    </w:p>
    <w:p w14:paraId="7B16B8C0" w14:textId="3BF5A5E0" w:rsidR="0022634F" w:rsidRPr="006B2916" w:rsidRDefault="0022634F" w:rsidP="000D1BC4">
      <w:pPr>
        <w:pStyle w:val="ListParagraph"/>
        <w:numPr>
          <w:ilvl w:val="0"/>
          <w:numId w:val="3"/>
        </w:numPr>
        <w:spacing w:line="240" w:lineRule="auto"/>
        <w:rPr>
          <w:rFonts w:ascii="Tahoma" w:hAnsi="Tahoma" w:cs="Tahoma"/>
          <w:b/>
          <w:bCs/>
        </w:rPr>
      </w:pPr>
      <w:r w:rsidRPr="006B2916">
        <w:rPr>
          <w:rFonts w:ascii="Tahoma" w:hAnsi="Tahoma" w:cs="Tahoma"/>
          <w:b/>
          <w:bCs/>
        </w:rPr>
        <w:lastRenderedPageBreak/>
        <w:t xml:space="preserve">Q: </w:t>
      </w:r>
      <w:r w:rsidR="00B075B9" w:rsidRPr="006B2916">
        <w:rPr>
          <w:rFonts w:ascii="Tahoma" w:hAnsi="Tahoma" w:cs="Tahoma"/>
        </w:rPr>
        <w:t>Will the CEC consider</w:t>
      </w:r>
      <w:r w:rsidRPr="006B2916">
        <w:rPr>
          <w:rFonts w:ascii="Tahoma" w:hAnsi="Tahoma" w:cs="Tahoma"/>
        </w:rPr>
        <w:t xml:space="preserve"> s</w:t>
      </w:r>
      <w:r w:rsidR="00B075B9" w:rsidRPr="006B2916">
        <w:rPr>
          <w:rFonts w:ascii="Tahoma" w:hAnsi="Tahoma" w:cs="Tahoma"/>
        </w:rPr>
        <w:t>mart charging of refrigerated trucks (not prime mover, but refrigeration compressor) in industrial warehouses, to reduce demand and shift load</w:t>
      </w:r>
      <w:r w:rsidR="006B2916" w:rsidRPr="006B2916">
        <w:rPr>
          <w:rFonts w:ascii="Tahoma" w:hAnsi="Tahoma" w:cs="Tahoma"/>
        </w:rPr>
        <w:t>?</w:t>
      </w:r>
    </w:p>
    <w:p w14:paraId="04B59F3E" w14:textId="7F2C12CA" w:rsidR="006B2916" w:rsidRPr="006B2916" w:rsidRDefault="0022634F" w:rsidP="32319B09">
      <w:pPr>
        <w:spacing w:before="100" w:beforeAutospacing="1" w:after="100" w:afterAutospacing="1"/>
        <w:ind w:left="720"/>
        <w:rPr>
          <w:rFonts w:ascii="Tahoma" w:hAnsi="Tahoma" w:cs="Tahoma"/>
          <w:b/>
          <w:bCs/>
        </w:rPr>
      </w:pPr>
      <w:r w:rsidRPr="006B2916">
        <w:rPr>
          <w:rFonts w:ascii="Tahoma" w:hAnsi="Tahoma" w:cs="Tahoma"/>
          <w:b/>
          <w:bCs/>
        </w:rPr>
        <w:t>A:</w:t>
      </w:r>
      <w:r w:rsidR="00B075B9" w:rsidRPr="006B2916">
        <w:rPr>
          <w:rFonts w:ascii="Tahoma" w:hAnsi="Tahoma" w:cs="Tahoma"/>
        </w:rPr>
        <w:t xml:space="preserve"> </w:t>
      </w:r>
      <w:r w:rsidR="000740E1">
        <w:rPr>
          <w:rFonts w:ascii="Tahoma" w:hAnsi="Tahoma" w:cs="Tahoma"/>
        </w:rPr>
        <w:t>Possibly if smart charging of the refrigeration compressor on trucks can be demonstrated to have greenhouse gas reductions</w:t>
      </w:r>
      <w:r w:rsidR="006E797C">
        <w:rPr>
          <w:rFonts w:ascii="Tahoma" w:hAnsi="Tahoma" w:cs="Tahoma"/>
        </w:rPr>
        <w:t xml:space="preserve">, </w:t>
      </w:r>
      <w:r w:rsidR="000740E1">
        <w:rPr>
          <w:rFonts w:ascii="Tahoma" w:hAnsi="Tahoma" w:cs="Tahoma"/>
        </w:rPr>
        <w:t>ratepayer benefits</w:t>
      </w:r>
      <w:r w:rsidR="009C0039">
        <w:rPr>
          <w:rFonts w:ascii="Tahoma" w:hAnsi="Tahoma" w:cs="Tahoma"/>
        </w:rPr>
        <w:t xml:space="preserve">, </w:t>
      </w:r>
      <w:r w:rsidR="00FD3417">
        <w:rPr>
          <w:rFonts w:ascii="Tahoma" w:hAnsi="Tahoma" w:cs="Tahoma"/>
        </w:rPr>
        <w:t>e</w:t>
      </w:r>
      <w:r w:rsidR="00FF6673">
        <w:rPr>
          <w:rFonts w:ascii="Tahoma" w:hAnsi="Tahoma" w:cs="Tahoma"/>
        </w:rPr>
        <w:t>lectric demand/load shift</w:t>
      </w:r>
      <w:r w:rsidR="00FD3417">
        <w:rPr>
          <w:rFonts w:ascii="Tahoma" w:hAnsi="Tahoma" w:cs="Tahoma"/>
        </w:rPr>
        <w:t xml:space="preserve"> potential</w:t>
      </w:r>
      <w:r w:rsidR="00391313">
        <w:rPr>
          <w:rFonts w:ascii="Tahoma" w:hAnsi="Tahoma" w:cs="Tahoma"/>
        </w:rPr>
        <w:t xml:space="preserve"> at the cold storage facility</w:t>
      </w:r>
      <w:r w:rsidR="009C0039">
        <w:rPr>
          <w:rFonts w:ascii="Tahoma" w:hAnsi="Tahoma" w:cs="Tahoma"/>
        </w:rPr>
        <w:t xml:space="preserve"> and meet </w:t>
      </w:r>
      <w:r w:rsidR="008A6917">
        <w:rPr>
          <w:rFonts w:ascii="Tahoma" w:hAnsi="Tahoma" w:cs="Tahoma"/>
        </w:rPr>
        <w:t xml:space="preserve">all </w:t>
      </w:r>
      <w:r w:rsidR="00FB5F4C">
        <w:rPr>
          <w:rFonts w:ascii="Tahoma" w:hAnsi="Tahoma" w:cs="Tahoma"/>
        </w:rPr>
        <w:t xml:space="preserve">state </w:t>
      </w:r>
      <w:r w:rsidR="0025050E">
        <w:rPr>
          <w:rFonts w:ascii="Tahoma" w:hAnsi="Tahoma" w:cs="Tahoma"/>
        </w:rPr>
        <w:t>regulations and requirements</w:t>
      </w:r>
      <w:r w:rsidR="00837032">
        <w:rPr>
          <w:rFonts w:ascii="Tahoma" w:hAnsi="Tahoma" w:cs="Tahoma"/>
        </w:rPr>
        <w:t xml:space="preserve"> </w:t>
      </w:r>
      <w:r w:rsidR="00576D6F">
        <w:rPr>
          <w:rFonts w:ascii="Tahoma" w:hAnsi="Tahoma" w:cs="Tahoma"/>
        </w:rPr>
        <w:t xml:space="preserve">on </w:t>
      </w:r>
      <w:r w:rsidR="002A10CF">
        <w:rPr>
          <w:rFonts w:ascii="Tahoma" w:hAnsi="Tahoma" w:cs="Tahoma"/>
        </w:rPr>
        <w:t>transportation refrigeration units</w:t>
      </w:r>
      <w:r w:rsidR="006E797C">
        <w:rPr>
          <w:rFonts w:ascii="Tahoma" w:hAnsi="Tahoma" w:cs="Tahoma"/>
        </w:rPr>
        <w:t>.</w:t>
      </w:r>
      <w:r w:rsidR="003B6319">
        <w:rPr>
          <w:rStyle w:val="FootnoteReference"/>
          <w:rFonts w:ascii="Tahoma" w:hAnsi="Tahoma"/>
        </w:rPr>
        <w:footnoteReference w:id="2"/>
      </w:r>
      <w:r w:rsidR="006E797C">
        <w:rPr>
          <w:rFonts w:ascii="Tahoma" w:hAnsi="Tahoma" w:cs="Tahoma"/>
        </w:rPr>
        <w:t xml:space="preserve"> </w:t>
      </w:r>
      <w:r w:rsidR="00963EEB">
        <w:rPr>
          <w:rFonts w:ascii="Tahoma" w:hAnsi="Tahoma" w:cs="Tahoma"/>
        </w:rPr>
        <w:t>In addition</w:t>
      </w:r>
      <w:r w:rsidR="00391313">
        <w:rPr>
          <w:rFonts w:ascii="Tahoma" w:hAnsi="Tahoma" w:cs="Tahoma"/>
        </w:rPr>
        <w:t>,</w:t>
      </w:r>
      <w:r w:rsidR="00963EEB">
        <w:rPr>
          <w:rFonts w:ascii="Tahoma" w:hAnsi="Tahoma" w:cs="Tahoma"/>
        </w:rPr>
        <w:t xml:space="preserve"> </w:t>
      </w:r>
      <w:r w:rsidR="002D2528">
        <w:rPr>
          <w:rFonts w:ascii="Tahoma" w:hAnsi="Tahoma" w:cs="Tahoma"/>
        </w:rPr>
        <w:t xml:space="preserve">the proposal should </w:t>
      </w:r>
      <w:r w:rsidR="005C0754" w:rsidRPr="77E1BE0E">
        <w:rPr>
          <w:rStyle w:val="normaltextrun"/>
          <w:rFonts w:ascii="Tahoma" w:hAnsi="Tahoma" w:cs="Tahoma"/>
          <w:color w:val="000000" w:themeColor="text1"/>
        </w:rPr>
        <w:t>identi</w:t>
      </w:r>
      <w:r w:rsidR="007F7D8D" w:rsidRPr="77E1BE0E">
        <w:rPr>
          <w:rStyle w:val="normaltextrun"/>
          <w:rFonts w:ascii="Tahoma" w:hAnsi="Tahoma" w:cs="Tahoma"/>
          <w:color w:val="000000" w:themeColor="text1"/>
        </w:rPr>
        <w:t xml:space="preserve">fy </w:t>
      </w:r>
      <w:r w:rsidR="005C0754" w:rsidRPr="77E1BE0E">
        <w:rPr>
          <w:rStyle w:val="normaltextrun"/>
          <w:rFonts w:ascii="Tahoma" w:hAnsi="Tahoma" w:cs="Tahoma"/>
          <w:color w:val="000000" w:themeColor="text1"/>
        </w:rPr>
        <w:t>other opportunities</w:t>
      </w:r>
      <w:r w:rsidR="00CD06F5" w:rsidRPr="77E1BE0E">
        <w:rPr>
          <w:rStyle w:val="normaltextrun"/>
          <w:rFonts w:ascii="Tahoma" w:hAnsi="Tahoma" w:cs="Tahoma"/>
          <w:color w:val="000000" w:themeColor="text1"/>
        </w:rPr>
        <w:t xml:space="preserve">, such as </w:t>
      </w:r>
      <w:r w:rsidR="00A759FF" w:rsidRPr="77E1BE0E">
        <w:rPr>
          <w:rStyle w:val="normaltextrun"/>
          <w:rFonts w:ascii="Tahoma" w:hAnsi="Tahoma" w:cs="Tahoma"/>
          <w:color w:val="000000" w:themeColor="text1"/>
        </w:rPr>
        <w:t>compressors</w:t>
      </w:r>
      <w:r w:rsidR="0082067E" w:rsidRPr="77E1BE0E">
        <w:rPr>
          <w:rStyle w:val="normaltextrun"/>
          <w:rFonts w:ascii="Tahoma" w:hAnsi="Tahoma" w:cs="Tahoma"/>
          <w:color w:val="000000" w:themeColor="text1"/>
        </w:rPr>
        <w:t xml:space="preserve">, </w:t>
      </w:r>
      <w:r w:rsidR="005C0754" w:rsidRPr="77E1BE0E">
        <w:rPr>
          <w:rStyle w:val="normaltextrun"/>
          <w:rFonts w:ascii="Tahoma" w:hAnsi="Tahoma" w:cs="Tahoma"/>
          <w:color w:val="000000" w:themeColor="text1"/>
        </w:rPr>
        <w:t xml:space="preserve">for </w:t>
      </w:r>
      <w:r w:rsidR="00B80503" w:rsidRPr="77E1BE0E">
        <w:rPr>
          <w:rStyle w:val="normaltextrun"/>
          <w:rFonts w:ascii="Tahoma" w:hAnsi="Tahoma" w:cs="Tahoma"/>
          <w:color w:val="000000" w:themeColor="text1"/>
        </w:rPr>
        <w:t xml:space="preserve">potential </w:t>
      </w:r>
      <w:r w:rsidR="0096653C" w:rsidRPr="77E1BE0E">
        <w:rPr>
          <w:rStyle w:val="normaltextrun"/>
          <w:rFonts w:ascii="Tahoma" w:hAnsi="Tahoma" w:cs="Tahoma"/>
          <w:color w:val="000000" w:themeColor="text1"/>
        </w:rPr>
        <w:t>load flexib</w:t>
      </w:r>
      <w:r w:rsidR="00B80503" w:rsidRPr="77E1BE0E">
        <w:rPr>
          <w:rStyle w:val="normaltextrun"/>
          <w:rFonts w:ascii="Tahoma" w:hAnsi="Tahoma" w:cs="Tahoma"/>
          <w:color w:val="000000" w:themeColor="text1"/>
        </w:rPr>
        <w:t>le operations</w:t>
      </w:r>
      <w:r w:rsidR="00124F04" w:rsidRPr="77E1BE0E">
        <w:rPr>
          <w:rStyle w:val="normaltextrun"/>
          <w:rFonts w:ascii="Tahoma" w:hAnsi="Tahoma" w:cs="Tahoma"/>
          <w:color w:val="000000" w:themeColor="text1"/>
        </w:rPr>
        <w:t xml:space="preserve"> to be competitive</w:t>
      </w:r>
      <w:r w:rsidR="00836F70" w:rsidRPr="77E1BE0E">
        <w:rPr>
          <w:rStyle w:val="normaltextrun"/>
          <w:rFonts w:ascii="Tahoma" w:hAnsi="Tahoma" w:cs="Tahoma"/>
          <w:color w:val="000000" w:themeColor="text1"/>
        </w:rPr>
        <w:t xml:space="preserve">. A </w:t>
      </w:r>
      <w:r w:rsidR="000B39C4" w:rsidRPr="77E1BE0E">
        <w:rPr>
          <w:rStyle w:val="normaltextrun"/>
          <w:rFonts w:ascii="Tahoma" w:hAnsi="Tahoma" w:cs="Tahoma"/>
          <w:color w:val="000000" w:themeColor="text1"/>
        </w:rPr>
        <w:t xml:space="preserve">previous EPIC </w:t>
      </w:r>
      <w:r w:rsidR="00932A6C" w:rsidRPr="77E1BE0E">
        <w:rPr>
          <w:rStyle w:val="normaltextrun"/>
          <w:rFonts w:ascii="Tahoma" w:hAnsi="Tahoma" w:cs="Tahoma"/>
          <w:color w:val="000000" w:themeColor="text1"/>
        </w:rPr>
        <w:t xml:space="preserve">research project identified </w:t>
      </w:r>
      <w:r w:rsidR="005C0754" w:rsidRPr="77E1BE0E">
        <w:rPr>
          <w:rStyle w:val="normaltextrun"/>
          <w:rFonts w:ascii="Tahoma" w:hAnsi="Tahoma" w:cs="Tahoma"/>
          <w:color w:val="000000" w:themeColor="text1"/>
        </w:rPr>
        <w:t xml:space="preserve">compressors, </w:t>
      </w:r>
      <w:r w:rsidR="00CE60EA" w:rsidRPr="77E1BE0E">
        <w:rPr>
          <w:rStyle w:val="normaltextrun"/>
          <w:rFonts w:ascii="Tahoma" w:hAnsi="Tahoma" w:cs="Tahoma"/>
          <w:color w:val="000000" w:themeColor="text1"/>
        </w:rPr>
        <w:t xml:space="preserve">electric </w:t>
      </w:r>
      <w:r w:rsidR="005C0754" w:rsidRPr="77E1BE0E">
        <w:rPr>
          <w:rStyle w:val="normaltextrun"/>
          <w:rFonts w:ascii="Tahoma" w:hAnsi="Tahoma" w:cs="Tahoma"/>
          <w:color w:val="000000" w:themeColor="text1"/>
        </w:rPr>
        <w:t>floor heating system</w:t>
      </w:r>
      <w:r w:rsidR="00CE60EA" w:rsidRPr="77E1BE0E">
        <w:rPr>
          <w:rStyle w:val="normaltextrun"/>
          <w:rFonts w:ascii="Tahoma" w:hAnsi="Tahoma" w:cs="Tahoma"/>
          <w:color w:val="000000" w:themeColor="text1"/>
        </w:rPr>
        <w:t>s</w:t>
      </w:r>
      <w:r w:rsidR="005C0754" w:rsidRPr="77E1BE0E">
        <w:rPr>
          <w:rStyle w:val="normaltextrun"/>
          <w:rFonts w:ascii="Tahoma" w:hAnsi="Tahoma" w:cs="Tahoma"/>
          <w:color w:val="000000" w:themeColor="text1"/>
        </w:rPr>
        <w:t>, and electric forklift charging</w:t>
      </w:r>
      <w:r w:rsidR="00CE60EA" w:rsidRPr="77E1BE0E">
        <w:rPr>
          <w:rStyle w:val="normaltextrun"/>
          <w:rFonts w:ascii="Tahoma" w:hAnsi="Tahoma" w:cs="Tahoma"/>
          <w:color w:val="000000" w:themeColor="text1"/>
        </w:rPr>
        <w:t xml:space="preserve"> as major </w:t>
      </w:r>
      <w:r w:rsidR="00322648" w:rsidRPr="77E1BE0E">
        <w:rPr>
          <w:rStyle w:val="normaltextrun"/>
          <w:rFonts w:ascii="Tahoma" w:hAnsi="Tahoma" w:cs="Tahoma"/>
          <w:color w:val="000000" w:themeColor="text1"/>
        </w:rPr>
        <w:t>electrical loa</w:t>
      </w:r>
      <w:r w:rsidR="003A4C67" w:rsidRPr="77E1BE0E">
        <w:rPr>
          <w:rStyle w:val="normaltextrun"/>
          <w:rFonts w:ascii="Tahoma" w:hAnsi="Tahoma" w:cs="Tahoma"/>
          <w:color w:val="000000" w:themeColor="text1"/>
        </w:rPr>
        <w:t>ds within</w:t>
      </w:r>
      <w:r w:rsidR="001F51CA" w:rsidRPr="77E1BE0E">
        <w:rPr>
          <w:rStyle w:val="normaltextrun"/>
          <w:rFonts w:ascii="Tahoma" w:hAnsi="Tahoma" w:cs="Tahoma"/>
          <w:color w:val="000000" w:themeColor="text1"/>
        </w:rPr>
        <w:t xml:space="preserve"> a</w:t>
      </w:r>
      <w:r w:rsidR="003A4C67" w:rsidRPr="77E1BE0E">
        <w:rPr>
          <w:rStyle w:val="normaltextrun"/>
          <w:rFonts w:ascii="Tahoma" w:hAnsi="Tahoma" w:cs="Tahoma"/>
          <w:color w:val="000000" w:themeColor="text1"/>
        </w:rPr>
        <w:t xml:space="preserve"> cold storage fac</w:t>
      </w:r>
      <w:r w:rsidR="00B8717D" w:rsidRPr="77E1BE0E">
        <w:rPr>
          <w:rStyle w:val="normaltextrun"/>
          <w:rFonts w:ascii="Tahoma" w:hAnsi="Tahoma" w:cs="Tahoma"/>
          <w:color w:val="000000" w:themeColor="text1"/>
        </w:rPr>
        <w:t>ilit</w:t>
      </w:r>
      <w:r w:rsidR="001F51CA" w:rsidRPr="77E1BE0E">
        <w:rPr>
          <w:rStyle w:val="normaltextrun"/>
          <w:rFonts w:ascii="Tahoma" w:hAnsi="Tahoma" w:cs="Tahoma"/>
          <w:color w:val="000000" w:themeColor="text1"/>
        </w:rPr>
        <w:t xml:space="preserve">y </w:t>
      </w:r>
      <w:r w:rsidR="006312CF" w:rsidRPr="77E1BE0E">
        <w:rPr>
          <w:rStyle w:val="normaltextrun"/>
          <w:rFonts w:ascii="Tahoma" w:hAnsi="Tahoma" w:cs="Tahoma"/>
          <w:color w:val="000000" w:themeColor="text1"/>
        </w:rPr>
        <w:t>with potential to load shift.</w:t>
      </w:r>
      <w:r w:rsidR="001C07FF">
        <w:rPr>
          <w:rStyle w:val="FootnoteReference"/>
          <w:rFonts w:ascii="Tahoma" w:hAnsi="Tahoma"/>
          <w:color w:val="000000"/>
          <w:bdr w:val="none" w:sz="0" w:space="0" w:color="auto" w:frame="1"/>
        </w:rPr>
        <w:footnoteReference w:id="3"/>
      </w:r>
      <w:r w:rsidR="00F8190A">
        <w:rPr>
          <w:rFonts w:ascii="Tahoma" w:hAnsi="Tahoma" w:cs="Tahoma"/>
        </w:rPr>
        <w:t xml:space="preserve"> </w:t>
      </w:r>
      <w:r w:rsidR="00B075B9" w:rsidRPr="006B2916">
        <w:rPr>
          <w:rFonts w:ascii="Tahoma" w:hAnsi="Tahoma" w:cs="Tahoma"/>
        </w:rPr>
        <w:t xml:space="preserve">The electricity required for </w:t>
      </w:r>
      <w:r w:rsidR="00BD0D45">
        <w:rPr>
          <w:rFonts w:ascii="Tahoma" w:hAnsi="Tahoma" w:cs="Tahoma"/>
        </w:rPr>
        <w:t xml:space="preserve">the truck refrigeration compressors </w:t>
      </w:r>
      <w:r w:rsidR="00B075B9" w:rsidRPr="006B2916">
        <w:rPr>
          <w:rFonts w:ascii="Tahoma" w:hAnsi="Tahoma" w:cs="Tahoma"/>
        </w:rPr>
        <w:t xml:space="preserve">must come from the </w:t>
      </w:r>
      <w:r w:rsidR="008E1697">
        <w:rPr>
          <w:rFonts w:ascii="Tahoma" w:hAnsi="Tahoma" w:cs="Tahoma"/>
        </w:rPr>
        <w:t xml:space="preserve">electric </w:t>
      </w:r>
      <w:r w:rsidR="00B075B9" w:rsidRPr="006B2916">
        <w:rPr>
          <w:rFonts w:ascii="Tahoma" w:hAnsi="Tahoma" w:cs="Tahoma"/>
        </w:rPr>
        <w:t>grid or a renewable</w:t>
      </w:r>
      <w:r w:rsidR="008E1697">
        <w:rPr>
          <w:rFonts w:ascii="Tahoma" w:hAnsi="Tahoma" w:cs="Tahoma"/>
        </w:rPr>
        <w:t xml:space="preserve"> energy</w:t>
      </w:r>
      <w:r w:rsidR="00B075B9" w:rsidRPr="006B2916">
        <w:rPr>
          <w:rFonts w:ascii="Tahoma" w:hAnsi="Tahoma" w:cs="Tahoma"/>
        </w:rPr>
        <w:t xml:space="preserve"> source.</w:t>
      </w:r>
      <w:r w:rsidR="00B075B9" w:rsidRPr="006B2916" w:rsidDel="00156A33">
        <w:rPr>
          <w:rFonts w:ascii="Tahoma" w:hAnsi="Tahoma" w:cs="Tahoma"/>
        </w:rPr>
        <w:t xml:space="preserve"> </w:t>
      </w:r>
      <w:r w:rsidR="00B075B9" w:rsidRPr="006B2916">
        <w:rPr>
          <w:rFonts w:ascii="Tahoma" w:hAnsi="Tahoma" w:cs="Tahoma"/>
        </w:rPr>
        <w:t xml:space="preserve">As noted in the GFO manual eligible technologies must also fall within a Technology Readiness Level (TRL) of 7-8. </w:t>
      </w:r>
      <w:r w:rsidR="002F6D6F">
        <w:rPr>
          <w:rFonts w:ascii="Tahoma" w:hAnsi="Tahoma" w:cs="Tahoma"/>
        </w:rPr>
        <w:t xml:space="preserve">TRL 7 means </w:t>
      </w:r>
      <w:r w:rsidR="00DC7503">
        <w:rPr>
          <w:rFonts w:ascii="Tahoma" w:hAnsi="Tahoma" w:cs="Tahoma"/>
        </w:rPr>
        <w:t xml:space="preserve">a </w:t>
      </w:r>
      <w:r w:rsidR="00097281">
        <w:rPr>
          <w:rFonts w:ascii="Tahoma" w:hAnsi="Tahoma" w:cs="Tahoma"/>
        </w:rPr>
        <w:t>pre-commercial system</w:t>
      </w:r>
      <w:r w:rsidR="00DC7503">
        <w:rPr>
          <w:rFonts w:ascii="Tahoma" w:hAnsi="Tahoma" w:cs="Tahoma"/>
        </w:rPr>
        <w:t xml:space="preserve"> that has been</w:t>
      </w:r>
      <w:r w:rsidR="00097281">
        <w:rPr>
          <w:rFonts w:ascii="Tahoma" w:hAnsi="Tahoma" w:cs="Tahoma"/>
        </w:rPr>
        <w:t xml:space="preserve"> </w:t>
      </w:r>
      <w:r w:rsidR="00D67B4A">
        <w:rPr>
          <w:rFonts w:ascii="Tahoma" w:hAnsi="Tahoma" w:cs="Tahoma"/>
        </w:rPr>
        <w:t>demonstrated in the field,</w:t>
      </w:r>
      <w:r w:rsidR="002F6D6F">
        <w:rPr>
          <w:rFonts w:ascii="Tahoma" w:hAnsi="Tahoma" w:cs="Tahoma"/>
        </w:rPr>
        <w:t xml:space="preserve"> and TRL 8 means </w:t>
      </w:r>
      <w:r w:rsidR="00D67B4A">
        <w:rPr>
          <w:rFonts w:ascii="Tahoma" w:hAnsi="Tahoma" w:cs="Tahoma"/>
        </w:rPr>
        <w:t xml:space="preserve">pre-commercial system </w:t>
      </w:r>
      <w:r w:rsidR="00DC7503">
        <w:rPr>
          <w:rFonts w:ascii="Tahoma" w:hAnsi="Tahoma" w:cs="Tahoma"/>
        </w:rPr>
        <w:t xml:space="preserve">that has been </w:t>
      </w:r>
      <w:r w:rsidR="00E76A3B">
        <w:rPr>
          <w:rFonts w:ascii="Tahoma" w:hAnsi="Tahoma" w:cs="Tahoma"/>
        </w:rPr>
        <w:t xml:space="preserve">demonstrated in the field with no </w:t>
      </w:r>
      <w:r w:rsidR="0052581D">
        <w:rPr>
          <w:rFonts w:ascii="Tahoma" w:hAnsi="Tahoma" w:cs="Tahoma"/>
        </w:rPr>
        <w:t xml:space="preserve">significant </w:t>
      </w:r>
      <w:r w:rsidR="00E76A3B">
        <w:rPr>
          <w:rFonts w:ascii="Tahoma" w:hAnsi="Tahoma" w:cs="Tahoma"/>
        </w:rPr>
        <w:t>design changes</w:t>
      </w:r>
      <w:r w:rsidR="002F6D6F">
        <w:rPr>
          <w:rFonts w:ascii="Tahoma" w:hAnsi="Tahoma" w:cs="Tahoma"/>
        </w:rPr>
        <w:t>.</w:t>
      </w:r>
      <w:r w:rsidR="006605A1">
        <w:rPr>
          <w:rFonts w:ascii="Tahoma" w:hAnsi="Tahoma" w:cs="Tahoma"/>
        </w:rPr>
        <w:t xml:space="preserve"> </w:t>
      </w:r>
      <w:r w:rsidR="007D0A89">
        <w:rPr>
          <w:rFonts w:ascii="Tahoma" w:hAnsi="Tahoma" w:cs="Tahoma"/>
        </w:rPr>
        <w:t>As indicated in Section I.B</w:t>
      </w:r>
      <w:r w:rsidR="00D47F2B">
        <w:rPr>
          <w:rFonts w:ascii="Tahoma" w:hAnsi="Tahoma" w:cs="Tahoma"/>
        </w:rPr>
        <w:t xml:space="preserve"> of the solicitation manual, p</w:t>
      </w:r>
      <w:r w:rsidR="007D0A89" w:rsidRPr="00D92611">
        <w:rPr>
          <w:rFonts w:ascii="Tahoma" w:hAnsi="Tahoma" w:cs="Tahoma"/>
        </w:rPr>
        <w:t xml:space="preserve">re-commercial </w:t>
      </w:r>
      <w:r w:rsidR="00D47F2B">
        <w:rPr>
          <w:rFonts w:ascii="Tahoma" w:hAnsi="Tahoma" w:cs="Tahoma"/>
        </w:rPr>
        <w:t xml:space="preserve">technologies are those </w:t>
      </w:r>
      <w:r w:rsidR="007D0A89" w:rsidRPr="00D92611">
        <w:rPr>
          <w:rFonts w:ascii="Tahoma" w:hAnsi="Tahoma" w:cs="Tahoma"/>
        </w:rPr>
        <w:t>that ha</w:t>
      </w:r>
      <w:r w:rsidR="00D47F2B">
        <w:rPr>
          <w:rFonts w:ascii="Tahoma" w:hAnsi="Tahoma" w:cs="Tahoma"/>
        </w:rPr>
        <w:t xml:space="preserve">ve </w:t>
      </w:r>
      <w:r w:rsidR="007D0A89" w:rsidRPr="00D92611">
        <w:rPr>
          <w:rFonts w:ascii="Tahoma" w:hAnsi="Tahoma" w:cs="Tahoma"/>
        </w:rPr>
        <w:t>not reached commercial maturity or been deployed at scales sufficiently large and in conditions sufficiently reflective of anticipated actual operating environments to enable the appraisal of operational and performance characteristics, or of financial risks.</w:t>
      </w:r>
    </w:p>
    <w:p w14:paraId="1DDAE446" w14:textId="77777777" w:rsidR="006B2916" w:rsidRPr="006B2916" w:rsidRDefault="006B2916" w:rsidP="0022634F">
      <w:pPr>
        <w:pStyle w:val="ListParagraph"/>
        <w:spacing w:line="240" w:lineRule="auto"/>
        <w:rPr>
          <w:rFonts w:ascii="Tahoma" w:hAnsi="Tahoma" w:cs="Tahoma"/>
          <w:b/>
          <w:bCs/>
        </w:rPr>
      </w:pPr>
    </w:p>
    <w:p w14:paraId="02C9DC5F" w14:textId="49718A85" w:rsidR="00B075B9" w:rsidRPr="006B2916" w:rsidRDefault="006B2916" w:rsidP="00B075B9">
      <w:pPr>
        <w:pStyle w:val="ListParagraph"/>
        <w:numPr>
          <w:ilvl w:val="0"/>
          <w:numId w:val="3"/>
        </w:numPr>
        <w:spacing w:line="240" w:lineRule="auto"/>
        <w:rPr>
          <w:rFonts w:ascii="Tahoma" w:hAnsi="Tahoma" w:cs="Tahoma"/>
          <w:b/>
          <w:bCs/>
        </w:rPr>
      </w:pPr>
      <w:r w:rsidRPr="1EC97481">
        <w:rPr>
          <w:rFonts w:ascii="Tahoma" w:hAnsi="Tahoma" w:cs="Tahoma"/>
          <w:b/>
          <w:bCs/>
        </w:rPr>
        <w:t>Q:</w:t>
      </w:r>
      <w:r w:rsidRPr="1EC97481">
        <w:rPr>
          <w:rFonts w:ascii="Tahoma" w:hAnsi="Tahoma" w:cs="Tahoma"/>
        </w:rPr>
        <w:t xml:space="preserve"> Will the CEC consider s</w:t>
      </w:r>
      <w:r w:rsidR="00B075B9" w:rsidRPr="1EC97481">
        <w:rPr>
          <w:rFonts w:ascii="Tahoma" w:hAnsi="Tahoma" w:cs="Tahoma"/>
        </w:rPr>
        <w:t>mart charging of forklift</w:t>
      </w:r>
      <w:r w:rsidR="002961E2">
        <w:rPr>
          <w:rFonts w:ascii="Tahoma" w:hAnsi="Tahoma" w:cs="Tahoma"/>
        </w:rPr>
        <w:t>s</w:t>
      </w:r>
      <w:r w:rsidR="00B075B9" w:rsidRPr="1EC97481">
        <w:rPr>
          <w:rFonts w:ascii="Tahoma" w:hAnsi="Tahoma" w:cs="Tahoma"/>
        </w:rPr>
        <w:t xml:space="preserve"> in refrigerated warehouses to reduce demand and shift load</w:t>
      </w:r>
      <w:r w:rsidRPr="1EC97481">
        <w:rPr>
          <w:rFonts w:ascii="Tahoma" w:hAnsi="Tahoma" w:cs="Tahoma"/>
        </w:rPr>
        <w:t>?</w:t>
      </w:r>
    </w:p>
    <w:p w14:paraId="7764FD9B" w14:textId="66484A20" w:rsidR="008C5CDB" w:rsidRDefault="006B2916" w:rsidP="008D5693">
      <w:pPr>
        <w:ind w:left="720"/>
      </w:pPr>
      <w:r w:rsidRPr="006B2916">
        <w:rPr>
          <w:rFonts w:ascii="Tahoma" w:hAnsi="Tahoma" w:cs="Tahoma"/>
          <w:b/>
          <w:bCs/>
        </w:rPr>
        <w:t>A:</w:t>
      </w:r>
      <w:r w:rsidRPr="006B2916">
        <w:rPr>
          <w:rFonts w:ascii="Tahoma" w:hAnsi="Tahoma" w:cs="Tahoma"/>
        </w:rPr>
        <w:t xml:space="preserve"> </w:t>
      </w:r>
      <w:r w:rsidR="00C91379">
        <w:rPr>
          <w:rFonts w:ascii="Tahoma" w:hAnsi="Tahoma" w:cs="Tahoma"/>
        </w:rPr>
        <w:t xml:space="preserve">Yes. </w:t>
      </w:r>
      <w:r w:rsidR="00B075B9" w:rsidRPr="006B2916">
        <w:rPr>
          <w:rFonts w:ascii="Tahoma" w:hAnsi="Tahoma" w:cs="Tahoma"/>
        </w:rPr>
        <w:t xml:space="preserve">Smart charging of devices </w:t>
      </w:r>
      <w:r w:rsidR="00C64F0C">
        <w:rPr>
          <w:rFonts w:ascii="Tahoma" w:hAnsi="Tahoma" w:cs="Tahoma"/>
        </w:rPr>
        <w:t>and</w:t>
      </w:r>
      <w:r w:rsidR="002A23ED">
        <w:rPr>
          <w:rFonts w:ascii="Tahoma" w:hAnsi="Tahoma" w:cs="Tahoma"/>
        </w:rPr>
        <w:t xml:space="preserve"> electrically propelled</w:t>
      </w:r>
      <w:r w:rsidR="00B075B9" w:rsidRPr="006B2916">
        <w:rPr>
          <w:rFonts w:ascii="Tahoma" w:hAnsi="Tahoma" w:cs="Tahoma"/>
        </w:rPr>
        <w:t xml:space="preserve"> equipment required for </w:t>
      </w:r>
      <w:r w:rsidR="002223F7">
        <w:rPr>
          <w:rFonts w:ascii="Tahoma" w:hAnsi="Tahoma" w:cs="Tahoma"/>
        </w:rPr>
        <w:t xml:space="preserve">operation within </w:t>
      </w:r>
      <w:r w:rsidR="00B075B9" w:rsidRPr="006B2916">
        <w:rPr>
          <w:rFonts w:ascii="Tahoma" w:hAnsi="Tahoma" w:cs="Tahoma"/>
        </w:rPr>
        <w:t>a cold storage facility is eligible for funding. This includes smart charging of forklift</w:t>
      </w:r>
      <w:r w:rsidR="002A23ED">
        <w:rPr>
          <w:rFonts w:ascii="Tahoma" w:hAnsi="Tahoma" w:cs="Tahoma"/>
        </w:rPr>
        <w:t>s</w:t>
      </w:r>
      <w:r w:rsidR="00B075B9" w:rsidRPr="006B2916">
        <w:rPr>
          <w:rFonts w:ascii="Tahoma" w:hAnsi="Tahoma" w:cs="Tahoma"/>
        </w:rPr>
        <w:t xml:space="preserve">.  Eligible </w:t>
      </w:r>
      <w:r w:rsidR="00364CCF">
        <w:rPr>
          <w:rFonts w:ascii="Tahoma" w:hAnsi="Tahoma" w:cs="Tahoma"/>
        </w:rPr>
        <w:t>t</w:t>
      </w:r>
      <w:r w:rsidR="00B075B9" w:rsidRPr="006B2916">
        <w:rPr>
          <w:rFonts w:ascii="Tahoma" w:hAnsi="Tahoma" w:cs="Tahoma"/>
        </w:rPr>
        <w:t>echnologies must also fall within a Technology Readiness Level (TRL) of 7-8.</w:t>
      </w:r>
      <w:r w:rsidR="00DD01E3">
        <w:rPr>
          <w:rFonts w:ascii="Tahoma" w:hAnsi="Tahoma" w:cs="Tahoma"/>
        </w:rPr>
        <w:t xml:space="preserve"> In addition, the proposal should </w:t>
      </w:r>
      <w:r w:rsidR="00DD01E3">
        <w:rPr>
          <w:rStyle w:val="normaltextrun"/>
          <w:rFonts w:ascii="Tahoma" w:hAnsi="Tahoma" w:cs="Tahoma"/>
          <w:color w:val="000000"/>
          <w:bdr w:val="none" w:sz="0" w:space="0" w:color="auto" w:frame="1"/>
        </w:rPr>
        <w:t>identify other opportunities, such as compressors, for potential load flexible operations</w:t>
      </w:r>
      <w:r w:rsidR="008A63FC">
        <w:rPr>
          <w:rStyle w:val="normaltextrun"/>
          <w:rFonts w:ascii="Tahoma" w:hAnsi="Tahoma" w:cs="Tahoma"/>
          <w:color w:val="000000"/>
          <w:bdr w:val="none" w:sz="0" w:space="0" w:color="auto" w:frame="1"/>
        </w:rPr>
        <w:t xml:space="preserve"> in order</w:t>
      </w:r>
      <w:r w:rsidR="008C5CDB" w:rsidDel="008A63FC">
        <w:rPr>
          <w:rFonts w:ascii="Tahoma" w:hAnsi="Tahoma" w:cs="Tahoma"/>
        </w:rPr>
        <w:t xml:space="preserve"> </w:t>
      </w:r>
      <w:r w:rsidR="008C5CDB" w:rsidRPr="006F20BA">
        <w:rPr>
          <w:rFonts w:ascii="Tahoma" w:hAnsi="Tahoma" w:cs="Tahoma"/>
        </w:rPr>
        <w:t>to be competitive.</w:t>
      </w:r>
      <w:r w:rsidR="008A63FC">
        <w:rPr>
          <w:rFonts w:ascii="Tahoma" w:hAnsi="Tahoma" w:cs="Tahoma"/>
        </w:rPr>
        <w:t xml:space="preserve"> See also response to question </w:t>
      </w:r>
      <w:r w:rsidR="00421D57">
        <w:rPr>
          <w:rFonts w:ascii="Tahoma" w:hAnsi="Tahoma" w:cs="Tahoma"/>
        </w:rPr>
        <w:t>4</w:t>
      </w:r>
      <w:r w:rsidR="00124F04">
        <w:rPr>
          <w:rFonts w:ascii="Tahoma" w:hAnsi="Tahoma" w:cs="Tahoma"/>
        </w:rPr>
        <w:t>.</w:t>
      </w:r>
    </w:p>
    <w:p w14:paraId="660683BC" w14:textId="77777777" w:rsidR="00826945" w:rsidRPr="006B2916" w:rsidRDefault="00826945" w:rsidP="00826945">
      <w:pPr>
        <w:pStyle w:val="ListParagraph"/>
        <w:spacing w:line="240" w:lineRule="auto"/>
        <w:rPr>
          <w:rFonts w:ascii="Tahoma" w:hAnsi="Tahoma" w:cs="Tahoma"/>
          <w:b/>
          <w:bCs/>
        </w:rPr>
      </w:pPr>
    </w:p>
    <w:p w14:paraId="22F8A647" w14:textId="77777777" w:rsidR="00826945" w:rsidRDefault="00826945" w:rsidP="00826945">
      <w:pPr>
        <w:pStyle w:val="ListParagraph"/>
        <w:numPr>
          <w:ilvl w:val="0"/>
          <w:numId w:val="3"/>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Group 1: Industrial Refrigerated Warehouses, page 8</w:t>
      </w:r>
      <w:r>
        <w:rPr>
          <w:rFonts w:ascii="Tahoma" w:hAnsi="Tahoma" w:cs="Tahoma"/>
        </w:rPr>
        <w:t xml:space="preserve"> states: “</w:t>
      </w:r>
      <w:r w:rsidRPr="006B2916">
        <w:rPr>
          <w:rFonts w:ascii="Tahoma" w:hAnsi="Tahoma" w:cs="Tahoma"/>
        </w:rPr>
        <w:t xml:space="preserve">In the Disadvantaged &amp; Low-Income Communities section, indicate if the project location(s) are in disadvantaged, low-income, or tribal communities. If the project benefits these </w:t>
      </w:r>
      <w:r w:rsidRPr="006B2916">
        <w:rPr>
          <w:rFonts w:ascii="Tahoma" w:hAnsi="Tahoma" w:cs="Tahoma"/>
        </w:rPr>
        <w:lastRenderedPageBreak/>
        <w:t>communities, indicate specific benefits it will provide to the communities. Include information on past and planned community engagement activities.</w:t>
      </w:r>
      <w:r>
        <w:rPr>
          <w:rFonts w:ascii="Tahoma" w:hAnsi="Tahoma" w:cs="Tahoma"/>
        </w:rPr>
        <w:t>”</w:t>
      </w:r>
      <w:r w:rsidRPr="006B2916">
        <w:rPr>
          <w:rFonts w:ascii="Tahoma" w:hAnsi="Tahoma" w:cs="Tahoma"/>
        </w:rPr>
        <w:t xml:space="preserve"> </w:t>
      </w:r>
    </w:p>
    <w:p w14:paraId="380FC99C" w14:textId="77777777" w:rsidR="00826945" w:rsidRDefault="00826945" w:rsidP="00826945">
      <w:pPr>
        <w:pStyle w:val="ListParagraph"/>
        <w:spacing w:line="240" w:lineRule="auto"/>
        <w:rPr>
          <w:rFonts w:ascii="Tahoma" w:hAnsi="Tahoma" w:cs="Tahoma"/>
          <w:b/>
          <w:bCs/>
        </w:rPr>
      </w:pPr>
    </w:p>
    <w:p w14:paraId="50B63B04" w14:textId="77777777" w:rsidR="00826945" w:rsidRPr="006B2916" w:rsidRDefault="00826945" w:rsidP="00826945">
      <w:pPr>
        <w:pStyle w:val="ListParagraph"/>
        <w:spacing w:line="240" w:lineRule="auto"/>
        <w:rPr>
          <w:rFonts w:ascii="Tahoma" w:hAnsi="Tahoma" w:cs="Tahoma"/>
        </w:rPr>
      </w:pPr>
      <w:r w:rsidRPr="006B2916">
        <w:rPr>
          <w:rFonts w:ascii="Tahoma" w:hAnsi="Tahoma" w:cs="Tahoma"/>
        </w:rPr>
        <w:t>The above paragraph appears to prioritize the physical location of the project, rather than the beneficiaries of the project. In the scoring section the metrics reference only the beneficiaries of the project. Please clarify that eligibility and scoring of a particular project does not depend on the physical location, and that projects not located within a disadvantaged, low income, or tribal community geographic boundaries would be eligible for preference points based on demonstrating that the project benefited those targeted communities.</w:t>
      </w:r>
    </w:p>
    <w:p w14:paraId="7A02DE05" w14:textId="1BE8A365" w:rsidR="00826945" w:rsidRPr="006B2916" w:rsidRDefault="00826945" w:rsidP="00826945">
      <w:pPr>
        <w:spacing w:line="240" w:lineRule="auto"/>
        <w:ind w:left="720"/>
        <w:rPr>
          <w:rFonts w:ascii="Tahoma" w:hAnsi="Tahoma" w:cs="Tahoma"/>
        </w:rPr>
      </w:pPr>
      <w:r w:rsidRPr="1EC97481">
        <w:rPr>
          <w:rFonts w:ascii="Tahoma" w:hAnsi="Tahoma" w:cs="Tahoma"/>
          <w:b/>
          <w:bCs/>
        </w:rPr>
        <w:t xml:space="preserve">A: </w:t>
      </w:r>
      <w:r>
        <w:rPr>
          <w:rFonts w:ascii="Tahoma" w:hAnsi="Tahoma" w:cs="Tahoma"/>
        </w:rPr>
        <w:t xml:space="preserve"> In order to obtain the preference points, the project sites must be located in a </w:t>
      </w:r>
      <w:r w:rsidRPr="006B2916">
        <w:rPr>
          <w:rFonts w:ascii="Tahoma" w:hAnsi="Tahoma" w:cs="Tahoma"/>
        </w:rPr>
        <w:t>disadvantaged, low income, or tribal community</w:t>
      </w:r>
      <w:r>
        <w:rPr>
          <w:rFonts w:ascii="Tahoma" w:hAnsi="Tahoma" w:cs="Tahoma"/>
        </w:rPr>
        <w:t xml:space="preserve"> and the projects must justify how the project will directly benefit these communities. Further clarification on this requirement can be found in Section II.4</w:t>
      </w:r>
      <w:r w:rsidR="005F28C3">
        <w:rPr>
          <w:rFonts w:ascii="Tahoma" w:hAnsi="Tahoma" w:cs="Tahoma"/>
        </w:rPr>
        <w:t xml:space="preserve"> of the solicitation manual</w:t>
      </w:r>
      <w:r>
        <w:rPr>
          <w:rFonts w:ascii="Tahoma" w:hAnsi="Tahoma" w:cs="Tahoma"/>
        </w:rPr>
        <w:t xml:space="preserve">.  </w:t>
      </w:r>
      <w:r w:rsidR="005F28C3">
        <w:rPr>
          <w:rFonts w:ascii="Tahoma" w:hAnsi="Tahoma" w:cs="Tahoma"/>
        </w:rPr>
        <w:t>A</w:t>
      </w:r>
      <w:r>
        <w:rPr>
          <w:rFonts w:ascii="Tahoma" w:hAnsi="Tahoma" w:cs="Tahoma"/>
        </w:rPr>
        <w:t xml:space="preserve"> project not located in </w:t>
      </w:r>
      <w:r w:rsidRPr="1EC97481">
        <w:rPr>
          <w:rFonts w:ascii="Tahoma" w:hAnsi="Tahoma" w:cs="Tahoma"/>
        </w:rPr>
        <w:t>and benefit</w:t>
      </w:r>
      <w:r>
        <w:rPr>
          <w:rFonts w:ascii="Tahoma" w:hAnsi="Tahoma" w:cs="Tahoma"/>
        </w:rPr>
        <w:t>ing</w:t>
      </w:r>
      <w:r w:rsidRPr="1EC97481">
        <w:rPr>
          <w:rFonts w:ascii="Tahoma" w:hAnsi="Tahoma" w:cs="Tahoma"/>
        </w:rPr>
        <w:t xml:space="preserve"> disadvantaged and low</w:t>
      </w:r>
      <w:r>
        <w:rPr>
          <w:rFonts w:ascii="Tahoma" w:hAnsi="Tahoma" w:cs="Tahoma"/>
        </w:rPr>
        <w:t>-</w:t>
      </w:r>
      <w:r w:rsidRPr="1EC97481">
        <w:rPr>
          <w:rFonts w:ascii="Tahoma" w:hAnsi="Tahoma" w:cs="Tahoma"/>
        </w:rPr>
        <w:t>income communities</w:t>
      </w:r>
      <w:r>
        <w:rPr>
          <w:rFonts w:ascii="Tahoma" w:hAnsi="Tahoma" w:cs="Tahoma"/>
        </w:rPr>
        <w:t xml:space="preserve"> is still eligible under this GFO</w:t>
      </w:r>
      <w:r w:rsidR="00D81221">
        <w:rPr>
          <w:rFonts w:ascii="Tahoma" w:hAnsi="Tahoma" w:cs="Tahoma"/>
        </w:rPr>
        <w:t>; however</w:t>
      </w:r>
      <w:r>
        <w:rPr>
          <w:rFonts w:ascii="Tahoma" w:hAnsi="Tahoma" w:cs="Tahoma"/>
        </w:rPr>
        <w:t xml:space="preserve">, it will not be </w:t>
      </w:r>
      <w:r w:rsidRPr="1EC97481">
        <w:rPr>
          <w:rFonts w:ascii="Tahoma" w:hAnsi="Tahoma" w:cs="Tahoma"/>
        </w:rPr>
        <w:t>eligible for preference points</w:t>
      </w:r>
      <w:r w:rsidR="00DC3326">
        <w:rPr>
          <w:rFonts w:ascii="Tahoma" w:hAnsi="Tahoma" w:cs="Tahoma"/>
        </w:rPr>
        <w:t xml:space="preserve"> as indicated in </w:t>
      </w:r>
      <w:r w:rsidRPr="1EC97481">
        <w:rPr>
          <w:rFonts w:ascii="Tahoma" w:hAnsi="Tahoma" w:cs="Tahoma"/>
        </w:rPr>
        <w:t>Section IV.F., scoring criteria 9.</w:t>
      </w:r>
    </w:p>
    <w:p w14:paraId="5B0C504A" w14:textId="77777777" w:rsidR="00826945" w:rsidRPr="006B2916" w:rsidRDefault="00826945" w:rsidP="00826945">
      <w:pPr>
        <w:spacing w:line="240" w:lineRule="auto"/>
        <w:ind w:left="720"/>
        <w:rPr>
          <w:rFonts w:ascii="Tahoma" w:hAnsi="Tahoma" w:cs="Tahoma"/>
          <w:b/>
          <w:bCs/>
        </w:rPr>
      </w:pPr>
    </w:p>
    <w:p w14:paraId="02710512" w14:textId="77777777" w:rsidR="00826945" w:rsidRDefault="00826945" w:rsidP="00826945">
      <w:pPr>
        <w:pStyle w:val="ListParagraph"/>
        <w:numPr>
          <w:ilvl w:val="0"/>
          <w:numId w:val="3"/>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Section 1.K – Match Funding, Pages 14/15</w:t>
      </w:r>
      <w:r>
        <w:rPr>
          <w:rFonts w:ascii="Tahoma" w:hAnsi="Tahoma" w:cs="Tahoma"/>
        </w:rPr>
        <w:t xml:space="preserve"> states:</w:t>
      </w:r>
      <w:r w:rsidRPr="006B2916">
        <w:rPr>
          <w:rFonts w:ascii="Tahoma" w:hAnsi="Tahoma" w:cs="Tahoma"/>
        </w:rPr>
        <w:t xml:space="preserve"> “Match funds” includes cash or in-kind (non-cash) contributions provided by the applicant, subcontractors, or other parties including pilot testing, demonstration, and/or deployment sites (e.g., test site staff services) that will be used in performance of the proposed project. “Match funds” do not </w:t>
      </w:r>
      <w:proofErr w:type="gramStart"/>
      <w:r w:rsidRPr="006B2916">
        <w:rPr>
          <w:rFonts w:ascii="Tahoma" w:hAnsi="Tahoma" w:cs="Tahoma"/>
        </w:rPr>
        <w:t>include:</w:t>
      </w:r>
      <w:proofErr w:type="gramEnd"/>
      <w:r w:rsidRPr="006B2916">
        <w:rPr>
          <w:rFonts w:ascii="Tahoma" w:hAnsi="Tahoma" w:cs="Tahoma"/>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w:t>
      </w:r>
      <w:r>
        <w:rPr>
          <w:rFonts w:ascii="Tahoma" w:hAnsi="Tahoma" w:cs="Tahoma"/>
        </w:rPr>
        <w:t>”</w:t>
      </w:r>
      <w:r w:rsidRPr="006B2916">
        <w:rPr>
          <w:rFonts w:ascii="Tahoma" w:hAnsi="Tahoma" w:cs="Tahoma"/>
        </w:rPr>
        <w:t xml:space="preserve"> </w:t>
      </w:r>
    </w:p>
    <w:p w14:paraId="44DC4361" w14:textId="77777777" w:rsidR="00826945" w:rsidRDefault="00826945" w:rsidP="00826945">
      <w:pPr>
        <w:pStyle w:val="ListParagraph"/>
        <w:spacing w:line="240" w:lineRule="auto"/>
        <w:rPr>
          <w:rFonts w:ascii="Tahoma" w:hAnsi="Tahoma" w:cs="Tahoma"/>
        </w:rPr>
      </w:pPr>
    </w:p>
    <w:p w14:paraId="5111B0CA" w14:textId="77777777" w:rsidR="00826945" w:rsidRPr="006B2916" w:rsidRDefault="00826945" w:rsidP="00826945">
      <w:pPr>
        <w:pStyle w:val="ListParagraph"/>
        <w:spacing w:line="240" w:lineRule="auto"/>
        <w:rPr>
          <w:rFonts w:ascii="Tahoma" w:hAnsi="Tahoma" w:cs="Tahoma"/>
        </w:rPr>
      </w:pPr>
      <w:r w:rsidRPr="006B2916">
        <w:rPr>
          <w:rFonts w:ascii="Tahoma" w:hAnsi="Tahoma" w:cs="Tahoma"/>
        </w:rPr>
        <w:t xml:space="preserve">The above paragraph makes it clear that real property, in particular pre-existing equipment and structures at a project site, cannot qualify as eligible expenses or in-kind match funding. Our technology can integrate photovoltaic </w:t>
      </w:r>
      <w:r>
        <w:rPr>
          <w:rFonts w:ascii="Tahoma" w:hAnsi="Tahoma" w:cs="Tahoma"/>
        </w:rPr>
        <w:t xml:space="preserve">(PV) </w:t>
      </w:r>
      <w:r w:rsidRPr="006B2916">
        <w:rPr>
          <w:rFonts w:ascii="Tahoma" w:hAnsi="Tahoma" w:cs="Tahoma"/>
        </w:rPr>
        <w:t>systems to improve the project economic and GHG metrics. Please clarify if photovoltaic systems, purchased and installed as part of and during a proposed project work plan, and integrated with an eligible technology, would qualify as eligible for match funding.</w:t>
      </w:r>
    </w:p>
    <w:p w14:paraId="2EB809FA" w14:textId="77777777" w:rsidR="00826945" w:rsidRPr="006B2916" w:rsidRDefault="00826945" w:rsidP="00826945">
      <w:pPr>
        <w:pStyle w:val="ListParagraph"/>
        <w:spacing w:line="240" w:lineRule="auto"/>
        <w:rPr>
          <w:rFonts w:ascii="Tahoma" w:hAnsi="Tahoma" w:cs="Tahoma"/>
        </w:rPr>
      </w:pPr>
    </w:p>
    <w:p w14:paraId="6563986E" w14:textId="77777777" w:rsidR="00826945" w:rsidRPr="006B2916" w:rsidRDefault="00826945" w:rsidP="00826945">
      <w:pPr>
        <w:pStyle w:val="ListParagraph"/>
        <w:spacing w:line="240" w:lineRule="auto"/>
        <w:rPr>
          <w:rFonts w:ascii="Tahoma" w:hAnsi="Tahoma" w:cs="Tahoma"/>
        </w:rPr>
      </w:pPr>
      <w:r w:rsidRPr="1EC97481">
        <w:rPr>
          <w:rFonts w:ascii="Tahoma" w:hAnsi="Tahoma" w:cs="Tahoma"/>
          <w:b/>
          <w:bCs/>
        </w:rPr>
        <w:t>A:</w:t>
      </w:r>
      <w:r w:rsidRPr="1EC97481">
        <w:rPr>
          <w:rFonts w:ascii="Tahoma" w:hAnsi="Tahoma" w:cs="Tahoma"/>
        </w:rPr>
        <w:t xml:space="preserve"> If </w:t>
      </w:r>
      <w:r>
        <w:rPr>
          <w:rFonts w:ascii="Tahoma" w:hAnsi="Tahoma" w:cs="Tahoma"/>
        </w:rPr>
        <w:t xml:space="preserve">a </w:t>
      </w:r>
      <w:r w:rsidRPr="1EC97481">
        <w:rPr>
          <w:rFonts w:ascii="Tahoma" w:hAnsi="Tahoma" w:cs="Tahoma"/>
        </w:rPr>
        <w:t xml:space="preserve">PV </w:t>
      </w:r>
      <w:r>
        <w:rPr>
          <w:rFonts w:ascii="Tahoma" w:hAnsi="Tahoma" w:cs="Tahoma"/>
        </w:rPr>
        <w:t xml:space="preserve">system is an integral part of your proposed project and this project </w:t>
      </w:r>
      <w:r w:rsidRPr="1EC97481">
        <w:rPr>
          <w:rFonts w:ascii="Tahoma" w:hAnsi="Tahoma" w:cs="Tahoma"/>
        </w:rPr>
        <w:t>meets the requirements in the solicitation</w:t>
      </w:r>
      <w:r>
        <w:rPr>
          <w:rFonts w:ascii="Tahoma" w:hAnsi="Tahoma" w:cs="Tahoma"/>
        </w:rPr>
        <w:t xml:space="preserve">, then it would be </w:t>
      </w:r>
      <w:r w:rsidRPr="1EC97481">
        <w:rPr>
          <w:rFonts w:ascii="Tahoma" w:hAnsi="Tahoma" w:cs="Tahoma"/>
        </w:rPr>
        <w:t xml:space="preserve">eligible for </w:t>
      </w:r>
      <w:r>
        <w:rPr>
          <w:rFonts w:ascii="Tahoma" w:hAnsi="Tahoma" w:cs="Tahoma"/>
        </w:rPr>
        <w:t xml:space="preserve">match </w:t>
      </w:r>
      <w:r w:rsidRPr="1EC97481">
        <w:rPr>
          <w:rFonts w:ascii="Tahoma" w:hAnsi="Tahoma" w:cs="Tahoma"/>
        </w:rPr>
        <w:t xml:space="preserve">funding. </w:t>
      </w:r>
      <w:r>
        <w:rPr>
          <w:rFonts w:ascii="Tahoma" w:hAnsi="Tahoma" w:cs="Tahoma"/>
        </w:rPr>
        <w:t>As a result, t</w:t>
      </w:r>
      <w:r w:rsidRPr="1EC97481">
        <w:rPr>
          <w:rFonts w:ascii="Tahoma" w:hAnsi="Tahoma" w:cs="Tahoma"/>
        </w:rPr>
        <w:t xml:space="preserve">he solicitation manual has been amended to read, “Match funds do not </w:t>
      </w:r>
      <w:proofErr w:type="gramStart"/>
      <w:r w:rsidRPr="1EC97481">
        <w:rPr>
          <w:rFonts w:ascii="Tahoma" w:hAnsi="Tahoma" w:cs="Tahoma"/>
        </w:rPr>
        <w:t>include:</w:t>
      </w:r>
      <w:proofErr w:type="gramEnd"/>
      <w:r w:rsidRPr="1EC97481">
        <w:rPr>
          <w:rFonts w:ascii="Tahoma" w:hAnsi="Tahoma" w:cs="Tahoma"/>
        </w:rPr>
        <w:t xml:space="preserve"> CEC awards, EPIC funds received from other sources, future/contingent awards from other entities (public or private), the cost or value of the project work site, or the cost or value of structures or other improvements that do not provide value to the project”. </w:t>
      </w:r>
    </w:p>
    <w:p w14:paraId="38DBA148" w14:textId="77777777" w:rsidR="00826945" w:rsidRPr="006B2916" w:rsidRDefault="00826945" w:rsidP="00826945">
      <w:pPr>
        <w:pStyle w:val="ListParagraph"/>
        <w:spacing w:line="240" w:lineRule="auto"/>
        <w:rPr>
          <w:rFonts w:ascii="Tahoma" w:hAnsi="Tahoma" w:cs="Tahoma"/>
        </w:rPr>
      </w:pPr>
    </w:p>
    <w:p w14:paraId="5CC72185" w14:textId="77777777" w:rsidR="00826945" w:rsidRPr="006B2916" w:rsidRDefault="00826945" w:rsidP="00826945">
      <w:pPr>
        <w:pStyle w:val="ListParagraph"/>
        <w:spacing w:line="240" w:lineRule="auto"/>
        <w:rPr>
          <w:rFonts w:ascii="Tahoma" w:hAnsi="Tahoma" w:cs="Tahoma"/>
        </w:rPr>
      </w:pPr>
    </w:p>
    <w:p w14:paraId="5E5DC767" w14:textId="77777777" w:rsidR="00826945" w:rsidRPr="006B2916" w:rsidRDefault="00826945" w:rsidP="00826945">
      <w:pPr>
        <w:pStyle w:val="ListParagraph"/>
        <w:numPr>
          <w:ilvl w:val="0"/>
          <w:numId w:val="3"/>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Section IV.E, Page 32, Screening Criteria #5, Please clarify if it is permissible for a single application to request funding for demonstrating the same technology at multiple sites (both within the same project group per Section I.C.1 on page 7), sites that are owned and operated by the same organization.</w:t>
      </w:r>
    </w:p>
    <w:p w14:paraId="379712C7" w14:textId="08C3CA74" w:rsidR="00C4771F" w:rsidRDefault="00826945" w:rsidP="00B02FE6">
      <w:pPr>
        <w:spacing w:line="240" w:lineRule="auto"/>
        <w:ind w:left="720"/>
        <w:rPr>
          <w:rFonts w:ascii="Tahoma" w:hAnsi="Tahoma" w:cs="Tahoma"/>
        </w:rPr>
      </w:pPr>
      <w:r w:rsidRPr="15C27CBC">
        <w:rPr>
          <w:rFonts w:ascii="Tahoma" w:hAnsi="Tahoma" w:cs="Tahoma"/>
          <w:b/>
          <w:bCs/>
        </w:rPr>
        <w:lastRenderedPageBreak/>
        <w:t xml:space="preserve">A: </w:t>
      </w:r>
      <w:r w:rsidRPr="15C27CBC">
        <w:rPr>
          <w:rFonts w:ascii="Tahoma" w:hAnsi="Tahoma" w:cs="Tahoma"/>
        </w:rPr>
        <w:t xml:space="preserve">Multiple demonstrations of the same technology at multiple sites are permissible and encouraged.  Demonstration sites may be owned and operated by the same or different companies. </w:t>
      </w:r>
    </w:p>
    <w:p w14:paraId="4D0177FC" w14:textId="77777777" w:rsidR="005352A4" w:rsidRPr="006B2916" w:rsidRDefault="005352A4" w:rsidP="00826945">
      <w:pPr>
        <w:spacing w:line="240" w:lineRule="auto"/>
        <w:ind w:left="720"/>
        <w:rPr>
          <w:rFonts w:ascii="Tahoma" w:hAnsi="Tahoma" w:cs="Tahoma"/>
        </w:rPr>
      </w:pPr>
    </w:p>
    <w:p w14:paraId="4B2EB567" w14:textId="76B725EB" w:rsidR="7E7189BB" w:rsidRPr="003075FC" w:rsidRDefault="7E7189BB" w:rsidP="00C4771F">
      <w:pPr>
        <w:pStyle w:val="ListParagraph"/>
        <w:numPr>
          <w:ilvl w:val="0"/>
          <w:numId w:val="3"/>
        </w:numPr>
        <w:rPr>
          <w:rFonts w:ascii="Tahoma" w:eastAsia="Tahoma" w:hAnsi="Tahoma" w:cs="Tahoma"/>
          <w:b/>
          <w:bCs/>
          <w:u w:val="single"/>
        </w:rPr>
      </w:pPr>
      <w:r w:rsidRPr="003075FC">
        <w:rPr>
          <w:rFonts w:ascii="Tahoma" w:eastAsia="Tahoma" w:hAnsi="Tahoma" w:cs="Tahoma"/>
          <w:b/>
          <w:bCs/>
          <w:u w:val="single"/>
        </w:rPr>
        <w:t xml:space="preserve">Q: The Balakian family intends to construct an adjacent agricultural waste conversion system that will consume 75,000 tons of orchard </w:t>
      </w:r>
      <w:proofErr w:type="spellStart"/>
      <w:r w:rsidRPr="003075FC">
        <w:rPr>
          <w:rFonts w:ascii="Tahoma" w:eastAsia="Tahoma" w:hAnsi="Tahoma" w:cs="Tahoma"/>
          <w:b/>
          <w:bCs/>
          <w:u w:val="single"/>
        </w:rPr>
        <w:t>prunings</w:t>
      </w:r>
      <w:proofErr w:type="spellEnd"/>
      <w:r w:rsidRPr="003075FC">
        <w:rPr>
          <w:rFonts w:ascii="Tahoma" w:eastAsia="Tahoma" w:hAnsi="Tahoma" w:cs="Tahoma"/>
          <w:b/>
          <w:bCs/>
          <w:u w:val="single"/>
        </w:rPr>
        <w:t xml:space="preserve"> annually to produce 100% renewable electricity and thermal energy. The facility will provide a productive disposal alternative to open field burning while generating 2 MW of renewable power, as well as steam and heat, to operate an on-site cold storage facility that has been idle for 10 years, and making available an additional 3 MW to be placed on the grid or delivered to local businesses and residential users via a microgrid, thereby increasing cold storage capacity in the state, while resulting in a reduction of emissions and net demand on the CAISO grid. This program will address such goals of your grant funding opportunity as:</w:t>
      </w:r>
      <w:r w:rsidR="00630C7D" w:rsidRPr="003075FC">
        <w:rPr>
          <w:rFonts w:ascii="Tahoma" w:eastAsia="Tahoma" w:hAnsi="Tahoma" w:cs="Tahoma"/>
          <w:b/>
          <w:bCs/>
          <w:u w:val="single"/>
        </w:rPr>
        <w:t xml:space="preserve"> </w:t>
      </w:r>
      <w:r w:rsidR="3645D796" w:rsidRPr="7F5A477D">
        <w:rPr>
          <w:rFonts w:ascii="Tahoma" w:eastAsia="Tahoma" w:hAnsi="Tahoma" w:cs="Tahoma"/>
          <w:b/>
          <w:bCs/>
          <w:u w:val="single"/>
        </w:rPr>
        <w:t>d</w:t>
      </w:r>
      <w:r w:rsidRPr="003075FC">
        <w:rPr>
          <w:rFonts w:ascii="Tahoma" w:eastAsia="Tahoma" w:hAnsi="Tahoma" w:cs="Tahoma"/>
          <w:b/>
          <w:bCs/>
          <w:u w:val="single"/>
        </w:rPr>
        <w:t>emonstrating and deploying an advanced energy efficiency and load reduction technology</w:t>
      </w:r>
      <w:r w:rsidR="29AECAC7" w:rsidRPr="7F5A477D">
        <w:rPr>
          <w:rFonts w:ascii="Tahoma" w:eastAsia="Tahoma" w:hAnsi="Tahoma" w:cs="Tahoma"/>
          <w:b/>
          <w:bCs/>
          <w:u w:val="single"/>
        </w:rPr>
        <w:t>;</w:t>
      </w:r>
      <w:r w:rsidRPr="003075FC">
        <w:rPr>
          <w:rFonts w:ascii="Tahoma" w:eastAsia="Tahoma" w:hAnsi="Tahoma" w:cs="Tahoma"/>
          <w:b/>
          <w:bCs/>
          <w:u w:val="single"/>
        </w:rPr>
        <w:t xml:space="preserve"> </w:t>
      </w:r>
      <w:r w:rsidR="750763C0" w:rsidRPr="7F5A477D">
        <w:rPr>
          <w:rFonts w:ascii="Tahoma" w:eastAsia="Tahoma" w:hAnsi="Tahoma" w:cs="Tahoma"/>
          <w:b/>
          <w:bCs/>
          <w:u w:val="single"/>
        </w:rPr>
        <w:t>r</w:t>
      </w:r>
      <w:r w:rsidRPr="003075FC">
        <w:rPr>
          <w:rFonts w:ascii="Tahoma" w:eastAsia="Tahoma" w:hAnsi="Tahoma" w:cs="Tahoma"/>
          <w:b/>
          <w:bCs/>
          <w:u w:val="single"/>
        </w:rPr>
        <w:t>educing greenhouse gas emissions</w:t>
      </w:r>
      <w:r w:rsidR="1D0CA54D" w:rsidRPr="7F5A477D">
        <w:rPr>
          <w:rFonts w:ascii="Tahoma" w:eastAsia="Tahoma" w:hAnsi="Tahoma" w:cs="Tahoma"/>
          <w:b/>
          <w:bCs/>
          <w:u w:val="single"/>
        </w:rPr>
        <w:t>;</w:t>
      </w:r>
      <w:r w:rsidRPr="003075FC">
        <w:rPr>
          <w:rFonts w:ascii="Tahoma" w:eastAsia="Tahoma" w:hAnsi="Tahoma" w:cs="Tahoma"/>
          <w:b/>
          <w:bCs/>
          <w:u w:val="single"/>
        </w:rPr>
        <w:t xml:space="preserve"> </w:t>
      </w:r>
      <w:r w:rsidR="17C69B3A" w:rsidRPr="7F5A477D">
        <w:rPr>
          <w:rFonts w:ascii="Tahoma" w:eastAsia="Tahoma" w:hAnsi="Tahoma" w:cs="Tahoma"/>
          <w:b/>
          <w:bCs/>
          <w:u w:val="single"/>
        </w:rPr>
        <w:t>s</w:t>
      </w:r>
      <w:r w:rsidRPr="003075FC">
        <w:rPr>
          <w:rFonts w:ascii="Tahoma" w:eastAsia="Tahoma" w:hAnsi="Tahoma" w:cs="Tahoma"/>
          <w:b/>
          <w:bCs/>
          <w:u w:val="single"/>
        </w:rPr>
        <w:t>hifting load requirements away from the grid, thus reducing fossil-based energy use and costs</w:t>
      </w:r>
      <w:r w:rsidR="7A7F0EE0" w:rsidRPr="7F5A477D">
        <w:rPr>
          <w:rFonts w:ascii="Tahoma" w:eastAsia="Tahoma" w:hAnsi="Tahoma" w:cs="Tahoma"/>
          <w:b/>
          <w:bCs/>
          <w:u w:val="single"/>
        </w:rPr>
        <w:t>;</w:t>
      </w:r>
      <w:r w:rsidRPr="003075FC">
        <w:rPr>
          <w:rFonts w:ascii="Tahoma" w:eastAsia="Tahoma" w:hAnsi="Tahoma" w:cs="Tahoma"/>
          <w:b/>
          <w:bCs/>
          <w:u w:val="single"/>
        </w:rPr>
        <w:t xml:space="preserve"> and result</w:t>
      </w:r>
      <w:r w:rsidR="7A3C7820" w:rsidRPr="7F5A477D">
        <w:rPr>
          <w:rFonts w:ascii="Tahoma" w:eastAsia="Tahoma" w:hAnsi="Tahoma" w:cs="Tahoma"/>
          <w:b/>
          <w:bCs/>
          <w:u w:val="single"/>
        </w:rPr>
        <w:t>ing</w:t>
      </w:r>
      <w:r w:rsidRPr="003075FC">
        <w:rPr>
          <w:rFonts w:ascii="Tahoma" w:eastAsia="Tahoma" w:hAnsi="Tahoma" w:cs="Tahoma"/>
          <w:b/>
          <w:bCs/>
          <w:u w:val="single"/>
        </w:rPr>
        <w:t xml:space="preserve"> in the first “Green” cold storage facility in the State of California, enabling its clients to reduce the carbon intensity of the products stored there. All of the technology and equipment involved in the project, which the grant will assist in funding, will be at least at the TRL level of 9. </w:t>
      </w:r>
    </w:p>
    <w:p w14:paraId="08BFDF68" w14:textId="3E3EE998" w:rsidR="7E7189BB" w:rsidRPr="003075FC" w:rsidRDefault="7E7189BB" w:rsidP="00C4771F">
      <w:pPr>
        <w:ind w:left="720"/>
        <w:rPr>
          <w:b/>
          <w:bCs/>
          <w:u w:val="single"/>
        </w:rPr>
      </w:pPr>
      <w:r w:rsidRPr="003075FC">
        <w:rPr>
          <w:rFonts w:ascii="Tahoma" w:eastAsia="Tahoma" w:hAnsi="Tahoma" w:cs="Tahoma"/>
          <w:b/>
          <w:bCs/>
          <w:u w:val="single"/>
        </w:rPr>
        <w:t>A: Energy generation and combined heat and power (CHP) systems are not eligible for funding under this GFO. The solicitation seeks projects that specifically demonstrate advanced energy efficiency and load reduction technologies at operating cold storage warehouses and facilities. The technology readiness level (TRL) should be 7 to 8 at the start of the project and advance to TRL 9 by the end of the project with market-ready technologies and approaches.  Additionally, demonstration sites must be at an operating cold storage facilit</w:t>
      </w:r>
      <w:r w:rsidR="2CDAF96C" w:rsidRPr="7F5A477D">
        <w:rPr>
          <w:rFonts w:ascii="Tahoma" w:eastAsia="Tahoma" w:hAnsi="Tahoma" w:cs="Tahoma"/>
          <w:b/>
          <w:bCs/>
          <w:u w:val="single"/>
        </w:rPr>
        <w:t>ies</w:t>
      </w:r>
      <w:r w:rsidRPr="003075FC">
        <w:rPr>
          <w:rFonts w:ascii="Tahoma" w:eastAsia="Tahoma" w:hAnsi="Tahoma" w:cs="Tahoma"/>
          <w:b/>
          <w:bCs/>
          <w:u w:val="single"/>
        </w:rPr>
        <w:t xml:space="preserve"> to demonstrate the pre- and post-</w:t>
      </w:r>
      <w:r w:rsidR="29ACA259" w:rsidRPr="7F5A477D">
        <w:rPr>
          <w:rFonts w:ascii="Tahoma" w:eastAsia="Tahoma" w:hAnsi="Tahoma" w:cs="Tahoma"/>
          <w:b/>
          <w:bCs/>
          <w:u w:val="single"/>
        </w:rPr>
        <w:t xml:space="preserve">installation </w:t>
      </w:r>
      <w:r w:rsidRPr="003075FC">
        <w:rPr>
          <w:rFonts w:ascii="Tahoma" w:eastAsia="Tahoma" w:hAnsi="Tahoma" w:cs="Tahoma"/>
          <w:b/>
          <w:bCs/>
          <w:u w:val="single"/>
        </w:rPr>
        <w:t>GHG, energy</w:t>
      </w:r>
      <w:r w:rsidR="34892E21" w:rsidRPr="7F5A477D">
        <w:rPr>
          <w:rFonts w:ascii="Tahoma" w:eastAsia="Tahoma" w:hAnsi="Tahoma" w:cs="Tahoma"/>
          <w:b/>
          <w:bCs/>
          <w:u w:val="single"/>
        </w:rPr>
        <w:t>,</w:t>
      </w:r>
      <w:r w:rsidRPr="003075FC">
        <w:rPr>
          <w:rFonts w:ascii="Tahoma" w:eastAsia="Tahoma" w:hAnsi="Tahoma" w:cs="Tahoma"/>
          <w:b/>
          <w:bCs/>
          <w:u w:val="single"/>
        </w:rPr>
        <w:t xml:space="preserve"> and load reductions.</w:t>
      </w:r>
    </w:p>
    <w:p w14:paraId="6E4DEB18" w14:textId="535BB9B4" w:rsidR="7E7189BB" w:rsidRPr="003075FC" w:rsidRDefault="7E7189BB">
      <w:pPr>
        <w:rPr>
          <w:b/>
          <w:bCs/>
          <w:u w:val="single"/>
        </w:rPr>
      </w:pPr>
      <w:r w:rsidRPr="003075FC">
        <w:rPr>
          <w:rFonts w:ascii="Tahoma" w:eastAsia="Tahoma" w:hAnsi="Tahoma" w:cs="Tahoma"/>
          <w:b/>
          <w:bCs/>
          <w:strike/>
          <w:color w:val="FF0000"/>
          <w:u w:val="single"/>
        </w:rPr>
        <w:t xml:space="preserve"> </w:t>
      </w:r>
    </w:p>
    <w:p w14:paraId="64816825" w14:textId="10EAE013" w:rsidR="7E7189BB" w:rsidRPr="003075FC" w:rsidRDefault="7E7189BB" w:rsidP="00C4771F">
      <w:pPr>
        <w:pStyle w:val="ListParagraph"/>
        <w:numPr>
          <w:ilvl w:val="0"/>
          <w:numId w:val="3"/>
        </w:numPr>
        <w:rPr>
          <w:rFonts w:ascii="Tahoma" w:eastAsia="Tahoma" w:hAnsi="Tahoma" w:cs="Tahoma"/>
          <w:b/>
          <w:bCs/>
          <w:u w:val="single"/>
        </w:rPr>
      </w:pPr>
      <w:r w:rsidRPr="003075FC">
        <w:rPr>
          <w:rFonts w:ascii="Tahoma" w:eastAsia="Tahoma" w:hAnsi="Tahoma" w:cs="Tahoma"/>
          <w:b/>
          <w:bCs/>
          <w:u w:val="single"/>
        </w:rPr>
        <w:t xml:space="preserve">Q: </w:t>
      </w:r>
      <w:proofErr w:type="spellStart"/>
      <w:r w:rsidRPr="003075FC">
        <w:rPr>
          <w:rFonts w:ascii="Tahoma" w:eastAsia="Tahoma" w:hAnsi="Tahoma" w:cs="Tahoma"/>
          <w:b/>
          <w:bCs/>
          <w:u w:val="single"/>
        </w:rPr>
        <w:t>Redflow</w:t>
      </w:r>
      <w:proofErr w:type="spellEnd"/>
      <w:r w:rsidRPr="003075FC">
        <w:rPr>
          <w:rFonts w:ascii="Tahoma" w:eastAsia="Tahoma" w:hAnsi="Tahoma" w:cs="Tahoma"/>
          <w:b/>
          <w:bCs/>
          <w:u w:val="single"/>
        </w:rPr>
        <w:t xml:space="preserve"> LLC, a long-duration electrochemical energy storage manufacturer, would like to express interest in requesting the inclusion of their Long Duration Energy Storage system’s solutions on the list of eligible technologies in GFO-23-301. </w:t>
      </w:r>
    </w:p>
    <w:p w14:paraId="43C2C895" w14:textId="7422278E" w:rsidR="008C1191" w:rsidRPr="00A12974" w:rsidRDefault="7E7189BB" w:rsidP="00A12974">
      <w:pPr>
        <w:ind w:left="720"/>
        <w:rPr>
          <w:rFonts w:ascii="Tahoma" w:eastAsia="Tahoma" w:hAnsi="Tahoma" w:cs="Tahoma"/>
          <w:b/>
          <w:bCs/>
          <w:u w:val="single"/>
        </w:rPr>
      </w:pPr>
      <w:r w:rsidRPr="003075FC">
        <w:rPr>
          <w:rFonts w:ascii="Tahoma" w:eastAsia="Tahoma" w:hAnsi="Tahoma" w:cs="Tahoma"/>
          <w:b/>
          <w:bCs/>
          <w:u w:val="single"/>
        </w:rPr>
        <w:t>A: This GFO is not seeking battery-based solutions or energy storage solutions. Th</w:t>
      </w:r>
      <w:r w:rsidR="00CF0681" w:rsidRPr="003075FC">
        <w:rPr>
          <w:rFonts w:ascii="Tahoma" w:eastAsia="Tahoma" w:hAnsi="Tahoma" w:cs="Tahoma"/>
          <w:b/>
          <w:bCs/>
          <w:u w:val="single"/>
        </w:rPr>
        <w:t>is</w:t>
      </w:r>
      <w:r w:rsidRPr="003075FC">
        <w:rPr>
          <w:rFonts w:ascii="Tahoma" w:eastAsia="Tahoma" w:hAnsi="Tahoma" w:cs="Tahoma"/>
          <w:b/>
          <w:bCs/>
          <w:u w:val="single"/>
        </w:rPr>
        <w:t xml:space="preserve"> solicitation seeks innovative solutions that focus on the capability to shift </w:t>
      </w:r>
      <w:r w:rsidR="008E0F59" w:rsidRPr="003075FC">
        <w:rPr>
          <w:rFonts w:ascii="Tahoma" w:eastAsia="Tahoma" w:hAnsi="Tahoma" w:cs="Tahoma"/>
          <w:b/>
          <w:bCs/>
          <w:u w:val="single"/>
        </w:rPr>
        <w:t xml:space="preserve">or shed </w:t>
      </w:r>
      <w:r w:rsidR="00AD1273" w:rsidRPr="003075FC">
        <w:rPr>
          <w:rFonts w:ascii="Tahoma" w:eastAsia="Tahoma" w:hAnsi="Tahoma" w:cs="Tahoma"/>
          <w:b/>
          <w:bCs/>
          <w:u w:val="single"/>
        </w:rPr>
        <w:t>cold storage equipment</w:t>
      </w:r>
      <w:r w:rsidR="00113097" w:rsidRPr="003075FC">
        <w:rPr>
          <w:rFonts w:ascii="Tahoma" w:eastAsia="Tahoma" w:hAnsi="Tahoma" w:cs="Tahoma"/>
          <w:b/>
          <w:bCs/>
          <w:u w:val="single"/>
        </w:rPr>
        <w:t xml:space="preserve"> </w:t>
      </w:r>
      <w:r w:rsidR="00A26F7B" w:rsidRPr="003075FC">
        <w:rPr>
          <w:rFonts w:ascii="Tahoma" w:eastAsia="Tahoma" w:hAnsi="Tahoma" w:cs="Tahoma"/>
          <w:b/>
          <w:bCs/>
          <w:u w:val="single"/>
        </w:rPr>
        <w:t xml:space="preserve">operations </w:t>
      </w:r>
      <w:r w:rsidR="00113097" w:rsidRPr="003075FC">
        <w:rPr>
          <w:rFonts w:ascii="Tahoma" w:eastAsia="Tahoma" w:hAnsi="Tahoma" w:cs="Tahoma"/>
          <w:b/>
          <w:bCs/>
          <w:u w:val="single"/>
        </w:rPr>
        <w:t>to provide load flexibility capab</w:t>
      </w:r>
      <w:r w:rsidR="005F2BE5" w:rsidRPr="003075FC">
        <w:rPr>
          <w:rFonts w:ascii="Tahoma" w:eastAsia="Tahoma" w:hAnsi="Tahoma" w:cs="Tahoma"/>
          <w:b/>
          <w:bCs/>
          <w:u w:val="single"/>
        </w:rPr>
        <w:t>ilities</w:t>
      </w:r>
      <w:r w:rsidR="00345A7C" w:rsidRPr="003075FC">
        <w:rPr>
          <w:rFonts w:ascii="Tahoma" w:eastAsia="Tahoma" w:hAnsi="Tahoma" w:cs="Tahoma"/>
          <w:b/>
          <w:bCs/>
          <w:u w:val="single"/>
        </w:rPr>
        <w:t xml:space="preserve">, such as through </w:t>
      </w:r>
      <w:r w:rsidR="33418FD0" w:rsidRPr="7F5A477D">
        <w:rPr>
          <w:rFonts w:ascii="Tahoma" w:eastAsia="Tahoma" w:hAnsi="Tahoma" w:cs="Tahoma"/>
          <w:b/>
          <w:bCs/>
          <w:u w:val="single"/>
        </w:rPr>
        <w:t xml:space="preserve">the use of </w:t>
      </w:r>
      <w:r w:rsidR="00345A7C" w:rsidRPr="003075FC">
        <w:rPr>
          <w:rFonts w:ascii="Tahoma" w:eastAsia="Tahoma" w:hAnsi="Tahoma" w:cs="Tahoma"/>
          <w:b/>
          <w:bCs/>
          <w:u w:val="single"/>
        </w:rPr>
        <w:t>control</w:t>
      </w:r>
      <w:r w:rsidR="54A87F5B" w:rsidRPr="7F5A477D">
        <w:rPr>
          <w:rFonts w:ascii="Tahoma" w:eastAsia="Tahoma" w:hAnsi="Tahoma" w:cs="Tahoma"/>
          <w:b/>
          <w:bCs/>
          <w:u w:val="single"/>
        </w:rPr>
        <w:t xml:space="preserve"> technologie</w:t>
      </w:r>
      <w:r w:rsidR="00345A7C" w:rsidRPr="003075FC">
        <w:rPr>
          <w:rFonts w:ascii="Tahoma" w:eastAsia="Tahoma" w:hAnsi="Tahoma" w:cs="Tahoma"/>
          <w:b/>
          <w:bCs/>
          <w:u w:val="single"/>
        </w:rPr>
        <w:t>s</w:t>
      </w:r>
      <w:r w:rsidR="00352B4E" w:rsidRPr="003075FC">
        <w:rPr>
          <w:rFonts w:ascii="Tahoma" w:eastAsia="Tahoma" w:hAnsi="Tahoma" w:cs="Tahoma"/>
          <w:b/>
          <w:bCs/>
          <w:u w:val="single"/>
        </w:rPr>
        <w:t xml:space="preserve">. </w:t>
      </w:r>
    </w:p>
    <w:sectPr w:rsidR="008C1191" w:rsidRPr="00A12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DBBB" w14:textId="77777777" w:rsidR="007D2561" w:rsidRDefault="007D2561" w:rsidP="008201C5">
      <w:pPr>
        <w:spacing w:after="0" w:line="240" w:lineRule="auto"/>
      </w:pPr>
      <w:r>
        <w:separator/>
      </w:r>
    </w:p>
  </w:endnote>
  <w:endnote w:type="continuationSeparator" w:id="0">
    <w:p w14:paraId="367FB705" w14:textId="77777777" w:rsidR="007D2561" w:rsidRDefault="007D2561" w:rsidP="008201C5">
      <w:pPr>
        <w:spacing w:after="0" w:line="240" w:lineRule="auto"/>
      </w:pPr>
      <w:r>
        <w:continuationSeparator/>
      </w:r>
    </w:p>
  </w:endnote>
  <w:endnote w:type="continuationNotice" w:id="1">
    <w:p w14:paraId="129B5248" w14:textId="77777777" w:rsidR="007D2561" w:rsidRDefault="007D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58B" w14:textId="77777777" w:rsidR="00D238E9" w:rsidRDefault="00D23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42410"/>
      <w:docPartObj>
        <w:docPartGallery w:val="Page Numbers (Bottom of Page)"/>
        <w:docPartUnique/>
      </w:docPartObj>
    </w:sdtPr>
    <w:sdtEndPr>
      <w:rPr>
        <w:noProof/>
      </w:rPr>
    </w:sdtEndPr>
    <w:sdtContent>
      <w:p w14:paraId="27D6BB57" w14:textId="13981DD7" w:rsidR="009B6B74" w:rsidRDefault="009B6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93A96" w14:textId="77777777" w:rsidR="009B6B74" w:rsidRDefault="009B6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A8D" w14:textId="77777777" w:rsidR="00D238E9" w:rsidRDefault="00D2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C506" w14:textId="77777777" w:rsidR="007D2561" w:rsidRDefault="007D2561" w:rsidP="008201C5">
      <w:pPr>
        <w:spacing w:after="0" w:line="240" w:lineRule="auto"/>
      </w:pPr>
      <w:r>
        <w:separator/>
      </w:r>
    </w:p>
  </w:footnote>
  <w:footnote w:type="continuationSeparator" w:id="0">
    <w:p w14:paraId="7DA4460B" w14:textId="77777777" w:rsidR="007D2561" w:rsidRDefault="007D2561" w:rsidP="008201C5">
      <w:pPr>
        <w:spacing w:after="0" w:line="240" w:lineRule="auto"/>
      </w:pPr>
      <w:r>
        <w:continuationSeparator/>
      </w:r>
    </w:p>
  </w:footnote>
  <w:footnote w:type="continuationNotice" w:id="1">
    <w:p w14:paraId="41E4EF2C" w14:textId="77777777" w:rsidR="007D2561" w:rsidRDefault="007D2561">
      <w:pPr>
        <w:spacing w:after="0" w:line="240" w:lineRule="auto"/>
      </w:pPr>
    </w:p>
  </w:footnote>
  <w:footnote w:id="2">
    <w:p w14:paraId="05709E80" w14:textId="4196D43E" w:rsidR="003B6319" w:rsidRDefault="003B6319">
      <w:pPr>
        <w:pStyle w:val="FootnoteText"/>
      </w:pPr>
      <w:r>
        <w:rPr>
          <w:rStyle w:val="FootnoteReference"/>
        </w:rPr>
        <w:footnoteRef/>
      </w:r>
      <w:r>
        <w:t xml:space="preserve"> </w:t>
      </w:r>
      <w:hyperlink r:id="rId1" w:anchor=":~:text=2022%20Amendments,-New%20amendments%20to&amp;text=Lower%20global%20warming%20potential%20refrigerant,or%20no%20refrigerant%20at%20all." w:history="1">
        <w:r w:rsidR="00B7109B">
          <w:rPr>
            <w:rStyle w:val="Hyperlink"/>
          </w:rPr>
          <w:t>Transport Refrigeration Unit (TRU or Reefer) Regulation | California Air Resources Board</w:t>
        </w:r>
      </w:hyperlink>
    </w:p>
  </w:footnote>
  <w:footnote w:id="3">
    <w:p w14:paraId="73E968DC" w14:textId="77777777" w:rsidR="00A53BEA" w:rsidRDefault="001C07FF" w:rsidP="00A53BEA">
      <w:pPr>
        <w:rPr>
          <w:rFonts w:ascii="Aptos" w:eastAsia="Times New Roman" w:hAnsi="Aptos"/>
          <w:color w:val="000000"/>
          <w:sz w:val="24"/>
          <w:szCs w:val="24"/>
        </w:rPr>
      </w:pPr>
      <w:r>
        <w:rPr>
          <w:rStyle w:val="FootnoteReference"/>
        </w:rPr>
        <w:footnoteRef/>
      </w:r>
      <w:r>
        <w:t xml:space="preserve"> </w:t>
      </w:r>
      <w:r w:rsidR="002F44AF">
        <w:rPr>
          <w:rStyle w:val="normaltextrun"/>
          <w:rFonts w:ascii="Tahoma" w:hAnsi="Tahoma" w:cs="Tahoma"/>
          <w:color w:val="000000"/>
          <w:shd w:val="clear" w:color="auto" w:fill="FFFFFF"/>
        </w:rPr>
        <w:t xml:space="preserve">Amarnath, Ammi, Andrea </w:t>
      </w:r>
      <w:proofErr w:type="spellStart"/>
      <w:r w:rsidR="002F44AF">
        <w:rPr>
          <w:rStyle w:val="spellingerror"/>
          <w:rFonts w:ascii="Tahoma" w:hAnsi="Tahoma" w:cs="Tahoma"/>
          <w:color w:val="000000"/>
          <w:shd w:val="clear" w:color="auto" w:fill="FFFFFF"/>
        </w:rPr>
        <w:t>Mammoli</w:t>
      </w:r>
      <w:proofErr w:type="spellEnd"/>
      <w:r w:rsidR="002F44AF">
        <w:rPr>
          <w:rStyle w:val="normaltextrun"/>
          <w:rFonts w:ascii="Tahoma" w:hAnsi="Tahoma" w:cs="Tahoma"/>
          <w:color w:val="000000"/>
          <w:shd w:val="clear" w:color="auto" w:fill="FFFFFF"/>
        </w:rPr>
        <w:t xml:space="preserve">, Angela Chuang, David </w:t>
      </w:r>
      <w:proofErr w:type="spellStart"/>
      <w:r w:rsidR="002F44AF">
        <w:rPr>
          <w:rStyle w:val="spellingerror"/>
          <w:rFonts w:ascii="Tahoma" w:hAnsi="Tahoma" w:cs="Tahoma"/>
          <w:color w:val="000000"/>
          <w:shd w:val="clear" w:color="auto" w:fill="FFFFFF"/>
        </w:rPr>
        <w:t>Showunmi</w:t>
      </w:r>
      <w:proofErr w:type="spellEnd"/>
      <w:r w:rsidR="002F44AF">
        <w:rPr>
          <w:rStyle w:val="normaltextrun"/>
          <w:rFonts w:ascii="Tahoma" w:hAnsi="Tahoma" w:cs="Tahoma"/>
          <w:color w:val="000000"/>
          <w:shd w:val="clear" w:color="auto" w:fill="FFFFFF"/>
        </w:rPr>
        <w:t xml:space="preserve">, Don </w:t>
      </w:r>
      <w:proofErr w:type="spellStart"/>
      <w:r w:rsidR="002F44AF">
        <w:rPr>
          <w:rStyle w:val="normaltextrun"/>
          <w:rFonts w:ascii="Tahoma" w:hAnsi="Tahoma" w:cs="Tahoma"/>
          <w:color w:val="000000"/>
          <w:shd w:val="clear" w:color="auto" w:fill="FFFFFF"/>
        </w:rPr>
        <w:t>Shirey</w:t>
      </w:r>
      <w:proofErr w:type="spellEnd"/>
      <w:r w:rsidR="002F44AF">
        <w:rPr>
          <w:rStyle w:val="normaltextrun"/>
          <w:rFonts w:ascii="Tahoma" w:hAnsi="Tahoma" w:cs="Tahoma"/>
          <w:color w:val="000000"/>
          <w:shd w:val="clear" w:color="auto" w:fill="FFFFFF"/>
        </w:rPr>
        <w:t xml:space="preserve">, Colin Lee, </w:t>
      </w:r>
      <w:proofErr w:type="spellStart"/>
      <w:r w:rsidR="002F44AF">
        <w:rPr>
          <w:rStyle w:val="normaltextrun"/>
          <w:rFonts w:ascii="Tahoma" w:hAnsi="Tahoma" w:cs="Tahoma"/>
          <w:color w:val="000000"/>
          <w:shd w:val="clear" w:color="auto" w:fill="FFFFFF"/>
        </w:rPr>
        <w:t>Alekhya</w:t>
      </w:r>
      <w:proofErr w:type="spellEnd"/>
      <w:r w:rsidR="002F44AF">
        <w:rPr>
          <w:rStyle w:val="normaltextrun"/>
          <w:rFonts w:ascii="Tahoma" w:hAnsi="Tahoma" w:cs="Tahoma"/>
          <w:color w:val="000000"/>
          <w:shd w:val="clear" w:color="auto" w:fill="FFFFFF"/>
        </w:rPr>
        <w:t xml:space="preserve"> </w:t>
      </w:r>
      <w:proofErr w:type="spellStart"/>
      <w:r w:rsidR="002F44AF">
        <w:rPr>
          <w:rStyle w:val="spellingerror"/>
          <w:rFonts w:ascii="Tahoma" w:hAnsi="Tahoma" w:cs="Tahoma"/>
          <w:color w:val="000000"/>
          <w:shd w:val="clear" w:color="auto" w:fill="FFFFFF"/>
        </w:rPr>
        <w:t>Vaddiraj</w:t>
      </w:r>
      <w:proofErr w:type="spellEnd"/>
      <w:r w:rsidR="002F44AF">
        <w:rPr>
          <w:rStyle w:val="normaltextrun"/>
          <w:rFonts w:ascii="Tahoma" w:hAnsi="Tahoma" w:cs="Tahoma"/>
          <w:color w:val="000000"/>
          <w:shd w:val="clear" w:color="auto" w:fill="FFFFFF"/>
        </w:rPr>
        <w:t xml:space="preserve">, and Steve Hoffman. 2022. </w:t>
      </w:r>
      <w:r w:rsidR="002F44AF">
        <w:rPr>
          <w:rStyle w:val="normaltextrun"/>
          <w:rFonts w:ascii="Tahoma" w:hAnsi="Tahoma" w:cs="Tahoma"/>
          <w:i/>
          <w:iCs/>
          <w:color w:val="000000"/>
          <w:shd w:val="clear" w:color="auto" w:fill="FFFFFF"/>
        </w:rPr>
        <w:t>Develop and Field Test Flexible Demand Response Control Strategies for Water Pumping Station and Industrial Refrigeration Plant</w:t>
      </w:r>
      <w:r w:rsidR="002F44AF">
        <w:rPr>
          <w:rStyle w:val="normaltextrun"/>
          <w:rFonts w:ascii="Tahoma" w:hAnsi="Tahoma" w:cs="Tahoma"/>
          <w:color w:val="000000"/>
          <w:shd w:val="clear" w:color="auto" w:fill="FFFFFF"/>
        </w:rPr>
        <w:t xml:space="preserve">. California Energy Commission. Publication Number </w:t>
      </w:r>
      <w:r w:rsidR="004C2245" w:rsidRPr="0028064E">
        <w:rPr>
          <w:rStyle w:val="normaltextrun"/>
          <w:rFonts w:ascii="Tahoma" w:hAnsi="Tahoma" w:cs="Tahoma"/>
          <w:color w:val="000000"/>
          <w:shd w:val="clear" w:color="auto" w:fill="FFFFFF"/>
        </w:rPr>
        <w:t>CEC-500-2023-</w:t>
      </w:r>
      <w:r w:rsidR="004C2245" w:rsidRPr="00BD43CE">
        <w:rPr>
          <w:rStyle w:val="normaltextrun"/>
          <w:rFonts w:ascii="Tahoma" w:hAnsi="Tahoma" w:cs="Tahoma"/>
          <w:color w:val="000000"/>
          <w:shd w:val="clear" w:color="auto" w:fill="FFFFFF"/>
        </w:rPr>
        <w:t>060</w:t>
      </w:r>
      <w:r w:rsidR="004C2245">
        <w:rPr>
          <w:rStyle w:val="normaltextrun"/>
          <w:rFonts w:ascii="Tahoma" w:hAnsi="Tahoma" w:cs="Tahoma"/>
          <w:color w:val="000000"/>
          <w:shd w:val="clear" w:color="auto" w:fill="FFFFFF"/>
        </w:rPr>
        <w:t>.</w:t>
      </w:r>
      <w:r w:rsidR="00A53BEA" w:rsidRPr="00A53BEA">
        <w:rPr>
          <w:rStyle w:val="normaltextrun"/>
          <w:rFonts w:ascii="Tahoma" w:hAnsi="Tahoma" w:cs="Tahoma"/>
          <w:color w:val="000000"/>
          <w:shd w:val="clear" w:color="auto" w:fill="FFFFFF"/>
        </w:rPr>
        <w:t xml:space="preserve"> </w:t>
      </w:r>
      <w:hyperlink r:id="rId2" w:history="1">
        <w:r w:rsidR="00A53BEA" w:rsidRPr="00C4771F">
          <w:rPr>
            <w:rStyle w:val="Hyperlink"/>
            <w:rFonts w:ascii="Tahoma" w:eastAsia="Times New Roman" w:hAnsi="Tahoma" w:cs="Tahoma"/>
          </w:rPr>
          <w:t>https://www.energy.ca.gov/publications/2023/develop-and-field-test-flexible-demand-response-control-strategies-water-pumping</w:t>
        </w:r>
      </w:hyperlink>
    </w:p>
    <w:p w14:paraId="018F29FC" w14:textId="5C68A393" w:rsidR="001C07FF" w:rsidRPr="00C4771F" w:rsidRDefault="001C07FF">
      <w:pPr>
        <w:pStyle w:val="FootnoteText"/>
        <w:rPr>
          <w:rStyle w:val="normaltextrun"/>
          <w:rFonts w:ascii="Tahoma" w:hAnsi="Tahoma" w:cs="Tahoma"/>
          <w:color w:val="000000"/>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727B" w14:textId="77777777" w:rsidR="00D238E9" w:rsidRDefault="00D23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678" w14:textId="77777777" w:rsidR="00D238E9" w:rsidRDefault="00D23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20F" w14:textId="77777777" w:rsidR="00D238E9" w:rsidRDefault="00D23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B538"/>
    <w:multiLevelType w:val="hybridMultilevel"/>
    <w:tmpl w:val="8408B394"/>
    <w:lvl w:ilvl="0" w:tplc="E9ECABF2">
      <w:start w:val="1"/>
      <w:numFmt w:val="decimal"/>
      <w:lvlText w:val="%1."/>
      <w:lvlJc w:val="left"/>
      <w:pPr>
        <w:ind w:left="720" w:hanging="360"/>
      </w:pPr>
    </w:lvl>
    <w:lvl w:ilvl="1" w:tplc="FBB4EABA">
      <w:start w:val="1"/>
      <w:numFmt w:val="lowerLetter"/>
      <w:lvlText w:val="%2."/>
      <w:lvlJc w:val="left"/>
      <w:pPr>
        <w:ind w:left="1440" w:hanging="360"/>
      </w:pPr>
    </w:lvl>
    <w:lvl w:ilvl="2" w:tplc="85C8C468">
      <w:start w:val="1"/>
      <w:numFmt w:val="lowerRoman"/>
      <w:lvlText w:val="%3."/>
      <w:lvlJc w:val="right"/>
      <w:pPr>
        <w:ind w:left="2160" w:hanging="180"/>
      </w:pPr>
    </w:lvl>
    <w:lvl w:ilvl="3" w:tplc="6A942A48">
      <w:start w:val="1"/>
      <w:numFmt w:val="decimal"/>
      <w:lvlText w:val="%4."/>
      <w:lvlJc w:val="left"/>
      <w:pPr>
        <w:ind w:left="2880" w:hanging="360"/>
      </w:pPr>
    </w:lvl>
    <w:lvl w:ilvl="4" w:tplc="7E261F06">
      <w:start w:val="1"/>
      <w:numFmt w:val="lowerLetter"/>
      <w:lvlText w:val="%5."/>
      <w:lvlJc w:val="left"/>
      <w:pPr>
        <w:ind w:left="3600" w:hanging="360"/>
      </w:pPr>
    </w:lvl>
    <w:lvl w:ilvl="5" w:tplc="A92A2104">
      <w:start w:val="1"/>
      <w:numFmt w:val="lowerRoman"/>
      <w:lvlText w:val="%6."/>
      <w:lvlJc w:val="right"/>
      <w:pPr>
        <w:ind w:left="4320" w:hanging="180"/>
      </w:pPr>
    </w:lvl>
    <w:lvl w:ilvl="6" w:tplc="00C4DB88">
      <w:start w:val="1"/>
      <w:numFmt w:val="decimal"/>
      <w:lvlText w:val="%7."/>
      <w:lvlJc w:val="left"/>
      <w:pPr>
        <w:ind w:left="5040" w:hanging="360"/>
      </w:pPr>
    </w:lvl>
    <w:lvl w:ilvl="7" w:tplc="7976156A">
      <w:start w:val="1"/>
      <w:numFmt w:val="lowerLetter"/>
      <w:lvlText w:val="%8."/>
      <w:lvlJc w:val="left"/>
      <w:pPr>
        <w:ind w:left="5760" w:hanging="360"/>
      </w:pPr>
    </w:lvl>
    <w:lvl w:ilvl="8" w:tplc="D3923F0E">
      <w:start w:val="1"/>
      <w:numFmt w:val="lowerRoman"/>
      <w:lvlText w:val="%9."/>
      <w:lvlJc w:val="right"/>
      <w:pPr>
        <w:ind w:left="6480" w:hanging="180"/>
      </w:pPr>
    </w:lvl>
  </w:abstractNum>
  <w:abstractNum w:abstractNumId="1" w15:restartNumberingAfterBreak="0">
    <w:nsid w:val="36BC0141"/>
    <w:multiLevelType w:val="hybridMultilevel"/>
    <w:tmpl w:val="38EE6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DE4AE"/>
    <w:multiLevelType w:val="hybridMultilevel"/>
    <w:tmpl w:val="68924000"/>
    <w:lvl w:ilvl="0" w:tplc="AA8A1CA0">
      <w:start w:val="1"/>
      <w:numFmt w:val="decimal"/>
      <w:lvlText w:val="%1."/>
      <w:lvlJc w:val="left"/>
      <w:pPr>
        <w:ind w:left="720" w:hanging="360"/>
      </w:pPr>
    </w:lvl>
    <w:lvl w:ilvl="1" w:tplc="9176FFD6">
      <w:start w:val="1"/>
      <w:numFmt w:val="lowerLetter"/>
      <w:lvlText w:val="%2."/>
      <w:lvlJc w:val="left"/>
      <w:pPr>
        <w:ind w:left="1440" w:hanging="360"/>
      </w:pPr>
    </w:lvl>
    <w:lvl w:ilvl="2" w:tplc="64602332">
      <w:start w:val="1"/>
      <w:numFmt w:val="lowerRoman"/>
      <w:lvlText w:val="%3."/>
      <w:lvlJc w:val="right"/>
      <w:pPr>
        <w:ind w:left="2160" w:hanging="180"/>
      </w:pPr>
    </w:lvl>
    <w:lvl w:ilvl="3" w:tplc="B308EA0C">
      <w:start w:val="1"/>
      <w:numFmt w:val="decimal"/>
      <w:lvlText w:val="%4."/>
      <w:lvlJc w:val="left"/>
      <w:pPr>
        <w:ind w:left="2880" w:hanging="360"/>
      </w:pPr>
    </w:lvl>
    <w:lvl w:ilvl="4" w:tplc="777E9FC4">
      <w:start w:val="1"/>
      <w:numFmt w:val="lowerLetter"/>
      <w:lvlText w:val="%5."/>
      <w:lvlJc w:val="left"/>
      <w:pPr>
        <w:ind w:left="3600" w:hanging="360"/>
      </w:pPr>
    </w:lvl>
    <w:lvl w:ilvl="5" w:tplc="8E3E48C4">
      <w:start w:val="1"/>
      <w:numFmt w:val="lowerRoman"/>
      <w:lvlText w:val="%6."/>
      <w:lvlJc w:val="right"/>
      <w:pPr>
        <w:ind w:left="4320" w:hanging="180"/>
      </w:pPr>
    </w:lvl>
    <w:lvl w:ilvl="6" w:tplc="D74028E2">
      <w:start w:val="1"/>
      <w:numFmt w:val="decimal"/>
      <w:lvlText w:val="%7."/>
      <w:lvlJc w:val="left"/>
      <w:pPr>
        <w:ind w:left="5040" w:hanging="360"/>
      </w:pPr>
    </w:lvl>
    <w:lvl w:ilvl="7" w:tplc="E95AB080">
      <w:start w:val="1"/>
      <w:numFmt w:val="lowerLetter"/>
      <w:lvlText w:val="%8."/>
      <w:lvlJc w:val="left"/>
      <w:pPr>
        <w:ind w:left="5760" w:hanging="360"/>
      </w:pPr>
    </w:lvl>
    <w:lvl w:ilvl="8" w:tplc="9AB0E4EE">
      <w:start w:val="1"/>
      <w:numFmt w:val="lowerRoman"/>
      <w:lvlText w:val="%9."/>
      <w:lvlJc w:val="right"/>
      <w:pPr>
        <w:ind w:left="6480" w:hanging="180"/>
      </w:pPr>
    </w:lvl>
  </w:abstractNum>
  <w:num w:numId="1" w16cid:durableId="1871332070">
    <w:abstractNumId w:val="0"/>
  </w:num>
  <w:num w:numId="2" w16cid:durableId="1249077151">
    <w:abstractNumId w:val="2"/>
  </w:num>
  <w:num w:numId="3" w16cid:durableId="54737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SEDEwtzcyBlbqikoxScWlycmZ8HUmBSCwDrpJPJLAAAAA=="/>
  </w:docVars>
  <w:rsids>
    <w:rsidRoot w:val="00B075B9"/>
    <w:rsid w:val="00012FAC"/>
    <w:rsid w:val="000174F3"/>
    <w:rsid w:val="000314EA"/>
    <w:rsid w:val="00036706"/>
    <w:rsid w:val="0004493F"/>
    <w:rsid w:val="00056D68"/>
    <w:rsid w:val="000604CE"/>
    <w:rsid w:val="00064D9A"/>
    <w:rsid w:val="00065A85"/>
    <w:rsid w:val="000740E1"/>
    <w:rsid w:val="0008652C"/>
    <w:rsid w:val="00097281"/>
    <w:rsid w:val="000B39C4"/>
    <w:rsid w:val="000C7F5F"/>
    <w:rsid w:val="000D1BC4"/>
    <w:rsid w:val="000D583C"/>
    <w:rsid w:val="00100E6C"/>
    <w:rsid w:val="00113097"/>
    <w:rsid w:val="00115693"/>
    <w:rsid w:val="00124F04"/>
    <w:rsid w:val="00125AC4"/>
    <w:rsid w:val="00134A67"/>
    <w:rsid w:val="00136B93"/>
    <w:rsid w:val="00145930"/>
    <w:rsid w:val="00153E49"/>
    <w:rsid w:val="00156A33"/>
    <w:rsid w:val="001632C5"/>
    <w:rsid w:val="0016480F"/>
    <w:rsid w:val="00176894"/>
    <w:rsid w:val="001A1012"/>
    <w:rsid w:val="001C07FF"/>
    <w:rsid w:val="001E044C"/>
    <w:rsid w:val="001E5B18"/>
    <w:rsid w:val="001F51CA"/>
    <w:rsid w:val="0020498B"/>
    <w:rsid w:val="00204B6B"/>
    <w:rsid w:val="00217E1A"/>
    <w:rsid w:val="0022131D"/>
    <w:rsid w:val="002223F7"/>
    <w:rsid w:val="0022634F"/>
    <w:rsid w:val="00240992"/>
    <w:rsid w:val="0025050E"/>
    <w:rsid w:val="00251DEF"/>
    <w:rsid w:val="0028064E"/>
    <w:rsid w:val="002961E2"/>
    <w:rsid w:val="002A10CF"/>
    <w:rsid w:val="002A23ED"/>
    <w:rsid w:val="002D2528"/>
    <w:rsid w:val="002E65CC"/>
    <w:rsid w:val="002F44AF"/>
    <w:rsid w:val="002F6D6F"/>
    <w:rsid w:val="00302665"/>
    <w:rsid w:val="00305BE3"/>
    <w:rsid w:val="003075FC"/>
    <w:rsid w:val="003124B4"/>
    <w:rsid w:val="0031583C"/>
    <w:rsid w:val="00322648"/>
    <w:rsid w:val="00324BC6"/>
    <w:rsid w:val="0033330F"/>
    <w:rsid w:val="00345A7C"/>
    <w:rsid w:val="00345F24"/>
    <w:rsid w:val="00352B4E"/>
    <w:rsid w:val="00356751"/>
    <w:rsid w:val="00363E78"/>
    <w:rsid w:val="00364CCF"/>
    <w:rsid w:val="0036716D"/>
    <w:rsid w:val="00377D35"/>
    <w:rsid w:val="00391313"/>
    <w:rsid w:val="00391661"/>
    <w:rsid w:val="003A4C67"/>
    <w:rsid w:val="003B6319"/>
    <w:rsid w:val="003E2D04"/>
    <w:rsid w:val="003F17FF"/>
    <w:rsid w:val="00411497"/>
    <w:rsid w:val="00414BCF"/>
    <w:rsid w:val="00421D57"/>
    <w:rsid w:val="00425F9A"/>
    <w:rsid w:val="00433842"/>
    <w:rsid w:val="0044602B"/>
    <w:rsid w:val="004564EF"/>
    <w:rsid w:val="00473884"/>
    <w:rsid w:val="004930E5"/>
    <w:rsid w:val="0049583D"/>
    <w:rsid w:val="004A2C24"/>
    <w:rsid w:val="004A3471"/>
    <w:rsid w:val="004C2245"/>
    <w:rsid w:val="004D2A54"/>
    <w:rsid w:val="004D624D"/>
    <w:rsid w:val="004F2DB1"/>
    <w:rsid w:val="005018AF"/>
    <w:rsid w:val="00513433"/>
    <w:rsid w:val="0052581D"/>
    <w:rsid w:val="00532676"/>
    <w:rsid w:val="00534B9D"/>
    <w:rsid w:val="005352A4"/>
    <w:rsid w:val="00555556"/>
    <w:rsid w:val="00562ADB"/>
    <w:rsid w:val="00576D6F"/>
    <w:rsid w:val="00585772"/>
    <w:rsid w:val="005B1D29"/>
    <w:rsid w:val="005C0754"/>
    <w:rsid w:val="005C2516"/>
    <w:rsid w:val="005C44A3"/>
    <w:rsid w:val="005D7DC8"/>
    <w:rsid w:val="005F28C3"/>
    <w:rsid w:val="005F2BE5"/>
    <w:rsid w:val="00604548"/>
    <w:rsid w:val="00611664"/>
    <w:rsid w:val="00613B13"/>
    <w:rsid w:val="00615F43"/>
    <w:rsid w:val="00630C7D"/>
    <w:rsid w:val="006312CF"/>
    <w:rsid w:val="00636523"/>
    <w:rsid w:val="006373E2"/>
    <w:rsid w:val="0066001A"/>
    <w:rsid w:val="006605A1"/>
    <w:rsid w:val="0066105A"/>
    <w:rsid w:val="0066325A"/>
    <w:rsid w:val="00697422"/>
    <w:rsid w:val="006A009C"/>
    <w:rsid w:val="006B0E36"/>
    <w:rsid w:val="006B2916"/>
    <w:rsid w:val="006B3EB4"/>
    <w:rsid w:val="006D2263"/>
    <w:rsid w:val="006D48F4"/>
    <w:rsid w:val="006E0F7C"/>
    <w:rsid w:val="006E797C"/>
    <w:rsid w:val="006F20BA"/>
    <w:rsid w:val="007042B2"/>
    <w:rsid w:val="007171DF"/>
    <w:rsid w:val="007178AB"/>
    <w:rsid w:val="00724831"/>
    <w:rsid w:val="00731393"/>
    <w:rsid w:val="0075155F"/>
    <w:rsid w:val="00753464"/>
    <w:rsid w:val="00757AFF"/>
    <w:rsid w:val="007768A7"/>
    <w:rsid w:val="007A3FBB"/>
    <w:rsid w:val="007A7039"/>
    <w:rsid w:val="007C0A4A"/>
    <w:rsid w:val="007D0A89"/>
    <w:rsid w:val="007D2561"/>
    <w:rsid w:val="007D6BAB"/>
    <w:rsid w:val="007E1F23"/>
    <w:rsid w:val="007F7D8D"/>
    <w:rsid w:val="0080660E"/>
    <w:rsid w:val="008201C5"/>
    <w:rsid w:val="0082067E"/>
    <w:rsid w:val="00826945"/>
    <w:rsid w:val="00836F70"/>
    <w:rsid w:val="00837032"/>
    <w:rsid w:val="0084002B"/>
    <w:rsid w:val="00867AFA"/>
    <w:rsid w:val="008A63FC"/>
    <w:rsid w:val="008A6917"/>
    <w:rsid w:val="008C1191"/>
    <w:rsid w:val="008C5CDB"/>
    <w:rsid w:val="008D5693"/>
    <w:rsid w:val="008E0142"/>
    <w:rsid w:val="008E0F59"/>
    <w:rsid w:val="008E1697"/>
    <w:rsid w:val="008E4830"/>
    <w:rsid w:val="008F2CEF"/>
    <w:rsid w:val="00903B92"/>
    <w:rsid w:val="009065FE"/>
    <w:rsid w:val="0091354D"/>
    <w:rsid w:val="0092674F"/>
    <w:rsid w:val="00932A6C"/>
    <w:rsid w:val="0094507F"/>
    <w:rsid w:val="009508CC"/>
    <w:rsid w:val="00963EEB"/>
    <w:rsid w:val="0096653C"/>
    <w:rsid w:val="009670BC"/>
    <w:rsid w:val="00982A18"/>
    <w:rsid w:val="009834B8"/>
    <w:rsid w:val="0099526B"/>
    <w:rsid w:val="009A14E0"/>
    <w:rsid w:val="009A2D5B"/>
    <w:rsid w:val="009A5606"/>
    <w:rsid w:val="009A60CD"/>
    <w:rsid w:val="009B6AC2"/>
    <w:rsid w:val="009B6B74"/>
    <w:rsid w:val="009C0039"/>
    <w:rsid w:val="009C1915"/>
    <w:rsid w:val="009D7408"/>
    <w:rsid w:val="009E0044"/>
    <w:rsid w:val="00A02E88"/>
    <w:rsid w:val="00A12974"/>
    <w:rsid w:val="00A265FA"/>
    <w:rsid w:val="00A26F7B"/>
    <w:rsid w:val="00A27281"/>
    <w:rsid w:val="00A30B9F"/>
    <w:rsid w:val="00A30E6A"/>
    <w:rsid w:val="00A427EE"/>
    <w:rsid w:val="00A52340"/>
    <w:rsid w:val="00A53A39"/>
    <w:rsid w:val="00A53BEA"/>
    <w:rsid w:val="00A54B1E"/>
    <w:rsid w:val="00A759FF"/>
    <w:rsid w:val="00A76C21"/>
    <w:rsid w:val="00A82552"/>
    <w:rsid w:val="00A95CAA"/>
    <w:rsid w:val="00AA5A64"/>
    <w:rsid w:val="00AB7341"/>
    <w:rsid w:val="00AD1273"/>
    <w:rsid w:val="00AD21DC"/>
    <w:rsid w:val="00AF220A"/>
    <w:rsid w:val="00AF3C7B"/>
    <w:rsid w:val="00AF5032"/>
    <w:rsid w:val="00B02FE6"/>
    <w:rsid w:val="00B075B9"/>
    <w:rsid w:val="00B12183"/>
    <w:rsid w:val="00B43BFB"/>
    <w:rsid w:val="00B7109B"/>
    <w:rsid w:val="00B7681F"/>
    <w:rsid w:val="00B80503"/>
    <w:rsid w:val="00B80E98"/>
    <w:rsid w:val="00B8717D"/>
    <w:rsid w:val="00B916F6"/>
    <w:rsid w:val="00B9221A"/>
    <w:rsid w:val="00B92891"/>
    <w:rsid w:val="00B93C84"/>
    <w:rsid w:val="00BA13BA"/>
    <w:rsid w:val="00BD0D45"/>
    <w:rsid w:val="00BD43CE"/>
    <w:rsid w:val="00C12210"/>
    <w:rsid w:val="00C20913"/>
    <w:rsid w:val="00C2179C"/>
    <w:rsid w:val="00C46DC8"/>
    <w:rsid w:val="00C4771F"/>
    <w:rsid w:val="00C57107"/>
    <w:rsid w:val="00C64F0C"/>
    <w:rsid w:val="00C65D49"/>
    <w:rsid w:val="00C81CD0"/>
    <w:rsid w:val="00C91379"/>
    <w:rsid w:val="00C93060"/>
    <w:rsid w:val="00CB1332"/>
    <w:rsid w:val="00CB17F5"/>
    <w:rsid w:val="00CC6439"/>
    <w:rsid w:val="00CD06F5"/>
    <w:rsid w:val="00CD6156"/>
    <w:rsid w:val="00CE60EA"/>
    <w:rsid w:val="00CF0681"/>
    <w:rsid w:val="00CF27D5"/>
    <w:rsid w:val="00CF28B1"/>
    <w:rsid w:val="00D11FE3"/>
    <w:rsid w:val="00D16F4D"/>
    <w:rsid w:val="00D2178D"/>
    <w:rsid w:val="00D238E9"/>
    <w:rsid w:val="00D318DA"/>
    <w:rsid w:val="00D47F2B"/>
    <w:rsid w:val="00D50AFC"/>
    <w:rsid w:val="00D63B1A"/>
    <w:rsid w:val="00D67B4A"/>
    <w:rsid w:val="00D81221"/>
    <w:rsid w:val="00D81D25"/>
    <w:rsid w:val="00D834E8"/>
    <w:rsid w:val="00D92611"/>
    <w:rsid w:val="00D95564"/>
    <w:rsid w:val="00DB3DE8"/>
    <w:rsid w:val="00DC3326"/>
    <w:rsid w:val="00DC53BE"/>
    <w:rsid w:val="00DC7503"/>
    <w:rsid w:val="00DD01E3"/>
    <w:rsid w:val="00DE76ED"/>
    <w:rsid w:val="00E12477"/>
    <w:rsid w:val="00E12BDC"/>
    <w:rsid w:val="00E17B80"/>
    <w:rsid w:val="00E415EE"/>
    <w:rsid w:val="00E43A40"/>
    <w:rsid w:val="00E51DB1"/>
    <w:rsid w:val="00E53B8A"/>
    <w:rsid w:val="00E76A3B"/>
    <w:rsid w:val="00E83DC1"/>
    <w:rsid w:val="00E95273"/>
    <w:rsid w:val="00EA10E0"/>
    <w:rsid w:val="00EA1E53"/>
    <w:rsid w:val="00EB0856"/>
    <w:rsid w:val="00EB1B47"/>
    <w:rsid w:val="00EC5F86"/>
    <w:rsid w:val="00ED501A"/>
    <w:rsid w:val="00ED5D74"/>
    <w:rsid w:val="00F05831"/>
    <w:rsid w:val="00F27CA6"/>
    <w:rsid w:val="00F32B6C"/>
    <w:rsid w:val="00F37607"/>
    <w:rsid w:val="00F55725"/>
    <w:rsid w:val="00F5588C"/>
    <w:rsid w:val="00F56408"/>
    <w:rsid w:val="00F63E38"/>
    <w:rsid w:val="00F8190A"/>
    <w:rsid w:val="00FA5FCA"/>
    <w:rsid w:val="00FB5F4C"/>
    <w:rsid w:val="00FD3417"/>
    <w:rsid w:val="00FD70D5"/>
    <w:rsid w:val="00FF071E"/>
    <w:rsid w:val="00FF407E"/>
    <w:rsid w:val="00FF5038"/>
    <w:rsid w:val="00FF6673"/>
    <w:rsid w:val="00FF7040"/>
    <w:rsid w:val="00FF77F3"/>
    <w:rsid w:val="02026BB7"/>
    <w:rsid w:val="02489BFE"/>
    <w:rsid w:val="093BAD59"/>
    <w:rsid w:val="0E735EA9"/>
    <w:rsid w:val="12DAC230"/>
    <w:rsid w:val="132C2F5E"/>
    <w:rsid w:val="134313D2"/>
    <w:rsid w:val="144B2A7D"/>
    <w:rsid w:val="15C27CBC"/>
    <w:rsid w:val="17C69B3A"/>
    <w:rsid w:val="19B1412F"/>
    <w:rsid w:val="1B98442A"/>
    <w:rsid w:val="1D0CA54D"/>
    <w:rsid w:val="1EC97481"/>
    <w:rsid w:val="2059A664"/>
    <w:rsid w:val="2113ADD4"/>
    <w:rsid w:val="23270D6A"/>
    <w:rsid w:val="24736E57"/>
    <w:rsid w:val="2734B196"/>
    <w:rsid w:val="29ACA259"/>
    <w:rsid w:val="29AECAC7"/>
    <w:rsid w:val="2B4512D3"/>
    <w:rsid w:val="2CDAF96C"/>
    <w:rsid w:val="32319B09"/>
    <w:rsid w:val="33418FD0"/>
    <w:rsid w:val="34892E21"/>
    <w:rsid w:val="3645D796"/>
    <w:rsid w:val="377C373D"/>
    <w:rsid w:val="3C45D191"/>
    <w:rsid w:val="3E42354C"/>
    <w:rsid w:val="3EFD7B6C"/>
    <w:rsid w:val="3F9E2594"/>
    <w:rsid w:val="4BDE4341"/>
    <w:rsid w:val="5344D710"/>
    <w:rsid w:val="54A87F5B"/>
    <w:rsid w:val="55B0E95F"/>
    <w:rsid w:val="618FEC13"/>
    <w:rsid w:val="67EAFBF2"/>
    <w:rsid w:val="68160DE9"/>
    <w:rsid w:val="69A67BD8"/>
    <w:rsid w:val="6DCB5865"/>
    <w:rsid w:val="6F6728C6"/>
    <w:rsid w:val="750763C0"/>
    <w:rsid w:val="76236A51"/>
    <w:rsid w:val="77E1BE0E"/>
    <w:rsid w:val="787CD4CE"/>
    <w:rsid w:val="7A3C7820"/>
    <w:rsid w:val="7A7F0EE0"/>
    <w:rsid w:val="7C3027FF"/>
    <w:rsid w:val="7E7189BB"/>
    <w:rsid w:val="7F5A4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A452"/>
  <w15:chartTrackingRefBased/>
  <w15:docId w15:val="{C32472A3-523A-4B14-9797-9CADCEB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75B9"/>
  </w:style>
  <w:style w:type="character" w:customStyle="1" w:styleId="eop">
    <w:name w:val="eop"/>
    <w:basedOn w:val="DefaultParagraphFont"/>
    <w:rsid w:val="00B075B9"/>
  </w:style>
  <w:style w:type="paragraph" w:styleId="ListParagraph">
    <w:name w:val="List Paragraph"/>
    <w:basedOn w:val="Normal"/>
    <w:uiPriority w:val="34"/>
    <w:qFormat/>
    <w:rsid w:val="00B075B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25A"/>
    <w:rPr>
      <w:b/>
      <w:bCs/>
    </w:rPr>
  </w:style>
  <w:style w:type="character" w:customStyle="1" w:styleId="CommentSubjectChar">
    <w:name w:val="Comment Subject Char"/>
    <w:basedOn w:val="CommentTextChar"/>
    <w:link w:val="CommentSubject"/>
    <w:uiPriority w:val="99"/>
    <w:semiHidden/>
    <w:rsid w:val="0066325A"/>
    <w:rPr>
      <w:b/>
      <w:bCs/>
      <w:sz w:val="20"/>
      <w:szCs w:val="20"/>
    </w:rPr>
  </w:style>
  <w:style w:type="paragraph" w:styleId="Revision">
    <w:name w:val="Revision"/>
    <w:hidden/>
    <w:uiPriority w:val="99"/>
    <w:semiHidden/>
    <w:rsid w:val="00D2178D"/>
    <w:pPr>
      <w:spacing w:after="0" w:line="240" w:lineRule="auto"/>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8201C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8201C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8201C5"/>
    <w:rPr>
      <w:rFonts w:cs="Times New Roman"/>
      <w:vertAlign w:val="superscript"/>
    </w:rPr>
  </w:style>
  <w:style w:type="paragraph" w:styleId="Header">
    <w:name w:val="header"/>
    <w:basedOn w:val="Normal"/>
    <w:link w:val="HeaderChar"/>
    <w:uiPriority w:val="99"/>
    <w:unhideWhenUsed/>
    <w:rsid w:val="0056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ADB"/>
  </w:style>
  <w:style w:type="paragraph" w:styleId="Footer">
    <w:name w:val="footer"/>
    <w:basedOn w:val="Normal"/>
    <w:link w:val="FooterChar"/>
    <w:uiPriority w:val="99"/>
    <w:unhideWhenUsed/>
    <w:rsid w:val="0056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ADB"/>
  </w:style>
  <w:style w:type="character" w:customStyle="1" w:styleId="spellingerror">
    <w:name w:val="spellingerror"/>
    <w:basedOn w:val="DefaultParagraphFont"/>
    <w:rsid w:val="002F44AF"/>
  </w:style>
  <w:style w:type="paragraph" w:styleId="NormalWeb">
    <w:name w:val="Normal (Web)"/>
    <w:basedOn w:val="Normal"/>
    <w:uiPriority w:val="99"/>
    <w:semiHidden/>
    <w:unhideWhenUsed/>
    <w:rsid w:val="00C2179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039"/>
    <w:rPr>
      <w:color w:val="0563C1" w:themeColor="hyperlink"/>
      <w:u w:val="single"/>
    </w:rPr>
  </w:style>
  <w:style w:type="character" w:styleId="UnresolvedMention">
    <w:name w:val="Unresolved Mention"/>
    <w:basedOn w:val="DefaultParagraphFont"/>
    <w:uiPriority w:val="99"/>
    <w:semiHidden/>
    <w:unhideWhenUsed/>
    <w:rsid w:val="009C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5762">
      <w:bodyDiv w:val="1"/>
      <w:marLeft w:val="0"/>
      <w:marRight w:val="0"/>
      <w:marTop w:val="0"/>
      <w:marBottom w:val="0"/>
      <w:divBdr>
        <w:top w:val="none" w:sz="0" w:space="0" w:color="auto"/>
        <w:left w:val="none" w:sz="0" w:space="0" w:color="auto"/>
        <w:bottom w:val="none" w:sz="0" w:space="0" w:color="auto"/>
        <w:right w:val="none" w:sz="0" w:space="0" w:color="auto"/>
      </w:divBdr>
    </w:div>
    <w:div w:id="376128715">
      <w:bodyDiv w:val="1"/>
      <w:marLeft w:val="0"/>
      <w:marRight w:val="0"/>
      <w:marTop w:val="0"/>
      <w:marBottom w:val="0"/>
      <w:divBdr>
        <w:top w:val="none" w:sz="0" w:space="0" w:color="auto"/>
        <w:left w:val="none" w:sz="0" w:space="0" w:color="auto"/>
        <w:bottom w:val="none" w:sz="0" w:space="0" w:color="auto"/>
        <w:right w:val="none" w:sz="0" w:space="0" w:color="auto"/>
      </w:divBdr>
    </w:div>
    <w:div w:id="1018582603">
      <w:bodyDiv w:val="1"/>
      <w:marLeft w:val="0"/>
      <w:marRight w:val="0"/>
      <w:marTop w:val="0"/>
      <w:marBottom w:val="0"/>
      <w:divBdr>
        <w:top w:val="none" w:sz="0" w:space="0" w:color="auto"/>
        <w:left w:val="none" w:sz="0" w:space="0" w:color="auto"/>
        <w:bottom w:val="none" w:sz="0" w:space="0" w:color="auto"/>
        <w:right w:val="none" w:sz="0" w:space="0" w:color="auto"/>
      </w:divBdr>
      <w:divsChild>
        <w:div w:id="128861528">
          <w:marLeft w:val="0"/>
          <w:marRight w:val="0"/>
          <w:marTop w:val="0"/>
          <w:marBottom w:val="0"/>
          <w:divBdr>
            <w:top w:val="none" w:sz="0" w:space="0" w:color="auto"/>
            <w:left w:val="none" w:sz="0" w:space="0" w:color="auto"/>
            <w:bottom w:val="none" w:sz="0" w:space="0" w:color="auto"/>
            <w:right w:val="none" w:sz="0" w:space="0" w:color="auto"/>
          </w:divBdr>
        </w:div>
        <w:div w:id="586613655">
          <w:marLeft w:val="0"/>
          <w:marRight w:val="0"/>
          <w:marTop w:val="0"/>
          <w:marBottom w:val="0"/>
          <w:divBdr>
            <w:top w:val="none" w:sz="0" w:space="0" w:color="auto"/>
            <w:left w:val="none" w:sz="0" w:space="0" w:color="auto"/>
            <w:bottom w:val="none" w:sz="0" w:space="0" w:color="auto"/>
            <w:right w:val="none" w:sz="0" w:space="0" w:color="auto"/>
          </w:divBdr>
        </w:div>
        <w:div w:id="1304504095">
          <w:marLeft w:val="0"/>
          <w:marRight w:val="0"/>
          <w:marTop w:val="0"/>
          <w:marBottom w:val="0"/>
          <w:divBdr>
            <w:top w:val="none" w:sz="0" w:space="0" w:color="auto"/>
            <w:left w:val="none" w:sz="0" w:space="0" w:color="auto"/>
            <w:bottom w:val="none" w:sz="0" w:space="0" w:color="auto"/>
            <w:right w:val="none" w:sz="0" w:space="0" w:color="auto"/>
          </w:divBdr>
        </w:div>
        <w:div w:id="1661302997">
          <w:marLeft w:val="0"/>
          <w:marRight w:val="0"/>
          <w:marTop w:val="0"/>
          <w:marBottom w:val="0"/>
          <w:divBdr>
            <w:top w:val="none" w:sz="0" w:space="0" w:color="auto"/>
            <w:left w:val="none" w:sz="0" w:space="0" w:color="auto"/>
            <w:bottom w:val="none" w:sz="0" w:space="0" w:color="auto"/>
            <w:right w:val="none" w:sz="0" w:space="0" w:color="auto"/>
          </w:divBdr>
        </w:div>
        <w:div w:id="1711762340">
          <w:marLeft w:val="0"/>
          <w:marRight w:val="0"/>
          <w:marTop w:val="0"/>
          <w:marBottom w:val="0"/>
          <w:divBdr>
            <w:top w:val="none" w:sz="0" w:space="0" w:color="auto"/>
            <w:left w:val="none" w:sz="0" w:space="0" w:color="auto"/>
            <w:bottom w:val="none" w:sz="0" w:space="0" w:color="auto"/>
            <w:right w:val="none" w:sz="0" w:space="0" w:color="auto"/>
          </w:divBdr>
        </w:div>
        <w:div w:id="1847354674">
          <w:marLeft w:val="0"/>
          <w:marRight w:val="0"/>
          <w:marTop w:val="0"/>
          <w:marBottom w:val="0"/>
          <w:divBdr>
            <w:top w:val="none" w:sz="0" w:space="0" w:color="auto"/>
            <w:left w:val="none" w:sz="0" w:space="0" w:color="auto"/>
            <w:bottom w:val="none" w:sz="0" w:space="0" w:color="auto"/>
            <w:right w:val="none" w:sz="0" w:space="0" w:color="auto"/>
          </w:divBdr>
        </w:div>
      </w:divsChild>
    </w:div>
    <w:div w:id="1278677740">
      <w:bodyDiv w:val="1"/>
      <w:marLeft w:val="0"/>
      <w:marRight w:val="0"/>
      <w:marTop w:val="0"/>
      <w:marBottom w:val="0"/>
      <w:divBdr>
        <w:top w:val="none" w:sz="0" w:space="0" w:color="auto"/>
        <w:left w:val="none" w:sz="0" w:space="0" w:color="auto"/>
        <w:bottom w:val="none" w:sz="0" w:space="0" w:color="auto"/>
        <w:right w:val="none" w:sz="0" w:space="0" w:color="auto"/>
      </w:divBdr>
    </w:div>
    <w:div w:id="1451166637">
      <w:bodyDiv w:val="1"/>
      <w:marLeft w:val="0"/>
      <w:marRight w:val="0"/>
      <w:marTop w:val="0"/>
      <w:marBottom w:val="0"/>
      <w:divBdr>
        <w:top w:val="none" w:sz="0" w:space="0" w:color="auto"/>
        <w:left w:val="none" w:sz="0" w:space="0" w:color="auto"/>
        <w:bottom w:val="none" w:sz="0" w:space="0" w:color="auto"/>
        <w:right w:val="none" w:sz="0" w:space="0" w:color="auto"/>
      </w:divBdr>
    </w:div>
    <w:div w:id="17262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8/gfo-23-301-energy-efficiency-and-load-flexibility-industrial-and-commerci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cc02.safelinks.protection.outlook.com/?url=https%3A%2F%2Fwww.energy.ca.gov%2Fpublications%2F2023%2Fdevelop-and-field-test-flexible-demand-response-control-strategies-water-pumping&amp;data=05%7C01%7C%7C262d35aaf784409701bb08dbdbc647a7%7Cac3a124413f44ef68d1bbaa27148194e%7C0%7C0%7C638345416899958590%7CUnknown%7CTWFpbGZsb3d8eyJWIjoiMC4wLjAwMDAiLCJQIjoiV2luMzIiLCJBTiI6Ik1haWwiLCJXVCI6Mn0%3D%7C3000%7C%7C%7C&amp;sdata=DwmNKmr7tPJVYorUFZXFbKZysXwUC%2FjB4F0%2B8iG73%2Bw%3D&amp;reserved=0" TargetMode="External"/><Relationship Id="rId1" Type="http://schemas.openxmlformats.org/officeDocument/2006/relationships/hyperlink" Target="https://ww2.arb.ca.gov/our-work/programs/truckstop-resources/truckstop/regulations/transport-refrigeration-unit-tru-or" TargetMode="External"/></Relationships>
</file>

<file path=word/documenttasks/documenttasks1.xml><?xml version="1.0" encoding="utf-8"?>
<t:Tasks xmlns:t="http://schemas.microsoft.com/office/tasks/2019/documenttasks" xmlns:oel="http://schemas.microsoft.com/office/2019/extlst">
  <t:Task id="{8FDBD83C-72F4-4D2D-83D2-8EB6BBEE0FF8}">
    <t:Anchor>
      <t:Comment id="132729278"/>
    </t:Anchor>
    <t:History>
      <t:Event id="{03EFCB20-A15B-4641-85A2-55DF84FFBF8D}" time="2023-10-31T22:09:51.719Z">
        <t:Attribution userId="S::ilia.krupenich@energy.ca.gov::a3d201ad-6097-41fa-8442-33b11d42db8b" userProvider="AD" userName="Krupenich, Ilia@Energy"/>
        <t:Anchor>
          <t:Comment id="132729278"/>
        </t:Anchor>
        <t:Create/>
      </t:Event>
      <t:Event id="{D559511C-EB24-4CE4-B0E6-0A83BBDC259F}" time="2023-10-31T22:09:51.719Z">
        <t:Attribution userId="S::ilia.krupenich@energy.ca.gov::a3d201ad-6097-41fa-8442-33b11d42db8b" userProvider="AD" userName="Krupenich, Ilia@Energy"/>
        <t:Anchor>
          <t:Comment id="132729278"/>
        </t:Anchor>
        <t:Assign userId="S::christian.fredericks@energy.ca.gov::e1f2c25e-d37a-45d3-a355-61c6d87e64bb" userProvider="AD" userName="Fredericks, Christian@Energy"/>
      </t:Event>
      <t:Event id="{EBE60C7A-C1A7-4CD7-87F8-AE4B3A7E228B}" time="2023-10-31T22:09:51.719Z">
        <t:Attribution userId="S::ilia.krupenich@energy.ca.gov::a3d201ad-6097-41fa-8442-33b11d42db8b" userProvider="AD" userName="Krupenich, Ilia@Energy"/>
        <t:Anchor>
          <t:Comment id="132729278"/>
        </t:Anchor>
        <t:SetTitle title="@Fredericks, Christian@Energy please double-check language here: Google search shows &quot;fork lifts&quot; and &quot;reach trucks&quot;/&quot;fork trucks&quot; as separate types of vehicles. Even if that's the exact original question language, I believe we should revise it."/>
      </t:Event>
      <t:Event id="{F57FD91E-DE6D-4419-A277-8788E6BE9CD9}" time="2023-11-04T00:01:27.183Z">
        <t:Attribution userId="S::virginia.lew@energy.ca.gov::aa603f30-14ec-47f4-8532-925719f8e2a6" userProvider="AD" userName="Lew, Virginia@Energy"/>
        <t:Progress percentComplete="100"/>
      </t:Event>
    </t:History>
  </t:Task>
  <t:Task id="{BB80939B-71F5-4925-8901-A6E29C828DD0}">
    <t:Anchor>
      <t:Comment id="1074262817"/>
    </t:Anchor>
    <t:History>
      <t:Event id="{36CB7B72-8902-4D80-B606-1B8B01A10F79}" time="2023-10-31T22:11:24.411Z">
        <t:Attribution userId="S::ilia.krupenich@energy.ca.gov::a3d201ad-6097-41fa-8442-33b11d42db8b" userProvider="AD" userName="Krupenich, Ilia@Energy"/>
        <t:Anchor>
          <t:Comment id="1074262817"/>
        </t:Anchor>
        <t:Create/>
      </t:Event>
      <t:Event id="{3A8A18F6-7593-4AC4-A427-22083A25EA03}" time="2023-10-31T22:11:24.411Z">
        <t:Attribution userId="S::ilia.krupenich@energy.ca.gov::a3d201ad-6097-41fa-8442-33b11d42db8b" userProvider="AD" userName="Krupenich, Ilia@Energy"/>
        <t:Anchor>
          <t:Comment id="1074262817"/>
        </t:Anchor>
        <t:Assign userId="S::christian.fredericks@energy.ca.gov::e1f2c25e-d37a-45d3-a355-61c6d87e64bb" userProvider="AD" userName="Fredericks, Christian@Energy"/>
      </t:Event>
      <t:Event id="{D15133E1-54E1-4BC7-A120-333C384E5704}" time="2023-10-31T22:11:24.411Z">
        <t:Attribution userId="S::ilia.krupenich@energy.ca.gov::a3d201ad-6097-41fa-8442-33b11d42db8b" userProvider="AD" userName="Krupenich, Ilia@Energy"/>
        <t:Anchor>
          <t:Comment id="1074262817"/>
        </t:Anchor>
        <t:SetTitle title="@Fredericks, Christian@Energy I fixed position of quotation mark in this sentence, please check if that's correct position now."/>
      </t:Event>
      <t:Event id="{02308758-D61C-4311-9621-EB28C24C2595}" time="2023-11-01T20:14:21.665Z">
        <t:Attribution userId="S::christian.fredericks@energy.ca.gov::e1f2c25e-d37a-45d3-a355-61c6d87e64bb" userProvider="AD" userName="Fredericks, Christian@Energy"/>
        <t:Progress percentComplete="100"/>
      </t:Event>
    </t:History>
  </t:Task>
  <t:Task id="{03D93C57-1898-4A4C-82EE-41518AA6EB77}">
    <t:Anchor>
      <t:Comment id="1313101823"/>
    </t:Anchor>
    <t:History>
      <t:Event id="{7D51D2B0-A8A8-450E-8260-AFDF825076E0}" time="2023-12-04T23:00:18.008Z">
        <t:Attribution userId="S::christian.fredericks@energy.ca.gov::e1f2c25e-d37a-45d3-a355-61c6d87e64bb" userProvider="AD" userName="Fredericks, Christian@Energy"/>
        <t:Anchor>
          <t:Comment id="2138831314"/>
        </t:Anchor>
        <t:Create/>
      </t:Event>
      <t:Event id="{E604DEA5-16EB-4ED6-926F-1AE417073528}" time="2023-12-04T23:00:18.008Z">
        <t:Attribution userId="S::christian.fredericks@energy.ca.gov::e1f2c25e-d37a-45d3-a355-61c6d87e64bb" userProvider="AD" userName="Fredericks, Christian@Energy"/>
        <t:Anchor>
          <t:Comment id="2138831314"/>
        </t:Anchor>
        <t:Assign userId="S::Virginia.Lew@energy.ca.gov::aa603f30-14ec-47f4-8532-925719f8e2a6" userProvider="AD" userName="Lew, Virginia@Energy"/>
      </t:Event>
      <t:Event id="{BDAD560B-2598-4FA1-A793-BA1917FC5987}" time="2023-12-04T23:00:18.008Z">
        <t:Attribution userId="S::christian.fredericks@energy.ca.gov::e1f2c25e-d37a-45d3-a355-61c6d87e64bb" userProvider="AD" userName="Fredericks, Christian@Energy"/>
        <t:Anchor>
          <t:Comment id="2138831314"/>
        </t:Anchor>
        <t:SetTitle title="@Lew, Virginia@Energy I added language and added strikethrough and bold font to the document to make it an amend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C808E-5E19-4333-82C1-2C9E7607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AD58D-B710-46C5-9551-92C7570F6632}">
  <ds:schemaRefs>
    <ds:schemaRef ds:uri="http://schemas.microsoft.com/sharepoint/v3/contenttype/forms"/>
  </ds:schemaRefs>
</ds:datastoreItem>
</file>

<file path=customXml/itemProps3.xml><?xml version="1.0" encoding="utf-8"?>
<ds:datastoreItem xmlns:ds="http://schemas.openxmlformats.org/officeDocument/2006/customXml" ds:itemID="{43909E87-F000-4894-9628-DE9C3A979926}">
  <ds:schemaRefs>
    <ds:schemaRef ds:uri="http://schemas.openxmlformats.org/officeDocument/2006/bibliography"/>
  </ds:schemaRefs>
</ds:datastoreItem>
</file>

<file path=customXml/itemProps4.xml><?xml version="1.0" encoding="utf-8"?>
<ds:datastoreItem xmlns:ds="http://schemas.openxmlformats.org/officeDocument/2006/customXml" ds:itemID="{FE8C1DA2-ECF8-40C8-B79F-D67E6C9A0AC3}">
  <ds:schemaRefs>
    <ds:schemaRef ds:uri="http://schemas.microsoft.com/office/2006/metadata/properties"/>
    <ds:schemaRef ds:uri="5067c814-4b34-462c-a21d-c185ff6548d2"/>
    <ds:schemaRef ds:uri="http://purl.org/dc/terms/"/>
    <ds:schemaRef ds:uri="e036a933-3545-4a28-bf48-39f26e5acea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2063</Words>
  <Characters>11561</Characters>
  <Application>Microsoft Office Word</Application>
  <DocSecurity>0</DocSecurity>
  <Lines>212</Lines>
  <Paragraphs>43</Paragraphs>
  <ScaleCrop>false</ScaleCrop>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Christian@Energy</dc:creator>
  <cp:keywords/>
  <dc:description/>
  <cp:lastModifiedBy>Johnson, Natalie@Energy</cp:lastModifiedBy>
  <cp:revision>2</cp:revision>
  <dcterms:created xsi:type="dcterms:W3CDTF">2023-12-14T04:08:00Z</dcterms:created>
  <dcterms:modified xsi:type="dcterms:W3CDTF">2023-12-14T04:08:00Z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GrammarlyDocumentId">
    <vt:lpwstr>a3cc042cb655e6c924c8248fcff2852750cc9a331b40b1bd64d7d8d87b784c6b</vt:lpwstr>
  </property>
</Properties>
</file>