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E8F8" w14:textId="69681D66" w:rsidR="00190DC6" w:rsidRPr="00CC7ACA" w:rsidRDefault="00190DC6" w:rsidP="00190DC6">
      <w:pPr>
        <w:jc w:val="center"/>
        <w:rPr>
          <w:rFonts w:ascii="Arial" w:hAnsi="Arial" w:cs="Arial"/>
          <w:b/>
          <w:bCs/>
          <w:sz w:val="22"/>
          <w:szCs w:val="22"/>
        </w:rPr>
      </w:pPr>
      <w:r w:rsidRPr="00CC7ACA">
        <w:rPr>
          <w:rFonts w:ascii="Arial" w:hAnsi="Arial" w:cs="Arial"/>
          <w:b/>
          <w:bCs/>
          <w:sz w:val="22"/>
          <w:szCs w:val="22"/>
        </w:rPr>
        <w:t>GFO-2</w:t>
      </w:r>
      <w:r w:rsidR="004237CD">
        <w:rPr>
          <w:rFonts w:ascii="Arial" w:hAnsi="Arial" w:cs="Arial"/>
          <w:b/>
          <w:bCs/>
          <w:sz w:val="22"/>
          <w:szCs w:val="22"/>
        </w:rPr>
        <w:t>3</w:t>
      </w:r>
      <w:r w:rsidRPr="00CC7ACA">
        <w:rPr>
          <w:rFonts w:ascii="Arial" w:hAnsi="Arial" w:cs="Arial"/>
          <w:b/>
          <w:bCs/>
          <w:sz w:val="22"/>
          <w:szCs w:val="22"/>
        </w:rPr>
        <w:t>-</w:t>
      </w:r>
      <w:r w:rsidR="004237CD">
        <w:rPr>
          <w:rFonts w:ascii="Arial" w:hAnsi="Arial" w:cs="Arial"/>
          <w:b/>
          <w:bCs/>
          <w:sz w:val="22"/>
          <w:szCs w:val="22"/>
        </w:rPr>
        <w:t>501</w:t>
      </w:r>
    </w:p>
    <w:p w14:paraId="71984D94" w14:textId="226A5DF8" w:rsidR="00190DC6" w:rsidRPr="00CC7ACA" w:rsidRDefault="00190DC6" w:rsidP="00190DC6">
      <w:pPr>
        <w:jc w:val="center"/>
        <w:rPr>
          <w:rFonts w:ascii="Arial" w:hAnsi="Arial" w:cs="Arial"/>
          <w:b/>
          <w:bCs/>
          <w:sz w:val="22"/>
          <w:szCs w:val="22"/>
        </w:rPr>
      </w:pPr>
      <w:r w:rsidRPr="00CC7ACA">
        <w:rPr>
          <w:rFonts w:ascii="Arial" w:hAnsi="Arial" w:cs="Arial"/>
          <w:b/>
          <w:bCs/>
          <w:sz w:val="22"/>
          <w:szCs w:val="22"/>
        </w:rPr>
        <w:t>Addendum 1</w:t>
      </w:r>
    </w:p>
    <w:p w14:paraId="7AE51EA6" w14:textId="7B3EBACD" w:rsidR="00190DC6" w:rsidRPr="00CC7ACA" w:rsidRDefault="009B422C" w:rsidP="00190DC6">
      <w:pPr>
        <w:jc w:val="center"/>
        <w:rPr>
          <w:rFonts w:ascii="Arial" w:hAnsi="Arial" w:cs="Arial"/>
          <w:b/>
          <w:bCs/>
          <w:sz w:val="22"/>
          <w:szCs w:val="22"/>
        </w:rPr>
      </w:pPr>
      <w:r>
        <w:rPr>
          <w:rFonts w:ascii="Arial" w:hAnsi="Arial" w:cs="Arial"/>
          <w:b/>
          <w:bCs/>
          <w:sz w:val="22"/>
          <w:szCs w:val="22"/>
        </w:rPr>
        <w:t>November 28</w:t>
      </w:r>
      <w:r w:rsidR="00190DC6" w:rsidRPr="00CC7ACA">
        <w:rPr>
          <w:rFonts w:ascii="Arial" w:hAnsi="Arial" w:cs="Arial"/>
          <w:b/>
          <w:bCs/>
          <w:sz w:val="22"/>
          <w:szCs w:val="22"/>
        </w:rPr>
        <w:t>, 202</w:t>
      </w:r>
      <w:r>
        <w:rPr>
          <w:rFonts w:ascii="Arial" w:hAnsi="Arial" w:cs="Arial"/>
          <w:b/>
          <w:bCs/>
          <w:sz w:val="22"/>
          <w:szCs w:val="22"/>
        </w:rPr>
        <w:t>3</w:t>
      </w:r>
    </w:p>
    <w:p w14:paraId="42D5B81F" w14:textId="77777777" w:rsidR="00190DC6" w:rsidRPr="00CC7ACA" w:rsidRDefault="00190DC6" w:rsidP="00190DC6">
      <w:pPr>
        <w:jc w:val="center"/>
        <w:rPr>
          <w:rFonts w:ascii="Arial" w:hAnsi="Arial" w:cs="Arial"/>
          <w:b/>
          <w:bCs/>
          <w:sz w:val="22"/>
          <w:szCs w:val="22"/>
        </w:rPr>
      </w:pPr>
    </w:p>
    <w:p w14:paraId="001EFBA6" w14:textId="3816A979" w:rsidR="0032119C" w:rsidRDefault="008A15E4" w:rsidP="00190DC6">
      <w:pPr>
        <w:jc w:val="center"/>
        <w:rPr>
          <w:rFonts w:ascii="Arial" w:hAnsi="Arial" w:cs="Arial"/>
          <w:b/>
          <w:bCs/>
          <w:sz w:val="22"/>
          <w:szCs w:val="22"/>
        </w:rPr>
      </w:pPr>
      <w:r w:rsidRPr="008A15E4">
        <w:rPr>
          <w:rFonts w:ascii="Arial" w:hAnsi="Arial" w:cs="Arial"/>
          <w:b/>
          <w:bCs/>
          <w:sz w:val="22"/>
          <w:szCs w:val="22"/>
        </w:rPr>
        <w:t>Quantifying Exposures to Indoor Air Pollutants in Multifamily Homes that Cook with Gas or Alternatives</w:t>
      </w:r>
    </w:p>
    <w:p w14:paraId="68E8332B" w14:textId="77777777" w:rsidR="008A15E4" w:rsidRPr="00CC7ACA" w:rsidRDefault="008A15E4" w:rsidP="00190DC6">
      <w:pPr>
        <w:jc w:val="center"/>
        <w:rPr>
          <w:rFonts w:ascii="Arial" w:hAnsi="Arial" w:cs="Arial"/>
          <w:b/>
          <w:bCs/>
          <w:sz w:val="22"/>
          <w:szCs w:val="22"/>
        </w:rPr>
      </w:pPr>
    </w:p>
    <w:p w14:paraId="519FEF19" w14:textId="1EAB3ADD" w:rsidR="00190DC6" w:rsidRPr="00CC7ACA" w:rsidRDefault="00190DC6" w:rsidP="00190DC6">
      <w:pPr>
        <w:rPr>
          <w:rFonts w:ascii="Arial" w:hAnsi="Arial" w:cs="Arial"/>
          <w:b/>
          <w:bCs/>
          <w:sz w:val="22"/>
          <w:szCs w:val="22"/>
        </w:rPr>
      </w:pPr>
      <w:r w:rsidRPr="00CC7ACA">
        <w:rPr>
          <w:rFonts w:ascii="Arial" w:hAnsi="Arial" w:cs="Arial"/>
          <w:sz w:val="22"/>
          <w:szCs w:val="22"/>
        </w:rPr>
        <w:t xml:space="preserve">Disclaimer: </w:t>
      </w:r>
      <w:r w:rsidR="00012A05" w:rsidRPr="00012A05">
        <w:rPr>
          <w:rFonts w:ascii="Arial" w:hAnsi="Arial" w:cs="Arial"/>
          <w:sz w:val="22"/>
          <w:szCs w:val="22"/>
        </w:rPr>
        <w:t>Textual content contained within brackets are removed.</w:t>
      </w:r>
    </w:p>
    <w:p w14:paraId="7FA4762F" w14:textId="77777777" w:rsidR="00190DC6" w:rsidRPr="00CC7ACA" w:rsidRDefault="00190DC6" w:rsidP="00190DC6">
      <w:pPr>
        <w:rPr>
          <w:rFonts w:ascii="Arial" w:hAnsi="Arial" w:cs="Arial"/>
          <w:sz w:val="22"/>
          <w:szCs w:val="22"/>
        </w:rPr>
      </w:pPr>
    </w:p>
    <w:p w14:paraId="6297DA9B" w14:textId="77777777" w:rsidR="00430867" w:rsidRDefault="00430867" w:rsidP="00190DC6">
      <w:pPr>
        <w:rPr>
          <w:rFonts w:ascii="Arial" w:hAnsi="Arial" w:cs="Arial"/>
          <w:sz w:val="22"/>
          <w:szCs w:val="22"/>
        </w:rPr>
      </w:pPr>
    </w:p>
    <w:p w14:paraId="6356DCB0" w14:textId="7D272A8A" w:rsidR="00190DC6" w:rsidRPr="00CC7ACA" w:rsidRDefault="00190DC6" w:rsidP="00190DC6">
      <w:pPr>
        <w:rPr>
          <w:rFonts w:ascii="Arial" w:hAnsi="Arial" w:cs="Arial"/>
          <w:sz w:val="22"/>
          <w:szCs w:val="22"/>
        </w:rPr>
      </w:pPr>
      <w:r w:rsidRPr="00CC7ACA">
        <w:rPr>
          <w:rFonts w:ascii="Arial" w:hAnsi="Arial" w:cs="Arial"/>
          <w:sz w:val="22"/>
          <w:szCs w:val="22"/>
        </w:rPr>
        <w:t>The purpose of this addendum is to make the following revisions:</w:t>
      </w:r>
    </w:p>
    <w:p w14:paraId="165D3045" w14:textId="77777777" w:rsidR="00190DC6" w:rsidRPr="00CC7ACA" w:rsidRDefault="00190DC6" w:rsidP="00190DC6">
      <w:pPr>
        <w:rPr>
          <w:rFonts w:ascii="Arial" w:hAnsi="Arial" w:cs="Arial"/>
          <w:sz w:val="22"/>
          <w:szCs w:val="22"/>
        </w:rPr>
      </w:pPr>
    </w:p>
    <w:p w14:paraId="16A1CFB4" w14:textId="43BC5FF6" w:rsidR="00CD1737" w:rsidRPr="00CD2DB4" w:rsidRDefault="00CD1737" w:rsidP="00190DC6">
      <w:pPr>
        <w:rPr>
          <w:rFonts w:ascii="Arial" w:hAnsi="Arial" w:cs="Arial"/>
          <w:sz w:val="22"/>
          <w:szCs w:val="22"/>
        </w:rPr>
      </w:pPr>
      <w:r w:rsidRPr="00CD2DB4">
        <w:rPr>
          <w:rFonts w:ascii="Arial" w:hAnsi="Arial" w:cs="Arial"/>
          <w:sz w:val="22"/>
          <w:szCs w:val="22"/>
        </w:rPr>
        <w:t>Page</w:t>
      </w:r>
      <w:r w:rsidR="4E106A07" w:rsidRPr="00CD2DB4">
        <w:rPr>
          <w:rFonts w:ascii="Arial" w:hAnsi="Arial" w:cs="Arial"/>
          <w:sz w:val="22"/>
          <w:szCs w:val="22"/>
        </w:rPr>
        <w:t>s</w:t>
      </w:r>
      <w:r w:rsidRPr="00CD2DB4">
        <w:rPr>
          <w:rFonts w:ascii="Arial" w:hAnsi="Arial" w:cs="Arial"/>
          <w:sz w:val="22"/>
          <w:szCs w:val="22"/>
        </w:rPr>
        <w:t xml:space="preserve"> </w:t>
      </w:r>
      <w:r w:rsidR="00361556" w:rsidRPr="00CD2DB4">
        <w:rPr>
          <w:rFonts w:ascii="Arial" w:hAnsi="Arial" w:cs="Arial"/>
          <w:sz w:val="22"/>
          <w:szCs w:val="22"/>
        </w:rPr>
        <w:t>6</w:t>
      </w:r>
      <w:r w:rsidRPr="00CD2DB4">
        <w:rPr>
          <w:rFonts w:ascii="Arial" w:hAnsi="Arial" w:cs="Arial"/>
          <w:sz w:val="22"/>
          <w:szCs w:val="22"/>
        </w:rPr>
        <w:t xml:space="preserve"> &amp; </w:t>
      </w:r>
      <w:r w:rsidR="00361556" w:rsidRPr="00CD2DB4">
        <w:rPr>
          <w:rFonts w:ascii="Arial" w:hAnsi="Arial" w:cs="Arial"/>
          <w:sz w:val="22"/>
          <w:szCs w:val="22"/>
        </w:rPr>
        <w:t>7</w:t>
      </w:r>
      <w:r w:rsidRPr="00CD2DB4">
        <w:rPr>
          <w:rFonts w:ascii="Arial" w:hAnsi="Arial" w:cs="Arial"/>
          <w:sz w:val="22"/>
          <w:szCs w:val="22"/>
        </w:rPr>
        <w:t xml:space="preserve"> of the Application Manual, Section </w:t>
      </w:r>
      <w:r w:rsidR="00D21A4B" w:rsidRPr="00CD2DB4">
        <w:rPr>
          <w:rFonts w:ascii="Arial" w:hAnsi="Arial" w:cs="Arial"/>
          <w:sz w:val="22"/>
          <w:szCs w:val="22"/>
        </w:rPr>
        <w:t>I.</w:t>
      </w:r>
      <w:r w:rsidR="00361556" w:rsidRPr="00CD2DB4">
        <w:rPr>
          <w:rFonts w:ascii="Arial" w:hAnsi="Arial" w:cs="Arial"/>
          <w:sz w:val="22"/>
          <w:szCs w:val="22"/>
        </w:rPr>
        <w:t>C.</w:t>
      </w:r>
      <w:r w:rsidRPr="00CD2DB4">
        <w:rPr>
          <w:rFonts w:ascii="Arial" w:hAnsi="Arial" w:cs="Arial"/>
          <w:sz w:val="22"/>
          <w:szCs w:val="22"/>
        </w:rPr>
        <w:t xml:space="preserve"> </w:t>
      </w:r>
      <w:r w:rsidR="00361556" w:rsidRPr="00CD2DB4">
        <w:rPr>
          <w:rFonts w:ascii="Arial" w:hAnsi="Arial" w:cs="Arial"/>
          <w:sz w:val="22"/>
          <w:szCs w:val="22"/>
        </w:rPr>
        <w:t>Project Focus</w:t>
      </w:r>
    </w:p>
    <w:p w14:paraId="6AD44A37" w14:textId="6D3017A3" w:rsidR="0042043E" w:rsidRPr="00CD2DB4" w:rsidRDefault="0042043E" w:rsidP="00190DC6">
      <w:pPr>
        <w:rPr>
          <w:rFonts w:ascii="Arial" w:hAnsi="Arial" w:cs="Arial"/>
          <w:sz w:val="22"/>
          <w:szCs w:val="22"/>
        </w:rPr>
      </w:pPr>
    </w:p>
    <w:p w14:paraId="6907CB90" w14:textId="38E84FA5" w:rsidR="0042043E" w:rsidRPr="00CD2DB4" w:rsidRDefault="00CC226D" w:rsidP="00527F2B">
      <w:pPr>
        <w:pStyle w:val="ListParagraph"/>
        <w:numPr>
          <w:ilvl w:val="0"/>
          <w:numId w:val="2"/>
        </w:numPr>
        <w:rPr>
          <w:rFonts w:ascii="Arial" w:hAnsi="Arial" w:cs="Arial"/>
          <w:sz w:val="22"/>
          <w:szCs w:val="22"/>
        </w:rPr>
      </w:pPr>
      <w:r w:rsidRPr="67808B21">
        <w:rPr>
          <w:rFonts w:ascii="Arial" w:hAnsi="Arial" w:cs="Arial"/>
          <w:b/>
          <w:bCs/>
          <w:sz w:val="22"/>
          <w:szCs w:val="22"/>
        </w:rPr>
        <w:t xml:space="preserve">Quantify the actual human pollutant exposure from residential gas cooking appliances. </w:t>
      </w:r>
      <w:r w:rsidRPr="67808B21">
        <w:rPr>
          <w:rFonts w:ascii="Arial" w:hAnsi="Arial" w:cs="Arial"/>
          <w:sz w:val="22"/>
          <w:szCs w:val="22"/>
        </w:rPr>
        <w:t xml:space="preserve">Pollutants of interest must include particulate matter (e.g., ultrafine, </w:t>
      </w:r>
      <w:r w:rsidR="00527F2B" w:rsidRPr="67808B21">
        <w:rPr>
          <w:rFonts w:ascii="Arial" w:hAnsi="Arial" w:cs="Arial"/>
          <w:b/>
          <w:bCs/>
          <w:sz w:val="22"/>
          <w:szCs w:val="22"/>
        </w:rPr>
        <w:t>[</w:t>
      </w:r>
      <w:r w:rsidRPr="00DC645D">
        <w:rPr>
          <w:rFonts w:ascii="Arial" w:hAnsi="Arial" w:cs="Arial"/>
          <w:strike/>
          <w:sz w:val="22"/>
          <w:szCs w:val="22"/>
        </w:rPr>
        <w:t>&gt;</w:t>
      </w:r>
      <w:r w:rsidR="00527F2B" w:rsidRPr="67808B21">
        <w:rPr>
          <w:rFonts w:ascii="Arial" w:hAnsi="Arial" w:cs="Arial"/>
          <w:b/>
          <w:bCs/>
          <w:strike/>
          <w:sz w:val="22"/>
          <w:szCs w:val="22"/>
        </w:rPr>
        <w:t>]</w:t>
      </w:r>
      <w:r w:rsidR="00DC645D">
        <w:rPr>
          <w:rFonts w:ascii="Arial" w:hAnsi="Arial" w:cs="Arial"/>
          <w:b/>
          <w:bCs/>
          <w:sz w:val="22"/>
          <w:szCs w:val="22"/>
        </w:rPr>
        <w:t xml:space="preserve"> </w:t>
      </w:r>
      <w:r w:rsidR="00DC645D" w:rsidRPr="00DC645D">
        <w:rPr>
          <w:rFonts w:ascii="Arial" w:hAnsi="Arial" w:cs="Arial"/>
          <w:b/>
          <w:bCs/>
          <w:sz w:val="22"/>
          <w:szCs w:val="22"/>
          <w:u w:val="single"/>
        </w:rPr>
        <w:t>less than or equal to</w:t>
      </w:r>
      <w:r w:rsidR="00DC645D">
        <w:rPr>
          <w:rFonts w:ascii="Arial" w:hAnsi="Arial" w:cs="Arial"/>
          <w:b/>
          <w:bCs/>
          <w:sz w:val="22"/>
          <w:szCs w:val="22"/>
        </w:rPr>
        <w:t xml:space="preserve"> </w:t>
      </w:r>
      <w:r w:rsidRPr="67808B21">
        <w:rPr>
          <w:rFonts w:ascii="Arial" w:hAnsi="Arial" w:cs="Arial"/>
          <w:sz w:val="22"/>
          <w:szCs w:val="22"/>
        </w:rPr>
        <w:t xml:space="preserve">2.5, </w:t>
      </w:r>
      <w:r w:rsidR="00527F2B" w:rsidRPr="67808B21">
        <w:rPr>
          <w:rFonts w:ascii="Arial" w:hAnsi="Arial" w:cs="Arial"/>
          <w:b/>
          <w:bCs/>
          <w:sz w:val="22"/>
          <w:szCs w:val="22"/>
        </w:rPr>
        <w:t>[</w:t>
      </w:r>
      <w:r w:rsidRPr="00DC645D">
        <w:rPr>
          <w:rFonts w:ascii="Arial" w:hAnsi="Arial" w:cs="Arial"/>
          <w:strike/>
          <w:sz w:val="22"/>
          <w:szCs w:val="22"/>
        </w:rPr>
        <w:t>&gt;</w:t>
      </w:r>
      <w:r w:rsidR="00527F2B" w:rsidRPr="67808B21">
        <w:rPr>
          <w:rFonts w:ascii="Arial" w:hAnsi="Arial" w:cs="Arial"/>
          <w:b/>
          <w:bCs/>
          <w:strike/>
          <w:sz w:val="22"/>
          <w:szCs w:val="22"/>
        </w:rPr>
        <w:t>]</w:t>
      </w:r>
      <w:r w:rsidR="00DC645D">
        <w:rPr>
          <w:rFonts w:ascii="Arial" w:hAnsi="Arial" w:cs="Arial"/>
          <w:b/>
          <w:bCs/>
          <w:sz w:val="22"/>
          <w:szCs w:val="22"/>
        </w:rPr>
        <w:t xml:space="preserve"> </w:t>
      </w:r>
      <w:r w:rsidR="00DC645D" w:rsidRPr="00DC645D">
        <w:rPr>
          <w:rFonts w:ascii="Arial" w:hAnsi="Arial" w:cs="Arial"/>
          <w:b/>
          <w:bCs/>
          <w:sz w:val="22"/>
          <w:szCs w:val="22"/>
          <w:u w:val="single"/>
        </w:rPr>
        <w:t>less than or equal to</w:t>
      </w:r>
      <w:r w:rsidR="00DC645D">
        <w:rPr>
          <w:rFonts w:ascii="Arial" w:hAnsi="Arial" w:cs="Arial"/>
          <w:b/>
          <w:bCs/>
          <w:sz w:val="22"/>
          <w:szCs w:val="22"/>
        </w:rPr>
        <w:t xml:space="preserve"> </w:t>
      </w:r>
      <w:r w:rsidRPr="67808B21">
        <w:rPr>
          <w:rFonts w:ascii="Arial" w:hAnsi="Arial" w:cs="Arial"/>
          <w:sz w:val="22"/>
          <w:szCs w:val="22"/>
        </w:rPr>
        <w:t>10 micrometers in size) and nitrogen dioxide.</w:t>
      </w:r>
    </w:p>
    <w:p w14:paraId="3A0266B4" w14:textId="77777777" w:rsidR="00084627" w:rsidRPr="00CD2DB4" w:rsidRDefault="00084627" w:rsidP="00084627">
      <w:pPr>
        <w:pStyle w:val="ListParagraph"/>
        <w:rPr>
          <w:rFonts w:ascii="Arial" w:hAnsi="Arial" w:cs="Arial"/>
          <w:sz w:val="22"/>
          <w:szCs w:val="22"/>
        </w:rPr>
      </w:pPr>
    </w:p>
    <w:p w14:paraId="4D986F40" w14:textId="0613C2DB" w:rsidR="00084627" w:rsidRPr="00CD2DB4" w:rsidRDefault="00084627" w:rsidP="00084627">
      <w:pPr>
        <w:pStyle w:val="ListParagraph"/>
        <w:numPr>
          <w:ilvl w:val="0"/>
          <w:numId w:val="3"/>
        </w:numPr>
        <w:spacing w:after="160" w:line="259" w:lineRule="auto"/>
        <w:contextualSpacing w:val="0"/>
        <w:rPr>
          <w:rFonts w:ascii="Arial" w:hAnsi="Arial" w:cs="Arial"/>
          <w:b/>
          <w:sz w:val="22"/>
          <w:szCs w:val="22"/>
        </w:rPr>
      </w:pPr>
      <w:r w:rsidRPr="00CD2DB4">
        <w:rPr>
          <w:rFonts w:ascii="Arial" w:hAnsi="Arial" w:cs="Arial"/>
          <w:sz w:val="22"/>
          <w:szCs w:val="22"/>
        </w:rPr>
        <w:t xml:space="preserve">Anticipate how research can </w:t>
      </w:r>
      <w:r w:rsidRPr="00CD2DB4">
        <w:rPr>
          <w:rFonts w:ascii="Arial" w:hAnsi="Arial" w:cs="Arial"/>
          <w:b/>
          <w:bCs/>
          <w:sz w:val="22"/>
          <w:szCs w:val="22"/>
        </w:rPr>
        <w:t>contribute to a future lab study that sheds further light on exposure characterization of health-damaging pollutants</w:t>
      </w:r>
      <w:r w:rsidRPr="00CD2DB4">
        <w:rPr>
          <w:rFonts w:ascii="Arial" w:hAnsi="Arial" w:cs="Arial"/>
          <w:sz w:val="22"/>
          <w:szCs w:val="22"/>
        </w:rPr>
        <w:t xml:space="preserve">. This may include developing methods to associate chemical characterization and spatial and temporal resolution with resident exposure for pollutants such as particulate matter (ultrafine, </w:t>
      </w:r>
      <w:r w:rsidRPr="00F01F14">
        <w:rPr>
          <w:rFonts w:ascii="Arial" w:hAnsi="Arial" w:cs="Arial"/>
          <w:b/>
          <w:bCs/>
          <w:sz w:val="22"/>
          <w:szCs w:val="22"/>
        </w:rPr>
        <w:t>[</w:t>
      </w:r>
      <w:proofErr w:type="gramStart"/>
      <w:r w:rsidRPr="00DC645D">
        <w:rPr>
          <w:rFonts w:ascii="Arial" w:hAnsi="Arial" w:cs="Arial"/>
          <w:strike/>
          <w:sz w:val="22"/>
          <w:szCs w:val="22"/>
        </w:rPr>
        <w:t>&gt;</w:t>
      </w:r>
      <w:r w:rsidRPr="00F01F14">
        <w:rPr>
          <w:rFonts w:ascii="Arial" w:hAnsi="Arial" w:cs="Arial"/>
          <w:b/>
          <w:bCs/>
          <w:strike/>
          <w:sz w:val="22"/>
          <w:szCs w:val="22"/>
        </w:rPr>
        <w:t>]</w:t>
      </w:r>
      <w:r w:rsidR="00DC645D" w:rsidRPr="00DC645D">
        <w:rPr>
          <w:rFonts w:ascii="Arial" w:hAnsi="Arial" w:cs="Arial"/>
          <w:b/>
          <w:bCs/>
          <w:sz w:val="22"/>
          <w:szCs w:val="22"/>
          <w:u w:val="single"/>
        </w:rPr>
        <w:t>less</w:t>
      </w:r>
      <w:proofErr w:type="gramEnd"/>
      <w:r w:rsidR="00DC645D" w:rsidRPr="00DC645D">
        <w:rPr>
          <w:rFonts w:ascii="Arial" w:hAnsi="Arial" w:cs="Arial"/>
          <w:b/>
          <w:bCs/>
          <w:sz w:val="22"/>
          <w:szCs w:val="22"/>
          <w:u w:val="single"/>
        </w:rPr>
        <w:t xml:space="preserve"> than or equal to</w:t>
      </w:r>
      <w:r w:rsidR="00DC645D" w:rsidRPr="00CD2DB4">
        <w:rPr>
          <w:rFonts w:ascii="Arial" w:hAnsi="Arial" w:cs="Arial"/>
          <w:sz w:val="22"/>
          <w:szCs w:val="22"/>
        </w:rPr>
        <w:t xml:space="preserve"> </w:t>
      </w:r>
      <w:r w:rsidRPr="00CD2DB4">
        <w:rPr>
          <w:rFonts w:ascii="Arial" w:hAnsi="Arial" w:cs="Arial"/>
          <w:sz w:val="22"/>
          <w:szCs w:val="22"/>
        </w:rPr>
        <w:t xml:space="preserve">2.5, </w:t>
      </w:r>
      <w:r w:rsidRPr="000735AF">
        <w:rPr>
          <w:rFonts w:ascii="Arial" w:hAnsi="Arial" w:cs="Arial"/>
          <w:b/>
          <w:bCs/>
          <w:sz w:val="22"/>
          <w:szCs w:val="22"/>
        </w:rPr>
        <w:t>[</w:t>
      </w:r>
      <w:r w:rsidRPr="00DC645D">
        <w:rPr>
          <w:rFonts w:ascii="Arial" w:hAnsi="Arial" w:cs="Arial"/>
          <w:strike/>
          <w:sz w:val="22"/>
          <w:szCs w:val="22"/>
        </w:rPr>
        <w:t>&gt;</w:t>
      </w:r>
      <w:r w:rsidRPr="000735AF">
        <w:rPr>
          <w:rFonts w:ascii="Arial" w:hAnsi="Arial" w:cs="Arial"/>
          <w:b/>
          <w:bCs/>
          <w:strike/>
          <w:sz w:val="22"/>
          <w:szCs w:val="22"/>
        </w:rPr>
        <w:t>]</w:t>
      </w:r>
      <w:r w:rsidR="00DC645D">
        <w:rPr>
          <w:rFonts w:ascii="Arial" w:hAnsi="Arial" w:cs="Arial"/>
          <w:b/>
          <w:bCs/>
          <w:sz w:val="22"/>
          <w:szCs w:val="22"/>
        </w:rPr>
        <w:t xml:space="preserve"> </w:t>
      </w:r>
      <w:r w:rsidR="00DC645D" w:rsidRPr="00DC645D">
        <w:rPr>
          <w:rFonts w:ascii="Arial" w:hAnsi="Arial" w:cs="Arial"/>
          <w:b/>
          <w:bCs/>
          <w:sz w:val="22"/>
          <w:szCs w:val="22"/>
          <w:u w:val="single"/>
        </w:rPr>
        <w:t>less than or equal to</w:t>
      </w:r>
      <w:r w:rsidR="00DC645D">
        <w:rPr>
          <w:rFonts w:ascii="Arial" w:hAnsi="Arial" w:cs="Arial"/>
          <w:sz w:val="22"/>
          <w:szCs w:val="22"/>
        </w:rPr>
        <w:t xml:space="preserve"> </w:t>
      </w:r>
      <w:r w:rsidRPr="00CD2DB4">
        <w:rPr>
          <w:rFonts w:ascii="Arial" w:hAnsi="Arial" w:cs="Arial"/>
          <w:sz w:val="22"/>
          <w:szCs w:val="22"/>
        </w:rPr>
        <w:t xml:space="preserve">10 micrometers). </w:t>
      </w:r>
    </w:p>
    <w:p w14:paraId="0913CE90" w14:textId="77777777" w:rsidR="00527F2B" w:rsidRPr="00CD2DB4" w:rsidRDefault="00527F2B" w:rsidP="00084627">
      <w:pPr>
        <w:pStyle w:val="ListParagraph"/>
        <w:rPr>
          <w:rFonts w:ascii="Arial" w:hAnsi="Arial" w:cs="Arial"/>
          <w:sz w:val="22"/>
          <w:szCs w:val="22"/>
        </w:rPr>
      </w:pPr>
    </w:p>
    <w:p w14:paraId="06E465FF" w14:textId="77777777" w:rsidR="00CD1737" w:rsidRPr="00CD2DB4" w:rsidRDefault="00CD1737" w:rsidP="00190DC6">
      <w:pPr>
        <w:rPr>
          <w:rFonts w:ascii="Arial" w:hAnsi="Arial" w:cs="Arial"/>
          <w:sz w:val="22"/>
          <w:szCs w:val="22"/>
        </w:rPr>
      </w:pPr>
    </w:p>
    <w:p w14:paraId="101182DD" w14:textId="21F876A8" w:rsidR="00190DC6" w:rsidRDefault="00190DC6" w:rsidP="00190DC6">
      <w:pPr>
        <w:rPr>
          <w:rFonts w:ascii="Arial" w:hAnsi="Arial" w:cs="Arial"/>
          <w:sz w:val="22"/>
          <w:szCs w:val="22"/>
        </w:rPr>
      </w:pPr>
      <w:r w:rsidRPr="00CD2DB4">
        <w:rPr>
          <w:rFonts w:ascii="Arial" w:hAnsi="Arial" w:cs="Arial"/>
          <w:sz w:val="22"/>
          <w:szCs w:val="22"/>
        </w:rPr>
        <w:t xml:space="preserve">Page </w:t>
      </w:r>
      <w:r w:rsidR="009A5CC6" w:rsidRPr="00CD2DB4">
        <w:rPr>
          <w:rFonts w:ascii="Arial" w:hAnsi="Arial" w:cs="Arial"/>
          <w:sz w:val="22"/>
          <w:szCs w:val="22"/>
        </w:rPr>
        <w:t>9</w:t>
      </w:r>
      <w:r w:rsidRPr="00CD2DB4">
        <w:rPr>
          <w:rFonts w:ascii="Arial" w:hAnsi="Arial" w:cs="Arial"/>
          <w:sz w:val="22"/>
          <w:szCs w:val="22"/>
        </w:rPr>
        <w:t xml:space="preserve"> of the Application Manual, Section I.</w:t>
      </w:r>
      <w:r w:rsidR="002C57C3" w:rsidRPr="00CD2DB4">
        <w:rPr>
          <w:rFonts w:ascii="Arial" w:hAnsi="Arial" w:cs="Arial"/>
          <w:sz w:val="22"/>
          <w:szCs w:val="22"/>
        </w:rPr>
        <w:t>E</w:t>
      </w:r>
      <w:r w:rsidRPr="00CD2DB4">
        <w:rPr>
          <w:rFonts w:ascii="Arial" w:hAnsi="Arial" w:cs="Arial"/>
          <w:sz w:val="22"/>
          <w:szCs w:val="22"/>
        </w:rPr>
        <w:t xml:space="preserve">, Key Activities </w:t>
      </w:r>
      <w:r w:rsidR="002C57C3" w:rsidRPr="00CD2DB4">
        <w:rPr>
          <w:rFonts w:ascii="Arial" w:hAnsi="Arial" w:cs="Arial"/>
          <w:sz w:val="22"/>
          <w:szCs w:val="22"/>
        </w:rPr>
        <w:t>Schedule</w:t>
      </w:r>
      <w:r w:rsidRPr="00CD2DB4">
        <w:rPr>
          <w:rFonts w:ascii="Arial" w:hAnsi="Arial" w:cs="Arial"/>
          <w:sz w:val="22"/>
          <w:szCs w:val="22"/>
        </w:rPr>
        <w:t>:</w:t>
      </w:r>
    </w:p>
    <w:p w14:paraId="6AB8D02C" w14:textId="77777777" w:rsidR="00CD2DB4" w:rsidRPr="00CD2DB4" w:rsidRDefault="00CD2DB4" w:rsidP="00190DC6">
      <w:pPr>
        <w:rPr>
          <w:rFonts w:ascii="Arial" w:hAnsi="Arial" w:cs="Arial"/>
          <w:sz w:val="22"/>
          <w:szCs w:val="22"/>
        </w:rPr>
      </w:pPr>
    </w:p>
    <w:p w14:paraId="3941B2CC" w14:textId="77777777" w:rsidR="0016435C" w:rsidRPr="00CD2DB4" w:rsidRDefault="0016435C" w:rsidP="0016435C">
      <w:pPr>
        <w:keepNext/>
        <w:keepLines/>
        <w:jc w:val="both"/>
        <w:rPr>
          <w:rFonts w:ascii="Arial" w:hAnsi="Arial" w:cs="Arial"/>
          <w:b/>
          <w:sz w:val="22"/>
          <w:szCs w:val="22"/>
        </w:rPr>
      </w:pPr>
      <w:r w:rsidRPr="00CD2DB4">
        <w:rPr>
          <w:rFonts w:ascii="Arial" w:hAnsi="Arial" w:cs="Arial"/>
          <w:sz w:val="22"/>
          <w:szCs w:val="22"/>
        </w:rPr>
        <w:t xml:space="preserve">Key activities, dates, and times for this solicitation and for agreements resulting from this solicitation are presented below.  An addendum will be released if the dates change for activities that appear in </w:t>
      </w:r>
      <w:r w:rsidRPr="00CD2DB4">
        <w:rPr>
          <w:rFonts w:ascii="Arial" w:hAnsi="Arial" w:cs="Arial"/>
          <w:b/>
          <w:sz w:val="22"/>
          <w:szCs w:val="22"/>
        </w:rPr>
        <w:t>bold.</w:t>
      </w:r>
    </w:p>
    <w:p w14:paraId="2CEB4B52" w14:textId="77777777" w:rsidR="002A02E6" w:rsidRPr="00CD2DB4" w:rsidRDefault="002A02E6" w:rsidP="0016435C">
      <w:pPr>
        <w:keepNext/>
        <w:keepLines/>
        <w:jc w:val="both"/>
        <w:rPr>
          <w:rFonts w:ascii="Arial" w:hAnsi="Arial" w:cs="Arial"/>
          <w:b/>
          <w:sz w:val="22"/>
          <w:szCs w:val="22"/>
        </w:rPr>
      </w:pPr>
    </w:p>
    <w:p w14:paraId="1EA10BA5" w14:textId="0F002B59" w:rsidR="002A02E6" w:rsidRPr="00CD2DB4" w:rsidRDefault="002A02E6" w:rsidP="00CD2DB4">
      <w:pPr>
        <w:rPr>
          <w:rFonts w:ascii="Arial" w:hAnsi="Arial" w:cs="Arial"/>
          <w:b/>
          <w:bCs/>
          <w:sz w:val="22"/>
          <w:szCs w:val="22"/>
        </w:rPr>
      </w:pPr>
      <w:r w:rsidRPr="00CD2DB4">
        <w:rPr>
          <w:rFonts w:ascii="Arial" w:hAnsi="Arial" w:cs="Arial"/>
          <w:sz w:val="22"/>
          <w:szCs w:val="22"/>
        </w:rPr>
        <w:t>Disclaimer: Textual content contained within brackets are removed.</w:t>
      </w:r>
    </w:p>
    <w:p w14:paraId="2875065D" w14:textId="77777777" w:rsidR="0016435C" w:rsidRPr="00CD2DB4" w:rsidRDefault="0016435C" w:rsidP="0016435C">
      <w:pPr>
        <w:keepNext/>
        <w:keepLines/>
        <w:jc w:val="both"/>
        <w:rPr>
          <w:rFonts w:ascii="Arial" w:hAnsi="Arial" w:cs="Arial"/>
          <w:sz w:val="22"/>
          <w:szCs w:val="22"/>
        </w:rPr>
      </w:pPr>
    </w:p>
    <w:tbl>
      <w:tblPr>
        <w:tblStyle w:val="ListTable321"/>
        <w:tblW w:w="971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755"/>
        <w:gridCol w:w="2520"/>
        <w:gridCol w:w="1440"/>
      </w:tblGrid>
      <w:tr w:rsidR="00CD2DB4" w:rsidRPr="00CD2DB4" w14:paraId="60F10255" w14:textId="77777777" w:rsidTr="00CD2DB4">
        <w:trPr>
          <w:cnfStyle w:val="100000000000" w:firstRow="1" w:lastRow="0" w:firstColumn="0" w:lastColumn="0" w:oddVBand="0" w:evenVBand="0" w:oddHBand="0" w:evenHBand="0" w:firstRowFirstColumn="0" w:firstRowLastColumn="0" w:lastRowFirstColumn="0" w:lastRowLastColumn="0"/>
          <w:trHeight w:hRule="exact" w:val="299"/>
          <w:tblHeader/>
        </w:trPr>
        <w:tc>
          <w:tcPr>
            <w:cnfStyle w:val="000010000000" w:firstRow="0" w:lastRow="0" w:firstColumn="0" w:lastColumn="0" w:oddVBand="1" w:evenVBand="0" w:oddHBand="0" w:evenHBand="0" w:firstRowFirstColumn="0" w:firstRowLastColumn="0" w:lastRowFirstColumn="0" w:lastRowLastColumn="0"/>
            <w:tcW w:w="5755" w:type="dxa"/>
            <w:shd w:val="clear" w:color="auto" w:fill="BFBFBF" w:themeFill="background1" w:themeFillShade="BF"/>
          </w:tcPr>
          <w:p w14:paraId="2C81F7DA" w14:textId="77777777" w:rsidR="0016435C" w:rsidRPr="00CD2DB4" w:rsidRDefault="0016435C" w:rsidP="004F1395">
            <w:pPr>
              <w:keepNext/>
              <w:keepLines/>
              <w:widowControl w:val="0"/>
              <w:jc w:val="both"/>
              <w:rPr>
                <w:b w:val="0"/>
                <w:sz w:val="22"/>
                <w:szCs w:val="22"/>
              </w:rPr>
            </w:pPr>
            <w:r w:rsidRPr="00CD2DB4">
              <w:rPr>
                <w:sz w:val="22"/>
                <w:szCs w:val="22"/>
              </w:rPr>
              <w:t>ACTIVITY</w:t>
            </w:r>
          </w:p>
        </w:tc>
        <w:tc>
          <w:tcPr>
            <w:tcW w:w="2520" w:type="dxa"/>
            <w:shd w:val="clear" w:color="auto" w:fill="BFBFBF" w:themeFill="background1" w:themeFillShade="BF"/>
          </w:tcPr>
          <w:p w14:paraId="110E2669" w14:textId="77777777" w:rsidR="0016435C" w:rsidRPr="00CD2DB4" w:rsidRDefault="0016435C" w:rsidP="004F1395">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CD2DB4">
              <w:rPr>
                <w:sz w:val="22"/>
                <w:szCs w:val="22"/>
              </w:rPr>
              <w:t>DATE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FBFBF" w:themeFill="background1" w:themeFillShade="BF"/>
          </w:tcPr>
          <w:p w14:paraId="66E4572B" w14:textId="77777777" w:rsidR="0016435C" w:rsidRPr="00CD2DB4" w:rsidDel="00D53B51" w:rsidRDefault="0016435C" w:rsidP="004F1395">
            <w:pPr>
              <w:keepNext/>
              <w:keepLines/>
              <w:widowControl w:val="0"/>
              <w:jc w:val="both"/>
              <w:rPr>
                <w:b w:val="0"/>
                <w:sz w:val="22"/>
                <w:szCs w:val="22"/>
              </w:rPr>
            </w:pPr>
            <w:r w:rsidRPr="00CD2DB4">
              <w:rPr>
                <w:sz w:val="22"/>
                <w:szCs w:val="22"/>
              </w:rPr>
              <w:t>TIME</w:t>
            </w:r>
            <w:r w:rsidRPr="00CD2DB4">
              <w:rPr>
                <w:sz w:val="22"/>
                <w:szCs w:val="22"/>
                <w:vertAlign w:val="superscript"/>
              </w:rPr>
              <w:footnoteReference w:id="1"/>
            </w:r>
            <w:r w:rsidRPr="00CD2DB4">
              <w:rPr>
                <w:sz w:val="22"/>
                <w:szCs w:val="22"/>
              </w:rPr>
              <w:t xml:space="preserve"> </w:t>
            </w:r>
          </w:p>
        </w:tc>
      </w:tr>
      <w:tr w:rsidR="0016435C" w:rsidRPr="00CD2DB4" w14:paraId="6D32E44C" w14:textId="77777777" w:rsidTr="00CD2DB4">
        <w:trPr>
          <w:cnfStyle w:val="000000100000" w:firstRow="0" w:lastRow="0" w:firstColumn="0" w:lastColumn="0" w:oddVBand="0" w:evenVBand="0" w:oddHBand="1" w:evenHBand="0" w:firstRowFirstColumn="0" w:firstRowLastColumn="0" w:lastRowFirstColumn="0" w:lastRowLastColumn="0"/>
          <w:trHeight w:hRule="exact" w:val="289"/>
        </w:trPr>
        <w:tc>
          <w:tcPr>
            <w:cnfStyle w:val="000010000000" w:firstRow="0" w:lastRow="0" w:firstColumn="0" w:lastColumn="0" w:oddVBand="1" w:evenVBand="0" w:oddHBand="0" w:evenHBand="0" w:firstRowFirstColumn="0" w:firstRowLastColumn="0" w:lastRowFirstColumn="0" w:lastRowLastColumn="0"/>
            <w:tcW w:w="5755" w:type="dxa"/>
          </w:tcPr>
          <w:p w14:paraId="18F35E6F" w14:textId="77777777" w:rsidR="0016435C" w:rsidRPr="00CD2DB4" w:rsidRDefault="0016435C" w:rsidP="004F1395">
            <w:pPr>
              <w:keepNext/>
              <w:keepLines/>
              <w:widowControl w:val="0"/>
              <w:jc w:val="both"/>
              <w:rPr>
                <w:sz w:val="22"/>
                <w:szCs w:val="22"/>
              </w:rPr>
            </w:pPr>
            <w:r w:rsidRPr="00CD2DB4">
              <w:rPr>
                <w:sz w:val="22"/>
                <w:szCs w:val="22"/>
              </w:rPr>
              <w:t>Solicitation Release</w:t>
            </w:r>
          </w:p>
        </w:tc>
        <w:tc>
          <w:tcPr>
            <w:tcW w:w="2520" w:type="dxa"/>
          </w:tcPr>
          <w:p w14:paraId="4B7A7CD9" w14:textId="77777777" w:rsidR="0016435C" w:rsidRPr="00CD2DB4" w:rsidRDefault="0016435C" w:rsidP="004F1395">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CD2DB4">
              <w:rPr>
                <w:sz w:val="22"/>
                <w:szCs w:val="22"/>
              </w:rPr>
              <w:t>November 6, 2023</w:t>
            </w:r>
          </w:p>
        </w:tc>
        <w:tc>
          <w:tcPr>
            <w:cnfStyle w:val="000010000000" w:firstRow="0" w:lastRow="0" w:firstColumn="0" w:lastColumn="0" w:oddVBand="1" w:evenVBand="0" w:oddHBand="0" w:evenHBand="0" w:firstRowFirstColumn="0" w:firstRowLastColumn="0" w:lastRowFirstColumn="0" w:lastRowLastColumn="0"/>
            <w:tcW w:w="1440" w:type="dxa"/>
          </w:tcPr>
          <w:p w14:paraId="35147756" w14:textId="77777777" w:rsidR="0016435C" w:rsidRPr="00CD2DB4" w:rsidRDefault="0016435C" w:rsidP="004F1395">
            <w:pPr>
              <w:keepNext/>
              <w:keepLines/>
              <w:widowControl w:val="0"/>
              <w:jc w:val="both"/>
              <w:rPr>
                <w:sz w:val="22"/>
                <w:szCs w:val="22"/>
              </w:rPr>
            </w:pPr>
          </w:p>
        </w:tc>
      </w:tr>
      <w:tr w:rsidR="0016435C" w:rsidRPr="00CD2DB4" w14:paraId="5490055C" w14:textId="77777777" w:rsidTr="00CD2DB4">
        <w:trPr>
          <w:trHeight w:hRule="exact" w:val="289"/>
        </w:trPr>
        <w:tc>
          <w:tcPr>
            <w:cnfStyle w:val="000010000000" w:firstRow="0" w:lastRow="0" w:firstColumn="0" w:lastColumn="0" w:oddVBand="1" w:evenVBand="0" w:oddHBand="0" w:evenHBand="0" w:firstRowFirstColumn="0" w:firstRowLastColumn="0" w:lastRowFirstColumn="0" w:lastRowLastColumn="0"/>
            <w:tcW w:w="5755" w:type="dxa"/>
          </w:tcPr>
          <w:p w14:paraId="546D3171" w14:textId="77777777" w:rsidR="0016435C" w:rsidRPr="00CD2DB4" w:rsidRDefault="0016435C" w:rsidP="004F1395">
            <w:pPr>
              <w:keepNext/>
              <w:keepLines/>
              <w:widowControl w:val="0"/>
              <w:jc w:val="both"/>
              <w:rPr>
                <w:b/>
                <w:sz w:val="22"/>
                <w:szCs w:val="22"/>
              </w:rPr>
            </w:pPr>
            <w:r w:rsidRPr="00CD2DB4">
              <w:rPr>
                <w:b/>
                <w:sz w:val="22"/>
                <w:szCs w:val="22"/>
              </w:rPr>
              <w:t>Pre-Application Workshop</w:t>
            </w:r>
          </w:p>
        </w:tc>
        <w:tc>
          <w:tcPr>
            <w:tcW w:w="2520" w:type="dxa"/>
          </w:tcPr>
          <w:p w14:paraId="7C0EA360" w14:textId="77777777" w:rsidR="0016435C" w:rsidRPr="00CD2DB4" w:rsidRDefault="0016435C" w:rsidP="004F1395">
            <w:pPr>
              <w:keepNext/>
              <w:keepLines/>
              <w:widowControl w:val="0"/>
              <w:jc w:val="both"/>
              <w:cnfStyle w:val="000000000000" w:firstRow="0" w:lastRow="0" w:firstColumn="0" w:lastColumn="0" w:oddVBand="0" w:evenVBand="0" w:oddHBand="0" w:evenHBand="0" w:firstRowFirstColumn="0" w:firstRowLastColumn="0" w:lastRowFirstColumn="0" w:lastRowLastColumn="0"/>
              <w:rPr>
                <w:b/>
                <w:sz w:val="22"/>
                <w:szCs w:val="22"/>
              </w:rPr>
            </w:pPr>
            <w:r w:rsidRPr="00CD2DB4">
              <w:rPr>
                <w:b/>
                <w:sz w:val="22"/>
                <w:szCs w:val="22"/>
              </w:rPr>
              <w:t>November 20, 2023</w:t>
            </w:r>
          </w:p>
        </w:tc>
        <w:tc>
          <w:tcPr>
            <w:cnfStyle w:val="000010000000" w:firstRow="0" w:lastRow="0" w:firstColumn="0" w:lastColumn="0" w:oddVBand="1" w:evenVBand="0" w:oddHBand="0" w:evenHBand="0" w:firstRowFirstColumn="0" w:firstRowLastColumn="0" w:lastRowFirstColumn="0" w:lastRowLastColumn="0"/>
            <w:tcW w:w="1440" w:type="dxa"/>
          </w:tcPr>
          <w:p w14:paraId="589E8638" w14:textId="77777777" w:rsidR="0016435C" w:rsidRPr="00CD2DB4" w:rsidRDefault="0016435C" w:rsidP="004F1395">
            <w:pPr>
              <w:keepNext/>
              <w:keepLines/>
              <w:widowControl w:val="0"/>
              <w:jc w:val="both"/>
              <w:rPr>
                <w:b/>
                <w:bCs/>
                <w:sz w:val="22"/>
                <w:szCs w:val="22"/>
              </w:rPr>
            </w:pPr>
            <w:r w:rsidRPr="00CD2DB4">
              <w:rPr>
                <w:b/>
                <w:bCs/>
                <w:sz w:val="22"/>
                <w:szCs w:val="22"/>
              </w:rPr>
              <w:t>10:00 a.m.</w:t>
            </w:r>
          </w:p>
        </w:tc>
      </w:tr>
      <w:tr w:rsidR="0016435C" w:rsidRPr="00CD2DB4" w14:paraId="4A55B60D" w14:textId="77777777" w:rsidTr="00CD2DB4">
        <w:trPr>
          <w:cnfStyle w:val="000000100000" w:firstRow="0" w:lastRow="0" w:firstColumn="0" w:lastColumn="0" w:oddVBand="0" w:evenVBand="0" w:oddHBand="1" w:evenHBand="0" w:firstRowFirstColumn="0" w:firstRowLastColumn="0" w:lastRowFirstColumn="0" w:lastRowLastColumn="0"/>
          <w:trHeight w:hRule="exact" w:val="931"/>
        </w:trPr>
        <w:tc>
          <w:tcPr>
            <w:cnfStyle w:val="000010000000" w:firstRow="0" w:lastRow="0" w:firstColumn="0" w:lastColumn="0" w:oddVBand="1" w:evenVBand="0" w:oddHBand="0" w:evenHBand="0" w:firstRowFirstColumn="0" w:firstRowLastColumn="0" w:lastRowFirstColumn="0" w:lastRowLastColumn="0"/>
            <w:tcW w:w="5755" w:type="dxa"/>
          </w:tcPr>
          <w:p w14:paraId="342A6D4B" w14:textId="77777777" w:rsidR="0016435C" w:rsidRPr="00CD2DB4" w:rsidRDefault="0016435C" w:rsidP="004F1395">
            <w:pPr>
              <w:keepNext/>
              <w:keepLines/>
              <w:widowControl w:val="0"/>
              <w:jc w:val="both"/>
              <w:rPr>
                <w:b/>
                <w:sz w:val="22"/>
                <w:szCs w:val="22"/>
              </w:rPr>
            </w:pPr>
            <w:r w:rsidRPr="00CD2DB4">
              <w:rPr>
                <w:b/>
                <w:sz w:val="22"/>
                <w:szCs w:val="22"/>
              </w:rPr>
              <w:t>Deadline for Written Questions</w:t>
            </w:r>
            <w:r w:rsidRPr="00CD2DB4">
              <w:rPr>
                <w:b/>
                <w:sz w:val="22"/>
                <w:szCs w:val="22"/>
                <w:u w:val="single"/>
                <w:vertAlign w:val="superscript"/>
              </w:rPr>
              <w:footnoteReference w:id="2"/>
            </w:r>
          </w:p>
        </w:tc>
        <w:tc>
          <w:tcPr>
            <w:tcW w:w="2520" w:type="dxa"/>
          </w:tcPr>
          <w:p w14:paraId="5AAFAC0A" w14:textId="7BB8B5A3" w:rsidR="0016435C" w:rsidRPr="00CD2DB4" w:rsidRDefault="0016435C" w:rsidP="004F1395">
            <w:pPr>
              <w:keepNext/>
              <w:keepLines/>
              <w:widowControl w:val="0"/>
              <w:jc w:val="both"/>
              <w:cnfStyle w:val="000000100000" w:firstRow="0" w:lastRow="0" w:firstColumn="0" w:lastColumn="0" w:oddVBand="0" w:evenVBand="0" w:oddHBand="1" w:evenHBand="0" w:firstRowFirstColumn="0" w:firstRowLastColumn="0" w:lastRowFirstColumn="0" w:lastRowLastColumn="0"/>
              <w:rPr>
                <w:b/>
                <w:strike/>
                <w:sz w:val="22"/>
                <w:szCs w:val="22"/>
              </w:rPr>
            </w:pPr>
            <w:r w:rsidRPr="00CD2DB4">
              <w:rPr>
                <w:b/>
                <w:strike/>
                <w:sz w:val="22"/>
                <w:szCs w:val="22"/>
              </w:rPr>
              <w:t xml:space="preserve">[November 27, 2023] </w:t>
            </w:r>
            <w:r w:rsidRPr="00CD2DB4">
              <w:rPr>
                <w:b/>
                <w:sz w:val="22"/>
                <w:szCs w:val="22"/>
              </w:rPr>
              <w:t>December 1, 2023</w:t>
            </w:r>
          </w:p>
        </w:tc>
        <w:tc>
          <w:tcPr>
            <w:cnfStyle w:val="000010000000" w:firstRow="0" w:lastRow="0" w:firstColumn="0" w:lastColumn="0" w:oddVBand="1" w:evenVBand="0" w:oddHBand="0" w:evenHBand="0" w:firstRowFirstColumn="0" w:firstRowLastColumn="0" w:lastRowFirstColumn="0" w:lastRowLastColumn="0"/>
            <w:tcW w:w="1440" w:type="dxa"/>
          </w:tcPr>
          <w:p w14:paraId="2067D4A6" w14:textId="77777777" w:rsidR="0016435C" w:rsidRPr="00CD2DB4" w:rsidRDefault="0016435C" w:rsidP="004F1395">
            <w:pPr>
              <w:keepNext/>
              <w:keepLines/>
              <w:widowControl w:val="0"/>
              <w:jc w:val="both"/>
              <w:rPr>
                <w:b/>
                <w:sz w:val="22"/>
                <w:szCs w:val="22"/>
              </w:rPr>
            </w:pPr>
            <w:r w:rsidRPr="00CD2DB4">
              <w:rPr>
                <w:b/>
                <w:sz w:val="22"/>
                <w:szCs w:val="22"/>
              </w:rPr>
              <w:t>5:00 p.m.</w:t>
            </w:r>
          </w:p>
        </w:tc>
      </w:tr>
      <w:tr w:rsidR="0016435C" w:rsidRPr="00CD2DB4" w14:paraId="531A920D" w14:textId="77777777" w:rsidTr="00CD2DB4">
        <w:trPr>
          <w:trHeight w:hRule="exact" w:val="750"/>
        </w:trPr>
        <w:tc>
          <w:tcPr>
            <w:cnfStyle w:val="000010000000" w:firstRow="0" w:lastRow="0" w:firstColumn="0" w:lastColumn="0" w:oddVBand="1" w:evenVBand="0" w:oddHBand="0" w:evenHBand="0" w:firstRowFirstColumn="0" w:firstRowLastColumn="0" w:lastRowFirstColumn="0" w:lastRowLastColumn="0"/>
            <w:tcW w:w="5755" w:type="dxa"/>
          </w:tcPr>
          <w:p w14:paraId="5535F114" w14:textId="77777777" w:rsidR="0016435C" w:rsidRPr="00CD2DB4" w:rsidRDefault="0016435C" w:rsidP="004F1395">
            <w:pPr>
              <w:keepNext/>
              <w:keepLines/>
              <w:widowControl w:val="0"/>
              <w:jc w:val="both"/>
              <w:rPr>
                <w:sz w:val="22"/>
                <w:szCs w:val="22"/>
              </w:rPr>
            </w:pPr>
            <w:r w:rsidRPr="00CD2DB4">
              <w:rPr>
                <w:sz w:val="22"/>
                <w:szCs w:val="22"/>
              </w:rPr>
              <w:t xml:space="preserve">Anticipated Distribution of Questions and Answers </w:t>
            </w:r>
          </w:p>
        </w:tc>
        <w:tc>
          <w:tcPr>
            <w:tcW w:w="2520" w:type="dxa"/>
          </w:tcPr>
          <w:p w14:paraId="116E7CBC" w14:textId="77777777" w:rsidR="0016435C" w:rsidRPr="00CD2DB4" w:rsidRDefault="0016435C" w:rsidP="004F1395">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CD2DB4">
              <w:rPr>
                <w:sz w:val="22"/>
                <w:szCs w:val="22"/>
              </w:rPr>
              <w:t>December 22, 2023</w:t>
            </w:r>
          </w:p>
        </w:tc>
        <w:tc>
          <w:tcPr>
            <w:cnfStyle w:val="000010000000" w:firstRow="0" w:lastRow="0" w:firstColumn="0" w:lastColumn="0" w:oddVBand="1" w:evenVBand="0" w:oddHBand="0" w:evenHBand="0" w:firstRowFirstColumn="0" w:firstRowLastColumn="0" w:lastRowFirstColumn="0" w:lastRowLastColumn="0"/>
            <w:tcW w:w="1440" w:type="dxa"/>
          </w:tcPr>
          <w:p w14:paraId="56B4046C" w14:textId="77777777" w:rsidR="0016435C" w:rsidRPr="00CD2DB4" w:rsidRDefault="0016435C" w:rsidP="004F1395">
            <w:pPr>
              <w:keepNext/>
              <w:keepLines/>
              <w:widowControl w:val="0"/>
              <w:jc w:val="both"/>
              <w:rPr>
                <w:sz w:val="22"/>
                <w:szCs w:val="22"/>
              </w:rPr>
            </w:pPr>
          </w:p>
        </w:tc>
      </w:tr>
      <w:tr w:rsidR="0016435C" w:rsidRPr="00CD2DB4" w14:paraId="55129F87" w14:textId="77777777" w:rsidTr="00CD2DB4">
        <w:trPr>
          <w:cnfStyle w:val="000000100000" w:firstRow="0" w:lastRow="0" w:firstColumn="0" w:lastColumn="0" w:oddVBand="0" w:evenVBand="0" w:oddHBand="1" w:evenHBand="0" w:firstRowFirstColumn="0" w:firstRowLastColumn="0" w:lastRowFirstColumn="0" w:lastRowLastColumn="0"/>
          <w:trHeight w:hRule="exact" w:val="533"/>
        </w:trPr>
        <w:tc>
          <w:tcPr>
            <w:cnfStyle w:val="000010000000" w:firstRow="0" w:lastRow="0" w:firstColumn="0" w:lastColumn="0" w:oddVBand="1" w:evenVBand="0" w:oddHBand="0" w:evenHBand="0" w:firstRowFirstColumn="0" w:firstRowLastColumn="0" w:lastRowFirstColumn="0" w:lastRowLastColumn="0"/>
            <w:tcW w:w="5755" w:type="dxa"/>
          </w:tcPr>
          <w:p w14:paraId="3D61EF5D" w14:textId="77777777" w:rsidR="0016435C" w:rsidRPr="00CD2DB4" w:rsidRDefault="0016435C" w:rsidP="004F1395">
            <w:pPr>
              <w:keepNext/>
              <w:keepLines/>
              <w:widowControl w:val="0"/>
              <w:jc w:val="both"/>
              <w:rPr>
                <w:b/>
                <w:sz w:val="22"/>
                <w:szCs w:val="22"/>
              </w:rPr>
            </w:pPr>
            <w:r w:rsidRPr="00CD2DB4">
              <w:rPr>
                <w:b/>
                <w:sz w:val="22"/>
                <w:szCs w:val="22"/>
              </w:rPr>
              <w:t>Deadline to Submit Applications</w:t>
            </w:r>
          </w:p>
        </w:tc>
        <w:tc>
          <w:tcPr>
            <w:tcW w:w="2520" w:type="dxa"/>
          </w:tcPr>
          <w:p w14:paraId="7128992D" w14:textId="77777777" w:rsidR="0016435C" w:rsidRPr="00CD2DB4" w:rsidRDefault="0016435C" w:rsidP="004F1395">
            <w:pPr>
              <w:keepNext/>
              <w:keepLines/>
              <w:widowControl w:val="0"/>
              <w:jc w:val="both"/>
              <w:cnfStyle w:val="000000100000" w:firstRow="0" w:lastRow="0" w:firstColumn="0" w:lastColumn="0" w:oddVBand="0" w:evenVBand="0" w:oddHBand="1" w:evenHBand="0" w:firstRowFirstColumn="0" w:firstRowLastColumn="0" w:lastRowFirstColumn="0" w:lastRowLastColumn="0"/>
              <w:rPr>
                <w:b/>
                <w:sz w:val="22"/>
                <w:szCs w:val="22"/>
              </w:rPr>
            </w:pPr>
            <w:r w:rsidRPr="00CD2DB4">
              <w:rPr>
                <w:b/>
                <w:sz w:val="22"/>
                <w:szCs w:val="22"/>
              </w:rPr>
              <w:t>January 31, 2024</w:t>
            </w:r>
          </w:p>
        </w:tc>
        <w:tc>
          <w:tcPr>
            <w:cnfStyle w:val="000010000000" w:firstRow="0" w:lastRow="0" w:firstColumn="0" w:lastColumn="0" w:oddVBand="1" w:evenVBand="0" w:oddHBand="0" w:evenHBand="0" w:firstRowFirstColumn="0" w:firstRowLastColumn="0" w:lastRowFirstColumn="0" w:lastRowLastColumn="0"/>
            <w:tcW w:w="1440" w:type="dxa"/>
          </w:tcPr>
          <w:p w14:paraId="3D893DBF" w14:textId="77777777" w:rsidR="0016435C" w:rsidRPr="00CD2DB4" w:rsidRDefault="0016435C" w:rsidP="004F1395">
            <w:pPr>
              <w:keepNext/>
              <w:keepLines/>
              <w:widowControl w:val="0"/>
              <w:jc w:val="both"/>
              <w:rPr>
                <w:sz w:val="22"/>
                <w:szCs w:val="22"/>
              </w:rPr>
            </w:pPr>
            <w:r w:rsidRPr="00CD2DB4">
              <w:rPr>
                <w:b/>
                <w:sz w:val="22"/>
                <w:szCs w:val="22"/>
              </w:rPr>
              <w:t>11:59 p.m.</w:t>
            </w:r>
          </w:p>
        </w:tc>
      </w:tr>
      <w:tr w:rsidR="0016435C" w:rsidRPr="00CD2DB4" w14:paraId="7971CCC3" w14:textId="77777777" w:rsidTr="00CD2DB4">
        <w:trPr>
          <w:trHeight w:hRule="exact" w:val="289"/>
        </w:trPr>
        <w:tc>
          <w:tcPr>
            <w:cnfStyle w:val="000010000000" w:firstRow="0" w:lastRow="0" w:firstColumn="0" w:lastColumn="0" w:oddVBand="1" w:evenVBand="0" w:oddHBand="0" w:evenHBand="0" w:firstRowFirstColumn="0" w:firstRowLastColumn="0" w:lastRowFirstColumn="0" w:lastRowLastColumn="0"/>
            <w:tcW w:w="5755" w:type="dxa"/>
          </w:tcPr>
          <w:p w14:paraId="467EE166" w14:textId="77777777" w:rsidR="0016435C" w:rsidRPr="00CD2DB4" w:rsidRDefault="0016435C" w:rsidP="004F1395">
            <w:pPr>
              <w:keepNext/>
              <w:keepLines/>
              <w:widowControl w:val="0"/>
              <w:jc w:val="both"/>
              <w:rPr>
                <w:sz w:val="22"/>
                <w:szCs w:val="22"/>
              </w:rPr>
            </w:pPr>
            <w:r w:rsidRPr="00CD2DB4">
              <w:rPr>
                <w:sz w:val="22"/>
                <w:szCs w:val="22"/>
              </w:rPr>
              <w:t>Anticipated Notice of Proposed Award Posting Date</w:t>
            </w:r>
          </w:p>
        </w:tc>
        <w:tc>
          <w:tcPr>
            <w:tcW w:w="2520" w:type="dxa"/>
          </w:tcPr>
          <w:p w14:paraId="0C99DA5A" w14:textId="77777777" w:rsidR="0016435C" w:rsidRPr="00CD2DB4" w:rsidRDefault="0016435C" w:rsidP="004F1395">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CD2DB4">
              <w:rPr>
                <w:sz w:val="22"/>
                <w:szCs w:val="22"/>
              </w:rPr>
              <w:t>March 18, 2024</w:t>
            </w:r>
          </w:p>
        </w:tc>
        <w:tc>
          <w:tcPr>
            <w:cnfStyle w:val="000010000000" w:firstRow="0" w:lastRow="0" w:firstColumn="0" w:lastColumn="0" w:oddVBand="1" w:evenVBand="0" w:oddHBand="0" w:evenHBand="0" w:firstRowFirstColumn="0" w:firstRowLastColumn="0" w:lastRowFirstColumn="0" w:lastRowLastColumn="0"/>
            <w:tcW w:w="1440" w:type="dxa"/>
          </w:tcPr>
          <w:p w14:paraId="055A6F70" w14:textId="77777777" w:rsidR="0016435C" w:rsidRPr="00CD2DB4" w:rsidRDefault="0016435C" w:rsidP="004F1395">
            <w:pPr>
              <w:keepNext/>
              <w:keepLines/>
              <w:widowControl w:val="0"/>
              <w:jc w:val="both"/>
              <w:rPr>
                <w:sz w:val="22"/>
                <w:szCs w:val="22"/>
              </w:rPr>
            </w:pPr>
          </w:p>
        </w:tc>
      </w:tr>
      <w:tr w:rsidR="0016435C" w:rsidRPr="00CD2DB4" w14:paraId="034A3DF7" w14:textId="77777777" w:rsidTr="00CD2DB4">
        <w:trPr>
          <w:cnfStyle w:val="000000100000" w:firstRow="0" w:lastRow="0" w:firstColumn="0" w:lastColumn="0" w:oddVBand="0" w:evenVBand="0" w:oddHBand="1" w:evenHBand="0" w:firstRowFirstColumn="0" w:firstRowLastColumn="0" w:lastRowFirstColumn="0" w:lastRowLastColumn="0"/>
          <w:trHeight w:hRule="exact" w:val="570"/>
        </w:trPr>
        <w:tc>
          <w:tcPr>
            <w:cnfStyle w:val="000010000000" w:firstRow="0" w:lastRow="0" w:firstColumn="0" w:lastColumn="0" w:oddVBand="1" w:evenVBand="0" w:oddHBand="0" w:evenHBand="0" w:firstRowFirstColumn="0" w:firstRowLastColumn="0" w:lastRowFirstColumn="0" w:lastRowLastColumn="0"/>
            <w:tcW w:w="5755" w:type="dxa"/>
          </w:tcPr>
          <w:p w14:paraId="1DC95412" w14:textId="77777777" w:rsidR="0016435C" w:rsidRPr="00CD2DB4" w:rsidRDefault="0016435C" w:rsidP="004F1395">
            <w:pPr>
              <w:keepNext/>
              <w:keepLines/>
              <w:widowControl w:val="0"/>
              <w:jc w:val="both"/>
              <w:rPr>
                <w:sz w:val="22"/>
                <w:szCs w:val="22"/>
              </w:rPr>
            </w:pPr>
            <w:r w:rsidRPr="00CD2DB4">
              <w:rPr>
                <w:sz w:val="22"/>
                <w:szCs w:val="22"/>
              </w:rPr>
              <w:t>Anticipated Energy Commission Business Meeting Date</w:t>
            </w:r>
          </w:p>
        </w:tc>
        <w:tc>
          <w:tcPr>
            <w:tcW w:w="2520" w:type="dxa"/>
          </w:tcPr>
          <w:p w14:paraId="4FAAFA80" w14:textId="77777777" w:rsidR="0016435C" w:rsidRPr="00CD2DB4" w:rsidRDefault="0016435C" w:rsidP="004F1395">
            <w:pPr>
              <w:keepNext/>
              <w:keepLines/>
              <w:widowControl w:val="0"/>
              <w:cnfStyle w:val="000000100000" w:firstRow="0" w:lastRow="0" w:firstColumn="0" w:lastColumn="0" w:oddVBand="0" w:evenVBand="0" w:oddHBand="1" w:evenHBand="0" w:firstRowFirstColumn="0" w:firstRowLastColumn="0" w:lastRowFirstColumn="0" w:lastRowLastColumn="0"/>
              <w:rPr>
                <w:sz w:val="22"/>
                <w:szCs w:val="22"/>
              </w:rPr>
            </w:pPr>
            <w:r w:rsidRPr="00CD2DB4">
              <w:rPr>
                <w:sz w:val="22"/>
                <w:szCs w:val="22"/>
              </w:rPr>
              <w:t>May 8, 2024</w:t>
            </w:r>
          </w:p>
        </w:tc>
        <w:tc>
          <w:tcPr>
            <w:cnfStyle w:val="000010000000" w:firstRow="0" w:lastRow="0" w:firstColumn="0" w:lastColumn="0" w:oddVBand="1" w:evenVBand="0" w:oddHBand="0" w:evenHBand="0" w:firstRowFirstColumn="0" w:firstRowLastColumn="0" w:lastRowFirstColumn="0" w:lastRowLastColumn="0"/>
            <w:tcW w:w="1440" w:type="dxa"/>
          </w:tcPr>
          <w:p w14:paraId="6D58D0AC" w14:textId="77777777" w:rsidR="0016435C" w:rsidRPr="00CD2DB4" w:rsidRDefault="0016435C" w:rsidP="004F1395">
            <w:pPr>
              <w:keepNext/>
              <w:keepLines/>
              <w:widowControl w:val="0"/>
              <w:jc w:val="both"/>
              <w:rPr>
                <w:sz w:val="22"/>
                <w:szCs w:val="22"/>
              </w:rPr>
            </w:pPr>
          </w:p>
        </w:tc>
      </w:tr>
      <w:tr w:rsidR="0016435C" w:rsidRPr="00CD2DB4" w14:paraId="624F0D1D" w14:textId="77777777" w:rsidTr="00CD2DB4">
        <w:trPr>
          <w:trHeight w:hRule="exact" w:val="289"/>
        </w:trPr>
        <w:tc>
          <w:tcPr>
            <w:cnfStyle w:val="000010000000" w:firstRow="0" w:lastRow="0" w:firstColumn="0" w:lastColumn="0" w:oddVBand="1" w:evenVBand="0" w:oddHBand="0" w:evenHBand="0" w:firstRowFirstColumn="0" w:firstRowLastColumn="0" w:lastRowFirstColumn="0" w:lastRowLastColumn="0"/>
            <w:tcW w:w="5755" w:type="dxa"/>
          </w:tcPr>
          <w:p w14:paraId="5237DA5C" w14:textId="77777777" w:rsidR="0016435C" w:rsidRPr="00CD2DB4" w:rsidRDefault="0016435C" w:rsidP="004F1395">
            <w:pPr>
              <w:keepNext/>
              <w:keepLines/>
              <w:widowControl w:val="0"/>
              <w:jc w:val="both"/>
              <w:rPr>
                <w:sz w:val="22"/>
                <w:szCs w:val="22"/>
              </w:rPr>
            </w:pPr>
            <w:r w:rsidRPr="00CD2DB4">
              <w:rPr>
                <w:sz w:val="22"/>
                <w:szCs w:val="22"/>
              </w:rPr>
              <w:t>Anticipated Agreement Start Date</w:t>
            </w:r>
          </w:p>
        </w:tc>
        <w:tc>
          <w:tcPr>
            <w:tcW w:w="2520" w:type="dxa"/>
          </w:tcPr>
          <w:p w14:paraId="43C0ED04" w14:textId="77777777" w:rsidR="0016435C" w:rsidRPr="00CD2DB4" w:rsidRDefault="0016435C" w:rsidP="004F1395">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CD2DB4">
              <w:rPr>
                <w:sz w:val="22"/>
                <w:szCs w:val="22"/>
              </w:rPr>
              <w:t>May 27, 2024</w:t>
            </w:r>
          </w:p>
        </w:tc>
        <w:tc>
          <w:tcPr>
            <w:cnfStyle w:val="000010000000" w:firstRow="0" w:lastRow="0" w:firstColumn="0" w:lastColumn="0" w:oddVBand="1" w:evenVBand="0" w:oddHBand="0" w:evenHBand="0" w:firstRowFirstColumn="0" w:firstRowLastColumn="0" w:lastRowFirstColumn="0" w:lastRowLastColumn="0"/>
            <w:tcW w:w="1440" w:type="dxa"/>
          </w:tcPr>
          <w:p w14:paraId="5B518B04" w14:textId="77777777" w:rsidR="0016435C" w:rsidRPr="00CD2DB4" w:rsidRDefault="0016435C" w:rsidP="004F1395">
            <w:pPr>
              <w:keepNext/>
              <w:keepLines/>
              <w:widowControl w:val="0"/>
              <w:jc w:val="both"/>
              <w:rPr>
                <w:sz w:val="22"/>
                <w:szCs w:val="22"/>
              </w:rPr>
            </w:pPr>
          </w:p>
        </w:tc>
      </w:tr>
      <w:tr w:rsidR="0016435C" w:rsidRPr="00CD2DB4" w14:paraId="62117907" w14:textId="77777777" w:rsidTr="00CD2DB4">
        <w:trPr>
          <w:cnfStyle w:val="000000100000" w:firstRow="0" w:lastRow="0" w:firstColumn="0" w:lastColumn="0" w:oddVBand="0" w:evenVBand="0" w:oddHBand="1" w:evenHBand="0" w:firstRowFirstColumn="0" w:firstRowLastColumn="0" w:lastRowFirstColumn="0" w:lastRowLastColumn="0"/>
          <w:trHeight w:hRule="exact" w:val="362"/>
        </w:trPr>
        <w:tc>
          <w:tcPr>
            <w:cnfStyle w:val="000010000000" w:firstRow="0" w:lastRow="0" w:firstColumn="0" w:lastColumn="0" w:oddVBand="1" w:evenVBand="0" w:oddHBand="0" w:evenHBand="0" w:firstRowFirstColumn="0" w:firstRowLastColumn="0" w:lastRowFirstColumn="0" w:lastRowLastColumn="0"/>
            <w:tcW w:w="5755" w:type="dxa"/>
          </w:tcPr>
          <w:p w14:paraId="0DB70A9F" w14:textId="77777777" w:rsidR="0016435C" w:rsidRPr="00CD2DB4" w:rsidRDefault="0016435C" w:rsidP="004F1395">
            <w:pPr>
              <w:keepNext/>
              <w:keepLines/>
              <w:widowControl w:val="0"/>
              <w:jc w:val="both"/>
              <w:rPr>
                <w:sz w:val="22"/>
                <w:szCs w:val="22"/>
              </w:rPr>
            </w:pPr>
            <w:r w:rsidRPr="00CD2DB4">
              <w:rPr>
                <w:sz w:val="22"/>
                <w:szCs w:val="22"/>
              </w:rPr>
              <w:t xml:space="preserve">Anticipated Agreement End Date </w:t>
            </w:r>
          </w:p>
        </w:tc>
        <w:tc>
          <w:tcPr>
            <w:tcW w:w="2520" w:type="dxa"/>
          </w:tcPr>
          <w:p w14:paraId="421F3D9E" w14:textId="77777777" w:rsidR="0016435C" w:rsidRPr="00CD2DB4" w:rsidRDefault="0016435C" w:rsidP="004F1395">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CD2DB4">
              <w:rPr>
                <w:sz w:val="22"/>
                <w:szCs w:val="22"/>
              </w:rPr>
              <w:t>March 31, 2028</w:t>
            </w:r>
          </w:p>
        </w:tc>
        <w:tc>
          <w:tcPr>
            <w:cnfStyle w:val="000010000000" w:firstRow="0" w:lastRow="0" w:firstColumn="0" w:lastColumn="0" w:oddVBand="1" w:evenVBand="0" w:oddHBand="0" w:evenHBand="0" w:firstRowFirstColumn="0" w:firstRowLastColumn="0" w:lastRowFirstColumn="0" w:lastRowLastColumn="0"/>
            <w:tcW w:w="1440" w:type="dxa"/>
          </w:tcPr>
          <w:p w14:paraId="438BB7A8" w14:textId="77777777" w:rsidR="0016435C" w:rsidRPr="00CD2DB4" w:rsidRDefault="0016435C" w:rsidP="004F1395">
            <w:pPr>
              <w:keepNext/>
              <w:keepLines/>
              <w:widowControl w:val="0"/>
              <w:jc w:val="both"/>
              <w:rPr>
                <w:sz w:val="22"/>
                <w:szCs w:val="22"/>
              </w:rPr>
            </w:pPr>
          </w:p>
        </w:tc>
      </w:tr>
    </w:tbl>
    <w:p w14:paraId="535CE8F1" w14:textId="77777777" w:rsidR="0016435C" w:rsidRPr="00CD2DB4" w:rsidRDefault="0016435C" w:rsidP="0016435C">
      <w:pPr>
        <w:jc w:val="both"/>
        <w:rPr>
          <w:rFonts w:ascii="Arial" w:hAnsi="Arial" w:cs="Arial"/>
          <w:sz w:val="22"/>
          <w:szCs w:val="22"/>
        </w:rPr>
      </w:pPr>
    </w:p>
    <w:p w14:paraId="415D8AC1" w14:textId="3CA0E1CF" w:rsidR="0010352D" w:rsidRPr="00CD2DB4" w:rsidRDefault="0010352D">
      <w:pPr>
        <w:rPr>
          <w:rFonts w:ascii="Arial" w:eastAsia="Tahoma" w:hAnsi="Arial" w:cs="Arial"/>
          <w:color w:val="000000" w:themeColor="text1"/>
          <w:sz w:val="22"/>
          <w:szCs w:val="22"/>
        </w:rPr>
      </w:pPr>
    </w:p>
    <w:p w14:paraId="030397EC" w14:textId="7047AA77" w:rsidR="0010352D" w:rsidRDefault="00E72CA4">
      <w:pPr>
        <w:rPr>
          <w:rFonts w:ascii="Arial" w:eastAsia="Tahoma" w:hAnsi="Arial" w:cs="Arial"/>
          <w:color w:val="000000" w:themeColor="text1"/>
          <w:sz w:val="22"/>
          <w:szCs w:val="22"/>
        </w:rPr>
      </w:pPr>
      <w:r>
        <w:rPr>
          <w:rFonts w:ascii="Arial" w:eastAsia="Tahoma" w:hAnsi="Arial" w:cs="Arial"/>
          <w:color w:val="000000" w:themeColor="text1"/>
          <w:sz w:val="22"/>
          <w:szCs w:val="22"/>
        </w:rPr>
        <w:t xml:space="preserve">Pages 17 of the </w:t>
      </w:r>
      <w:r w:rsidR="001629CC">
        <w:rPr>
          <w:rFonts w:ascii="Arial" w:eastAsia="Tahoma" w:hAnsi="Arial" w:cs="Arial"/>
          <w:color w:val="000000" w:themeColor="text1"/>
          <w:sz w:val="22"/>
          <w:szCs w:val="22"/>
        </w:rPr>
        <w:t xml:space="preserve">Application Manual, Section I.J. Match Funding. </w:t>
      </w:r>
    </w:p>
    <w:p w14:paraId="7CC3F1A2" w14:textId="77777777" w:rsidR="001629CC" w:rsidRDefault="001629CC">
      <w:pPr>
        <w:rPr>
          <w:rFonts w:ascii="Arial" w:eastAsia="Tahoma" w:hAnsi="Arial" w:cs="Arial"/>
          <w:color w:val="000000" w:themeColor="text1"/>
          <w:sz w:val="22"/>
          <w:szCs w:val="22"/>
        </w:rPr>
      </w:pPr>
    </w:p>
    <w:p w14:paraId="3DC61FD4" w14:textId="15EF8B07" w:rsidR="00F839F0" w:rsidRDefault="00F839F0">
      <w:pPr>
        <w:rPr>
          <w:rFonts w:ascii="Arial" w:eastAsia="Tahoma" w:hAnsi="Arial" w:cs="Arial"/>
          <w:color w:val="000000" w:themeColor="text1"/>
          <w:sz w:val="22"/>
          <w:szCs w:val="22"/>
        </w:rPr>
      </w:pPr>
      <w:r>
        <w:rPr>
          <w:rFonts w:ascii="Arial" w:eastAsia="Tahoma" w:hAnsi="Arial" w:cs="Arial"/>
          <w:color w:val="000000" w:themeColor="text1"/>
          <w:sz w:val="22"/>
          <w:szCs w:val="22"/>
        </w:rPr>
        <w:t xml:space="preserve">Definition of “In-Kind” match is updated to </w:t>
      </w:r>
      <w:r w:rsidR="00CD1A7E">
        <w:rPr>
          <w:rFonts w:ascii="Arial" w:eastAsia="Tahoma" w:hAnsi="Arial" w:cs="Arial"/>
          <w:color w:val="000000" w:themeColor="text1"/>
          <w:sz w:val="22"/>
          <w:szCs w:val="22"/>
        </w:rPr>
        <w:t xml:space="preserve">further clarify. </w:t>
      </w:r>
      <w:r>
        <w:rPr>
          <w:rFonts w:ascii="Arial" w:eastAsia="Tahoma" w:hAnsi="Arial" w:cs="Arial"/>
          <w:color w:val="000000" w:themeColor="text1"/>
          <w:sz w:val="22"/>
          <w:szCs w:val="22"/>
        </w:rPr>
        <w:t xml:space="preserve"> </w:t>
      </w:r>
    </w:p>
    <w:p w14:paraId="2849C386" w14:textId="75547314" w:rsidR="00913DBB" w:rsidRPr="00913DBB" w:rsidRDefault="00913DBB" w:rsidP="00913DBB">
      <w:pPr>
        <w:numPr>
          <w:ilvl w:val="2"/>
          <w:numId w:val="4"/>
        </w:numPr>
        <w:spacing w:before="120" w:after="120"/>
        <w:ind w:left="1080"/>
        <w:jc w:val="both"/>
        <w:rPr>
          <w:rFonts w:ascii="Arial" w:eastAsia="Times New Roman" w:hAnsi="Arial" w:cs="Arial"/>
          <w:strike/>
          <w:sz w:val="22"/>
          <w:szCs w:val="22"/>
        </w:rPr>
      </w:pPr>
      <w:r>
        <w:rPr>
          <w:rFonts w:ascii="Arial" w:eastAsia="Times New Roman" w:hAnsi="Arial" w:cs="Arial"/>
          <w:b/>
          <w:strike/>
          <w:sz w:val="22"/>
          <w:szCs w:val="22"/>
        </w:rPr>
        <w:t>[</w:t>
      </w:r>
      <w:r w:rsidRPr="00913DBB">
        <w:rPr>
          <w:rFonts w:ascii="Arial" w:eastAsia="Times New Roman" w:hAnsi="Arial" w:cs="Arial"/>
          <w:b/>
          <w:strike/>
          <w:sz w:val="22"/>
          <w:szCs w:val="22"/>
        </w:rPr>
        <w:t>“In-Kind”</w:t>
      </w:r>
      <w:r w:rsidRPr="00913DBB">
        <w:rPr>
          <w:rFonts w:ascii="Arial" w:eastAsia="Times New Roman" w:hAnsi="Arial" w:cs="Arial"/>
          <w:strike/>
          <w:sz w:val="22"/>
          <w:szCs w:val="22"/>
        </w:rPr>
        <w:t xml:space="preserve"> </w:t>
      </w:r>
      <w:r w:rsidRPr="00913DBB">
        <w:rPr>
          <w:rFonts w:ascii="Arial" w:eastAsia="Times New Roman" w:hAnsi="Arial" w:cs="Arial"/>
          <w:b/>
          <w:strike/>
          <w:sz w:val="22"/>
          <w:szCs w:val="22"/>
        </w:rPr>
        <w:t>match</w:t>
      </w:r>
      <w:r w:rsidRPr="00913DBB">
        <w:rPr>
          <w:rFonts w:ascii="Arial" w:eastAsia="Times New Roman" w:hAnsi="Arial" w:cs="Arial"/>
          <w:strike/>
          <w:sz w:val="22"/>
          <w:szCs w:val="22"/>
        </w:rPr>
        <w:t xml:space="preserve"> is typically in the form of the value of personnel, goods, and services, including direct and indirect costs. This can include equipment, facilities, and other property </w:t>
      </w:r>
      <w:proofErr w:type="gramStart"/>
      <w:r w:rsidRPr="00913DBB">
        <w:rPr>
          <w:rFonts w:ascii="Arial" w:eastAsia="Times New Roman" w:hAnsi="Arial" w:cs="Arial"/>
          <w:strike/>
          <w:sz w:val="22"/>
          <w:szCs w:val="22"/>
        </w:rPr>
        <w:t>as long as</w:t>
      </w:r>
      <w:proofErr w:type="gramEnd"/>
      <w:r w:rsidRPr="00913DBB">
        <w:rPr>
          <w:rFonts w:ascii="Arial" w:eastAsia="Times New Roman" w:hAnsi="Arial" w:cs="Arial"/>
          <w:strike/>
          <w:sz w:val="22"/>
          <w:szCs w:val="22"/>
        </w:rPr>
        <w:t xml:space="preserve"> the value of the contribution is based on documented market values or book values, prorated for its use in the project, and depreciated or amortized over the term of the project using generally accepted accounting principles (GAAP).</w:t>
      </w:r>
      <w:r>
        <w:rPr>
          <w:rFonts w:ascii="Arial" w:eastAsia="Times New Roman" w:hAnsi="Arial" w:cs="Arial"/>
          <w:strike/>
          <w:sz w:val="22"/>
          <w:szCs w:val="22"/>
        </w:rPr>
        <w:t>]</w:t>
      </w:r>
    </w:p>
    <w:p w14:paraId="30DEBB1B" w14:textId="77777777" w:rsidR="00913DBB" w:rsidRPr="00913DBB" w:rsidRDefault="00913DBB" w:rsidP="00913DBB">
      <w:pPr>
        <w:spacing w:before="120" w:after="120"/>
        <w:ind w:left="1080"/>
        <w:jc w:val="both"/>
        <w:rPr>
          <w:rFonts w:ascii="Arial" w:eastAsia="Times New Roman" w:hAnsi="Arial" w:cs="Arial"/>
          <w:b/>
          <w:bCs/>
          <w:strike/>
          <w:sz w:val="22"/>
          <w:szCs w:val="22"/>
          <w:u w:val="single"/>
        </w:rPr>
      </w:pPr>
      <w:r w:rsidRPr="00913DBB">
        <w:rPr>
          <w:rFonts w:ascii="Arial" w:eastAsia="Times New Roman" w:hAnsi="Arial" w:cs="Arial"/>
          <w:b/>
          <w:bCs/>
          <w:sz w:val="22"/>
          <w:szCs w:val="22"/>
          <w:u w:val="single"/>
        </w:rPr>
        <w:t xml:space="preserve">“In-Kind” match 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w:t>
      </w:r>
      <w:proofErr w:type="gramStart"/>
      <w:r w:rsidRPr="00913DBB">
        <w:rPr>
          <w:rFonts w:ascii="Arial" w:eastAsia="Times New Roman" w:hAnsi="Arial" w:cs="Arial"/>
          <w:b/>
          <w:bCs/>
          <w:sz w:val="22"/>
          <w:szCs w:val="22"/>
          <w:u w:val="single"/>
        </w:rPr>
        <w:t>project, and</w:t>
      </w:r>
      <w:proofErr w:type="gramEnd"/>
      <w:r w:rsidRPr="00913DBB">
        <w:rPr>
          <w:rFonts w:ascii="Arial" w:eastAsia="Times New Roman" w:hAnsi="Arial" w:cs="Arial"/>
          <w:b/>
          <w:bCs/>
          <w:sz w:val="22"/>
          <w:szCs w:val="22"/>
          <w:u w:val="single"/>
        </w:rPr>
        <w:t xml:space="preserve">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6BBCC2F6" w14:textId="77777777" w:rsidR="00913DBB" w:rsidRPr="00913DBB" w:rsidRDefault="00913DBB" w:rsidP="00913DBB">
      <w:pPr>
        <w:spacing w:before="120" w:after="120"/>
        <w:ind w:left="1080"/>
        <w:jc w:val="both"/>
        <w:rPr>
          <w:rFonts w:ascii="Arial" w:eastAsia="Times New Roman" w:hAnsi="Arial" w:cs="Arial"/>
          <w:b/>
          <w:bCs/>
          <w:sz w:val="22"/>
          <w:szCs w:val="22"/>
          <w:u w:val="single"/>
        </w:rPr>
      </w:pPr>
      <w:r w:rsidRPr="00913DBB">
        <w:rPr>
          <w:rFonts w:ascii="Arial" w:eastAsia="Times New Roman" w:hAnsi="Arial" w:cs="Arial"/>
          <w:b/>
          <w:bCs/>
          <w:sz w:val="22"/>
          <w:szCs w:val="22"/>
          <w:u w:val="single"/>
        </w:rPr>
        <w:lastRenderedPageBreak/>
        <w:t>The grant recipient is expected to maintain appropriate documentation to support the fair market value of all in-kind match including match donated by third parties or major subrecipients.</w:t>
      </w:r>
    </w:p>
    <w:p w14:paraId="5BCBA303" w14:textId="77777777" w:rsidR="001629CC" w:rsidRDefault="001629CC">
      <w:pPr>
        <w:rPr>
          <w:rFonts w:ascii="Arial" w:eastAsia="Tahoma" w:hAnsi="Arial" w:cs="Arial"/>
          <w:color w:val="000000" w:themeColor="text1"/>
          <w:sz w:val="22"/>
          <w:szCs w:val="22"/>
        </w:rPr>
      </w:pPr>
    </w:p>
    <w:p w14:paraId="348D170D" w14:textId="58F47704" w:rsidR="00F839F0" w:rsidRPr="00CD2DB4" w:rsidRDefault="00F839F0">
      <w:pPr>
        <w:rPr>
          <w:rFonts w:ascii="Arial" w:eastAsia="Tahoma" w:hAnsi="Arial" w:cs="Arial"/>
          <w:color w:val="000000" w:themeColor="text1"/>
          <w:sz w:val="22"/>
          <w:szCs w:val="22"/>
        </w:rPr>
      </w:pPr>
      <w:r>
        <w:rPr>
          <w:rFonts w:ascii="Arial" w:eastAsia="Tahoma" w:hAnsi="Arial" w:cs="Arial"/>
          <w:color w:val="000000" w:themeColor="text1"/>
          <w:sz w:val="22"/>
          <w:szCs w:val="22"/>
        </w:rPr>
        <w:t xml:space="preserve">Travel description is updated by removing outdated language. </w:t>
      </w:r>
    </w:p>
    <w:p w14:paraId="686868FC" w14:textId="77777777" w:rsidR="00F839F0" w:rsidRPr="00F839F0" w:rsidRDefault="00F839F0" w:rsidP="00F839F0">
      <w:pPr>
        <w:numPr>
          <w:ilvl w:val="2"/>
          <w:numId w:val="4"/>
        </w:numPr>
        <w:spacing w:before="120" w:after="120"/>
        <w:ind w:left="1080"/>
        <w:jc w:val="both"/>
        <w:rPr>
          <w:rFonts w:ascii="Arial" w:eastAsia="Times New Roman" w:hAnsi="Arial" w:cs="Arial"/>
          <w:sz w:val="22"/>
          <w:szCs w:val="22"/>
        </w:rPr>
      </w:pPr>
      <w:r w:rsidRPr="00F839F0">
        <w:rPr>
          <w:rFonts w:ascii="Arial" w:eastAsia="Times New Roman" w:hAnsi="Arial" w:cs="Arial"/>
          <w:b/>
          <w:sz w:val="22"/>
          <w:szCs w:val="22"/>
        </w:rPr>
        <w:t xml:space="preserve">“Travel” </w:t>
      </w:r>
      <w:r w:rsidRPr="00F839F0">
        <w:rPr>
          <w:rFonts w:ascii="Arial" w:eastAsia="Times New Roman" w:hAnsi="Arial" w:cs="Arial"/>
          <w:sz w:val="22"/>
          <w:szCs w:val="22"/>
        </w:rPr>
        <w:t xml:space="preserve">refers to all travel required to complete the tasks identified in the Scope of Work. </w:t>
      </w:r>
      <w:r w:rsidRPr="008D70B1">
        <w:rPr>
          <w:rFonts w:ascii="Arial" w:eastAsia="Times New Roman" w:hAnsi="Arial" w:cs="Arial"/>
          <w:strike/>
          <w:sz w:val="22"/>
          <w:szCs w:val="22"/>
        </w:rPr>
        <w:t>Travel includes in-state and out-of-state, and travel to conferences. CEC funds are limited to lodging and any form of transportation (e.g., airfare, rental car, public transit, parking, mileage).</w:t>
      </w:r>
      <w:r w:rsidRPr="00F839F0">
        <w:rPr>
          <w:rFonts w:ascii="Arial" w:eastAsia="Times New Roman" w:hAnsi="Arial" w:cs="Arial"/>
          <w:sz w:val="22"/>
          <w:szCs w:val="22"/>
        </w:rPr>
        <w:t xml:space="preserve"> Use of match funds for out-of-state travel is encouraged, as the CEC discourages and may not approve the use of its funds for such travel. If an applicant plans to travel to conferences, including registration fees, they must use match funds.  </w:t>
      </w:r>
      <w:r w:rsidRPr="00F839F0">
        <w:rPr>
          <w:rFonts w:ascii="Arial" w:eastAsia="Times New Roman" w:hAnsi="Arial" w:cs="Arial"/>
          <w:strike/>
          <w:sz w:val="22"/>
          <w:szCs w:val="22"/>
        </w:rPr>
        <w:t>Applicants shall adhere to travel restrictions of using state funds to travel to certain other states pursuant to AB 1887 (2016) and codified at California Government Code Section 11139.8. All applicants are encouraged to consider the Attorney General’s website https://oag.ca.gov/ab1887 for a current list of states subject to travel restrictions.  Awarded Grants under this solicitation shall not contain travel paid for with Commission funds (applicants can instead use match funds) to the listed states unless the Commission approves in writing that the trip falls within one of the exceptions under the law.</w:t>
      </w:r>
    </w:p>
    <w:p w14:paraId="6EB63629" w14:textId="77777777" w:rsidR="00353372" w:rsidRPr="00CD2DB4" w:rsidRDefault="00353372" w:rsidP="0016435C">
      <w:pPr>
        <w:rPr>
          <w:rFonts w:ascii="Arial" w:hAnsi="Arial" w:cs="Arial"/>
          <w:sz w:val="22"/>
          <w:szCs w:val="22"/>
        </w:rPr>
      </w:pPr>
    </w:p>
    <w:sectPr w:rsidR="00353372" w:rsidRPr="00CD2DB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9159" w14:textId="77777777" w:rsidR="002E0B3F" w:rsidRDefault="002E0B3F" w:rsidP="00900D74">
      <w:r>
        <w:separator/>
      </w:r>
    </w:p>
  </w:endnote>
  <w:endnote w:type="continuationSeparator" w:id="0">
    <w:p w14:paraId="1949C880" w14:textId="77777777" w:rsidR="002E0B3F" w:rsidRDefault="002E0B3F" w:rsidP="0090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8482"/>
      <w:docPartObj>
        <w:docPartGallery w:val="Page Numbers (Bottom of Page)"/>
        <w:docPartUnique/>
      </w:docPartObj>
    </w:sdtPr>
    <w:sdtEndPr/>
    <w:sdtContent>
      <w:sdt>
        <w:sdtPr>
          <w:id w:val="1728636285"/>
          <w:docPartObj>
            <w:docPartGallery w:val="Page Numbers (Top of Page)"/>
            <w:docPartUnique/>
          </w:docPartObj>
        </w:sdtPr>
        <w:sdtEndPr/>
        <w:sdtContent>
          <w:p w14:paraId="295AEEB4" w14:textId="0CCF3B8F" w:rsidR="00D6047B" w:rsidRDefault="00D6047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39328C6" w14:textId="77777777" w:rsidR="00D6047B" w:rsidRDefault="00D60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89D9" w14:textId="77777777" w:rsidR="002E0B3F" w:rsidRDefault="002E0B3F" w:rsidP="00900D74">
      <w:r>
        <w:separator/>
      </w:r>
    </w:p>
  </w:footnote>
  <w:footnote w:type="continuationSeparator" w:id="0">
    <w:p w14:paraId="2CBF7459" w14:textId="77777777" w:rsidR="002E0B3F" w:rsidRDefault="002E0B3F" w:rsidP="00900D74">
      <w:r>
        <w:continuationSeparator/>
      </w:r>
    </w:p>
  </w:footnote>
  <w:footnote w:id="1">
    <w:p w14:paraId="2E6158DE" w14:textId="77777777" w:rsidR="0016435C" w:rsidRDefault="0016435C" w:rsidP="0016435C">
      <w:pPr>
        <w:pStyle w:val="FootnoteText"/>
      </w:pPr>
      <w:r>
        <w:rPr>
          <w:rStyle w:val="FootnoteReference"/>
        </w:rPr>
        <w:footnoteRef/>
      </w:r>
      <w:r>
        <w:t xml:space="preserve"> Pacific Standard Time or Pacific Daylight Time, whichever is being observed.</w:t>
      </w:r>
    </w:p>
  </w:footnote>
  <w:footnote w:id="2">
    <w:p w14:paraId="679B0507" w14:textId="77777777" w:rsidR="0016435C" w:rsidRDefault="0016435C" w:rsidP="0016435C">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0D94"/>
    <w:multiLevelType w:val="hybridMultilevel"/>
    <w:tmpl w:val="4A8C6244"/>
    <w:lvl w:ilvl="0" w:tplc="51E2A486">
      <w:start w:val="1"/>
      <w:numFmt w:val="decimal"/>
      <w:lvlText w:val="%1."/>
      <w:lvlJc w:val="left"/>
      <w:pPr>
        <w:ind w:left="720" w:hanging="360"/>
      </w:pPr>
      <w:rPr>
        <w:b/>
        <w:bCs/>
      </w:rPr>
    </w:lvl>
    <w:lvl w:ilvl="1" w:tplc="F2AE838E">
      <w:start w:val="1"/>
      <w:numFmt w:val="lowerLetter"/>
      <w:lvlText w:val="%2."/>
      <w:lvlJc w:val="left"/>
      <w:pPr>
        <w:ind w:left="1440" w:hanging="360"/>
      </w:pPr>
    </w:lvl>
    <w:lvl w:ilvl="2" w:tplc="52727766">
      <w:start w:val="1"/>
      <w:numFmt w:val="lowerRoman"/>
      <w:lvlText w:val="%3."/>
      <w:lvlJc w:val="right"/>
      <w:pPr>
        <w:ind w:left="2160" w:hanging="180"/>
      </w:pPr>
    </w:lvl>
    <w:lvl w:ilvl="3" w:tplc="ED64B238">
      <w:start w:val="1"/>
      <w:numFmt w:val="decimal"/>
      <w:lvlText w:val="%4."/>
      <w:lvlJc w:val="left"/>
      <w:pPr>
        <w:ind w:left="2880" w:hanging="360"/>
      </w:pPr>
    </w:lvl>
    <w:lvl w:ilvl="4" w:tplc="A24836DC">
      <w:start w:val="1"/>
      <w:numFmt w:val="lowerLetter"/>
      <w:lvlText w:val="%5."/>
      <w:lvlJc w:val="left"/>
      <w:pPr>
        <w:ind w:left="3600" w:hanging="360"/>
      </w:pPr>
    </w:lvl>
    <w:lvl w:ilvl="5" w:tplc="20689B38">
      <w:start w:val="1"/>
      <w:numFmt w:val="lowerRoman"/>
      <w:lvlText w:val="%6."/>
      <w:lvlJc w:val="right"/>
      <w:pPr>
        <w:ind w:left="4320" w:hanging="180"/>
      </w:pPr>
    </w:lvl>
    <w:lvl w:ilvl="6" w:tplc="4EE86F0C">
      <w:start w:val="1"/>
      <w:numFmt w:val="decimal"/>
      <w:lvlText w:val="%7."/>
      <w:lvlJc w:val="left"/>
      <w:pPr>
        <w:ind w:left="5040" w:hanging="360"/>
      </w:pPr>
    </w:lvl>
    <w:lvl w:ilvl="7" w:tplc="C288719A">
      <w:start w:val="1"/>
      <w:numFmt w:val="lowerLetter"/>
      <w:lvlText w:val="%8."/>
      <w:lvlJc w:val="left"/>
      <w:pPr>
        <w:ind w:left="5760" w:hanging="360"/>
      </w:pPr>
    </w:lvl>
    <w:lvl w:ilvl="8" w:tplc="83945A46">
      <w:start w:val="1"/>
      <w:numFmt w:val="lowerRoman"/>
      <w:lvlText w:val="%9."/>
      <w:lvlJc w:val="right"/>
      <w:pPr>
        <w:ind w:left="6480" w:hanging="180"/>
      </w:pPr>
    </w:lvl>
  </w:abstractNum>
  <w:abstractNum w:abstractNumId="1" w15:restartNumberingAfterBreak="0">
    <w:nsid w:val="3B5A24B4"/>
    <w:multiLevelType w:val="hybridMultilevel"/>
    <w:tmpl w:val="9998CF8C"/>
    <w:lvl w:ilvl="0" w:tplc="A236632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F7A63"/>
    <w:multiLevelType w:val="hybridMultilevel"/>
    <w:tmpl w:val="67B2A482"/>
    <w:lvl w:ilvl="0" w:tplc="F5C87CCE">
      <w:start w:val="1"/>
      <w:numFmt w:val="decimal"/>
      <w:lvlText w:val="%1."/>
      <w:lvlJc w:val="left"/>
      <w:pPr>
        <w:tabs>
          <w:tab w:val="num" w:pos="1440"/>
        </w:tabs>
        <w:ind w:left="1440" w:hanging="720"/>
      </w:pPr>
      <w:rPr>
        <w:rFonts w:hint="default"/>
        <w:b/>
        <w:color w:val="auto"/>
      </w:rPr>
    </w:lvl>
    <w:lvl w:ilvl="1" w:tplc="79309EAC">
      <w:start w:val="1"/>
      <w:numFmt w:val="bullet"/>
      <w:lvlText w:val="o"/>
      <w:lvlJc w:val="left"/>
      <w:pPr>
        <w:tabs>
          <w:tab w:val="num" w:pos="2160"/>
        </w:tabs>
        <w:ind w:left="2160" w:hanging="720"/>
      </w:pPr>
      <w:rPr>
        <w:rFonts w:ascii="Courier New" w:hAnsi="Courier New" w:cs="Courier New" w:hint="default"/>
        <w:color w:val="auto"/>
      </w:rPr>
    </w:lvl>
    <w:lvl w:ilvl="2" w:tplc="9E940A26">
      <w:start w:val="1"/>
      <w:numFmt w:val="decimal"/>
      <w:lvlText w:val="%3."/>
      <w:lvlJc w:val="left"/>
      <w:pPr>
        <w:tabs>
          <w:tab w:val="num" w:pos="2880"/>
        </w:tabs>
        <w:ind w:left="2880" w:hanging="720"/>
      </w:pPr>
    </w:lvl>
    <w:lvl w:ilvl="3" w:tplc="B02AC8A2">
      <w:start w:val="1"/>
      <w:numFmt w:val="decimal"/>
      <w:lvlText w:val="%4."/>
      <w:lvlJc w:val="left"/>
      <w:pPr>
        <w:tabs>
          <w:tab w:val="num" w:pos="3600"/>
        </w:tabs>
        <w:ind w:left="3600" w:hanging="720"/>
      </w:pPr>
    </w:lvl>
    <w:lvl w:ilvl="4" w:tplc="943ADC58">
      <w:start w:val="1"/>
      <w:numFmt w:val="decimal"/>
      <w:lvlText w:val="%5."/>
      <w:lvlJc w:val="left"/>
      <w:pPr>
        <w:tabs>
          <w:tab w:val="num" w:pos="4320"/>
        </w:tabs>
        <w:ind w:left="4320" w:hanging="720"/>
      </w:pPr>
    </w:lvl>
    <w:lvl w:ilvl="5" w:tplc="97867354">
      <w:start w:val="1"/>
      <w:numFmt w:val="decimal"/>
      <w:lvlText w:val="%6."/>
      <w:lvlJc w:val="left"/>
      <w:pPr>
        <w:tabs>
          <w:tab w:val="num" w:pos="5040"/>
        </w:tabs>
        <w:ind w:left="5040" w:hanging="720"/>
      </w:pPr>
    </w:lvl>
    <w:lvl w:ilvl="6" w:tplc="F510F84A">
      <w:start w:val="1"/>
      <w:numFmt w:val="decimal"/>
      <w:lvlText w:val="%7."/>
      <w:lvlJc w:val="left"/>
      <w:pPr>
        <w:tabs>
          <w:tab w:val="num" w:pos="5760"/>
        </w:tabs>
        <w:ind w:left="5760" w:hanging="720"/>
      </w:pPr>
    </w:lvl>
    <w:lvl w:ilvl="7" w:tplc="F2569854">
      <w:start w:val="1"/>
      <w:numFmt w:val="decimal"/>
      <w:lvlText w:val="%8."/>
      <w:lvlJc w:val="left"/>
      <w:pPr>
        <w:tabs>
          <w:tab w:val="num" w:pos="6480"/>
        </w:tabs>
        <w:ind w:left="6480" w:hanging="720"/>
      </w:pPr>
    </w:lvl>
    <w:lvl w:ilvl="8" w:tplc="57583C40">
      <w:start w:val="1"/>
      <w:numFmt w:val="decimal"/>
      <w:lvlText w:val="%9."/>
      <w:lvlJc w:val="left"/>
      <w:pPr>
        <w:tabs>
          <w:tab w:val="num" w:pos="7200"/>
        </w:tabs>
        <w:ind w:left="7200" w:hanging="720"/>
      </w:pPr>
    </w:lvl>
  </w:abstractNum>
  <w:abstractNum w:abstractNumId="3" w15:restartNumberingAfterBreak="0">
    <w:nsid w:val="71B3209C"/>
    <w:multiLevelType w:val="hybridMultilevel"/>
    <w:tmpl w:val="F30A6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8702DC4">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216683">
    <w:abstractNumId w:val="2"/>
  </w:num>
  <w:num w:numId="2" w16cid:durableId="2089955769">
    <w:abstractNumId w:val="1"/>
  </w:num>
  <w:num w:numId="3" w16cid:durableId="818351532">
    <w:abstractNumId w:val="0"/>
  </w:num>
  <w:num w:numId="4" w16cid:durableId="259221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92"/>
    <w:rsid w:val="00012A05"/>
    <w:rsid w:val="000735AF"/>
    <w:rsid w:val="00084627"/>
    <w:rsid w:val="0010352D"/>
    <w:rsid w:val="001629CC"/>
    <w:rsid w:val="001632C7"/>
    <w:rsid w:val="0016435C"/>
    <w:rsid w:val="00190DC6"/>
    <w:rsid w:val="001C7861"/>
    <w:rsid w:val="0026183C"/>
    <w:rsid w:val="00283C34"/>
    <w:rsid w:val="002A02E6"/>
    <w:rsid w:val="002C57C3"/>
    <w:rsid w:val="002E0B3F"/>
    <w:rsid w:val="0032119C"/>
    <w:rsid w:val="00353372"/>
    <w:rsid w:val="00361556"/>
    <w:rsid w:val="0042043E"/>
    <w:rsid w:val="004237CD"/>
    <w:rsid w:val="00430867"/>
    <w:rsid w:val="00527F2B"/>
    <w:rsid w:val="005A2575"/>
    <w:rsid w:val="006838DB"/>
    <w:rsid w:val="0072586C"/>
    <w:rsid w:val="00763206"/>
    <w:rsid w:val="008A15E4"/>
    <w:rsid w:val="008D70B1"/>
    <w:rsid w:val="00900D74"/>
    <w:rsid w:val="00910367"/>
    <w:rsid w:val="00913DBB"/>
    <w:rsid w:val="0098350C"/>
    <w:rsid w:val="009A5CC6"/>
    <w:rsid w:val="009A71F8"/>
    <w:rsid w:val="009B422C"/>
    <w:rsid w:val="009D06EA"/>
    <w:rsid w:val="00A12785"/>
    <w:rsid w:val="00BD2B64"/>
    <w:rsid w:val="00C56D9B"/>
    <w:rsid w:val="00C74666"/>
    <w:rsid w:val="00CC226D"/>
    <w:rsid w:val="00CC7ACA"/>
    <w:rsid w:val="00CD1737"/>
    <w:rsid w:val="00CD1A7E"/>
    <w:rsid w:val="00CD2DB4"/>
    <w:rsid w:val="00CE1E4C"/>
    <w:rsid w:val="00D21A4B"/>
    <w:rsid w:val="00D6047B"/>
    <w:rsid w:val="00D66CC6"/>
    <w:rsid w:val="00D840EB"/>
    <w:rsid w:val="00DC645D"/>
    <w:rsid w:val="00DD1CE9"/>
    <w:rsid w:val="00E72CA4"/>
    <w:rsid w:val="00EE304E"/>
    <w:rsid w:val="00F01F14"/>
    <w:rsid w:val="00F13406"/>
    <w:rsid w:val="00F65992"/>
    <w:rsid w:val="00F65FEA"/>
    <w:rsid w:val="00F839F0"/>
    <w:rsid w:val="00F9232E"/>
    <w:rsid w:val="0B6BD31C"/>
    <w:rsid w:val="111B0DC5"/>
    <w:rsid w:val="1BDD7935"/>
    <w:rsid w:val="432978CC"/>
    <w:rsid w:val="43583CB6"/>
    <w:rsid w:val="4E106A07"/>
    <w:rsid w:val="590C9228"/>
    <w:rsid w:val="5B86DB0D"/>
    <w:rsid w:val="61A8B528"/>
    <w:rsid w:val="67808B21"/>
    <w:rsid w:val="6BA4ACDC"/>
    <w:rsid w:val="6E4CA95F"/>
    <w:rsid w:val="77AD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103D"/>
  <w15:chartTrackingRefBased/>
  <w15:docId w15:val="{FCFC4724-ADFE-4C07-B5D5-51F59BA5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C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00D7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00D7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900D74"/>
    <w:rPr>
      <w:rFonts w:cs="Times New Roman"/>
      <w:vertAlign w:val="superscript"/>
    </w:rPr>
  </w:style>
  <w:style w:type="table" w:customStyle="1" w:styleId="ListTable321">
    <w:name w:val="List Table 321"/>
    <w:basedOn w:val="TableNormal"/>
    <w:next w:val="ListTable3"/>
    <w:uiPriority w:val="48"/>
    <w:rsid w:val="00900D74"/>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900D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EE304E"/>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Header">
    <w:name w:val="header"/>
    <w:basedOn w:val="Normal"/>
    <w:link w:val="HeaderChar"/>
    <w:uiPriority w:val="99"/>
    <w:unhideWhenUsed/>
    <w:rsid w:val="00D6047B"/>
    <w:pPr>
      <w:tabs>
        <w:tab w:val="center" w:pos="4680"/>
        <w:tab w:val="right" w:pos="9360"/>
      </w:tabs>
    </w:pPr>
  </w:style>
  <w:style w:type="character" w:customStyle="1" w:styleId="HeaderChar">
    <w:name w:val="Header Char"/>
    <w:basedOn w:val="DefaultParagraphFont"/>
    <w:link w:val="Header"/>
    <w:uiPriority w:val="99"/>
    <w:rsid w:val="00D6047B"/>
    <w:rPr>
      <w:sz w:val="24"/>
      <w:szCs w:val="24"/>
    </w:rPr>
  </w:style>
  <w:style w:type="paragraph" w:styleId="Footer">
    <w:name w:val="footer"/>
    <w:basedOn w:val="Normal"/>
    <w:link w:val="FooterChar"/>
    <w:uiPriority w:val="99"/>
    <w:unhideWhenUsed/>
    <w:rsid w:val="00D6047B"/>
    <w:pPr>
      <w:tabs>
        <w:tab w:val="center" w:pos="4680"/>
        <w:tab w:val="right" w:pos="9360"/>
      </w:tabs>
    </w:pPr>
  </w:style>
  <w:style w:type="character" w:customStyle="1" w:styleId="FooterChar">
    <w:name w:val="Footer Char"/>
    <w:basedOn w:val="DefaultParagraphFont"/>
    <w:link w:val="Footer"/>
    <w:uiPriority w:val="99"/>
    <w:rsid w:val="00D6047B"/>
    <w:rPr>
      <w:sz w:val="24"/>
      <w:szCs w:val="24"/>
    </w:rPr>
  </w:style>
  <w:style w:type="table" w:customStyle="1" w:styleId="TableGrid2">
    <w:name w:val="Table Grid2"/>
    <w:basedOn w:val="TableNormal"/>
    <w:next w:val="TableGrid"/>
    <w:uiPriority w:val="39"/>
    <w:rsid w:val="00F134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Grid">
    <w:name w:val="Table Grid"/>
    <w:basedOn w:val="TableNormal"/>
    <w:uiPriority w:val="39"/>
    <w:rsid w:val="00F1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F2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Ortiz, Reta@Energy</DisplayName>
        <AccountId>94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9B60E-CBB4-4867-9A0E-B0F84ECA5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57883-5336-4359-8AA0-8D70EFEDD5A6}">
  <ds:schemaRef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2006/documentManagement/types"/>
    <ds:schemaRef ds:uri="e036a933-3545-4a28-bf48-39f26e5acea7"/>
    <ds:schemaRef ds:uri="http://schemas.microsoft.com/office/infopath/2007/PartnerControls"/>
    <ds:schemaRef ds:uri="5067c814-4b34-462c-a21d-c185ff6548d2"/>
    <ds:schemaRef ds:uri="http://schemas.microsoft.com/office/2006/metadata/properties"/>
  </ds:schemaRefs>
</ds:datastoreItem>
</file>

<file path=customXml/itemProps3.xml><?xml version="1.0" encoding="utf-8"?>
<ds:datastoreItem xmlns:ds="http://schemas.openxmlformats.org/officeDocument/2006/customXml" ds:itemID="{0B877DC7-9902-48EB-B3FA-8F5806026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 Maninder@Energy</dc:creator>
  <cp:keywords/>
  <dc:description/>
  <cp:lastModifiedBy>Thind, Maninder@Energy</cp:lastModifiedBy>
  <cp:revision>2</cp:revision>
  <dcterms:created xsi:type="dcterms:W3CDTF">2023-12-23T08:11:00Z</dcterms:created>
  <dcterms:modified xsi:type="dcterms:W3CDTF">2023-12-23T08:11:00Z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