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2062" w14:textId="77777777" w:rsidR="0029016E" w:rsidRPr="002F5FEF" w:rsidRDefault="0029016E" w:rsidP="00BF3B15">
      <w:pPr>
        <w:pStyle w:val="Heading1"/>
        <w:jc w:val="center"/>
        <w:rPr>
          <w:rStyle w:val="normaltextrun"/>
          <w:rFonts w:ascii="Arial" w:hAnsi="Arial" w:cs="Arial"/>
          <w:b/>
          <w:bCs/>
          <w:color w:val="000000" w:themeColor="text1"/>
          <w:sz w:val="24"/>
          <w:szCs w:val="24"/>
        </w:rPr>
      </w:pPr>
      <w:r w:rsidRPr="002F5FEF">
        <w:rPr>
          <w:rStyle w:val="normaltextrun"/>
          <w:rFonts w:ascii="Arial" w:hAnsi="Arial" w:cs="Arial"/>
          <w:b/>
          <w:bCs/>
          <w:color w:val="000000" w:themeColor="text1"/>
          <w:sz w:val="24"/>
          <w:szCs w:val="24"/>
        </w:rPr>
        <w:t>Questions and Answers</w:t>
      </w:r>
    </w:p>
    <w:p w14:paraId="675B08FF" w14:textId="03831C86" w:rsidR="0029016E" w:rsidRDefault="0029016E" w:rsidP="0029016E">
      <w:pPr>
        <w:pStyle w:val="NoSpacing"/>
        <w:jc w:val="center"/>
        <w:rPr>
          <w:rFonts w:ascii="Arial" w:hAnsi="Arial" w:cs="Arial"/>
          <w:color w:val="000000" w:themeColor="text1"/>
          <w:sz w:val="24"/>
          <w:szCs w:val="24"/>
        </w:rPr>
      </w:pPr>
      <w:r w:rsidRPr="002F5FEF">
        <w:rPr>
          <w:rStyle w:val="normaltextrun"/>
          <w:rFonts w:ascii="Arial" w:hAnsi="Arial" w:cs="Arial"/>
          <w:b/>
          <w:bCs/>
          <w:color w:val="000000" w:themeColor="text1"/>
          <w:sz w:val="24"/>
          <w:szCs w:val="24"/>
        </w:rPr>
        <w:t>GFO-2</w:t>
      </w:r>
      <w:r>
        <w:rPr>
          <w:rStyle w:val="normaltextrun"/>
          <w:rFonts w:ascii="Arial" w:hAnsi="Arial" w:cs="Arial"/>
          <w:b/>
          <w:bCs/>
          <w:color w:val="000000" w:themeColor="text1"/>
          <w:sz w:val="24"/>
          <w:szCs w:val="24"/>
        </w:rPr>
        <w:t>3</w:t>
      </w:r>
      <w:r w:rsidRPr="002F5FEF">
        <w:rPr>
          <w:rStyle w:val="normaltextrun"/>
          <w:rFonts w:ascii="Arial" w:hAnsi="Arial" w:cs="Arial"/>
          <w:b/>
          <w:bCs/>
          <w:color w:val="000000" w:themeColor="text1"/>
          <w:sz w:val="24"/>
          <w:szCs w:val="24"/>
        </w:rPr>
        <w:t>-</w:t>
      </w:r>
      <w:r>
        <w:rPr>
          <w:rStyle w:val="normaltextrun"/>
          <w:rFonts w:ascii="Arial" w:hAnsi="Arial" w:cs="Arial"/>
          <w:b/>
          <w:bCs/>
          <w:color w:val="000000" w:themeColor="text1"/>
          <w:sz w:val="24"/>
          <w:szCs w:val="24"/>
        </w:rPr>
        <w:t>501</w:t>
      </w:r>
    </w:p>
    <w:p w14:paraId="653668F0" w14:textId="32CD7BCC" w:rsidR="0029016E" w:rsidRDefault="00ED0A54" w:rsidP="0029016E">
      <w:pPr>
        <w:pStyle w:val="NoSpacing"/>
        <w:jc w:val="center"/>
        <w:rPr>
          <w:rStyle w:val="normaltextrun"/>
          <w:rFonts w:ascii="Arial" w:hAnsi="Arial" w:cs="Arial"/>
          <w:b/>
          <w:bCs/>
          <w:color w:val="000000" w:themeColor="text1"/>
          <w:sz w:val="24"/>
          <w:szCs w:val="24"/>
        </w:rPr>
      </w:pPr>
      <w:r w:rsidRPr="00ED0A54">
        <w:rPr>
          <w:rStyle w:val="normaltextrun"/>
          <w:rFonts w:ascii="Arial" w:hAnsi="Arial" w:cs="Arial"/>
          <w:b/>
          <w:bCs/>
          <w:color w:val="000000" w:themeColor="text1"/>
          <w:sz w:val="24"/>
          <w:szCs w:val="24"/>
        </w:rPr>
        <w:t>Quantifying Exposures to Indoor Air Pollutants in Multifamily Homes that Cook with Gas or Alternatives</w:t>
      </w:r>
    </w:p>
    <w:p w14:paraId="43C7BE72" w14:textId="77777777" w:rsidR="00ED0A54" w:rsidRDefault="00ED0A54" w:rsidP="0029016E">
      <w:pPr>
        <w:pStyle w:val="NoSpacing"/>
        <w:jc w:val="center"/>
        <w:rPr>
          <w:rStyle w:val="normaltextrun"/>
          <w:rFonts w:ascii="Arial" w:hAnsi="Arial" w:cs="Arial"/>
          <w:b/>
          <w:bCs/>
          <w:color w:val="000000" w:themeColor="text1"/>
          <w:sz w:val="24"/>
          <w:szCs w:val="24"/>
        </w:rPr>
      </w:pPr>
    </w:p>
    <w:p w14:paraId="7364AB02" w14:textId="7CA7D782" w:rsidR="0029016E" w:rsidRPr="002F5FEF" w:rsidRDefault="00CE63C2" w:rsidP="0029016E">
      <w:pPr>
        <w:pStyle w:val="NoSpacing"/>
        <w:jc w:val="center"/>
        <w:rPr>
          <w:rFonts w:ascii="Arial" w:hAnsi="Arial" w:cs="Arial"/>
          <w:color w:val="000000" w:themeColor="text1"/>
          <w:sz w:val="24"/>
          <w:szCs w:val="24"/>
        </w:rPr>
      </w:pPr>
      <w:r>
        <w:rPr>
          <w:rStyle w:val="normaltextrun"/>
          <w:rFonts w:ascii="Arial" w:hAnsi="Arial" w:cs="Arial"/>
          <w:b/>
          <w:bCs/>
          <w:color w:val="000000" w:themeColor="text1"/>
          <w:sz w:val="24"/>
          <w:szCs w:val="24"/>
        </w:rPr>
        <w:t xml:space="preserve">December </w:t>
      </w:r>
      <w:r w:rsidR="00E5428D">
        <w:rPr>
          <w:rStyle w:val="normaltextrun"/>
          <w:rFonts w:ascii="Arial" w:hAnsi="Arial" w:cs="Arial"/>
          <w:b/>
          <w:bCs/>
          <w:color w:val="000000" w:themeColor="text1"/>
          <w:sz w:val="24"/>
          <w:szCs w:val="24"/>
        </w:rPr>
        <w:t>22</w:t>
      </w:r>
      <w:r w:rsidR="0029016E" w:rsidRPr="669D582F">
        <w:rPr>
          <w:rStyle w:val="normaltextrun"/>
          <w:rFonts w:ascii="Arial" w:hAnsi="Arial" w:cs="Arial"/>
          <w:b/>
          <w:bCs/>
          <w:color w:val="000000" w:themeColor="text1"/>
          <w:sz w:val="24"/>
          <w:szCs w:val="24"/>
        </w:rPr>
        <w:t>, 2022</w:t>
      </w:r>
    </w:p>
    <w:p w14:paraId="7801542C" w14:textId="77777777" w:rsidR="0029016E" w:rsidRPr="002F5FEF" w:rsidRDefault="0029016E" w:rsidP="0029016E">
      <w:pPr>
        <w:pStyle w:val="NoSpacing"/>
        <w:jc w:val="center"/>
        <w:rPr>
          <w:rFonts w:ascii="Arial" w:hAnsi="Arial" w:cs="Arial"/>
          <w:color w:val="000000" w:themeColor="text1"/>
          <w:sz w:val="24"/>
          <w:szCs w:val="24"/>
        </w:rPr>
      </w:pPr>
    </w:p>
    <w:p w14:paraId="66072447" w14:textId="77777777" w:rsidR="0029016E" w:rsidRPr="002F5FEF" w:rsidRDefault="0029016E" w:rsidP="0029016E">
      <w:pPr>
        <w:pStyle w:val="NoSpacing"/>
        <w:jc w:val="both"/>
        <w:rPr>
          <w:rStyle w:val="normaltextrun"/>
          <w:rFonts w:ascii="Arial" w:hAnsi="Arial" w:cs="Arial"/>
          <w:color w:val="000000" w:themeColor="text1"/>
          <w:sz w:val="24"/>
          <w:szCs w:val="24"/>
        </w:rPr>
      </w:pPr>
      <w:r w:rsidRPr="002F5FEF">
        <w:rPr>
          <w:rStyle w:val="normaltextrun"/>
          <w:rFonts w:ascii="Arial" w:hAnsi="Arial" w:cs="Arial"/>
          <w:color w:val="000000" w:themeColor="text1"/>
          <w:sz w:val="24"/>
          <w:szCs w:val="24"/>
        </w:rPr>
        <w:t xml:space="preserve">The following answers are based on California Energy Commission (CEC) staff’s interpretation of the questions received. It is the Applicant’s responsibility to review the purpose of the solicitation and to determine </w:t>
      </w:r>
      <w:proofErr w:type="gramStart"/>
      <w:r w:rsidRPr="002F5FEF">
        <w:rPr>
          <w:rStyle w:val="normaltextrun"/>
          <w:rFonts w:ascii="Arial" w:hAnsi="Arial" w:cs="Arial"/>
          <w:color w:val="000000" w:themeColor="text1"/>
          <w:sz w:val="24"/>
          <w:szCs w:val="24"/>
        </w:rPr>
        <w:t>whether or not</w:t>
      </w:r>
      <w:proofErr w:type="gramEnd"/>
      <w:r w:rsidRPr="002F5FEF">
        <w:rPr>
          <w:rStyle w:val="normaltextrun"/>
          <w:rFonts w:ascii="Arial" w:hAnsi="Arial" w:cs="Arial"/>
          <w:color w:val="000000" w:themeColor="text1"/>
          <w:sz w:val="24"/>
          <w:szCs w:val="24"/>
        </w:rPr>
        <w:t xml:space="preserve"> their proposed project is eligible for funding by reviewing the Eligibility Requirements within the solicitation. The CEC cannot give advice as to </w:t>
      </w:r>
      <w:proofErr w:type="gramStart"/>
      <w:r w:rsidRPr="002F5FEF">
        <w:rPr>
          <w:rStyle w:val="normaltextrun"/>
          <w:rFonts w:ascii="Arial" w:hAnsi="Arial" w:cs="Arial"/>
          <w:color w:val="000000" w:themeColor="text1"/>
          <w:sz w:val="24"/>
          <w:szCs w:val="24"/>
        </w:rPr>
        <w:t>whether or not</w:t>
      </w:r>
      <w:proofErr w:type="gramEnd"/>
      <w:r w:rsidRPr="002F5FEF">
        <w:rPr>
          <w:rStyle w:val="normaltextrun"/>
          <w:rFonts w:ascii="Arial" w:hAnsi="Arial" w:cs="Arial"/>
          <w:color w:val="000000" w:themeColor="text1"/>
          <w:sz w:val="24"/>
          <w:szCs w:val="24"/>
        </w:rPr>
        <w:t xml:space="preserve"> a particular project is eligible for funding, because not all proposal details are known.</w:t>
      </w:r>
    </w:p>
    <w:p w14:paraId="2061B04B" w14:textId="77777777" w:rsidR="0026183C" w:rsidRDefault="0026183C"/>
    <w:p w14:paraId="47CC47C5" w14:textId="77777777" w:rsidR="00083D33" w:rsidRDefault="00083D33" w:rsidP="00083D33">
      <w:pPr>
        <w:pStyle w:val="NoSpacing"/>
        <w:jc w:val="both"/>
        <w:rPr>
          <w:rFonts w:ascii="Arial" w:eastAsiaTheme="minorEastAsia" w:hAnsi="Arial" w:cs="Arial"/>
          <w:b/>
          <w:bCs/>
          <w:i/>
          <w:iCs/>
          <w:color w:val="000000" w:themeColor="text1"/>
          <w:sz w:val="24"/>
          <w:szCs w:val="24"/>
          <w:u w:val="single"/>
        </w:rPr>
      </w:pPr>
      <w:r w:rsidRPr="002F5FEF">
        <w:rPr>
          <w:rFonts w:ascii="Arial" w:eastAsiaTheme="minorEastAsia" w:hAnsi="Arial" w:cs="Arial"/>
          <w:b/>
          <w:bCs/>
          <w:i/>
          <w:iCs/>
          <w:color w:val="000000" w:themeColor="text1"/>
          <w:sz w:val="24"/>
          <w:szCs w:val="24"/>
          <w:u w:val="single"/>
        </w:rPr>
        <w:t>Administration/Process</w:t>
      </w:r>
    </w:p>
    <w:p w14:paraId="02EA24B7" w14:textId="77777777" w:rsidR="00083D33" w:rsidRDefault="00083D33" w:rsidP="00083D33">
      <w:pPr>
        <w:pStyle w:val="NoSpacing"/>
        <w:jc w:val="both"/>
        <w:rPr>
          <w:rFonts w:ascii="Arial" w:eastAsiaTheme="minorEastAsia" w:hAnsi="Arial" w:cs="Arial"/>
          <w:b/>
          <w:bCs/>
          <w:i/>
          <w:iCs/>
          <w:color w:val="000000" w:themeColor="text1"/>
          <w:sz w:val="24"/>
          <w:szCs w:val="24"/>
          <w:u w:val="single"/>
        </w:rPr>
      </w:pPr>
    </w:p>
    <w:p w14:paraId="0D196651" w14:textId="1C20E849" w:rsidR="00227CE1" w:rsidRDefault="00AF17CE" w:rsidP="00227CE1">
      <w:pPr>
        <w:ind w:left="720" w:hanging="720"/>
        <w:rPr>
          <w:rFonts w:eastAsiaTheme="minorEastAsia"/>
          <w:b/>
          <w:bCs/>
          <w:color w:val="000000" w:themeColor="text1"/>
          <w:sz w:val="24"/>
          <w:szCs w:val="24"/>
        </w:rPr>
      </w:pPr>
      <w:r>
        <w:rPr>
          <w:rFonts w:eastAsiaTheme="minorEastAsia"/>
          <w:b/>
          <w:bCs/>
          <w:color w:val="000000" w:themeColor="text1"/>
          <w:sz w:val="24"/>
          <w:szCs w:val="24"/>
        </w:rPr>
        <w:t>Q1</w:t>
      </w:r>
      <w:r w:rsidR="000A0875">
        <w:rPr>
          <w:rFonts w:eastAsiaTheme="minorEastAsia"/>
          <w:b/>
          <w:bCs/>
          <w:color w:val="000000" w:themeColor="text1"/>
          <w:sz w:val="24"/>
          <w:szCs w:val="24"/>
        </w:rPr>
        <w:t>a</w:t>
      </w:r>
      <w:r w:rsidR="0090213D">
        <w:rPr>
          <w:rFonts w:eastAsiaTheme="minorEastAsia"/>
          <w:b/>
          <w:bCs/>
          <w:color w:val="000000" w:themeColor="text1"/>
          <w:sz w:val="24"/>
          <w:szCs w:val="24"/>
        </w:rPr>
        <w:t xml:space="preserve">: </w:t>
      </w:r>
      <w:r w:rsidR="0090213D">
        <w:rPr>
          <w:rFonts w:eastAsiaTheme="minorEastAsia"/>
          <w:b/>
          <w:bCs/>
          <w:color w:val="000000" w:themeColor="text1"/>
          <w:sz w:val="24"/>
          <w:szCs w:val="24"/>
        </w:rPr>
        <w:tab/>
      </w:r>
      <w:r w:rsidR="001E7E6E" w:rsidRPr="001E7E6E">
        <w:rPr>
          <w:rFonts w:eastAsiaTheme="minorEastAsia"/>
          <w:b/>
          <w:bCs/>
          <w:color w:val="000000" w:themeColor="text1"/>
          <w:sz w:val="24"/>
          <w:szCs w:val="24"/>
        </w:rPr>
        <w:t>The University of California, Berkeley, allows faculty to contribute a portion of their UC-funded salary and benefits (typically the equivalent of up to a few months per year) to research grants as matching funding by committing their time to the project if funded. From CEC's scoring perspective, can this count as a matching contribution?</w:t>
      </w:r>
    </w:p>
    <w:p w14:paraId="6E207966" w14:textId="56D38DBC" w:rsidR="00F44D4E" w:rsidRDefault="00227CE1" w:rsidP="0006624A">
      <w:pPr>
        <w:ind w:left="720" w:hanging="720"/>
        <w:rPr>
          <w:rFonts w:eastAsiaTheme="minorEastAsia"/>
          <w:color w:val="000000" w:themeColor="text1"/>
          <w:sz w:val="24"/>
          <w:szCs w:val="24"/>
        </w:rPr>
      </w:pPr>
      <w:r w:rsidRPr="00227CE1">
        <w:rPr>
          <w:rFonts w:eastAsiaTheme="minorEastAsia"/>
          <w:color w:val="000000" w:themeColor="text1"/>
          <w:sz w:val="24"/>
          <w:szCs w:val="24"/>
        </w:rPr>
        <w:t>A1</w:t>
      </w:r>
      <w:r w:rsidR="00535309">
        <w:rPr>
          <w:rFonts w:eastAsiaTheme="minorEastAsia"/>
          <w:color w:val="000000" w:themeColor="text1"/>
          <w:sz w:val="24"/>
          <w:szCs w:val="24"/>
        </w:rPr>
        <w:t>a</w:t>
      </w:r>
      <w:r w:rsidRPr="00227CE1">
        <w:rPr>
          <w:rFonts w:eastAsiaTheme="minorEastAsia"/>
          <w:color w:val="000000" w:themeColor="text1"/>
          <w:sz w:val="24"/>
          <w:szCs w:val="24"/>
        </w:rPr>
        <w:t>:</w:t>
      </w:r>
      <w:r w:rsidRPr="00227CE1">
        <w:rPr>
          <w:rFonts w:eastAsiaTheme="minorEastAsia"/>
          <w:color w:val="000000" w:themeColor="text1"/>
          <w:sz w:val="24"/>
          <w:szCs w:val="24"/>
        </w:rPr>
        <w:tab/>
      </w:r>
      <w:r w:rsidR="00880819">
        <w:rPr>
          <w:rFonts w:eastAsiaTheme="minorEastAsia"/>
          <w:color w:val="000000" w:themeColor="text1"/>
          <w:sz w:val="24"/>
          <w:szCs w:val="24"/>
        </w:rPr>
        <w:t xml:space="preserve">Yes, </w:t>
      </w:r>
      <w:r w:rsidR="00BD4BBB">
        <w:rPr>
          <w:rFonts w:eastAsiaTheme="minorEastAsia"/>
          <w:color w:val="000000" w:themeColor="text1"/>
          <w:sz w:val="24"/>
          <w:szCs w:val="24"/>
        </w:rPr>
        <w:t>UC-funded salary and benefits</w:t>
      </w:r>
      <w:r w:rsidR="00880819">
        <w:rPr>
          <w:rFonts w:eastAsiaTheme="minorEastAsia"/>
          <w:color w:val="000000" w:themeColor="text1"/>
          <w:sz w:val="24"/>
          <w:szCs w:val="24"/>
        </w:rPr>
        <w:t xml:space="preserve"> can count as a match contribution.</w:t>
      </w:r>
    </w:p>
    <w:p w14:paraId="382CA0D1" w14:textId="7C1C8B7F" w:rsidR="001E7E6E" w:rsidRDefault="00880819" w:rsidP="0006624A">
      <w:pPr>
        <w:ind w:left="720" w:hanging="720"/>
        <w:rPr>
          <w:rFonts w:eastAsiaTheme="minorEastAsia"/>
          <w:color w:val="000000" w:themeColor="text1"/>
          <w:sz w:val="24"/>
          <w:szCs w:val="24"/>
        </w:rPr>
      </w:pPr>
      <w:r>
        <w:rPr>
          <w:rFonts w:eastAsiaTheme="minorEastAsia"/>
          <w:color w:val="000000" w:themeColor="text1"/>
          <w:sz w:val="24"/>
          <w:szCs w:val="24"/>
        </w:rPr>
        <w:t xml:space="preserve"> </w:t>
      </w:r>
    </w:p>
    <w:p w14:paraId="745FDFC7" w14:textId="5D39C299" w:rsidR="001E7E6E" w:rsidRDefault="00227CE1" w:rsidP="00227CE1">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0A0875">
        <w:rPr>
          <w:rFonts w:eastAsiaTheme="minorEastAsia"/>
          <w:b/>
          <w:bCs/>
          <w:color w:val="000000" w:themeColor="text1"/>
          <w:sz w:val="24"/>
          <w:szCs w:val="24"/>
        </w:rPr>
        <w:t>1b</w:t>
      </w:r>
      <w:r>
        <w:rPr>
          <w:rFonts w:eastAsiaTheme="minorEastAsia"/>
          <w:b/>
          <w:bCs/>
          <w:color w:val="000000" w:themeColor="text1"/>
          <w:sz w:val="24"/>
          <w:szCs w:val="24"/>
        </w:rPr>
        <w:t>:</w:t>
      </w:r>
      <w:r>
        <w:rPr>
          <w:rFonts w:eastAsiaTheme="minorEastAsia"/>
          <w:b/>
          <w:bCs/>
          <w:color w:val="000000" w:themeColor="text1"/>
          <w:sz w:val="24"/>
          <w:szCs w:val="24"/>
        </w:rPr>
        <w:tab/>
      </w:r>
      <w:r w:rsidR="003629E5" w:rsidRPr="003629E5">
        <w:rPr>
          <w:rFonts w:eastAsiaTheme="minorEastAsia"/>
          <w:b/>
          <w:bCs/>
          <w:color w:val="000000" w:themeColor="text1"/>
          <w:sz w:val="24"/>
          <w:szCs w:val="24"/>
        </w:rPr>
        <w:t>Would this faculty salary support be counted by CEC as a cash or in-kind match?</w:t>
      </w:r>
    </w:p>
    <w:p w14:paraId="480D986C" w14:textId="2F7431E6" w:rsidR="005F3853" w:rsidRDefault="005F3853"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000A0875" w:rsidRPr="470E5D75">
        <w:rPr>
          <w:rFonts w:eastAsiaTheme="minorEastAsia"/>
          <w:color w:val="000000" w:themeColor="text1"/>
          <w:sz w:val="24"/>
          <w:szCs w:val="24"/>
        </w:rPr>
        <w:t>1b</w:t>
      </w:r>
      <w:r w:rsidRPr="470E5D75">
        <w:rPr>
          <w:rFonts w:eastAsiaTheme="minorEastAsia"/>
          <w:color w:val="000000" w:themeColor="text1"/>
          <w:sz w:val="24"/>
          <w:szCs w:val="24"/>
        </w:rPr>
        <w:t>:</w:t>
      </w:r>
      <w:r>
        <w:tab/>
      </w:r>
      <w:r w:rsidR="00880819" w:rsidRPr="470E5D75">
        <w:rPr>
          <w:rFonts w:eastAsiaTheme="minorEastAsia"/>
          <w:color w:val="000000" w:themeColor="text1"/>
          <w:sz w:val="24"/>
          <w:szCs w:val="24"/>
        </w:rPr>
        <w:t>This w</w:t>
      </w:r>
      <w:r w:rsidR="4FB52F87" w:rsidRPr="470E5D75">
        <w:rPr>
          <w:rFonts w:eastAsiaTheme="minorEastAsia"/>
          <w:color w:val="000000" w:themeColor="text1"/>
          <w:sz w:val="24"/>
          <w:szCs w:val="24"/>
        </w:rPr>
        <w:t>ould</w:t>
      </w:r>
      <w:r w:rsidR="00880819" w:rsidRPr="470E5D75">
        <w:rPr>
          <w:rFonts w:eastAsiaTheme="minorEastAsia"/>
          <w:color w:val="000000" w:themeColor="text1"/>
          <w:sz w:val="24"/>
          <w:szCs w:val="24"/>
        </w:rPr>
        <w:t xml:space="preserve"> be counted as i</w:t>
      </w:r>
      <w:r w:rsidR="00F83E8A" w:rsidRPr="470E5D75">
        <w:rPr>
          <w:rFonts w:eastAsiaTheme="minorEastAsia"/>
          <w:color w:val="000000" w:themeColor="text1"/>
          <w:sz w:val="24"/>
          <w:szCs w:val="24"/>
        </w:rPr>
        <w:t>n-kind</w:t>
      </w:r>
      <w:r w:rsidR="00CE18DF" w:rsidRPr="470E5D75">
        <w:rPr>
          <w:rFonts w:eastAsiaTheme="minorEastAsia"/>
          <w:color w:val="000000" w:themeColor="text1"/>
          <w:sz w:val="24"/>
          <w:szCs w:val="24"/>
        </w:rPr>
        <w:t xml:space="preserve"> match</w:t>
      </w:r>
      <w:r w:rsidR="00880819" w:rsidRPr="470E5D75">
        <w:rPr>
          <w:rFonts w:eastAsiaTheme="minorEastAsia"/>
          <w:color w:val="000000" w:themeColor="text1"/>
          <w:sz w:val="24"/>
          <w:szCs w:val="24"/>
        </w:rPr>
        <w:t xml:space="preserve">. </w:t>
      </w:r>
    </w:p>
    <w:p w14:paraId="5F0CFB77" w14:textId="77777777" w:rsidR="00F44D4E" w:rsidRPr="005F3853" w:rsidRDefault="00F44D4E" w:rsidP="00227CE1">
      <w:pPr>
        <w:ind w:left="720" w:hanging="720"/>
        <w:rPr>
          <w:rFonts w:eastAsiaTheme="minorEastAsia"/>
          <w:color w:val="000000" w:themeColor="text1"/>
          <w:sz w:val="24"/>
          <w:szCs w:val="24"/>
        </w:rPr>
      </w:pPr>
    </w:p>
    <w:p w14:paraId="62805895" w14:textId="5A92E568" w:rsidR="002D350E" w:rsidRDefault="00227CE1" w:rsidP="002D350E">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0A0875">
        <w:rPr>
          <w:rFonts w:eastAsiaTheme="minorEastAsia"/>
          <w:b/>
          <w:bCs/>
          <w:color w:val="000000" w:themeColor="text1"/>
          <w:sz w:val="24"/>
          <w:szCs w:val="24"/>
        </w:rPr>
        <w:t>2</w:t>
      </w:r>
      <w:r>
        <w:rPr>
          <w:rFonts w:eastAsiaTheme="minorEastAsia"/>
          <w:b/>
          <w:bCs/>
          <w:color w:val="000000" w:themeColor="text1"/>
          <w:sz w:val="24"/>
          <w:szCs w:val="24"/>
        </w:rPr>
        <w:t>:</w:t>
      </w:r>
      <w:r>
        <w:rPr>
          <w:rFonts w:eastAsiaTheme="minorEastAsia"/>
          <w:b/>
          <w:bCs/>
          <w:color w:val="000000" w:themeColor="text1"/>
          <w:sz w:val="24"/>
          <w:szCs w:val="24"/>
        </w:rPr>
        <w:tab/>
      </w:r>
      <w:r w:rsidR="002D350E" w:rsidRPr="002D350E">
        <w:rPr>
          <w:rFonts w:eastAsiaTheme="minorEastAsia"/>
          <w:b/>
          <w:bCs/>
          <w:color w:val="000000" w:themeColor="text1"/>
          <w:sz w:val="24"/>
          <w:szCs w:val="24"/>
        </w:rPr>
        <w:t>In the recent November 20 workshop, CEC staff recommended paying for travel and capital equipment support for the project using matching funds, rather than with CEC gas program funding.</w:t>
      </w:r>
      <w:r w:rsidR="002D350E">
        <w:rPr>
          <w:rFonts w:eastAsiaTheme="minorEastAsia"/>
          <w:b/>
          <w:bCs/>
          <w:color w:val="000000" w:themeColor="text1"/>
          <w:sz w:val="24"/>
          <w:szCs w:val="24"/>
        </w:rPr>
        <w:t xml:space="preserve"> </w:t>
      </w:r>
      <w:r w:rsidR="002D350E" w:rsidRPr="002D350E">
        <w:rPr>
          <w:rFonts w:eastAsiaTheme="minorEastAsia"/>
          <w:b/>
          <w:bCs/>
          <w:color w:val="000000" w:themeColor="text1"/>
          <w:sz w:val="24"/>
          <w:szCs w:val="24"/>
        </w:rPr>
        <w:t>Would any travel/equipment purchased in this manner count as a cash match, or would it count as an in-kind contribution?</w:t>
      </w:r>
    </w:p>
    <w:p w14:paraId="772316F9" w14:textId="096054A8" w:rsidR="00572727" w:rsidRDefault="005F3853" w:rsidP="002D350E">
      <w:pPr>
        <w:ind w:left="720" w:hanging="720"/>
        <w:rPr>
          <w:rFonts w:eastAsiaTheme="minorEastAsia"/>
          <w:color w:val="000000" w:themeColor="text1"/>
          <w:sz w:val="24"/>
          <w:szCs w:val="24"/>
        </w:rPr>
      </w:pPr>
      <w:r w:rsidRPr="005F3853">
        <w:rPr>
          <w:rFonts w:eastAsiaTheme="minorEastAsia"/>
          <w:color w:val="000000" w:themeColor="text1"/>
          <w:sz w:val="24"/>
          <w:szCs w:val="24"/>
        </w:rPr>
        <w:t>A</w:t>
      </w:r>
      <w:r w:rsidR="000A0875">
        <w:rPr>
          <w:rFonts w:eastAsiaTheme="minorEastAsia"/>
          <w:color w:val="000000" w:themeColor="text1"/>
          <w:sz w:val="24"/>
          <w:szCs w:val="24"/>
        </w:rPr>
        <w:t>2</w:t>
      </w:r>
      <w:r w:rsidRPr="005F3853">
        <w:rPr>
          <w:rFonts w:eastAsiaTheme="minorEastAsia"/>
          <w:color w:val="000000" w:themeColor="text1"/>
          <w:sz w:val="24"/>
          <w:szCs w:val="24"/>
        </w:rPr>
        <w:t>:</w:t>
      </w:r>
      <w:r w:rsidRPr="005F3853">
        <w:rPr>
          <w:rFonts w:eastAsiaTheme="minorEastAsia"/>
          <w:color w:val="000000" w:themeColor="text1"/>
          <w:sz w:val="24"/>
          <w:szCs w:val="24"/>
        </w:rPr>
        <w:tab/>
      </w:r>
      <w:r w:rsidR="00E9338A">
        <w:rPr>
          <w:rFonts w:eastAsiaTheme="minorEastAsia"/>
          <w:color w:val="000000" w:themeColor="text1"/>
          <w:sz w:val="24"/>
          <w:szCs w:val="24"/>
        </w:rPr>
        <w:t>If the</w:t>
      </w:r>
      <w:r w:rsidR="00E9338A" w:rsidRPr="00495EE5">
        <w:rPr>
          <w:rFonts w:eastAsiaTheme="minorEastAsia"/>
          <w:color w:val="000000" w:themeColor="text1"/>
          <w:sz w:val="24"/>
          <w:szCs w:val="24"/>
        </w:rPr>
        <w:t xml:space="preserve"> </w:t>
      </w:r>
      <w:r w:rsidR="00CC76D7" w:rsidRPr="00495EE5">
        <w:rPr>
          <w:rFonts w:eastAsiaTheme="minorEastAsia"/>
          <w:color w:val="000000" w:themeColor="text1"/>
          <w:sz w:val="24"/>
          <w:szCs w:val="24"/>
        </w:rPr>
        <w:t xml:space="preserve">match </w:t>
      </w:r>
      <w:r w:rsidR="00CD253A" w:rsidRPr="00495EE5">
        <w:rPr>
          <w:rFonts w:eastAsiaTheme="minorEastAsia"/>
          <w:color w:val="000000" w:themeColor="text1"/>
          <w:sz w:val="24"/>
          <w:szCs w:val="24"/>
        </w:rPr>
        <w:t>funds that</w:t>
      </w:r>
      <w:r w:rsidR="00572727" w:rsidRPr="00495EE5">
        <w:rPr>
          <w:rFonts w:eastAsiaTheme="minorEastAsia"/>
          <w:color w:val="000000" w:themeColor="text1"/>
          <w:sz w:val="24"/>
          <w:szCs w:val="24"/>
        </w:rPr>
        <w:t xml:space="preserve"> </w:t>
      </w:r>
      <w:r w:rsidR="00E9338A">
        <w:rPr>
          <w:rFonts w:eastAsiaTheme="minorEastAsia"/>
          <w:color w:val="000000" w:themeColor="text1"/>
          <w:sz w:val="24"/>
          <w:szCs w:val="24"/>
        </w:rPr>
        <w:t xml:space="preserve">the </w:t>
      </w:r>
      <w:r w:rsidR="00572727" w:rsidRPr="00495EE5">
        <w:rPr>
          <w:rFonts w:eastAsiaTheme="minorEastAsia"/>
          <w:color w:val="000000" w:themeColor="text1"/>
          <w:sz w:val="24"/>
          <w:szCs w:val="24"/>
        </w:rPr>
        <w:t>applicant provides</w:t>
      </w:r>
      <w:r w:rsidR="00B22BB6" w:rsidRPr="00495EE5">
        <w:rPr>
          <w:rFonts w:eastAsiaTheme="minorEastAsia"/>
          <w:color w:val="000000" w:themeColor="text1"/>
          <w:sz w:val="24"/>
          <w:szCs w:val="24"/>
        </w:rPr>
        <w:t xml:space="preserve"> </w:t>
      </w:r>
      <w:r w:rsidR="00572727" w:rsidRPr="00495EE5">
        <w:rPr>
          <w:rFonts w:eastAsiaTheme="minorEastAsia"/>
          <w:color w:val="000000" w:themeColor="text1"/>
          <w:sz w:val="24"/>
          <w:szCs w:val="24"/>
        </w:rPr>
        <w:t>ha</w:t>
      </w:r>
      <w:r w:rsidR="00E9338A">
        <w:rPr>
          <w:rFonts w:eastAsiaTheme="minorEastAsia"/>
          <w:color w:val="000000" w:themeColor="text1"/>
          <w:sz w:val="24"/>
          <w:szCs w:val="24"/>
        </w:rPr>
        <w:t>ve</w:t>
      </w:r>
      <w:r w:rsidR="00572727" w:rsidRPr="00495EE5">
        <w:rPr>
          <w:rFonts w:eastAsiaTheme="minorEastAsia"/>
          <w:color w:val="000000" w:themeColor="text1"/>
          <w:sz w:val="24"/>
          <w:szCs w:val="24"/>
        </w:rPr>
        <w:t xml:space="preserve"> no restrictions</w:t>
      </w:r>
      <w:r w:rsidR="00E9338A">
        <w:rPr>
          <w:rFonts w:eastAsiaTheme="minorEastAsia"/>
          <w:color w:val="000000" w:themeColor="text1"/>
          <w:sz w:val="24"/>
          <w:szCs w:val="24"/>
        </w:rPr>
        <w:t xml:space="preserve"> on their use—for example, if they can be redirected to cover other </w:t>
      </w:r>
      <w:r w:rsidR="00A75EDF">
        <w:rPr>
          <w:rFonts w:eastAsiaTheme="minorEastAsia"/>
          <w:color w:val="000000" w:themeColor="text1"/>
          <w:sz w:val="24"/>
          <w:szCs w:val="24"/>
        </w:rPr>
        <w:t xml:space="preserve">grant </w:t>
      </w:r>
      <w:r w:rsidR="00E9338A">
        <w:rPr>
          <w:rFonts w:eastAsiaTheme="minorEastAsia"/>
          <w:color w:val="000000" w:themeColor="text1"/>
          <w:sz w:val="24"/>
          <w:szCs w:val="24"/>
        </w:rPr>
        <w:t>expenses as needed</w:t>
      </w:r>
      <w:r w:rsidR="00FF3DAA">
        <w:rPr>
          <w:rFonts w:eastAsiaTheme="minorEastAsia"/>
          <w:color w:val="000000" w:themeColor="text1"/>
          <w:sz w:val="24"/>
          <w:szCs w:val="24"/>
        </w:rPr>
        <w:t xml:space="preserve">—and if they are appropriately documented as “cash” as described in the solicitation manual, then </w:t>
      </w:r>
      <w:r w:rsidR="00E9338A">
        <w:rPr>
          <w:rFonts w:eastAsiaTheme="minorEastAsia"/>
          <w:color w:val="000000" w:themeColor="text1"/>
          <w:sz w:val="24"/>
          <w:szCs w:val="24"/>
        </w:rPr>
        <w:t>they</w:t>
      </w:r>
      <w:r w:rsidR="00B44994" w:rsidRPr="00495EE5">
        <w:rPr>
          <w:rFonts w:eastAsiaTheme="minorEastAsia"/>
          <w:color w:val="000000" w:themeColor="text1"/>
          <w:sz w:val="24"/>
          <w:szCs w:val="24"/>
        </w:rPr>
        <w:t xml:space="preserve"> can be counted as </w:t>
      </w:r>
      <w:r w:rsidR="00587017" w:rsidRPr="00495EE5">
        <w:rPr>
          <w:rFonts w:eastAsiaTheme="minorEastAsia"/>
          <w:color w:val="000000" w:themeColor="text1"/>
          <w:sz w:val="24"/>
          <w:szCs w:val="24"/>
        </w:rPr>
        <w:t>“</w:t>
      </w:r>
      <w:r w:rsidR="00B44994" w:rsidRPr="00495EE5">
        <w:rPr>
          <w:rFonts w:eastAsiaTheme="minorEastAsia"/>
          <w:color w:val="000000" w:themeColor="text1"/>
          <w:sz w:val="24"/>
          <w:szCs w:val="24"/>
        </w:rPr>
        <w:t>cash</w:t>
      </w:r>
      <w:r w:rsidR="00587017" w:rsidRPr="00495EE5">
        <w:rPr>
          <w:rFonts w:eastAsiaTheme="minorEastAsia"/>
          <w:color w:val="000000" w:themeColor="text1"/>
          <w:sz w:val="24"/>
          <w:szCs w:val="24"/>
        </w:rPr>
        <w:t>”</w:t>
      </w:r>
      <w:r w:rsidR="00572727" w:rsidRPr="00495EE5">
        <w:rPr>
          <w:rFonts w:eastAsiaTheme="minorEastAsia"/>
          <w:color w:val="000000" w:themeColor="text1"/>
          <w:sz w:val="24"/>
          <w:szCs w:val="24"/>
        </w:rPr>
        <w:t>.</w:t>
      </w:r>
      <w:r w:rsidR="00572727">
        <w:rPr>
          <w:rFonts w:eastAsiaTheme="minorEastAsia"/>
          <w:color w:val="000000" w:themeColor="text1"/>
          <w:sz w:val="24"/>
          <w:szCs w:val="24"/>
        </w:rPr>
        <w:t xml:space="preserve"> </w:t>
      </w:r>
      <w:r w:rsidR="005C0CCE">
        <w:rPr>
          <w:rFonts w:eastAsiaTheme="minorEastAsia"/>
          <w:color w:val="000000" w:themeColor="text1"/>
          <w:sz w:val="24"/>
          <w:szCs w:val="24"/>
        </w:rPr>
        <w:t xml:space="preserve">Travel/equipment </w:t>
      </w:r>
      <w:r w:rsidR="00086563">
        <w:rPr>
          <w:rFonts w:eastAsiaTheme="minorEastAsia"/>
          <w:color w:val="000000" w:themeColor="text1"/>
          <w:sz w:val="24"/>
          <w:szCs w:val="24"/>
        </w:rPr>
        <w:t xml:space="preserve">purchased in the agreement </w:t>
      </w:r>
      <w:r w:rsidR="00CB1F8F">
        <w:rPr>
          <w:rFonts w:eastAsiaTheme="minorEastAsia"/>
          <w:color w:val="000000" w:themeColor="text1"/>
          <w:sz w:val="24"/>
          <w:szCs w:val="24"/>
        </w:rPr>
        <w:t>can count as either “cash” or</w:t>
      </w:r>
      <w:r w:rsidR="00575FB3">
        <w:rPr>
          <w:rFonts w:eastAsiaTheme="minorEastAsia"/>
          <w:color w:val="000000" w:themeColor="text1"/>
          <w:sz w:val="24"/>
          <w:szCs w:val="24"/>
        </w:rPr>
        <w:t xml:space="preserve"> “</w:t>
      </w:r>
      <w:r w:rsidR="00A75EDF">
        <w:rPr>
          <w:rFonts w:eastAsiaTheme="minorEastAsia"/>
          <w:color w:val="000000" w:themeColor="text1"/>
          <w:sz w:val="24"/>
          <w:szCs w:val="24"/>
        </w:rPr>
        <w:t>i</w:t>
      </w:r>
      <w:r w:rsidR="00575FB3">
        <w:rPr>
          <w:rFonts w:eastAsiaTheme="minorEastAsia"/>
          <w:color w:val="000000" w:themeColor="text1"/>
          <w:sz w:val="24"/>
          <w:szCs w:val="24"/>
        </w:rPr>
        <w:t>n</w:t>
      </w:r>
      <w:r w:rsidR="00743A45">
        <w:rPr>
          <w:rFonts w:eastAsiaTheme="minorEastAsia"/>
          <w:color w:val="000000" w:themeColor="text1"/>
          <w:sz w:val="24"/>
          <w:szCs w:val="24"/>
        </w:rPr>
        <w:t>-</w:t>
      </w:r>
      <w:r w:rsidR="00A75EDF">
        <w:rPr>
          <w:rFonts w:eastAsiaTheme="minorEastAsia"/>
          <w:color w:val="000000" w:themeColor="text1"/>
          <w:sz w:val="24"/>
          <w:szCs w:val="24"/>
        </w:rPr>
        <w:t>k</w:t>
      </w:r>
      <w:r w:rsidR="00743A45">
        <w:rPr>
          <w:rFonts w:eastAsiaTheme="minorEastAsia"/>
          <w:color w:val="000000" w:themeColor="text1"/>
          <w:sz w:val="24"/>
          <w:szCs w:val="24"/>
        </w:rPr>
        <w:t>ind” match</w:t>
      </w:r>
      <w:r w:rsidR="00587017">
        <w:rPr>
          <w:rFonts w:eastAsiaTheme="minorEastAsia"/>
          <w:color w:val="000000" w:themeColor="text1"/>
          <w:sz w:val="24"/>
          <w:szCs w:val="24"/>
        </w:rPr>
        <w:t xml:space="preserve"> depending on </w:t>
      </w:r>
      <w:r w:rsidR="00A75EDF">
        <w:rPr>
          <w:rFonts w:eastAsiaTheme="minorEastAsia"/>
          <w:color w:val="000000" w:themeColor="text1"/>
          <w:sz w:val="24"/>
          <w:szCs w:val="24"/>
        </w:rPr>
        <w:t xml:space="preserve">the </w:t>
      </w:r>
      <w:proofErr w:type="gramStart"/>
      <w:r w:rsidR="00A75EDF">
        <w:rPr>
          <w:rFonts w:eastAsiaTheme="minorEastAsia"/>
          <w:color w:val="000000" w:themeColor="text1"/>
          <w:sz w:val="24"/>
          <w:szCs w:val="24"/>
        </w:rPr>
        <w:t>aforementioned considerations</w:t>
      </w:r>
      <w:proofErr w:type="gramEnd"/>
      <w:r w:rsidR="00A75EDF">
        <w:rPr>
          <w:rFonts w:eastAsiaTheme="minorEastAsia"/>
          <w:color w:val="000000" w:themeColor="text1"/>
          <w:sz w:val="24"/>
          <w:szCs w:val="24"/>
        </w:rPr>
        <w:t xml:space="preserve"> and documentation</w:t>
      </w:r>
      <w:r w:rsidR="00587017">
        <w:rPr>
          <w:rFonts w:eastAsiaTheme="minorEastAsia"/>
          <w:color w:val="000000" w:themeColor="text1"/>
          <w:sz w:val="24"/>
          <w:szCs w:val="24"/>
        </w:rPr>
        <w:t xml:space="preserve"> provided in the commitment letter</w:t>
      </w:r>
      <w:r w:rsidR="00743A45">
        <w:rPr>
          <w:rFonts w:eastAsiaTheme="minorEastAsia"/>
          <w:color w:val="000000" w:themeColor="text1"/>
          <w:sz w:val="24"/>
          <w:szCs w:val="24"/>
        </w:rPr>
        <w:t>.</w:t>
      </w:r>
      <w:r w:rsidR="00086563">
        <w:rPr>
          <w:rFonts w:eastAsiaTheme="minorEastAsia"/>
          <w:color w:val="000000" w:themeColor="text1"/>
          <w:sz w:val="24"/>
          <w:szCs w:val="24"/>
        </w:rPr>
        <w:t xml:space="preserve"> </w:t>
      </w:r>
      <w:r w:rsidR="00094CF7">
        <w:rPr>
          <w:rFonts w:eastAsiaTheme="minorEastAsia"/>
          <w:color w:val="000000" w:themeColor="text1"/>
          <w:sz w:val="24"/>
          <w:szCs w:val="24"/>
        </w:rPr>
        <w:t xml:space="preserve">Please refer to the </w:t>
      </w:r>
      <w:r w:rsidR="00E409DB">
        <w:rPr>
          <w:rFonts w:eastAsiaTheme="minorEastAsia"/>
          <w:color w:val="000000" w:themeColor="text1"/>
          <w:sz w:val="24"/>
          <w:szCs w:val="24"/>
        </w:rPr>
        <w:t>details regarding</w:t>
      </w:r>
      <w:r w:rsidR="00094CF7" w:rsidRPr="00094CF7">
        <w:rPr>
          <w:rFonts w:eastAsiaTheme="minorEastAsia"/>
          <w:color w:val="000000" w:themeColor="text1"/>
          <w:sz w:val="24"/>
          <w:szCs w:val="24"/>
        </w:rPr>
        <w:t xml:space="preserve"> “match funding” categories</w:t>
      </w:r>
      <w:r w:rsidR="00D51FF6">
        <w:rPr>
          <w:rFonts w:eastAsiaTheme="minorEastAsia"/>
          <w:color w:val="000000" w:themeColor="text1"/>
          <w:sz w:val="24"/>
          <w:szCs w:val="24"/>
        </w:rPr>
        <w:t xml:space="preserve"> that</w:t>
      </w:r>
      <w:r w:rsidR="00094CF7" w:rsidRPr="00094CF7">
        <w:rPr>
          <w:rFonts w:eastAsiaTheme="minorEastAsia"/>
          <w:color w:val="000000" w:themeColor="text1"/>
          <w:sz w:val="24"/>
          <w:szCs w:val="24"/>
        </w:rPr>
        <w:t xml:space="preserve"> are listed </w:t>
      </w:r>
      <w:r w:rsidR="00D51FF6">
        <w:rPr>
          <w:rFonts w:eastAsiaTheme="minorEastAsia"/>
          <w:color w:val="000000" w:themeColor="text1"/>
          <w:sz w:val="24"/>
          <w:szCs w:val="24"/>
        </w:rPr>
        <w:t xml:space="preserve">in Section </w:t>
      </w:r>
      <w:r w:rsidR="0025755E">
        <w:rPr>
          <w:rFonts w:eastAsiaTheme="minorEastAsia"/>
          <w:color w:val="000000" w:themeColor="text1"/>
          <w:sz w:val="24"/>
          <w:szCs w:val="24"/>
        </w:rPr>
        <w:t xml:space="preserve">I.J. </w:t>
      </w:r>
      <w:r w:rsidR="00222E8B">
        <w:rPr>
          <w:rFonts w:eastAsiaTheme="minorEastAsia"/>
          <w:color w:val="000000" w:themeColor="text1"/>
          <w:sz w:val="24"/>
          <w:szCs w:val="24"/>
        </w:rPr>
        <w:t xml:space="preserve">and III.C. </w:t>
      </w:r>
    </w:p>
    <w:p w14:paraId="7E6FED0D" w14:textId="77777777" w:rsidR="00F44D4E" w:rsidRPr="005F3853" w:rsidRDefault="00F44D4E" w:rsidP="002D350E">
      <w:pPr>
        <w:ind w:left="720" w:hanging="720"/>
        <w:rPr>
          <w:rFonts w:eastAsiaTheme="minorEastAsia"/>
          <w:color w:val="000000" w:themeColor="text1"/>
          <w:sz w:val="24"/>
          <w:szCs w:val="24"/>
        </w:rPr>
      </w:pPr>
    </w:p>
    <w:p w14:paraId="12267CEC" w14:textId="39B1F913" w:rsidR="00332006" w:rsidRDefault="002D350E" w:rsidP="00332006">
      <w:pPr>
        <w:ind w:left="720" w:hanging="720"/>
        <w:rPr>
          <w:rFonts w:eastAsiaTheme="minorEastAsia"/>
          <w:b/>
          <w:bCs/>
          <w:color w:val="000000" w:themeColor="text1"/>
          <w:sz w:val="24"/>
          <w:szCs w:val="24"/>
        </w:rPr>
      </w:pPr>
      <w:r>
        <w:rPr>
          <w:rFonts w:eastAsiaTheme="minorEastAsia"/>
          <w:b/>
          <w:bCs/>
          <w:color w:val="000000" w:themeColor="text1"/>
          <w:sz w:val="24"/>
          <w:szCs w:val="24"/>
        </w:rPr>
        <w:lastRenderedPageBreak/>
        <w:t>Q</w:t>
      </w:r>
      <w:r w:rsidR="000A0875">
        <w:rPr>
          <w:rFonts w:eastAsiaTheme="minorEastAsia"/>
          <w:b/>
          <w:bCs/>
          <w:color w:val="000000" w:themeColor="text1"/>
          <w:sz w:val="24"/>
          <w:szCs w:val="24"/>
        </w:rPr>
        <w:t>3</w:t>
      </w:r>
      <w:r>
        <w:rPr>
          <w:rFonts w:eastAsiaTheme="minorEastAsia"/>
          <w:b/>
          <w:bCs/>
          <w:color w:val="000000" w:themeColor="text1"/>
          <w:sz w:val="24"/>
          <w:szCs w:val="24"/>
        </w:rPr>
        <w:t>:</w:t>
      </w:r>
      <w:r>
        <w:rPr>
          <w:rFonts w:eastAsiaTheme="minorEastAsia"/>
          <w:b/>
          <w:bCs/>
          <w:color w:val="000000" w:themeColor="text1"/>
          <w:sz w:val="24"/>
          <w:szCs w:val="24"/>
        </w:rPr>
        <w:tab/>
      </w:r>
      <w:r w:rsidR="00332006" w:rsidRPr="00332006">
        <w:rPr>
          <w:rFonts w:eastAsiaTheme="minorEastAsia"/>
          <w:b/>
          <w:bCs/>
          <w:color w:val="000000" w:themeColor="text1"/>
          <w:sz w:val="24"/>
          <w:szCs w:val="24"/>
        </w:rPr>
        <w:t>We are confused about the "Cash Match Scoring Table" in scoring table item 9A, which provides up to 5 bonus points for match funding, based on the "percentage of the proposed cash match funds"</w:t>
      </w:r>
      <w:r w:rsidR="00332006">
        <w:rPr>
          <w:rFonts w:eastAsiaTheme="minorEastAsia"/>
          <w:b/>
          <w:bCs/>
          <w:color w:val="000000" w:themeColor="text1"/>
          <w:sz w:val="24"/>
          <w:szCs w:val="24"/>
        </w:rPr>
        <w:t>,</w:t>
      </w:r>
      <w:r w:rsidR="00332006" w:rsidRPr="00332006">
        <w:rPr>
          <w:rFonts w:eastAsiaTheme="minorEastAsia"/>
          <w:b/>
          <w:bCs/>
          <w:color w:val="000000" w:themeColor="text1"/>
          <w:sz w:val="24"/>
          <w:szCs w:val="24"/>
        </w:rPr>
        <w:t xml:space="preserve"> "evaluated on the proposed cash match relative to the total mash (</w:t>
      </w:r>
      <w:proofErr w:type="spellStart"/>
      <w:r w:rsidR="00332006" w:rsidRPr="00332006">
        <w:rPr>
          <w:rFonts w:eastAsiaTheme="minorEastAsia"/>
          <w:b/>
          <w:bCs/>
          <w:color w:val="000000" w:themeColor="text1"/>
          <w:sz w:val="24"/>
          <w:szCs w:val="24"/>
        </w:rPr>
        <w:t>cash+In-kind</w:t>
      </w:r>
      <w:proofErr w:type="spellEnd"/>
      <w:r w:rsidR="00332006" w:rsidRPr="00332006">
        <w:rPr>
          <w:rFonts w:eastAsiaTheme="minorEastAsia"/>
          <w:b/>
          <w:bCs/>
          <w:color w:val="000000" w:themeColor="text1"/>
          <w:sz w:val="24"/>
          <w:szCs w:val="24"/>
        </w:rPr>
        <w:t>)</w:t>
      </w:r>
      <w:r w:rsidR="004520DE">
        <w:rPr>
          <w:rFonts w:eastAsiaTheme="minorEastAsia"/>
          <w:b/>
          <w:bCs/>
          <w:color w:val="000000" w:themeColor="text1"/>
          <w:sz w:val="24"/>
          <w:szCs w:val="24"/>
        </w:rPr>
        <w:t xml:space="preserve"> </w:t>
      </w:r>
      <w:r w:rsidR="00332006" w:rsidRPr="00332006">
        <w:rPr>
          <w:rFonts w:eastAsiaTheme="minorEastAsia"/>
          <w:b/>
          <w:bCs/>
          <w:color w:val="000000" w:themeColor="text1"/>
          <w:sz w:val="24"/>
          <w:szCs w:val="24"/>
        </w:rPr>
        <w:t>contributions." It seems like there may be a mistake (or just a very strange incentive) in how this is presented.</w:t>
      </w:r>
    </w:p>
    <w:p w14:paraId="0E850D50" w14:textId="77777777" w:rsidR="00332006" w:rsidRDefault="00332006" w:rsidP="00332006">
      <w:pPr>
        <w:ind w:left="720"/>
        <w:rPr>
          <w:rFonts w:eastAsiaTheme="minorEastAsia"/>
          <w:b/>
          <w:bCs/>
          <w:color w:val="000000" w:themeColor="text1"/>
          <w:sz w:val="24"/>
          <w:szCs w:val="24"/>
        </w:rPr>
      </w:pPr>
      <w:r w:rsidRPr="00332006">
        <w:rPr>
          <w:rFonts w:eastAsiaTheme="minorEastAsia"/>
          <w:b/>
          <w:bCs/>
          <w:color w:val="000000" w:themeColor="text1"/>
          <w:sz w:val="24"/>
          <w:szCs w:val="24"/>
        </w:rPr>
        <w:t>Consider two possible match contributions: (</w:t>
      </w:r>
      <w:proofErr w:type="spellStart"/>
      <w:r w:rsidRPr="00332006">
        <w:rPr>
          <w:rFonts w:eastAsiaTheme="minorEastAsia"/>
          <w:b/>
          <w:bCs/>
          <w:color w:val="000000" w:themeColor="text1"/>
          <w:sz w:val="24"/>
          <w:szCs w:val="24"/>
        </w:rPr>
        <w:t>i</w:t>
      </w:r>
      <w:proofErr w:type="spellEnd"/>
      <w:r w:rsidRPr="00332006">
        <w:rPr>
          <w:rFonts w:eastAsiaTheme="minorEastAsia"/>
          <w:b/>
          <w:bCs/>
          <w:color w:val="000000" w:themeColor="text1"/>
          <w:sz w:val="24"/>
          <w:szCs w:val="24"/>
        </w:rPr>
        <w:t xml:space="preserve">) just a $100k cash contribution, or (ii), a package of $100k cash + $1M in-kind. The first scenario presumably </w:t>
      </w:r>
      <w:proofErr w:type="gramStart"/>
      <w:r w:rsidRPr="00332006">
        <w:rPr>
          <w:rFonts w:eastAsiaTheme="minorEastAsia"/>
          <w:b/>
          <w:bCs/>
          <w:color w:val="000000" w:themeColor="text1"/>
          <w:sz w:val="24"/>
          <w:szCs w:val="24"/>
        </w:rPr>
        <w:t>be would be</w:t>
      </w:r>
      <w:proofErr w:type="gramEnd"/>
      <w:r w:rsidRPr="00332006">
        <w:rPr>
          <w:rFonts w:eastAsiaTheme="minorEastAsia"/>
          <w:b/>
          <w:bCs/>
          <w:color w:val="000000" w:themeColor="text1"/>
          <w:sz w:val="24"/>
          <w:szCs w:val="24"/>
        </w:rPr>
        <w:t xml:space="preserve"> worth 5 points (100% cash), whereas the second would be worth 0 points ($100k / $1.1M = 9%). This doesn't make sense.</w:t>
      </w:r>
    </w:p>
    <w:p w14:paraId="48A41946" w14:textId="71CE32F0" w:rsidR="002D350E" w:rsidRDefault="00332006" w:rsidP="00332006">
      <w:pPr>
        <w:ind w:left="720"/>
        <w:rPr>
          <w:rFonts w:eastAsiaTheme="minorEastAsia"/>
          <w:b/>
          <w:bCs/>
          <w:color w:val="000000" w:themeColor="text1"/>
          <w:sz w:val="24"/>
          <w:szCs w:val="24"/>
        </w:rPr>
      </w:pPr>
      <w:r w:rsidRPr="00332006">
        <w:rPr>
          <w:rFonts w:eastAsiaTheme="minorEastAsia"/>
          <w:b/>
          <w:bCs/>
          <w:color w:val="000000" w:themeColor="text1"/>
          <w:sz w:val="24"/>
          <w:szCs w:val="24"/>
        </w:rPr>
        <w:t>Can you please clarify?</w:t>
      </w:r>
    </w:p>
    <w:p w14:paraId="378A9137" w14:textId="388E629A" w:rsidR="005F3853" w:rsidRDefault="001208BB"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000A0875" w:rsidRPr="470E5D75">
        <w:rPr>
          <w:rFonts w:eastAsiaTheme="minorEastAsia"/>
          <w:color w:val="000000" w:themeColor="text1"/>
          <w:sz w:val="24"/>
          <w:szCs w:val="24"/>
        </w:rPr>
        <w:t>3</w:t>
      </w:r>
      <w:r w:rsidRPr="470E5D75">
        <w:rPr>
          <w:rFonts w:eastAsiaTheme="minorEastAsia"/>
          <w:color w:val="000000" w:themeColor="text1"/>
          <w:sz w:val="24"/>
          <w:szCs w:val="24"/>
        </w:rPr>
        <w:t>:</w:t>
      </w:r>
      <w:r>
        <w:tab/>
      </w:r>
      <w:r w:rsidR="002A0068" w:rsidRPr="470E5D75">
        <w:rPr>
          <w:rFonts w:eastAsiaTheme="minorEastAsia"/>
          <w:color w:val="000000" w:themeColor="text1"/>
          <w:sz w:val="24"/>
          <w:szCs w:val="24"/>
        </w:rPr>
        <w:t xml:space="preserve">Yes; </w:t>
      </w:r>
      <w:r w:rsidR="004F396F" w:rsidRPr="470E5D75">
        <w:rPr>
          <w:rFonts w:eastAsiaTheme="minorEastAsia"/>
          <w:color w:val="000000" w:themeColor="text1"/>
          <w:sz w:val="24"/>
          <w:szCs w:val="24"/>
        </w:rPr>
        <w:t xml:space="preserve">your interpretation is correct. </w:t>
      </w:r>
      <w:r w:rsidR="00484CDE" w:rsidRPr="470E5D75">
        <w:rPr>
          <w:rFonts w:eastAsiaTheme="minorEastAsia"/>
          <w:color w:val="000000" w:themeColor="text1"/>
          <w:sz w:val="24"/>
          <w:szCs w:val="24"/>
        </w:rPr>
        <w:t xml:space="preserve">As indicated in the solicitation manual, “Cash match will be considered more favorably than in-kind contributions during the scoring phase.” </w:t>
      </w:r>
      <w:r w:rsidR="4FB5E17B" w:rsidRPr="470E5D75">
        <w:rPr>
          <w:rFonts w:eastAsiaTheme="minorEastAsia"/>
          <w:color w:val="000000" w:themeColor="text1"/>
          <w:sz w:val="24"/>
          <w:szCs w:val="24"/>
        </w:rPr>
        <w:t xml:space="preserve">Scoring Criterion </w:t>
      </w:r>
      <w:r w:rsidR="003A47CC">
        <w:rPr>
          <w:rFonts w:eastAsiaTheme="minorEastAsia"/>
          <w:color w:val="000000" w:themeColor="text1"/>
          <w:sz w:val="24"/>
          <w:szCs w:val="24"/>
        </w:rPr>
        <w:t>9</w:t>
      </w:r>
      <w:r w:rsidR="4FB5E17B" w:rsidRPr="470E5D75">
        <w:rPr>
          <w:rFonts w:eastAsiaTheme="minorEastAsia"/>
          <w:color w:val="000000" w:themeColor="text1"/>
          <w:sz w:val="24"/>
          <w:szCs w:val="24"/>
        </w:rPr>
        <w:t>b, however, considers the total amount of</w:t>
      </w:r>
      <w:r w:rsidR="7645D324" w:rsidRPr="470E5D75">
        <w:rPr>
          <w:rFonts w:eastAsiaTheme="minorEastAsia"/>
          <w:color w:val="000000" w:themeColor="text1"/>
          <w:sz w:val="24"/>
          <w:szCs w:val="24"/>
        </w:rPr>
        <w:t xml:space="preserve"> eligible</w:t>
      </w:r>
      <w:r w:rsidR="4FB5E17B" w:rsidRPr="470E5D75">
        <w:rPr>
          <w:rFonts w:eastAsiaTheme="minorEastAsia"/>
          <w:color w:val="000000" w:themeColor="text1"/>
          <w:sz w:val="24"/>
          <w:szCs w:val="24"/>
        </w:rPr>
        <w:t xml:space="preserve"> match, both cash and in-kind. </w:t>
      </w:r>
    </w:p>
    <w:p w14:paraId="6469BD90" w14:textId="77777777" w:rsidR="00F44D4E" w:rsidRPr="001208BB" w:rsidRDefault="00F44D4E" w:rsidP="002A0068">
      <w:pPr>
        <w:ind w:left="720" w:hanging="720"/>
        <w:rPr>
          <w:rFonts w:eastAsiaTheme="minorEastAsia"/>
          <w:color w:val="000000" w:themeColor="text1"/>
          <w:sz w:val="24"/>
          <w:szCs w:val="24"/>
        </w:rPr>
      </w:pPr>
    </w:p>
    <w:p w14:paraId="7C889361" w14:textId="1C5659F2" w:rsidR="003D662A" w:rsidRDefault="004520DE" w:rsidP="00B424FC">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0A0875">
        <w:rPr>
          <w:rFonts w:eastAsiaTheme="minorEastAsia"/>
          <w:b/>
          <w:bCs/>
          <w:color w:val="000000" w:themeColor="text1"/>
          <w:sz w:val="24"/>
          <w:szCs w:val="24"/>
        </w:rPr>
        <w:t>4</w:t>
      </w:r>
      <w:r>
        <w:rPr>
          <w:rFonts w:eastAsiaTheme="minorEastAsia"/>
          <w:b/>
          <w:bCs/>
          <w:color w:val="000000" w:themeColor="text1"/>
          <w:sz w:val="24"/>
          <w:szCs w:val="24"/>
        </w:rPr>
        <w:t>:</w:t>
      </w:r>
      <w:r>
        <w:rPr>
          <w:rFonts w:eastAsiaTheme="minorEastAsia"/>
          <w:b/>
          <w:bCs/>
          <w:color w:val="000000" w:themeColor="text1"/>
          <w:sz w:val="24"/>
          <w:szCs w:val="24"/>
        </w:rPr>
        <w:tab/>
      </w:r>
      <w:r w:rsidR="00502F0B" w:rsidRPr="00502F0B">
        <w:rPr>
          <w:rFonts w:eastAsiaTheme="minorEastAsia"/>
          <w:b/>
          <w:bCs/>
          <w:color w:val="000000" w:themeColor="text1"/>
          <w:sz w:val="24"/>
          <w:szCs w:val="24"/>
        </w:rPr>
        <w:t>We want to clarify the "Exceeds Minimum Match Scoring Table", Item 9b. Can you please confirm that -- relative to the minimum match value of $100k -- if we contributed $180k in cash/in-kind funding -- this would be considered ≥80% and be scored with 5 points?</w:t>
      </w:r>
    </w:p>
    <w:p w14:paraId="79B6C3B6" w14:textId="395BCF8D" w:rsidR="001208BB" w:rsidRDefault="001208BB"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000A0875" w:rsidRPr="470E5D75">
        <w:rPr>
          <w:rFonts w:eastAsiaTheme="minorEastAsia"/>
          <w:color w:val="000000" w:themeColor="text1"/>
          <w:sz w:val="24"/>
          <w:szCs w:val="24"/>
        </w:rPr>
        <w:t>4</w:t>
      </w:r>
      <w:r w:rsidRPr="470E5D75">
        <w:rPr>
          <w:rFonts w:eastAsiaTheme="minorEastAsia"/>
          <w:color w:val="000000" w:themeColor="text1"/>
          <w:sz w:val="24"/>
          <w:szCs w:val="24"/>
        </w:rPr>
        <w:t>:</w:t>
      </w:r>
      <w:r>
        <w:tab/>
      </w:r>
      <w:r w:rsidR="00CB2D47" w:rsidRPr="470E5D75">
        <w:rPr>
          <w:rFonts w:eastAsiaTheme="minorEastAsia"/>
          <w:color w:val="000000" w:themeColor="text1"/>
          <w:sz w:val="24"/>
          <w:szCs w:val="24"/>
        </w:rPr>
        <w:t>Scoring Criteri</w:t>
      </w:r>
      <w:r w:rsidR="00491166" w:rsidRPr="470E5D75">
        <w:rPr>
          <w:rFonts w:eastAsiaTheme="minorEastAsia"/>
          <w:color w:val="000000" w:themeColor="text1"/>
          <w:sz w:val="24"/>
          <w:szCs w:val="24"/>
        </w:rPr>
        <w:t>on</w:t>
      </w:r>
      <w:r w:rsidR="00CB2D47" w:rsidRPr="470E5D75">
        <w:rPr>
          <w:rFonts w:eastAsiaTheme="minorEastAsia"/>
          <w:color w:val="000000" w:themeColor="text1"/>
          <w:sz w:val="24"/>
          <w:szCs w:val="24"/>
        </w:rPr>
        <w:t xml:space="preserve"> </w:t>
      </w:r>
      <w:r w:rsidR="00C654AA">
        <w:rPr>
          <w:rFonts w:eastAsiaTheme="minorEastAsia"/>
          <w:color w:val="000000" w:themeColor="text1"/>
          <w:sz w:val="24"/>
          <w:szCs w:val="24"/>
        </w:rPr>
        <w:t>9</w:t>
      </w:r>
      <w:r w:rsidR="00CB2D47" w:rsidRPr="470E5D75">
        <w:rPr>
          <w:rFonts w:eastAsiaTheme="minorEastAsia"/>
          <w:color w:val="000000" w:themeColor="text1"/>
          <w:sz w:val="24"/>
          <w:szCs w:val="24"/>
        </w:rPr>
        <w:t xml:space="preserve">b </w:t>
      </w:r>
      <w:r w:rsidR="00A50D3F" w:rsidRPr="470E5D75">
        <w:rPr>
          <w:rFonts w:eastAsiaTheme="minorEastAsia"/>
          <w:color w:val="000000" w:themeColor="text1"/>
          <w:sz w:val="24"/>
          <w:szCs w:val="24"/>
        </w:rPr>
        <w:t xml:space="preserve">is </w:t>
      </w:r>
      <w:r w:rsidR="00CB2D47" w:rsidRPr="470E5D75">
        <w:rPr>
          <w:rFonts w:eastAsiaTheme="minorEastAsia"/>
          <w:color w:val="000000" w:themeColor="text1"/>
          <w:sz w:val="24"/>
          <w:szCs w:val="24"/>
        </w:rPr>
        <w:t xml:space="preserve">determined by the </w:t>
      </w:r>
      <w:r w:rsidR="005139CF" w:rsidRPr="470E5D75">
        <w:rPr>
          <w:rFonts w:eastAsiaTheme="minorEastAsia"/>
          <w:color w:val="000000" w:themeColor="text1"/>
          <w:sz w:val="24"/>
          <w:szCs w:val="24"/>
        </w:rPr>
        <w:t xml:space="preserve">ratio of (1) the </w:t>
      </w:r>
      <w:r w:rsidR="00CB2D47" w:rsidRPr="470E5D75">
        <w:rPr>
          <w:rFonts w:eastAsiaTheme="minorEastAsia"/>
          <w:color w:val="000000" w:themeColor="text1"/>
          <w:sz w:val="24"/>
          <w:szCs w:val="24"/>
        </w:rPr>
        <w:t xml:space="preserve">amount </w:t>
      </w:r>
      <w:r w:rsidR="005139CF" w:rsidRPr="470E5D75">
        <w:rPr>
          <w:rFonts w:eastAsiaTheme="minorEastAsia"/>
          <w:color w:val="000000" w:themeColor="text1"/>
          <w:sz w:val="24"/>
          <w:szCs w:val="24"/>
        </w:rPr>
        <w:t xml:space="preserve">of match </w:t>
      </w:r>
      <w:r w:rsidR="00CB2D47" w:rsidRPr="470E5D75">
        <w:rPr>
          <w:rFonts w:eastAsiaTheme="minorEastAsia"/>
          <w:color w:val="000000" w:themeColor="text1"/>
          <w:sz w:val="24"/>
          <w:szCs w:val="24"/>
        </w:rPr>
        <w:t xml:space="preserve">above minimum </w:t>
      </w:r>
      <w:r w:rsidR="00F16281" w:rsidRPr="470E5D75">
        <w:rPr>
          <w:rFonts w:eastAsiaTheme="minorEastAsia"/>
          <w:color w:val="000000" w:themeColor="text1"/>
          <w:sz w:val="24"/>
          <w:szCs w:val="24"/>
        </w:rPr>
        <w:t xml:space="preserve">required match </w:t>
      </w:r>
      <w:r w:rsidR="005139CF" w:rsidRPr="470E5D75">
        <w:rPr>
          <w:rFonts w:eastAsiaTheme="minorEastAsia"/>
          <w:color w:val="000000" w:themeColor="text1"/>
          <w:sz w:val="24"/>
          <w:szCs w:val="24"/>
        </w:rPr>
        <w:t xml:space="preserve">to (2) total CEC funds requested. </w:t>
      </w:r>
      <w:r w:rsidR="00EB4674" w:rsidRPr="470E5D75">
        <w:rPr>
          <w:rFonts w:eastAsiaTheme="minorEastAsia"/>
          <w:color w:val="000000" w:themeColor="text1"/>
          <w:sz w:val="24"/>
          <w:szCs w:val="24"/>
        </w:rPr>
        <w:t>Based on this ratio, criterion</w:t>
      </w:r>
      <w:r w:rsidR="00491166" w:rsidRPr="470E5D75">
        <w:rPr>
          <w:rFonts w:eastAsiaTheme="minorEastAsia"/>
          <w:color w:val="000000" w:themeColor="text1"/>
          <w:sz w:val="24"/>
          <w:szCs w:val="24"/>
        </w:rPr>
        <w:t xml:space="preserve"> </w:t>
      </w:r>
      <w:r w:rsidR="00C654AA">
        <w:rPr>
          <w:rFonts w:eastAsiaTheme="minorEastAsia"/>
          <w:color w:val="000000" w:themeColor="text1"/>
          <w:sz w:val="24"/>
          <w:szCs w:val="24"/>
        </w:rPr>
        <w:t>9</w:t>
      </w:r>
      <w:r w:rsidR="00491166" w:rsidRPr="470E5D75">
        <w:rPr>
          <w:rFonts w:eastAsiaTheme="minorEastAsia"/>
          <w:color w:val="000000" w:themeColor="text1"/>
          <w:sz w:val="24"/>
          <w:szCs w:val="24"/>
        </w:rPr>
        <w:t>b</w:t>
      </w:r>
      <w:r w:rsidR="00EB4674" w:rsidRPr="470E5D75">
        <w:rPr>
          <w:rFonts w:eastAsiaTheme="minorEastAsia"/>
          <w:color w:val="000000" w:themeColor="text1"/>
          <w:sz w:val="24"/>
          <w:szCs w:val="24"/>
        </w:rPr>
        <w:t xml:space="preserve"> is scored </w:t>
      </w:r>
      <w:r w:rsidR="00CB2D47" w:rsidRPr="470E5D75">
        <w:rPr>
          <w:rFonts w:eastAsiaTheme="minorEastAsia"/>
          <w:color w:val="000000" w:themeColor="text1"/>
          <w:sz w:val="24"/>
          <w:szCs w:val="24"/>
        </w:rPr>
        <w:t xml:space="preserve">using the Exceeds Minimum Match Scoring table found in the Solicitation Manual Scoring Criteria. The percentage </w:t>
      </w:r>
      <w:r w:rsidR="00E179A2" w:rsidRPr="470E5D75">
        <w:rPr>
          <w:rFonts w:eastAsiaTheme="minorEastAsia"/>
          <w:color w:val="000000" w:themeColor="text1"/>
          <w:sz w:val="24"/>
          <w:szCs w:val="24"/>
        </w:rPr>
        <w:t>is</w:t>
      </w:r>
      <w:r w:rsidR="00CB2D47" w:rsidRPr="470E5D75">
        <w:rPr>
          <w:rFonts w:eastAsiaTheme="minorEastAsia"/>
          <w:color w:val="000000" w:themeColor="text1"/>
          <w:sz w:val="24"/>
          <w:szCs w:val="24"/>
        </w:rPr>
        <w:t xml:space="preserve"> calculated by dividing the </w:t>
      </w:r>
      <w:r w:rsidR="00E179A2" w:rsidRPr="470E5D75">
        <w:rPr>
          <w:rFonts w:eastAsiaTheme="minorEastAsia"/>
          <w:color w:val="000000" w:themeColor="text1"/>
          <w:sz w:val="24"/>
          <w:szCs w:val="24"/>
        </w:rPr>
        <w:t xml:space="preserve">match </w:t>
      </w:r>
      <w:proofErr w:type="gramStart"/>
      <w:r w:rsidR="00872341" w:rsidRPr="470E5D75">
        <w:rPr>
          <w:rFonts w:eastAsiaTheme="minorEastAsia"/>
          <w:color w:val="000000" w:themeColor="text1"/>
          <w:sz w:val="24"/>
          <w:szCs w:val="24"/>
        </w:rPr>
        <w:t>in excess of</w:t>
      </w:r>
      <w:proofErr w:type="gramEnd"/>
      <w:r w:rsidR="00872341" w:rsidRPr="470E5D75">
        <w:rPr>
          <w:rFonts w:eastAsiaTheme="minorEastAsia"/>
          <w:color w:val="000000" w:themeColor="text1"/>
          <w:sz w:val="24"/>
          <w:szCs w:val="24"/>
        </w:rPr>
        <w:t xml:space="preserve"> minimum required match </w:t>
      </w:r>
      <w:r w:rsidR="00CB2D47" w:rsidRPr="470E5D75">
        <w:rPr>
          <w:rFonts w:eastAsiaTheme="minorEastAsia"/>
          <w:color w:val="000000" w:themeColor="text1"/>
          <w:sz w:val="24"/>
          <w:szCs w:val="24"/>
        </w:rPr>
        <w:t xml:space="preserve">by the funding total requested. </w:t>
      </w:r>
      <w:r w:rsidR="007E7F9C" w:rsidRPr="470E5D75">
        <w:rPr>
          <w:rFonts w:eastAsiaTheme="minorEastAsia"/>
          <w:color w:val="000000" w:themeColor="text1"/>
          <w:sz w:val="24"/>
          <w:szCs w:val="24"/>
        </w:rPr>
        <w:t>For example, if $</w:t>
      </w:r>
      <w:r w:rsidR="00ED4AFB" w:rsidRPr="470E5D75">
        <w:rPr>
          <w:rFonts w:eastAsiaTheme="minorEastAsia"/>
          <w:color w:val="000000" w:themeColor="text1"/>
          <w:sz w:val="24"/>
          <w:szCs w:val="24"/>
        </w:rPr>
        <w:t>180</w:t>
      </w:r>
      <w:r w:rsidR="007E7F9C" w:rsidRPr="470E5D75">
        <w:rPr>
          <w:rFonts w:eastAsiaTheme="minorEastAsia"/>
          <w:color w:val="000000" w:themeColor="text1"/>
          <w:sz w:val="24"/>
          <w:szCs w:val="24"/>
        </w:rPr>
        <w:t>,000 in match is pledged</w:t>
      </w:r>
      <w:r w:rsidR="00872341" w:rsidRPr="470E5D75">
        <w:rPr>
          <w:rFonts w:eastAsiaTheme="minorEastAsia"/>
          <w:color w:val="000000" w:themeColor="text1"/>
          <w:sz w:val="24"/>
          <w:szCs w:val="24"/>
        </w:rPr>
        <w:t xml:space="preserve">, </w:t>
      </w:r>
      <w:r w:rsidR="6D290723" w:rsidRPr="470E5D75">
        <w:rPr>
          <w:rFonts w:eastAsiaTheme="minorEastAsia"/>
          <w:color w:val="000000" w:themeColor="text1"/>
          <w:sz w:val="24"/>
          <w:szCs w:val="24"/>
        </w:rPr>
        <w:t xml:space="preserve">the </w:t>
      </w:r>
      <w:r w:rsidR="00872341" w:rsidRPr="470E5D75">
        <w:rPr>
          <w:rFonts w:eastAsiaTheme="minorEastAsia"/>
          <w:color w:val="000000" w:themeColor="text1"/>
          <w:sz w:val="24"/>
          <w:szCs w:val="24"/>
        </w:rPr>
        <w:t>required minimum match is $100,000</w:t>
      </w:r>
      <w:r w:rsidR="4C134A41" w:rsidRPr="470E5D75">
        <w:rPr>
          <w:rFonts w:eastAsiaTheme="minorEastAsia"/>
          <w:color w:val="000000" w:themeColor="text1"/>
          <w:sz w:val="24"/>
          <w:szCs w:val="24"/>
        </w:rPr>
        <w:t>,</w:t>
      </w:r>
      <w:r w:rsidR="007E7F9C" w:rsidRPr="470E5D75">
        <w:rPr>
          <w:rFonts w:eastAsiaTheme="minorEastAsia"/>
          <w:color w:val="000000" w:themeColor="text1"/>
          <w:sz w:val="24"/>
          <w:szCs w:val="24"/>
        </w:rPr>
        <w:t xml:space="preserve"> and $</w:t>
      </w:r>
      <w:r w:rsidR="00ED4AFB" w:rsidRPr="470E5D75">
        <w:rPr>
          <w:rFonts w:eastAsiaTheme="minorEastAsia"/>
          <w:color w:val="000000" w:themeColor="text1"/>
          <w:sz w:val="24"/>
          <w:szCs w:val="24"/>
        </w:rPr>
        <w:t>2</w:t>
      </w:r>
      <w:r w:rsidR="007E7F9C" w:rsidRPr="470E5D75">
        <w:rPr>
          <w:rFonts w:eastAsiaTheme="minorEastAsia"/>
          <w:color w:val="000000" w:themeColor="text1"/>
          <w:sz w:val="24"/>
          <w:szCs w:val="24"/>
        </w:rPr>
        <w:t xml:space="preserve">,000,000 in funds is requested, the proposal would receive </w:t>
      </w:r>
      <w:r w:rsidR="00CA119B" w:rsidRPr="470E5D75">
        <w:rPr>
          <w:rFonts w:eastAsiaTheme="minorEastAsia"/>
          <w:color w:val="000000" w:themeColor="text1"/>
          <w:sz w:val="24"/>
          <w:szCs w:val="24"/>
        </w:rPr>
        <w:t>no</w:t>
      </w:r>
      <w:r w:rsidR="007E7F9C" w:rsidRPr="470E5D75">
        <w:rPr>
          <w:rFonts w:eastAsiaTheme="minorEastAsia"/>
          <w:color w:val="000000" w:themeColor="text1"/>
          <w:sz w:val="24"/>
          <w:szCs w:val="24"/>
        </w:rPr>
        <w:t xml:space="preserve"> point</w:t>
      </w:r>
      <w:r w:rsidR="259B9597" w:rsidRPr="470E5D75">
        <w:rPr>
          <w:rFonts w:eastAsiaTheme="minorEastAsia"/>
          <w:color w:val="000000" w:themeColor="text1"/>
          <w:sz w:val="24"/>
          <w:szCs w:val="24"/>
        </w:rPr>
        <w:t>s</w:t>
      </w:r>
      <w:r w:rsidR="007E7F9C" w:rsidRPr="470E5D75">
        <w:rPr>
          <w:rFonts w:eastAsiaTheme="minorEastAsia"/>
          <w:color w:val="000000" w:themeColor="text1"/>
          <w:sz w:val="24"/>
          <w:szCs w:val="24"/>
        </w:rPr>
        <w:t xml:space="preserve"> for Scoring Criteri</w:t>
      </w:r>
      <w:r w:rsidR="3BC13F75" w:rsidRPr="470E5D75">
        <w:rPr>
          <w:rFonts w:eastAsiaTheme="minorEastAsia"/>
          <w:color w:val="000000" w:themeColor="text1"/>
          <w:sz w:val="24"/>
          <w:szCs w:val="24"/>
        </w:rPr>
        <w:t>on</w:t>
      </w:r>
      <w:r w:rsidR="007E7F9C" w:rsidRPr="470E5D75">
        <w:rPr>
          <w:rFonts w:eastAsiaTheme="minorEastAsia"/>
          <w:color w:val="000000" w:themeColor="text1"/>
          <w:sz w:val="24"/>
          <w:szCs w:val="24"/>
        </w:rPr>
        <w:t xml:space="preserve"> </w:t>
      </w:r>
      <w:r w:rsidR="00C654AA">
        <w:rPr>
          <w:rFonts w:eastAsiaTheme="minorEastAsia"/>
          <w:color w:val="000000" w:themeColor="text1"/>
          <w:sz w:val="24"/>
          <w:szCs w:val="24"/>
        </w:rPr>
        <w:t>9</w:t>
      </w:r>
      <w:r w:rsidR="007E7F9C" w:rsidRPr="470E5D75">
        <w:rPr>
          <w:rFonts w:eastAsiaTheme="minorEastAsia"/>
          <w:color w:val="000000" w:themeColor="text1"/>
          <w:sz w:val="24"/>
          <w:szCs w:val="24"/>
        </w:rPr>
        <w:t xml:space="preserve">b based on the match percentage of </w:t>
      </w:r>
      <w:r w:rsidR="00ED4AFB" w:rsidRPr="470E5D75">
        <w:rPr>
          <w:rFonts w:eastAsiaTheme="minorEastAsia"/>
          <w:color w:val="000000" w:themeColor="text1"/>
          <w:sz w:val="24"/>
          <w:szCs w:val="24"/>
        </w:rPr>
        <w:t xml:space="preserve">4% </w:t>
      </w:r>
      <w:r w:rsidR="00363D0C" w:rsidRPr="470E5D75">
        <w:rPr>
          <w:rFonts w:eastAsiaTheme="minorEastAsia"/>
          <w:color w:val="000000" w:themeColor="text1"/>
          <w:sz w:val="24"/>
          <w:szCs w:val="24"/>
        </w:rPr>
        <w:t>[(</w:t>
      </w:r>
      <w:r w:rsidR="00ED4AFB" w:rsidRPr="470E5D75">
        <w:rPr>
          <w:rFonts w:eastAsiaTheme="minorEastAsia"/>
          <w:color w:val="000000" w:themeColor="text1"/>
          <w:sz w:val="24"/>
          <w:szCs w:val="24"/>
        </w:rPr>
        <w:t>$80,000/$</w:t>
      </w:r>
      <w:proofErr w:type="gramStart"/>
      <w:r w:rsidR="00ED4AFB" w:rsidRPr="470E5D75">
        <w:rPr>
          <w:rFonts w:eastAsiaTheme="minorEastAsia"/>
          <w:color w:val="000000" w:themeColor="text1"/>
          <w:sz w:val="24"/>
          <w:szCs w:val="24"/>
        </w:rPr>
        <w:t>2,000,000</w:t>
      </w:r>
      <w:r w:rsidR="00363D0C" w:rsidRPr="470E5D75">
        <w:rPr>
          <w:rFonts w:eastAsiaTheme="minorEastAsia"/>
          <w:color w:val="000000" w:themeColor="text1"/>
          <w:sz w:val="24"/>
          <w:szCs w:val="24"/>
        </w:rPr>
        <w:t>)*</w:t>
      </w:r>
      <w:proofErr w:type="gramEnd"/>
      <w:r w:rsidR="00363D0C" w:rsidRPr="470E5D75">
        <w:rPr>
          <w:rFonts w:eastAsiaTheme="minorEastAsia"/>
          <w:color w:val="000000" w:themeColor="text1"/>
          <w:sz w:val="24"/>
          <w:szCs w:val="24"/>
        </w:rPr>
        <w:t>100]</w:t>
      </w:r>
      <w:r w:rsidR="007E7F9C" w:rsidRPr="470E5D75">
        <w:rPr>
          <w:rFonts w:eastAsiaTheme="minorEastAsia"/>
          <w:color w:val="000000" w:themeColor="text1"/>
          <w:sz w:val="24"/>
          <w:szCs w:val="24"/>
        </w:rPr>
        <w:t>.</w:t>
      </w:r>
    </w:p>
    <w:p w14:paraId="02426D9F" w14:textId="77777777" w:rsidR="00F44D4E" w:rsidRDefault="00F44D4E" w:rsidP="00363D0C">
      <w:pPr>
        <w:ind w:left="720" w:hanging="720"/>
        <w:rPr>
          <w:rFonts w:eastAsiaTheme="minorEastAsia"/>
          <w:color w:val="000000" w:themeColor="text1"/>
          <w:sz w:val="24"/>
          <w:szCs w:val="24"/>
        </w:rPr>
      </w:pPr>
    </w:p>
    <w:p w14:paraId="423362A9" w14:textId="3862495F" w:rsidR="00B424FC" w:rsidRDefault="00B424FC" w:rsidP="00B424FC">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0A0875">
        <w:rPr>
          <w:rFonts w:eastAsiaTheme="minorEastAsia"/>
          <w:b/>
          <w:bCs/>
          <w:color w:val="000000" w:themeColor="text1"/>
          <w:sz w:val="24"/>
          <w:szCs w:val="24"/>
        </w:rPr>
        <w:t>5</w:t>
      </w:r>
      <w:r>
        <w:rPr>
          <w:rFonts w:eastAsiaTheme="minorEastAsia"/>
          <w:b/>
          <w:bCs/>
          <w:color w:val="000000" w:themeColor="text1"/>
          <w:sz w:val="24"/>
          <w:szCs w:val="24"/>
        </w:rPr>
        <w:t>:</w:t>
      </w:r>
      <w:r>
        <w:rPr>
          <w:rFonts w:eastAsiaTheme="minorEastAsia"/>
          <w:b/>
          <w:bCs/>
          <w:color w:val="000000" w:themeColor="text1"/>
          <w:sz w:val="24"/>
          <w:szCs w:val="24"/>
        </w:rPr>
        <w:tab/>
      </w:r>
      <w:r w:rsidRPr="00B424FC">
        <w:rPr>
          <w:rFonts w:eastAsiaTheme="minorEastAsia"/>
          <w:b/>
          <w:bCs/>
          <w:color w:val="000000" w:themeColor="text1"/>
          <w:sz w:val="24"/>
          <w:szCs w:val="24"/>
        </w:rPr>
        <w:t>We understood from the pre-application webinar that the award size is $2,000,000 and that only one award will be made for the full amount. Is this correct?</w:t>
      </w:r>
    </w:p>
    <w:p w14:paraId="19F84BDA" w14:textId="41CBF246" w:rsidR="004925F5" w:rsidRDefault="001208BB" w:rsidP="004925F5">
      <w:pPr>
        <w:ind w:left="720" w:hanging="720"/>
        <w:rPr>
          <w:rFonts w:eastAsiaTheme="minorEastAsia"/>
          <w:color w:val="000000" w:themeColor="text1"/>
          <w:sz w:val="24"/>
          <w:szCs w:val="24"/>
        </w:rPr>
      </w:pPr>
      <w:r w:rsidRPr="001208BB">
        <w:rPr>
          <w:rFonts w:eastAsiaTheme="minorEastAsia"/>
          <w:color w:val="000000" w:themeColor="text1"/>
          <w:sz w:val="24"/>
          <w:szCs w:val="24"/>
        </w:rPr>
        <w:t>A</w:t>
      </w:r>
      <w:r w:rsidR="000A0875">
        <w:rPr>
          <w:rFonts w:eastAsiaTheme="minorEastAsia"/>
          <w:color w:val="000000" w:themeColor="text1"/>
          <w:sz w:val="24"/>
          <w:szCs w:val="24"/>
        </w:rPr>
        <w:t>5</w:t>
      </w:r>
      <w:r w:rsidRPr="001208BB">
        <w:rPr>
          <w:rFonts w:eastAsiaTheme="minorEastAsia"/>
          <w:color w:val="000000" w:themeColor="text1"/>
          <w:sz w:val="24"/>
          <w:szCs w:val="24"/>
        </w:rPr>
        <w:t>:</w:t>
      </w:r>
      <w:r w:rsidRPr="001208BB">
        <w:rPr>
          <w:rFonts w:eastAsiaTheme="minorEastAsia"/>
          <w:color w:val="000000" w:themeColor="text1"/>
          <w:sz w:val="24"/>
          <w:szCs w:val="24"/>
        </w:rPr>
        <w:tab/>
      </w:r>
      <w:r w:rsidR="002F2311" w:rsidRPr="004925F5">
        <w:rPr>
          <w:rFonts w:eastAsiaTheme="minorEastAsia"/>
          <w:color w:val="000000" w:themeColor="text1"/>
          <w:sz w:val="24"/>
          <w:szCs w:val="24"/>
        </w:rPr>
        <w:t xml:space="preserve">Yes, </w:t>
      </w:r>
      <w:r w:rsidR="005C5F9D" w:rsidRPr="004925F5">
        <w:rPr>
          <w:rFonts w:eastAsiaTheme="minorEastAsia"/>
          <w:color w:val="000000" w:themeColor="text1"/>
          <w:sz w:val="24"/>
          <w:szCs w:val="24"/>
        </w:rPr>
        <w:t xml:space="preserve">we anticipate that </w:t>
      </w:r>
      <w:r w:rsidR="002F2311" w:rsidRPr="004925F5">
        <w:rPr>
          <w:rFonts w:eastAsiaTheme="minorEastAsia"/>
          <w:color w:val="000000" w:themeColor="text1"/>
          <w:sz w:val="24"/>
          <w:szCs w:val="24"/>
        </w:rPr>
        <w:t>only one award will be made for this solicitation</w:t>
      </w:r>
      <w:r w:rsidR="007F0DB4" w:rsidRPr="004925F5">
        <w:rPr>
          <w:rFonts w:eastAsiaTheme="minorEastAsia"/>
          <w:color w:val="000000" w:themeColor="text1"/>
          <w:sz w:val="24"/>
          <w:szCs w:val="24"/>
        </w:rPr>
        <w:t>, although per section</w:t>
      </w:r>
      <w:r w:rsidR="001C63F1" w:rsidRPr="004925F5">
        <w:rPr>
          <w:rFonts w:eastAsiaTheme="minorEastAsia"/>
          <w:color w:val="000000" w:themeColor="text1"/>
          <w:sz w:val="24"/>
          <w:szCs w:val="24"/>
        </w:rPr>
        <w:t xml:space="preserve"> I.D.</w:t>
      </w:r>
      <w:r w:rsidR="00437F93" w:rsidRPr="004925F5">
        <w:rPr>
          <w:rFonts w:eastAsiaTheme="minorEastAsia"/>
          <w:color w:val="000000" w:themeColor="text1"/>
          <w:sz w:val="24"/>
          <w:szCs w:val="24"/>
        </w:rPr>
        <w:t xml:space="preserve"> </w:t>
      </w:r>
      <w:r w:rsidR="007F0DB4" w:rsidRPr="004925F5">
        <w:rPr>
          <w:rFonts w:eastAsiaTheme="minorEastAsia"/>
          <w:color w:val="000000" w:themeColor="text1"/>
          <w:sz w:val="24"/>
          <w:szCs w:val="24"/>
        </w:rPr>
        <w:t xml:space="preserve">of the solicitation manual, </w:t>
      </w:r>
      <w:r w:rsidR="00437F93" w:rsidRPr="004925F5">
        <w:rPr>
          <w:rFonts w:eastAsiaTheme="minorEastAsia"/>
          <w:color w:val="000000" w:themeColor="text1"/>
          <w:sz w:val="24"/>
          <w:szCs w:val="24"/>
        </w:rPr>
        <w:t>“</w:t>
      </w:r>
      <w:r w:rsidR="00437F93" w:rsidRPr="004925F5">
        <w:rPr>
          <w:sz w:val="24"/>
          <w:szCs w:val="24"/>
        </w:rPr>
        <w:t>Along with any other rights and remedies available to it, the California Energy Commission (CEC) reserves the right to:</w:t>
      </w:r>
    </w:p>
    <w:p w14:paraId="4D38A2E6" w14:textId="77777777" w:rsidR="004925F5" w:rsidRPr="004925F5" w:rsidRDefault="00437F93" w:rsidP="004925F5">
      <w:pPr>
        <w:pStyle w:val="ListParagraph"/>
        <w:numPr>
          <w:ilvl w:val="0"/>
          <w:numId w:val="2"/>
        </w:numPr>
        <w:rPr>
          <w:rFonts w:eastAsiaTheme="minorEastAsia"/>
          <w:color w:val="000000" w:themeColor="text1"/>
          <w:sz w:val="24"/>
          <w:szCs w:val="24"/>
        </w:rPr>
      </w:pPr>
      <w:r w:rsidRPr="004925F5">
        <w:rPr>
          <w:sz w:val="24"/>
          <w:szCs w:val="24"/>
        </w:rPr>
        <w:t>Increase or decrease the available funding and the minimum/maximum award amounts described in this section.</w:t>
      </w:r>
    </w:p>
    <w:p w14:paraId="71870267" w14:textId="77777777" w:rsidR="004925F5" w:rsidRPr="004925F5" w:rsidRDefault="00437F93" w:rsidP="004925F5">
      <w:pPr>
        <w:pStyle w:val="ListParagraph"/>
        <w:numPr>
          <w:ilvl w:val="0"/>
          <w:numId w:val="2"/>
        </w:numPr>
        <w:rPr>
          <w:rFonts w:eastAsiaTheme="minorEastAsia"/>
          <w:color w:val="000000" w:themeColor="text1"/>
          <w:sz w:val="24"/>
          <w:szCs w:val="24"/>
        </w:rPr>
      </w:pPr>
      <w:r w:rsidRPr="004925F5">
        <w:rPr>
          <w:sz w:val="24"/>
          <w:szCs w:val="24"/>
        </w:rPr>
        <w:t>Allocate any additional or unawarded funds to passing applications, in rank</w:t>
      </w:r>
      <w:r w:rsidR="004925F5" w:rsidRPr="004925F5">
        <w:rPr>
          <w:sz w:val="24"/>
          <w:szCs w:val="24"/>
        </w:rPr>
        <w:t xml:space="preserve"> </w:t>
      </w:r>
      <w:r w:rsidRPr="004925F5">
        <w:rPr>
          <w:sz w:val="24"/>
          <w:szCs w:val="24"/>
        </w:rPr>
        <w:t>order.</w:t>
      </w:r>
    </w:p>
    <w:p w14:paraId="6A5A1891" w14:textId="6ADE69A0" w:rsidR="00437F93" w:rsidRPr="004925F5" w:rsidRDefault="00437F93" w:rsidP="004925F5">
      <w:pPr>
        <w:pStyle w:val="ListParagraph"/>
        <w:numPr>
          <w:ilvl w:val="0"/>
          <w:numId w:val="2"/>
        </w:numPr>
        <w:rPr>
          <w:rFonts w:eastAsiaTheme="minorEastAsia"/>
          <w:color w:val="000000" w:themeColor="text1"/>
          <w:sz w:val="24"/>
          <w:szCs w:val="24"/>
        </w:rPr>
      </w:pPr>
      <w:r w:rsidRPr="004925F5">
        <w:rPr>
          <w:sz w:val="24"/>
          <w:szCs w:val="24"/>
        </w:rPr>
        <w:lastRenderedPageBreak/>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07B4EDF3" w14:textId="778E941F" w:rsidR="00F44D4E" w:rsidRDefault="00200312" w:rsidP="00030B45">
      <w:pPr>
        <w:ind w:left="720"/>
        <w:rPr>
          <w:rFonts w:eastAsiaTheme="minorEastAsia"/>
          <w:color w:val="000000" w:themeColor="text1"/>
          <w:sz w:val="24"/>
          <w:szCs w:val="24"/>
        </w:rPr>
      </w:pPr>
      <w:r>
        <w:rPr>
          <w:rFonts w:eastAsiaTheme="minorEastAsia"/>
          <w:color w:val="000000" w:themeColor="text1"/>
          <w:sz w:val="24"/>
          <w:szCs w:val="24"/>
        </w:rPr>
        <w:t xml:space="preserve">Per section </w:t>
      </w:r>
      <w:r w:rsidR="001C2161">
        <w:rPr>
          <w:rFonts w:eastAsiaTheme="minorEastAsia"/>
          <w:color w:val="000000" w:themeColor="text1"/>
          <w:sz w:val="24"/>
          <w:szCs w:val="24"/>
        </w:rPr>
        <w:t>II.B. of the solicitation manual, “</w:t>
      </w:r>
      <w:r w:rsidR="00762BE0" w:rsidRPr="00762BE0">
        <w:rPr>
          <w:rFonts w:eastAsiaTheme="minorEastAsia"/>
          <w:color w:val="000000" w:themeColor="text1"/>
          <w:sz w:val="24"/>
          <w:szCs w:val="24"/>
        </w:rPr>
        <w:t>In addition to any of its other rights, the CEC reserves the right to</w:t>
      </w:r>
      <w:r w:rsidR="00030B45">
        <w:rPr>
          <w:rFonts w:eastAsiaTheme="minorEastAsia"/>
          <w:color w:val="000000" w:themeColor="text1"/>
          <w:sz w:val="24"/>
          <w:szCs w:val="24"/>
        </w:rPr>
        <w:t xml:space="preserve"> a</w:t>
      </w:r>
      <w:r w:rsidR="00762BE0" w:rsidRPr="00030B45">
        <w:rPr>
          <w:rFonts w:eastAsiaTheme="minorEastAsia"/>
          <w:color w:val="000000" w:themeColor="text1"/>
          <w:sz w:val="24"/>
          <w:szCs w:val="24"/>
        </w:rPr>
        <w:t>llocate any additional funds to passing</w:t>
      </w:r>
      <w:r w:rsidR="00030B45">
        <w:rPr>
          <w:rFonts w:eastAsiaTheme="minorEastAsia"/>
          <w:color w:val="000000" w:themeColor="text1"/>
          <w:sz w:val="24"/>
          <w:szCs w:val="24"/>
        </w:rPr>
        <w:t xml:space="preserve"> </w:t>
      </w:r>
      <w:r w:rsidR="00762BE0" w:rsidRPr="00030B45">
        <w:rPr>
          <w:rFonts w:eastAsiaTheme="minorEastAsia"/>
          <w:color w:val="000000" w:themeColor="text1"/>
          <w:sz w:val="24"/>
          <w:szCs w:val="24"/>
        </w:rPr>
        <w:t>applications, in rank order; and</w:t>
      </w:r>
      <w:r w:rsidR="00030B45">
        <w:rPr>
          <w:rFonts w:eastAsiaTheme="minorEastAsia"/>
          <w:color w:val="000000" w:themeColor="text1"/>
          <w:sz w:val="24"/>
          <w:szCs w:val="24"/>
        </w:rPr>
        <w:t xml:space="preserve"> n</w:t>
      </w:r>
      <w:r w:rsidR="00762BE0" w:rsidRPr="00030B45">
        <w:rPr>
          <w:rFonts w:eastAsiaTheme="minorEastAsia"/>
          <w:color w:val="000000" w:themeColor="text1"/>
          <w:sz w:val="24"/>
          <w:szCs w:val="24"/>
        </w:rPr>
        <w:t>egotiate with successful applicants to modify the project scope, schedule, project team entity that will receive the award, location and/or level of funding.</w:t>
      </w:r>
    </w:p>
    <w:p w14:paraId="7A6C54EC" w14:textId="77777777" w:rsidR="007F4317" w:rsidRPr="001208BB" w:rsidRDefault="007F4317" w:rsidP="00030B45">
      <w:pPr>
        <w:ind w:left="720"/>
        <w:rPr>
          <w:rFonts w:eastAsiaTheme="minorEastAsia"/>
        </w:rPr>
      </w:pPr>
    </w:p>
    <w:p w14:paraId="1B1BEBC6" w14:textId="7E2EFB7F" w:rsidR="00B424FC" w:rsidRDefault="386111A1"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Q6:</w:t>
      </w:r>
      <w:r w:rsidR="00B424FC">
        <w:tab/>
      </w:r>
      <w:r w:rsidRPr="470E5D75">
        <w:rPr>
          <w:rFonts w:eastAsiaTheme="minorEastAsia"/>
          <w:b/>
          <w:bCs/>
          <w:color w:val="000000" w:themeColor="text1"/>
          <w:sz w:val="24"/>
          <w:szCs w:val="24"/>
        </w:rPr>
        <w:t>Can you please clarify how the “Cash match scoring table” works? For example, to earn 5 bonus points, the cash match would require 80-100% “of proposed cash match funds”. What does that value pertain to? For example, for $2M CEC budget, does that imply another $1.6-$2M in match funding?</w:t>
      </w:r>
    </w:p>
    <w:p w14:paraId="68AA950B" w14:textId="7960D2CB" w:rsidR="00B424FC" w:rsidRDefault="386111A1"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A6:</w:t>
      </w:r>
      <w:r w:rsidR="00B424FC">
        <w:tab/>
      </w:r>
      <w:r w:rsidRPr="470E5D75">
        <w:rPr>
          <w:rFonts w:eastAsiaTheme="minorEastAsia"/>
          <w:color w:val="000000" w:themeColor="text1"/>
          <w:sz w:val="24"/>
          <w:szCs w:val="24"/>
        </w:rPr>
        <w:t>The value pertains to the ratio of catch match to total match funds. Percentage of proposed cash match funds = (Cash match)</w:t>
      </w:r>
      <w:proofErr w:type="gramStart"/>
      <w:r w:rsidRPr="470E5D75">
        <w:rPr>
          <w:rFonts w:eastAsiaTheme="minorEastAsia"/>
          <w:color w:val="000000" w:themeColor="text1"/>
          <w:sz w:val="24"/>
          <w:szCs w:val="24"/>
        </w:rPr>
        <w:t>/(</w:t>
      </w:r>
      <w:proofErr w:type="gramEnd"/>
      <w:r w:rsidRPr="470E5D75">
        <w:rPr>
          <w:rFonts w:eastAsiaTheme="minorEastAsia"/>
          <w:color w:val="000000" w:themeColor="text1"/>
          <w:sz w:val="24"/>
          <w:szCs w:val="24"/>
        </w:rPr>
        <w:t xml:space="preserve">Cash match + in-kind match)*100. </w:t>
      </w:r>
    </w:p>
    <w:p w14:paraId="3A72C8C6" w14:textId="3A526F00" w:rsidR="00B424FC" w:rsidRDefault="00B424FC" w:rsidP="470E5D75">
      <w:pPr>
        <w:ind w:left="720" w:hanging="720"/>
        <w:rPr>
          <w:rFonts w:eastAsiaTheme="minorEastAsia"/>
          <w:b/>
          <w:bCs/>
          <w:color w:val="000000" w:themeColor="text1"/>
          <w:sz w:val="24"/>
          <w:szCs w:val="24"/>
        </w:rPr>
      </w:pPr>
    </w:p>
    <w:p w14:paraId="3D3958B5" w14:textId="05DAA117" w:rsidR="00B424FC" w:rsidRDefault="00B424FC"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w:t>
      </w:r>
      <w:r w:rsidR="31FA7B3D" w:rsidRPr="470E5D75">
        <w:rPr>
          <w:rFonts w:eastAsiaTheme="minorEastAsia"/>
          <w:b/>
          <w:bCs/>
          <w:color w:val="000000" w:themeColor="text1"/>
          <w:sz w:val="24"/>
          <w:szCs w:val="24"/>
        </w:rPr>
        <w:t>7</w:t>
      </w:r>
      <w:r w:rsidRPr="470E5D75">
        <w:rPr>
          <w:rFonts w:eastAsiaTheme="minorEastAsia"/>
          <w:b/>
          <w:bCs/>
          <w:color w:val="000000" w:themeColor="text1"/>
          <w:sz w:val="24"/>
          <w:szCs w:val="24"/>
        </w:rPr>
        <w:t>:</w:t>
      </w:r>
      <w:r>
        <w:tab/>
      </w:r>
      <w:r w:rsidRPr="470E5D75">
        <w:rPr>
          <w:rFonts w:eastAsiaTheme="minorEastAsia"/>
          <w:b/>
          <w:bCs/>
          <w:color w:val="000000" w:themeColor="text1"/>
          <w:sz w:val="24"/>
          <w:szCs w:val="24"/>
        </w:rPr>
        <w:t>Can CEC funding be used to pay for an intervention, such as induction stoves?</w:t>
      </w:r>
    </w:p>
    <w:p w14:paraId="3F10BF1D" w14:textId="2F6299C4" w:rsidR="001208BB" w:rsidRDefault="001208BB"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29D6C149" w:rsidRPr="470E5D75">
        <w:rPr>
          <w:rFonts w:eastAsiaTheme="minorEastAsia"/>
          <w:color w:val="000000" w:themeColor="text1"/>
          <w:sz w:val="24"/>
          <w:szCs w:val="24"/>
        </w:rPr>
        <w:t>7</w:t>
      </w:r>
      <w:r w:rsidRPr="470E5D75">
        <w:rPr>
          <w:rFonts w:eastAsiaTheme="minorEastAsia"/>
          <w:color w:val="000000" w:themeColor="text1"/>
          <w:sz w:val="24"/>
          <w:szCs w:val="24"/>
        </w:rPr>
        <w:t>:</w:t>
      </w:r>
      <w:r>
        <w:tab/>
      </w:r>
      <w:r w:rsidR="00443E56" w:rsidRPr="470E5D75">
        <w:rPr>
          <w:rFonts w:eastAsiaTheme="minorEastAsia"/>
          <w:color w:val="000000" w:themeColor="text1"/>
          <w:sz w:val="24"/>
          <w:szCs w:val="24"/>
        </w:rPr>
        <w:t>The solicitation manual does not request</w:t>
      </w:r>
      <w:r w:rsidR="00CC341E" w:rsidRPr="470E5D75">
        <w:rPr>
          <w:rFonts w:eastAsiaTheme="minorEastAsia"/>
          <w:color w:val="000000" w:themeColor="text1"/>
          <w:sz w:val="24"/>
          <w:szCs w:val="24"/>
        </w:rPr>
        <w:t xml:space="preserve"> an “intervention” study, </w:t>
      </w:r>
      <w:r w:rsidR="00B74D1B" w:rsidRPr="470E5D75">
        <w:rPr>
          <w:rFonts w:eastAsiaTheme="minorEastAsia"/>
          <w:color w:val="000000" w:themeColor="text1"/>
          <w:sz w:val="24"/>
          <w:szCs w:val="24"/>
        </w:rPr>
        <w:t xml:space="preserve">though </w:t>
      </w:r>
      <w:r w:rsidR="00CC341E" w:rsidRPr="470E5D75">
        <w:rPr>
          <w:rFonts w:eastAsiaTheme="minorEastAsia"/>
          <w:color w:val="000000" w:themeColor="text1"/>
          <w:sz w:val="24"/>
          <w:szCs w:val="24"/>
        </w:rPr>
        <w:t xml:space="preserve">applicants can use CEC funds for </w:t>
      </w:r>
      <w:r w:rsidR="00C91283" w:rsidRPr="470E5D75">
        <w:rPr>
          <w:rFonts w:eastAsiaTheme="minorEastAsia"/>
          <w:color w:val="000000" w:themeColor="text1"/>
          <w:sz w:val="24"/>
          <w:szCs w:val="24"/>
        </w:rPr>
        <w:t>tasks</w:t>
      </w:r>
      <w:r w:rsidR="00CC341E" w:rsidRPr="470E5D75">
        <w:rPr>
          <w:rFonts w:eastAsiaTheme="minorEastAsia"/>
          <w:color w:val="000000" w:themeColor="text1"/>
          <w:sz w:val="24"/>
          <w:szCs w:val="24"/>
        </w:rPr>
        <w:t xml:space="preserve"> that help in achieving the goals </w:t>
      </w:r>
      <w:r w:rsidR="00A37CA5" w:rsidRPr="470E5D75">
        <w:rPr>
          <w:rFonts w:eastAsiaTheme="minorEastAsia"/>
          <w:color w:val="000000" w:themeColor="text1"/>
          <w:sz w:val="24"/>
          <w:szCs w:val="24"/>
        </w:rPr>
        <w:t>of this solicitation and in the scope of work.</w:t>
      </w:r>
    </w:p>
    <w:p w14:paraId="398A1975" w14:textId="77777777" w:rsidR="00F44D4E" w:rsidRPr="001208BB" w:rsidRDefault="00F44D4E" w:rsidP="00B424FC">
      <w:pPr>
        <w:ind w:left="720" w:hanging="720"/>
        <w:rPr>
          <w:rFonts w:eastAsiaTheme="minorEastAsia"/>
          <w:color w:val="000000" w:themeColor="text1"/>
          <w:sz w:val="24"/>
          <w:szCs w:val="24"/>
        </w:rPr>
      </w:pPr>
    </w:p>
    <w:p w14:paraId="7DBEB716" w14:textId="74B1C6B2" w:rsidR="00B424FC" w:rsidRDefault="00B424FC"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w:t>
      </w:r>
      <w:r w:rsidR="151B4118" w:rsidRPr="470E5D75">
        <w:rPr>
          <w:rFonts w:eastAsiaTheme="minorEastAsia"/>
          <w:b/>
          <w:bCs/>
          <w:color w:val="000000" w:themeColor="text1"/>
          <w:sz w:val="24"/>
          <w:szCs w:val="24"/>
        </w:rPr>
        <w:t>8</w:t>
      </w:r>
      <w:r w:rsidRPr="470E5D75">
        <w:rPr>
          <w:rFonts w:eastAsiaTheme="minorEastAsia"/>
          <w:b/>
          <w:bCs/>
          <w:color w:val="000000" w:themeColor="text1"/>
          <w:sz w:val="24"/>
          <w:szCs w:val="24"/>
        </w:rPr>
        <w:t>:</w:t>
      </w:r>
      <w:r>
        <w:tab/>
      </w:r>
      <w:r w:rsidR="0032762C" w:rsidRPr="470E5D75">
        <w:rPr>
          <w:rFonts w:eastAsiaTheme="minorEastAsia"/>
          <w:b/>
          <w:bCs/>
          <w:color w:val="000000" w:themeColor="text1"/>
          <w:sz w:val="24"/>
          <w:szCs w:val="24"/>
        </w:rPr>
        <w:t>Can CEC funding be used to pay for rewiring or other construction necessary to install inductions stoves in study homes?</w:t>
      </w:r>
    </w:p>
    <w:p w14:paraId="22F6708D" w14:textId="63209A57" w:rsidR="001208BB" w:rsidRDefault="001208BB"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7F0140CB" w:rsidRPr="470E5D75">
        <w:rPr>
          <w:rFonts w:eastAsiaTheme="minorEastAsia"/>
          <w:color w:val="000000" w:themeColor="text1"/>
          <w:sz w:val="24"/>
          <w:szCs w:val="24"/>
        </w:rPr>
        <w:t>8</w:t>
      </w:r>
      <w:r w:rsidRPr="470E5D75">
        <w:rPr>
          <w:rFonts w:eastAsiaTheme="minorEastAsia"/>
          <w:color w:val="000000" w:themeColor="text1"/>
          <w:sz w:val="24"/>
          <w:szCs w:val="24"/>
        </w:rPr>
        <w:t>:</w:t>
      </w:r>
      <w:r>
        <w:tab/>
      </w:r>
      <w:r w:rsidR="00443E56" w:rsidRPr="470E5D75">
        <w:rPr>
          <w:rFonts w:eastAsiaTheme="minorEastAsia"/>
          <w:color w:val="000000" w:themeColor="text1"/>
          <w:sz w:val="24"/>
          <w:szCs w:val="24"/>
        </w:rPr>
        <w:t>The solicitation manual does not request</w:t>
      </w:r>
      <w:r w:rsidR="00B74D1B" w:rsidRPr="470E5D75">
        <w:rPr>
          <w:rFonts w:eastAsiaTheme="minorEastAsia"/>
          <w:color w:val="000000" w:themeColor="text1"/>
          <w:sz w:val="24"/>
          <w:szCs w:val="24"/>
        </w:rPr>
        <w:t xml:space="preserve"> an “intervention” study, though applicants can use CEC funds for </w:t>
      </w:r>
      <w:r w:rsidR="00C91283" w:rsidRPr="470E5D75">
        <w:rPr>
          <w:rFonts w:eastAsiaTheme="minorEastAsia"/>
          <w:color w:val="000000" w:themeColor="text1"/>
          <w:sz w:val="24"/>
          <w:szCs w:val="24"/>
        </w:rPr>
        <w:t>tasks</w:t>
      </w:r>
      <w:r w:rsidR="00B74D1B" w:rsidRPr="470E5D75">
        <w:rPr>
          <w:rFonts w:eastAsiaTheme="minorEastAsia"/>
          <w:color w:val="000000" w:themeColor="text1"/>
          <w:sz w:val="24"/>
          <w:szCs w:val="24"/>
        </w:rPr>
        <w:t xml:space="preserve"> that help in achieving the goals </w:t>
      </w:r>
      <w:r w:rsidR="00C91283" w:rsidRPr="470E5D75">
        <w:rPr>
          <w:rFonts w:eastAsiaTheme="minorEastAsia"/>
          <w:color w:val="000000" w:themeColor="text1"/>
          <w:sz w:val="24"/>
          <w:szCs w:val="24"/>
        </w:rPr>
        <w:t xml:space="preserve">of this solicitation and </w:t>
      </w:r>
      <w:r w:rsidR="00B74D1B" w:rsidRPr="470E5D75">
        <w:rPr>
          <w:rFonts w:eastAsiaTheme="minorEastAsia"/>
          <w:color w:val="000000" w:themeColor="text1"/>
          <w:sz w:val="24"/>
          <w:szCs w:val="24"/>
        </w:rPr>
        <w:t>in the scope of work.</w:t>
      </w:r>
    </w:p>
    <w:p w14:paraId="40E2B905" w14:textId="77777777" w:rsidR="00F44D4E" w:rsidRPr="001208BB" w:rsidRDefault="00F44D4E" w:rsidP="00B424FC">
      <w:pPr>
        <w:ind w:left="720" w:hanging="720"/>
        <w:rPr>
          <w:rFonts w:eastAsiaTheme="minorEastAsia"/>
          <w:color w:val="000000" w:themeColor="text1"/>
          <w:sz w:val="24"/>
          <w:szCs w:val="24"/>
        </w:rPr>
      </w:pPr>
    </w:p>
    <w:p w14:paraId="3628AE1D" w14:textId="74CDE939" w:rsidR="0032762C" w:rsidRDefault="0032762C"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w:t>
      </w:r>
      <w:r w:rsidR="061552E9" w:rsidRPr="470E5D75">
        <w:rPr>
          <w:rFonts w:eastAsiaTheme="minorEastAsia"/>
          <w:b/>
          <w:bCs/>
          <w:color w:val="000000" w:themeColor="text1"/>
          <w:sz w:val="24"/>
          <w:szCs w:val="24"/>
        </w:rPr>
        <w:t>9</w:t>
      </w:r>
      <w:r w:rsidRPr="470E5D75">
        <w:rPr>
          <w:rFonts w:eastAsiaTheme="minorEastAsia"/>
          <w:b/>
          <w:bCs/>
          <w:color w:val="000000" w:themeColor="text1"/>
          <w:sz w:val="24"/>
          <w:szCs w:val="24"/>
        </w:rPr>
        <w:t>:</w:t>
      </w:r>
      <w:r>
        <w:tab/>
      </w:r>
      <w:r w:rsidR="00632123" w:rsidRPr="470E5D75">
        <w:rPr>
          <w:rFonts w:eastAsiaTheme="minorEastAsia"/>
          <w:b/>
          <w:bCs/>
          <w:color w:val="000000" w:themeColor="text1"/>
          <w:sz w:val="24"/>
          <w:szCs w:val="24"/>
        </w:rPr>
        <w:t xml:space="preserve">If an applicant partnered with a third-party that is already implementing a </w:t>
      </w:r>
      <w:proofErr w:type="gramStart"/>
      <w:r w:rsidR="00632123" w:rsidRPr="470E5D75">
        <w:rPr>
          <w:rFonts w:eastAsiaTheme="minorEastAsia"/>
          <w:b/>
          <w:bCs/>
          <w:color w:val="000000" w:themeColor="text1"/>
          <w:sz w:val="24"/>
          <w:szCs w:val="24"/>
        </w:rPr>
        <w:t>fully-funded</w:t>
      </w:r>
      <w:proofErr w:type="gramEnd"/>
      <w:r w:rsidR="00632123" w:rsidRPr="470E5D75">
        <w:rPr>
          <w:rFonts w:eastAsiaTheme="minorEastAsia"/>
          <w:b/>
          <w:bCs/>
          <w:color w:val="000000" w:themeColor="text1"/>
          <w:sz w:val="24"/>
          <w:szCs w:val="24"/>
        </w:rPr>
        <w:t xml:space="preserve"> induction stove installation program, could the value of the induction stoves be counted as a cash match? Could the value of the induction stove installation services be counted as a non-cash match?</w:t>
      </w:r>
    </w:p>
    <w:p w14:paraId="4F482D00" w14:textId="1A7925F2" w:rsidR="00F44D4E" w:rsidRDefault="001208BB"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51E0F680" w:rsidRPr="470E5D75">
        <w:rPr>
          <w:rFonts w:eastAsiaTheme="minorEastAsia"/>
          <w:color w:val="000000" w:themeColor="text1"/>
          <w:sz w:val="24"/>
          <w:szCs w:val="24"/>
        </w:rPr>
        <w:t>9</w:t>
      </w:r>
      <w:r w:rsidRPr="470E5D75">
        <w:rPr>
          <w:rFonts w:eastAsiaTheme="minorEastAsia"/>
          <w:color w:val="000000" w:themeColor="text1"/>
          <w:sz w:val="24"/>
          <w:szCs w:val="24"/>
        </w:rPr>
        <w:t>:</w:t>
      </w:r>
      <w:r>
        <w:tab/>
      </w:r>
      <w:r w:rsidR="00842E7C" w:rsidRPr="470E5D75">
        <w:rPr>
          <w:rFonts w:eastAsiaTheme="minorEastAsia"/>
          <w:color w:val="000000" w:themeColor="text1"/>
          <w:sz w:val="24"/>
          <w:szCs w:val="24"/>
        </w:rPr>
        <w:t xml:space="preserve">The value of the induction stove installation services </w:t>
      </w:r>
      <w:r w:rsidR="002F3B54" w:rsidRPr="470E5D75">
        <w:rPr>
          <w:rFonts w:eastAsiaTheme="minorEastAsia"/>
          <w:color w:val="000000" w:themeColor="text1"/>
          <w:sz w:val="24"/>
          <w:szCs w:val="24"/>
        </w:rPr>
        <w:t xml:space="preserve">can </w:t>
      </w:r>
      <w:r w:rsidR="00842E7C" w:rsidRPr="470E5D75">
        <w:rPr>
          <w:rFonts w:eastAsiaTheme="minorEastAsia"/>
          <w:color w:val="000000" w:themeColor="text1"/>
          <w:sz w:val="24"/>
          <w:szCs w:val="24"/>
        </w:rPr>
        <w:t xml:space="preserve">be counted as a non-cash match or “in-kind” match. Section I.J. provides </w:t>
      </w:r>
      <w:r w:rsidR="6EF5E743" w:rsidRPr="470E5D75">
        <w:rPr>
          <w:rFonts w:eastAsiaTheme="minorEastAsia"/>
          <w:color w:val="000000" w:themeColor="text1"/>
          <w:sz w:val="24"/>
          <w:szCs w:val="24"/>
        </w:rPr>
        <w:t xml:space="preserve">a </w:t>
      </w:r>
      <w:r w:rsidR="00842E7C" w:rsidRPr="470E5D75">
        <w:rPr>
          <w:rFonts w:eastAsiaTheme="minorEastAsia"/>
          <w:color w:val="000000" w:themeColor="text1"/>
          <w:sz w:val="24"/>
          <w:szCs w:val="24"/>
        </w:rPr>
        <w:t>definition of “in-kind” match</w:t>
      </w:r>
      <w:r w:rsidR="67B60A4E" w:rsidRPr="470E5D75">
        <w:rPr>
          <w:rFonts w:eastAsiaTheme="minorEastAsia"/>
          <w:color w:val="000000" w:themeColor="text1"/>
          <w:sz w:val="24"/>
          <w:szCs w:val="24"/>
        </w:rPr>
        <w:t>,</w:t>
      </w:r>
      <w:r w:rsidR="002F3B54" w:rsidRPr="470E5D75">
        <w:rPr>
          <w:rFonts w:eastAsiaTheme="minorEastAsia"/>
          <w:color w:val="000000" w:themeColor="text1"/>
          <w:sz w:val="24"/>
          <w:szCs w:val="24"/>
        </w:rPr>
        <w:t xml:space="preserve"> which is updated in the manual addendum</w:t>
      </w:r>
      <w:r w:rsidR="006A3B7A" w:rsidRPr="470E5D75">
        <w:rPr>
          <w:rFonts w:eastAsiaTheme="minorEastAsia"/>
          <w:color w:val="000000" w:themeColor="text1"/>
          <w:sz w:val="24"/>
          <w:szCs w:val="24"/>
        </w:rPr>
        <w:t>.</w:t>
      </w:r>
      <w:r w:rsidR="00D270A8" w:rsidRPr="470E5D75">
        <w:rPr>
          <w:rFonts w:eastAsiaTheme="minorEastAsia"/>
          <w:color w:val="000000" w:themeColor="text1"/>
          <w:sz w:val="24"/>
          <w:szCs w:val="24"/>
        </w:rPr>
        <w:t xml:space="preserve"> </w:t>
      </w:r>
    </w:p>
    <w:p w14:paraId="3B6844A3" w14:textId="54E0CDE8" w:rsidR="001208BB" w:rsidRDefault="006A3B7A" w:rsidP="00B424FC">
      <w:pPr>
        <w:ind w:left="720" w:hanging="720"/>
        <w:rPr>
          <w:rFonts w:eastAsiaTheme="minorEastAsia"/>
          <w:color w:val="000000" w:themeColor="text1"/>
          <w:sz w:val="24"/>
          <w:szCs w:val="24"/>
        </w:rPr>
      </w:pPr>
      <w:r>
        <w:rPr>
          <w:rFonts w:eastAsiaTheme="minorEastAsia"/>
          <w:color w:val="000000" w:themeColor="text1"/>
          <w:sz w:val="24"/>
          <w:szCs w:val="24"/>
        </w:rPr>
        <w:t xml:space="preserve"> </w:t>
      </w:r>
    </w:p>
    <w:p w14:paraId="2BDB415E" w14:textId="34B180AB" w:rsidR="00D771CD" w:rsidRDefault="00D771CD"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w:t>
      </w:r>
      <w:r w:rsidR="7704F877" w:rsidRPr="470E5D75">
        <w:rPr>
          <w:rFonts w:eastAsiaTheme="minorEastAsia"/>
          <w:b/>
          <w:bCs/>
          <w:color w:val="000000" w:themeColor="text1"/>
          <w:sz w:val="24"/>
          <w:szCs w:val="24"/>
        </w:rPr>
        <w:t>10</w:t>
      </w:r>
      <w:r w:rsidRPr="470E5D75">
        <w:rPr>
          <w:rFonts w:eastAsiaTheme="minorEastAsia"/>
          <w:b/>
          <w:bCs/>
          <w:color w:val="000000" w:themeColor="text1"/>
          <w:sz w:val="24"/>
          <w:szCs w:val="24"/>
        </w:rPr>
        <w:t>:</w:t>
      </w:r>
      <w:r>
        <w:tab/>
      </w:r>
      <w:r w:rsidR="009B6DFD" w:rsidRPr="470E5D75">
        <w:rPr>
          <w:rFonts w:eastAsiaTheme="minorEastAsia"/>
          <w:b/>
          <w:bCs/>
          <w:color w:val="000000" w:themeColor="text1"/>
          <w:sz w:val="24"/>
          <w:szCs w:val="24"/>
        </w:rPr>
        <w:t>For travel restrictions: can travel for non-conference purposes (e.g., fieldwork) be supported using the CEC funds?</w:t>
      </w:r>
    </w:p>
    <w:p w14:paraId="46524FC1" w14:textId="2DD4BA05" w:rsidR="00F44D4E" w:rsidRDefault="00E431BD" w:rsidP="00036729">
      <w:pPr>
        <w:ind w:left="720" w:hanging="720"/>
        <w:rPr>
          <w:rFonts w:eastAsiaTheme="minorEastAsia"/>
          <w:color w:val="000000" w:themeColor="text1"/>
          <w:sz w:val="24"/>
          <w:szCs w:val="24"/>
        </w:rPr>
      </w:pPr>
      <w:r w:rsidRPr="470E5D75">
        <w:rPr>
          <w:rFonts w:eastAsiaTheme="minorEastAsia"/>
          <w:color w:val="000000" w:themeColor="text1"/>
          <w:sz w:val="24"/>
          <w:szCs w:val="24"/>
        </w:rPr>
        <w:lastRenderedPageBreak/>
        <w:t>A</w:t>
      </w:r>
      <w:r w:rsidR="0447435F" w:rsidRPr="470E5D75">
        <w:rPr>
          <w:rFonts w:eastAsiaTheme="minorEastAsia"/>
          <w:color w:val="000000" w:themeColor="text1"/>
          <w:sz w:val="24"/>
          <w:szCs w:val="24"/>
        </w:rPr>
        <w:t>10</w:t>
      </w:r>
      <w:r w:rsidRPr="470E5D75">
        <w:rPr>
          <w:rFonts w:eastAsiaTheme="minorEastAsia"/>
          <w:color w:val="000000" w:themeColor="text1"/>
          <w:sz w:val="24"/>
          <w:szCs w:val="24"/>
        </w:rPr>
        <w:t>:</w:t>
      </w:r>
      <w:r>
        <w:tab/>
      </w:r>
      <w:r w:rsidR="00BF7BE9" w:rsidRPr="470E5D75">
        <w:rPr>
          <w:rFonts w:eastAsiaTheme="minorEastAsia"/>
          <w:color w:val="000000" w:themeColor="text1"/>
          <w:sz w:val="24"/>
          <w:szCs w:val="24"/>
        </w:rPr>
        <w:t xml:space="preserve">Yes, travel for non-conference purposes (e.g., fieldwork) can be supported using the CEC funds. </w:t>
      </w:r>
      <w:r w:rsidR="002D63DF" w:rsidRPr="470E5D75">
        <w:rPr>
          <w:rFonts w:eastAsiaTheme="minorEastAsia"/>
          <w:color w:val="000000" w:themeColor="text1"/>
          <w:sz w:val="24"/>
          <w:szCs w:val="24"/>
        </w:rPr>
        <w:t xml:space="preserve">Section </w:t>
      </w:r>
      <w:r w:rsidR="00EE7F38" w:rsidRPr="470E5D75">
        <w:rPr>
          <w:rFonts w:eastAsiaTheme="minorEastAsia"/>
          <w:color w:val="000000" w:themeColor="text1"/>
          <w:sz w:val="24"/>
          <w:szCs w:val="24"/>
        </w:rPr>
        <w:t xml:space="preserve">I.J. of </w:t>
      </w:r>
      <w:r w:rsidR="002D63DF" w:rsidRPr="470E5D75">
        <w:rPr>
          <w:rFonts w:eastAsiaTheme="minorEastAsia"/>
          <w:color w:val="000000" w:themeColor="text1"/>
          <w:sz w:val="24"/>
          <w:szCs w:val="24"/>
        </w:rPr>
        <w:t>GFO</w:t>
      </w:r>
      <w:r w:rsidR="00EE7F38" w:rsidRPr="470E5D75">
        <w:rPr>
          <w:rFonts w:eastAsiaTheme="minorEastAsia"/>
          <w:color w:val="000000" w:themeColor="text1"/>
          <w:sz w:val="24"/>
          <w:szCs w:val="24"/>
        </w:rPr>
        <w:t xml:space="preserve"> manual provides details </w:t>
      </w:r>
      <w:r w:rsidR="003F40F9" w:rsidRPr="470E5D75">
        <w:rPr>
          <w:rFonts w:eastAsiaTheme="minorEastAsia"/>
          <w:color w:val="000000" w:themeColor="text1"/>
          <w:sz w:val="24"/>
          <w:szCs w:val="24"/>
        </w:rPr>
        <w:t>on</w:t>
      </w:r>
      <w:r w:rsidR="00EE7F38" w:rsidRPr="470E5D75">
        <w:rPr>
          <w:rFonts w:eastAsiaTheme="minorEastAsia"/>
          <w:color w:val="000000" w:themeColor="text1"/>
          <w:sz w:val="24"/>
          <w:szCs w:val="24"/>
        </w:rPr>
        <w:t xml:space="preserve"> travel restrictions. </w:t>
      </w:r>
      <w:r w:rsidR="006E1758" w:rsidRPr="470E5D75">
        <w:rPr>
          <w:rFonts w:eastAsiaTheme="minorEastAsia"/>
          <w:color w:val="000000" w:themeColor="text1"/>
          <w:sz w:val="24"/>
          <w:szCs w:val="24"/>
        </w:rPr>
        <w:t>During agreement development</w:t>
      </w:r>
      <w:r w:rsidR="1F78CCC1" w:rsidRPr="470E5D75">
        <w:rPr>
          <w:rFonts w:eastAsiaTheme="minorEastAsia"/>
          <w:color w:val="000000" w:themeColor="text1"/>
          <w:sz w:val="24"/>
          <w:szCs w:val="24"/>
        </w:rPr>
        <w:t>,</w:t>
      </w:r>
      <w:r w:rsidR="006E1758" w:rsidRPr="470E5D75">
        <w:rPr>
          <w:rFonts w:eastAsiaTheme="minorEastAsia"/>
          <w:color w:val="000000" w:themeColor="text1"/>
          <w:sz w:val="24"/>
          <w:szCs w:val="24"/>
        </w:rPr>
        <w:t xml:space="preserve"> the C</w:t>
      </w:r>
      <w:r w:rsidR="011ACE2A" w:rsidRPr="470E5D75">
        <w:rPr>
          <w:rFonts w:eastAsiaTheme="minorEastAsia"/>
          <w:color w:val="000000" w:themeColor="text1"/>
          <w:sz w:val="24"/>
          <w:szCs w:val="24"/>
        </w:rPr>
        <w:t xml:space="preserve">ommission </w:t>
      </w:r>
      <w:r w:rsidR="006E1758" w:rsidRPr="470E5D75">
        <w:rPr>
          <w:rFonts w:eastAsiaTheme="minorEastAsia"/>
          <w:color w:val="000000" w:themeColor="text1"/>
          <w:sz w:val="24"/>
          <w:szCs w:val="24"/>
        </w:rPr>
        <w:t>A</w:t>
      </w:r>
      <w:r w:rsidR="07C8FC7E" w:rsidRPr="470E5D75">
        <w:rPr>
          <w:rFonts w:eastAsiaTheme="minorEastAsia"/>
          <w:color w:val="000000" w:themeColor="text1"/>
          <w:sz w:val="24"/>
          <w:szCs w:val="24"/>
        </w:rPr>
        <w:t xml:space="preserve">greement </w:t>
      </w:r>
      <w:r w:rsidR="006E1758" w:rsidRPr="470E5D75">
        <w:rPr>
          <w:rFonts w:eastAsiaTheme="minorEastAsia"/>
          <w:color w:val="000000" w:themeColor="text1"/>
          <w:sz w:val="24"/>
          <w:szCs w:val="24"/>
        </w:rPr>
        <w:t>M</w:t>
      </w:r>
      <w:r w:rsidR="6ECEEB64" w:rsidRPr="470E5D75">
        <w:rPr>
          <w:rFonts w:eastAsiaTheme="minorEastAsia"/>
          <w:color w:val="000000" w:themeColor="text1"/>
          <w:sz w:val="24"/>
          <w:szCs w:val="24"/>
        </w:rPr>
        <w:t>anager</w:t>
      </w:r>
      <w:r w:rsidR="006E1758" w:rsidRPr="470E5D75">
        <w:rPr>
          <w:rFonts w:eastAsiaTheme="minorEastAsia"/>
          <w:color w:val="000000" w:themeColor="text1"/>
          <w:sz w:val="24"/>
          <w:szCs w:val="24"/>
        </w:rPr>
        <w:t xml:space="preserve"> may consider approval of use of CEC funds to support mission-critical conferences. </w:t>
      </w:r>
    </w:p>
    <w:p w14:paraId="41950FAE" w14:textId="77777777" w:rsidR="00036729" w:rsidRPr="00E431BD" w:rsidRDefault="00036729" w:rsidP="00036729">
      <w:pPr>
        <w:ind w:left="720" w:hanging="720"/>
        <w:rPr>
          <w:rFonts w:eastAsiaTheme="minorEastAsia"/>
          <w:color w:val="000000" w:themeColor="text1"/>
          <w:sz w:val="24"/>
          <w:szCs w:val="24"/>
        </w:rPr>
      </w:pPr>
    </w:p>
    <w:p w14:paraId="09E91AA1" w14:textId="1FC340A7" w:rsidR="009C02D2" w:rsidRDefault="009B6DFD" w:rsidP="00E431BD">
      <w:pPr>
        <w:ind w:left="720" w:hanging="720"/>
        <w:rPr>
          <w:rFonts w:eastAsiaTheme="minorEastAsia"/>
          <w:b/>
          <w:bCs/>
          <w:color w:val="000000" w:themeColor="text1"/>
          <w:sz w:val="24"/>
          <w:szCs w:val="24"/>
        </w:rPr>
      </w:pPr>
      <w:r>
        <w:rPr>
          <w:rFonts w:eastAsiaTheme="minorEastAsia"/>
          <w:b/>
          <w:bCs/>
          <w:color w:val="000000" w:themeColor="text1"/>
          <w:sz w:val="24"/>
          <w:szCs w:val="24"/>
        </w:rPr>
        <w:t>Q1</w:t>
      </w:r>
      <w:r w:rsidR="000A0875">
        <w:rPr>
          <w:rFonts w:eastAsiaTheme="minorEastAsia"/>
          <w:b/>
          <w:bCs/>
          <w:color w:val="000000" w:themeColor="text1"/>
          <w:sz w:val="24"/>
          <w:szCs w:val="24"/>
        </w:rPr>
        <w:t>1</w:t>
      </w:r>
      <w:r>
        <w:rPr>
          <w:rFonts w:eastAsiaTheme="minorEastAsia"/>
          <w:b/>
          <w:bCs/>
          <w:color w:val="000000" w:themeColor="text1"/>
          <w:sz w:val="24"/>
          <w:szCs w:val="24"/>
        </w:rPr>
        <w:t>:</w:t>
      </w:r>
      <w:r>
        <w:rPr>
          <w:rFonts w:eastAsiaTheme="minorEastAsia"/>
          <w:b/>
          <w:bCs/>
          <w:color w:val="000000" w:themeColor="text1"/>
          <w:sz w:val="24"/>
          <w:szCs w:val="24"/>
        </w:rPr>
        <w:tab/>
      </w:r>
      <w:r w:rsidR="009C02D2" w:rsidRPr="009C02D2">
        <w:rPr>
          <w:rFonts w:eastAsiaTheme="minorEastAsia"/>
          <w:b/>
          <w:bCs/>
          <w:color w:val="000000" w:themeColor="text1"/>
          <w:sz w:val="24"/>
          <w:szCs w:val="24"/>
        </w:rPr>
        <w:t xml:space="preserve">This project could be instrumentation heavy — I am wondering what the restrictions on equipment purchases might </w:t>
      </w:r>
      <w:proofErr w:type="gramStart"/>
      <w:r w:rsidR="009C02D2" w:rsidRPr="009C02D2">
        <w:rPr>
          <w:rFonts w:eastAsiaTheme="minorEastAsia"/>
          <w:b/>
          <w:bCs/>
          <w:color w:val="000000" w:themeColor="text1"/>
          <w:sz w:val="24"/>
          <w:szCs w:val="24"/>
        </w:rPr>
        <w:t>be?</w:t>
      </w:r>
      <w:proofErr w:type="gramEnd"/>
    </w:p>
    <w:p w14:paraId="0BA10BA7" w14:textId="4F86FE2C" w:rsidR="00E431BD" w:rsidRDefault="00E431BD" w:rsidP="00E431BD">
      <w:pPr>
        <w:ind w:left="720" w:hanging="720"/>
        <w:rPr>
          <w:rFonts w:eastAsiaTheme="minorEastAsia"/>
          <w:color w:val="000000" w:themeColor="text1"/>
          <w:sz w:val="24"/>
          <w:szCs w:val="24"/>
        </w:rPr>
      </w:pPr>
      <w:r w:rsidRPr="00E431BD">
        <w:rPr>
          <w:rFonts w:eastAsiaTheme="minorEastAsia"/>
          <w:color w:val="000000" w:themeColor="text1"/>
          <w:sz w:val="24"/>
          <w:szCs w:val="24"/>
        </w:rPr>
        <w:t>A1</w:t>
      </w:r>
      <w:r w:rsidR="000A0875">
        <w:rPr>
          <w:rFonts w:eastAsiaTheme="minorEastAsia"/>
          <w:color w:val="000000" w:themeColor="text1"/>
          <w:sz w:val="24"/>
          <w:szCs w:val="24"/>
        </w:rPr>
        <w:t>1</w:t>
      </w:r>
      <w:r w:rsidRPr="00E431BD">
        <w:rPr>
          <w:rFonts w:eastAsiaTheme="minorEastAsia"/>
          <w:color w:val="000000" w:themeColor="text1"/>
          <w:sz w:val="24"/>
          <w:szCs w:val="24"/>
        </w:rPr>
        <w:t>:</w:t>
      </w:r>
      <w:r w:rsidRPr="00E431BD">
        <w:rPr>
          <w:rFonts w:eastAsiaTheme="minorEastAsia"/>
          <w:color w:val="000000" w:themeColor="text1"/>
          <w:sz w:val="24"/>
          <w:szCs w:val="24"/>
        </w:rPr>
        <w:tab/>
      </w:r>
      <w:r w:rsidR="001A6FFE" w:rsidRPr="001A6FFE">
        <w:rPr>
          <w:rFonts w:eastAsiaTheme="minorEastAsia"/>
          <w:color w:val="000000" w:themeColor="text1"/>
          <w:sz w:val="24"/>
          <w:szCs w:val="24"/>
        </w:rPr>
        <w:t>Please see the GFO manual section</w:t>
      </w:r>
      <w:r w:rsidR="003D385F">
        <w:rPr>
          <w:rFonts w:eastAsiaTheme="minorEastAsia"/>
          <w:color w:val="000000" w:themeColor="text1"/>
          <w:sz w:val="24"/>
          <w:szCs w:val="24"/>
        </w:rPr>
        <w:t xml:space="preserve"> </w:t>
      </w:r>
      <w:r w:rsidR="00B22A5B">
        <w:rPr>
          <w:rFonts w:eastAsiaTheme="minorEastAsia"/>
          <w:color w:val="000000" w:themeColor="text1"/>
          <w:sz w:val="24"/>
          <w:szCs w:val="24"/>
        </w:rPr>
        <w:t>I.J.</w:t>
      </w:r>
      <w:r w:rsidR="001A6FFE" w:rsidRPr="001A6FFE">
        <w:rPr>
          <w:rFonts w:eastAsiaTheme="minorEastAsia"/>
          <w:color w:val="000000" w:themeColor="text1"/>
          <w:sz w:val="24"/>
          <w:szCs w:val="24"/>
        </w:rPr>
        <w:t xml:space="preserve"> and </w:t>
      </w:r>
      <w:bookmarkStart w:id="0" w:name="_Hlk153808795"/>
      <w:r w:rsidR="00EF0F3B">
        <w:rPr>
          <w:rFonts w:eastAsiaTheme="minorEastAsia"/>
          <w:color w:val="000000" w:themeColor="text1"/>
          <w:sz w:val="24"/>
          <w:szCs w:val="24"/>
        </w:rPr>
        <w:fldChar w:fldCharType="begin"/>
      </w:r>
      <w:r w:rsidR="00EF0F3B">
        <w:rPr>
          <w:rFonts w:eastAsiaTheme="minorEastAsia"/>
          <w:color w:val="000000" w:themeColor="text1"/>
          <w:sz w:val="24"/>
          <w:szCs w:val="24"/>
        </w:rPr>
        <w:instrText>HYPERLINK "https://www.energy.ca.gov/funding-opportunities/funding-resources"</w:instrText>
      </w:r>
      <w:r w:rsidR="00EF0F3B">
        <w:rPr>
          <w:rFonts w:eastAsiaTheme="minorEastAsia"/>
          <w:color w:val="000000" w:themeColor="text1"/>
          <w:sz w:val="24"/>
          <w:szCs w:val="24"/>
        </w:rPr>
      </w:r>
      <w:r w:rsidR="00EF0F3B">
        <w:rPr>
          <w:rFonts w:eastAsiaTheme="minorEastAsia"/>
          <w:color w:val="000000" w:themeColor="text1"/>
          <w:sz w:val="24"/>
          <w:szCs w:val="24"/>
        </w:rPr>
        <w:fldChar w:fldCharType="separate"/>
      </w:r>
      <w:r w:rsidR="001A6FFE" w:rsidRPr="00EF0F3B">
        <w:rPr>
          <w:rStyle w:val="Hyperlink"/>
          <w:rFonts w:eastAsiaTheme="minorEastAsia"/>
          <w:sz w:val="24"/>
          <w:szCs w:val="24"/>
        </w:rPr>
        <w:t>Terms and Conditions</w:t>
      </w:r>
      <w:r w:rsidR="00EF0F3B">
        <w:rPr>
          <w:rFonts w:eastAsiaTheme="minorEastAsia"/>
          <w:color w:val="000000" w:themeColor="text1"/>
          <w:sz w:val="24"/>
          <w:szCs w:val="24"/>
        </w:rPr>
        <w:fldChar w:fldCharType="end"/>
      </w:r>
      <w:r w:rsidR="001A6FFE" w:rsidRPr="001A6FFE">
        <w:rPr>
          <w:rFonts w:eastAsiaTheme="minorEastAsia"/>
          <w:color w:val="000000" w:themeColor="text1"/>
          <w:sz w:val="24"/>
          <w:szCs w:val="24"/>
        </w:rPr>
        <w:t xml:space="preserve"> </w:t>
      </w:r>
      <w:r w:rsidR="00C45BDE">
        <w:rPr>
          <w:rFonts w:eastAsiaTheme="minorEastAsia"/>
          <w:color w:val="000000" w:themeColor="text1"/>
          <w:sz w:val="24"/>
          <w:szCs w:val="24"/>
        </w:rPr>
        <w:t>(</w:t>
      </w:r>
      <w:r w:rsidR="00C45BDE" w:rsidRPr="00C45BDE">
        <w:rPr>
          <w:rFonts w:eastAsiaTheme="minorEastAsia"/>
          <w:color w:val="000000" w:themeColor="text1"/>
          <w:sz w:val="24"/>
          <w:szCs w:val="24"/>
        </w:rPr>
        <w:t xml:space="preserve">PIER </w:t>
      </w:r>
      <w:r w:rsidR="00C45BDE">
        <w:rPr>
          <w:rFonts w:eastAsiaTheme="minorEastAsia"/>
          <w:color w:val="000000" w:themeColor="text1"/>
          <w:sz w:val="24"/>
          <w:szCs w:val="24"/>
        </w:rPr>
        <w:t xml:space="preserve">Terms and Conditions </w:t>
      </w:r>
      <w:r w:rsidR="00027E23">
        <w:rPr>
          <w:rFonts w:eastAsiaTheme="minorEastAsia"/>
          <w:color w:val="000000" w:themeColor="text1"/>
          <w:sz w:val="24"/>
          <w:szCs w:val="24"/>
        </w:rPr>
        <w:t>for Grant</w:t>
      </w:r>
      <w:r w:rsidR="00C45BDE">
        <w:rPr>
          <w:rFonts w:eastAsiaTheme="minorEastAsia"/>
          <w:color w:val="000000" w:themeColor="text1"/>
          <w:sz w:val="24"/>
          <w:szCs w:val="24"/>
        </w:rPr>
        <w:t>)</w:t>
      </w:r>
      <w:r w:rsidR="001A6FFE" w:rsidRPr="001A6FFE">
        <w:rPr>
          <w:rFonts w:eastAsiaTheme="minorEastAsia"/>
          <w:color w:val="000000" w:themeColor="text1"/>
          <w:sz w:val="24"/>
          <w:szCs w:val="24"/>
        </w:rPr>
        <w:t xml:space="preserve"> </w:t>
      </w:r>
      <w:bookmarkEnd w:id="0"/>
      <w:r w:rsidR="001A6FFE" w:rsidRPr="001A6FFE">
        <w:rPr>
          <w:rFonts w:eastAsiaTheme="minorEastAsia"/>
          <w:color w:val="000000" w:themeColor="text1"/>
          <w:sz w:val="24"/>
          <w:szCs w:val="24"/>
        </w:rPr>
        <w:t>for details</w:t>
      </w:r>
      <w:r w:rsidR="00027E23">
        <w:rPr>
          <w:rFonts w:eastAsiaTheme="minorEastAsia"/>
          <w:color w:val="000000" w:themeColor="text1"/>
          <w:sz w:val="24"/>
          <w:szCs w:val="24"/>
        </w:rPr>
        <w:t xml:space="preserve"> </w:t>
      </w:r>
      <w:r w:rsidR="00027E23" w:rsidRPr="001A6FFE">
        <w:rPr>
          <w:rFonts w:eastAsiaTheme="minorEastAsia"/>
          <w:color w:val="000000" w:themeColor="text1"/>
          <w:sz w:val="24"/>
          <w:szCs w:val="24"/>
        </w:rPr>
        <w:t xml:space="preserve">on </w:t>
      </w:r>
      <w:r w:rsidR="00027E23">
        <w:rPr>
          <w:rFonts w:eastAsiaTheme="minorEastAsia"/>
          <w:color w:val="000000" w:themeColor="text1"/>
          <w:sz w:val="24"/>
          <w:szCs w:val="24"/>
        </w:rPr>
        <w:t>equipment restrictions</w:t>
      </w:r>
      <w:r w:rsidR="001A6FFE" w:rsidRPr="001A6FFE">
        <w:rPr>
          <w:rFonts w:eastAsiaTheme="minorEastAsia"/>
          <w:color w:val="000000" w:themeColor="text1"/>
          <w:sz w:val="24"/>
          <w:szCs w:val="24"/>
        </w:rPr>
        <w:t>.</w:t>
      </w:r>
    </w:p>
    <w:p w14:paraId="176F873F" w14:textId="77777777" w:rsidR="00F44D4E" w:rsidRPr="00E431BD" w:rsidRDefault="00F44D4E" w:rsidP="00E431BD">
      <w:pPr>
        <w:ind w:left="720" w:hanging="720"/>
        <w:rPr>
          <w:rFonts w:eastAsiaTheme="minorEastAsia"/>
          <w:color w:val="000000" w:themeColor="text1"/>
          <w:sz w:val="24"/>
          <w:szCs w:val="24"/>
        </w:rPr>
      </w:pPr>
    </w:p>
    <w:p w14:paraId="2E851CC4" w14:textId="7E0CFBC4" w:rsidR="001F36D0" w:rsidRDefault="009C02D2"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Q1</w:t>
      </w:r>
      <w:r w:rsidR="000A0875" w:rsidRPr="470E5D75">
        <w:rPr>
          <w:rFonts w:eastAsiaTheme="minorEastAsia"/>
          <w:b/>
          <w:bCs/>
          <w:color w:val="000000" w:themeColor="text1"/>
          <w:sz w:val="24"/>
          <w:szCs w:val="24"/>
        </w:rPr>
        <w:t>2</w:t>
      </w:r>
      <w:r w:rsidRPr="470E5D75">
        <w:rPr>
          <w:rFonts w:eastAsiaTheme="minorEastAsia"/>
          <w:b/>
          <w:bCs/>
          <w:color w:val="000000" w:themeColor="text1"/>
          <w:sz w:val="24"/>
          <w:szCs w:val="24"/>
        </w:rPr>
        <w:t>:</w:t>
      </w:r>
      <w:r>
        <w:tab/>
      </w:r>
      <w:r w:rsidR="001F36D0" w:rsidRPr="470E5D75">
        <w:rPr>
          <w:rFonts w:eastAsiaTheme="minorEastAsia"/>
          <w:b/>
          <w:bCs/>
          <w:color w:val="000000" w:themeColor="text1"/>
          <w:sz w:val="24"/>
          <w:szCs w:val="24"/>
        </w:rPr>
        <w:t>Clarification on the instrumentation question — for some state agencies (C</w:t>
      </w:r>
      <w:r w:rsidR="53A233CE" w:rsidRPr="470E5D75">
        <w:rPr>
          <w:rFonts w:eastAsiaTheme="minorEastAsia"/>
          <w:b/>
          <w:bCs/>
          <w:color w:val="000000" w:themeColor="text1"/>
          <w:sz w:val="24"/>
          <w:szCs w:val="24"/>
        </w:rPr>
        <w:t xml:space="preserve">alifornia </w:t>
      </w:r>
      <w:r w:rsidR="001F36D0" w:rsidRPr="470E5D75">
        <w:rPr>
          <w:rFonts w:eastAsiaTheme="minorEastAsia"/>
          <w:b/>
          <w:bCs/>
          <w:color w:val="000000" w:themeColor="text1"/>
          <w:sz w:val="24"/>
          <w:szCs w:val="24"/>
        </w:rPr>
        <w:t>A</w:t>
      </w:r>
      <w:r w:rsidR="2666C50A" w:rsidRPr="470E5D75">
        <w:rPr>
          <w:rFonts w:eastAsiaTheme="minorEastAsia"/>
          <w:b/>
          <w:bCs/>
          <w:color w:val="000000" w:themeColor="text1"/>
          <w:sz w:val="24"/>
          <w:szCs w:val="24"/>
        </w:rPr>
        <w:t xml:space="preserve">ir </w:t>
      </w:r>
      <w:r w:rsidR="001F36D0" w:rsidRPr="470E5D75">
        <w:rPr>
          <w:rFonts w:eastAsiaTheme="minorEastAsia"/>
          <w:b/>
          <w:bCs/>
          <w:color w:val="000000" w:themeColor="text1"/>
          <w:sz w:val="24"/>
          <w:szCs w:val="24"/>
        </w:rPr>
        <w:t>R</w:t>
      </w:r>
      <w:r w:rsidR="3E6980B2" w:rsidRPr="470E5D75">
        <w:rPr>
          <w:rFonts w:eastAsiaTheme="minorEastAsia"/>
          <w:b/>
          <w:bCs/>
          <w:color w:val="000000" w:themeColor="text1"/>
          <w:sz w:val="24"/>
          <w:szCs w:val="24"/>
        </w:rPr>
        <w:t xml:space="preserve">esources </w:t>
      </w:r>
      <w:r w:rsidR="001F36D0" w:rsidRPr="470E5D75">
        <w:rPr>
          <w:rFonts w:eastAsiaTheme="minorEastAsia"/>
          <w:b/>
          <w:bCs/>
          <w:color w:val="000000" w:themeColor="text1"/>
          <w:sz w:val="24"/>
          <w:szCs w:val="24"/>
        </w:rPr>
        <w:t>B</w:t>
      </w:r>
      <w:r w:rsidR="1A434CF0" w:rsidRPr="470E5D75">
        <w:rPr>
          <w:rFonts w:eastAsiaTheme="minorEastAsia"/>
          <w:b/>
          <w:bCs/>
          <w:color w:val="000000" w:themeColor="text1"/>
          <w:sz w:val="24"/>
          <w:szCs w:val="24"/>
        </w:rPr>
        <w:t>oard</w:t>
      </w:r>
      <w:r w:rsidR="001F36D0" w:rsidRPr="470E5D75">
        <w:rPr>
          <w:rFonts w:eastAsiaTheme="minorEastAsia"/>
          <w:b/>
          <w:bCs/>
          <w:color w:val="000000" w:themeColor="text1"/>
          <w:sz w:val="24"/>
          <w:szCs w:val="24"/>
        </w:rPr>
        <w:t>), capital equipment &gt;$5k ends up being CARB property — is that how CEC operates as well?</w:t>
      </w:r>
    </w:p>
    <w:p w14:paraId="4CC48808" w14:textId="08D1C10B" w:rsidR="00E431BD" w:rsidRPr="002F79C7" w:rsidRDefault="00E431BD" w:rsidP="001A6FFE">
      <w:pPr>
        <w:spacing w:after="240"/>
        <w:ind w:left="720" w:hanging="720"/>
        <w:rPr>
          <w:rFonts w:cstheme="minorHAnsi"/>
          <w:sz w:val="24"/>
          <w:szCs w:val="24"/>
        </w:rPr>
      </w:pPr>
      <w:r w:rsidRPr="00E431BD">
        <w:rPr>
          <w:rFonts w:eastAsiaTheme="minorEastAsia"/>
          <w:color w:val="000000" w:themeColor="text1"/>
          <w:sz w:val="24"/>
          <w:szCs w:val="24"/>
        </w:rPr>
        <w:t>A1</w:t>
      </w:r>
      <w:r w:rsidR="000A0875">
        <w:rPr>
          <w:rFonts w:eastAsiaTheme="minorEastAsia"/>
          <w:color w:val="000000" w:themeColor="text1"/>
          <w:sz w:val="24"/>
          <w:szCs w:val="24"/>
        </w:rPr>
        <w:t>2</w:t>
      </w:r>
      <w:r w:rsidRPr="00E431BD">
        <w:rPr>
          <w:rFonts w:eastAsiaTheme="minorEastAsia"/>
          <w:color w:val="000000" w:themeColor="text1"/>
          <w:sz w:val="24"/>
          <w:szCs w:val="24"/>
        </w:rPr>
        <w:t>:</w:t>
      </w:r>
      <w:r w:rsidRPr="00E431BD">
        <w:rPr>
          <w:rFonts w:eastAsiaTheme="minorEastAsia"/>
          <w:color w:val="000000" w:themeColor="text1"/>
          <w:sz w:val="24"/>
          <w:szCs w:val="24"/>
        </w:rPr>
        <w:tab/>
      </w:r>
      <w:r w:rsidR="00CA3188" w:rsidRPr="002F79C7">
        <w:rPr>
          <w:rFonts w:eastAsiaTheme="minorEastAsia"/>
          <w:color w:val="000000" w:themeColor="text1"/>
          <w:sz w:val="24"/>
          <w:szCs w:val="24"/>
        </w:rPr>
        <w:t xml:space="preserve">Typically, grant recipients may continue to use equipment purchased with CEC funds if the use is consistent with the intent of the original agreement. </w:t>
      </w:r>
      <w:r w:rsidR="001A6FFE" w:rsidRPr="002F79C7">
        <w:rPr>
          <w:rFonts w:cstheme="minorHAnsi"/>
          <w:sz w:val="24"/>
          <w:szCs w:val="24"/>
        </w:rPr>
        <w:t>Please see the GFO manual section</w:t>
      </w:r>
      <w:r w:rsidR="003F40F9">
        <w:rPr>
          <w:rFonts w:cstheme="minorHAnsi"/>
          <w:sz w:val="24"/>
          <w:szCs w:val="24"/>
        </w:rPr>
        <w:t xml:space="preserve"> I.J.</w:t>
      </w:r>
      <w:r w:rsidR="001A6FFE" w:rsidRPr="002F79C7">
        <w:rPr>
          <w:rFonts w:cstheme="minorHAnsi"/>
          <w:sz w:val="24"/>
          <w:szCs w:val="24"/>
        </w:rPr>
        <w:t xml:space="preserve"> and </w:t>
      </w:r>
      <w:hyperlink r:id="rId11" w:history="1">
        <w:r w:rsidR="00B644C7" w:rsidRPr="00EF0F3B">
          <w:rPr>
            <w:rStyle w:val="Hyperlink"/>
            <w:rFonts w:eastAsiaTheme="minorEastAsia"/>
            <w:sz w:val="24"/>
            <w:szCs w:val="24"/>
          </w:rPr>
          <w:t>Terms and Conditions</w:t>
        </w:r>
      </w:hyperlink>
      <w:r w:rsidR="00B644C7" w:rsidRPr="001A6FFE">
        <w:rPr>
          <w:rFonts w:eastAsiaTheme="minorEastAsia"/>
          <w:color w:val="000000" w:themeColor="text1"/>
          <w:sz w:val="24"/>
          <w:szCs w:val="24"/>
        </w:rPr>
        <w:t xml:space="preserve"> </w:t>
      </w:r>
      <w:r w:rsidR="00B644C7">
        <w:rPr>
          <w:rFonts w:eastAsiaTheme="minorEastAsia"/>
          <w:color w:val="000000" w:themeColor="text1"/>
          <w:sz w:val="24"/>
          <w:szCs w:val="24"/>
        </w:rPr>
        <w:t>(</w:t>
      </w:r>
      <w:r w:rsidR="00B644C7" w:rsidRPr="00C45BDE">
        <w:rPr>
          <w:rFonts w:eastAsiaTheme="minorEastAsia"/>
          <w:color w:val="000000" w:themeColor="text1"/>
          <w:sz w:val="24"/>
          <w:szCs w:val="24"/>
        </w:rPr>
        <w:t xml:space="preserve">PIER </w:t>
      </w:r>
      <w:r w:rsidR="00B644C7">
        <w:rPr>
          <w:rFonts w:eastAsiaTheme="minorEastAsia"/>
          <w:color w:val="000000" w:themeColor="text1"/>
          <w:sz w:val="24"/>
          <w:szCs w:val="24"/>
        </w:rPr>
        <w:t>Terms and Conditions for Grant)</w:t>
      </w:r>
      <w:r w:rsidR="00B644C7" w:rsidRPr="001A6FFE">
        <w:rPr>
          <w:rFonts w:eastAsiaTheme="minorEastAsia"/>
          <w:color w:val="000000" w:themeColor="text1"/>
          <w:sz w:val="24"/>
          <w:szCs w:val="24"/>
        </w:rPr>
        <w:t xml:space="preserve"> </w:t>
      </w:r>
      <w:r w:rsidR="001A6FFE" w:rsidRPr="002F79C7">
        <w:rPr>
          <w:rFonts w:cstheme="minorHAnsi"/>
          <w:sz w:val="24"/>
          <w:szCs w:val="24"/>
        </w:rPr>
        <w:t>on equipment for more details.</w:t>
      </w:r>
    </w:p>
    <w:p w14:paraId="1676F2C8" w14:textId="77777777" w:rsidR="00E431BD" w:rsidRDefault="00E431BD" w:rsidP="00E431BD">
      <w:pPr>
        <w:ind w:left="720" w:hanging="720"/>
        <w:rPr>
          <w:rFonts w:eastAsiaTheme="minorEastAsia"/>
          <w:b/>
          <w:bCs/>
          <w:color w:val="000000" w:themeColor="text1"/>
          <w:sz w:val="24"/>
          <w:szCs w:val="24"/>
        </w:rPr>
      </w:pPr>
    </w:p>
    <w:p w14:paraId="611DE259" w14:textId="77777777" w:rsidR="00E431BD" w:rsidRPr="002A3009" w:rsidRDefault="00E431BD" w:rsidP="00E431BD">
      <w:pPr>
        <w:pStyle w:val="NoSpacing"/>
        <w:ind w:left="720" w:hanging="720"/>
        <w:jc w:val="both"/>
        <w:rPr>
          <w:rFonts w:ascii="Arial" w:eastAsiaTheme="minorEastAsia" w:hAnsi="Arial" w:cs="Arial"/>
          <w:b/>
          <w:bCs/>
          <w:i/>
          <w:iCs/>
          <w:color w:val="000000" w:themeColor="text1"/>
          <w:sz w:val="24"/>
          <w:szCs w:val="24"/>
          <w:u w:val="single"/>
        </w:rPr>
      </w:pPr>
      <w:r w:rsidRPr="002A3009">
        <w:rPr>
          <w:rFonts w:ascii="Arial" w:eastAsiaTheme="minorEastAsia" w:hAnsi="Arial" w:cs="Arial"/>
          <w:b/>
          <w:bCs/>
          <w:i/>
          <w:iCs/>
          <w:color w:val="000000" w:themeColor="text1"/>
          <w:sz w:val="24"/>
          <w:szCs w:val="24"/>
          <w:u w:val="single"/>
        </w:rPr>
        <w:t>Technical</w:t>
      </w:r>
    </w:p>
    <w:p w14:paraId="52814DB1" w14:textId="77777777" w:rsidR="00E431BD" w:rsidRDefault="00E431BD" w:rsidP="00E431BD">
      <w:pPr>
        <w:ind w:left="720" w:hanging="720"/>
        <w:rPr>
          <w:rFonts w:eastAsiaTheme="minorEastAsia"/>
          <w:b/>
          <w:bCs/>
          <w:color w:val="000000" w:themeColor="text1"/>
          <w:sz w:val="24"/>
          <w:szCs w:val="24"/>
        </w:rPr>
      </w:pPr>
    </w:p>
    <w:p w14:paraId="458E6594" w14:textId="2527A3C5" w:rsidR="00E431BD" w:rsidRPr="00E431BD" w:rsidRDefault="00E431BD" w:rsidP="470E5D75">
      <w:pPr>
        <w:ind w:left="720" w:hanging="720"/>
        <w:rPr>
          <w:rFonts w:eastAsiaTheme="minorEastAsia"/>
          <w:color w:val="000000" w:themeColor="text1"/>
          <w:sz w:val="24"/>
          <w:szCs w:val="24"/>
        </w:rPr>
      </w:pPr>
      <w:r w:rsidRPr="470E5D75">
        <w:rPr>
          <w:rFonts w:eastAsiaTheme="minorEastAsia"/>
          <w:b/>
          <w:bCs/>
          <w:color w:val="000000" w:themeColor="text1"/>
          <w:sz w:val="24"/>
          <w:szCs w:val="24"/>
        </w:rPr>
        <w:t>Q1</w:t>
      </w:r>
      <w:r w:rsidR="000A0875" w:rsidRPr="470E5D75">
        <w:rPr>
          <w:rFonts w:eastAsiaTheme="minorEastAsia"/>
          <w:b/>
          <w:bCs/>
          <w:color w:val="000000" w:themeColor="text1"/>
          <w:sz w:val="24"/>
          <w:szCs w:val="24"/>
        </w:rPr>
        <w:t>3</w:t>
      </w:r>
      <w:r w:rsidRPr="470E5D75">
        <w:rPr>
          <w:rFonts w:eastAsiaTheme="minorEastAsia"/>
          <w:b/>
          <w:bCs/>
          <w:color w:val="000000" w:themeColor="text1"/>
          <w:sz w:val="24"/>
          <w:szCs w:val="24"/>
        </w:rPr>
        <w:t>:</w:t>
      </w:r>
      <w:r>
        <w:tab/>
      </w:r>
      <w:r w:rsidRPr="470E5D75">
        <w:rPr>
          <w:rFonts w:eastAsiaTheme="minorEastAsia"/>
          <w:b/>
          <w:bCs/>
          <w:color w:val="000000" w:themeColor="text1"/>
          <w:sz w:val="24"/>
          <w:szCs w:val="24"/>
        </w:rPr>
        <w:t>Are you looking for an urban/rural mix</w:t>
      </w:r>
      <w:r w:rsidR="2E80972A" w:rsidRPr="470E5D75">
        <w:rPr>
          <w:rFonts w:eastAsiaTheme="minorEastAsia"/>
          <w:b/>
          <w:bCs/>
          <w:color w:val="000000" w:themeColor="text1"/>
          <w:sz w:val="24"/>
          <w:szCs w:val="24"/>
        </w:rPr>
        <w:t>,</w:t>
      </w:r>
      <w:r w:rsidRPr="470E5D75">
        <w:rPr>
          <w:rFonts w:eastAsiaTheme="minorEastAsia"/>
          <w:b/>
          <w:bCs/>
          <w:color w:val="000000" w:themeColor="text1"/>
          <w:sz w:val="24"/>
          <w:szCs w:val="24"/>
        </w:rPr>
        <w:t xml:space="preserve"> or can we focus on just urban or just rural?</w:t>
      </w:r>
    </w:p>
    <w:p w14:paraId="3199B16F" w14:textId="0740D9B5" w:rsidR="00E431BD" w:rsidRDefault="00E431BD" w:rsidP="00E431BD">
      <w:pPr>
        <w:ind w:left="720" w:hanging="720"/>
        <w:rPr>
          <w:rFonts w:eastAsiaTheme="minorEastAsia"/>
          <w:color w:val="000000" w:themeColor="text1"/>
          <w:sz w:val="24"/>
          <w:szCs w:val="24"/>
        </w:rPr>
      </w:pPr>
      <w:r w:rsidRPr="00E431BD">
        <w:rPr>
          <w:rFonts w:eastAsiaTheme="minorEastAsia"/>
          <w:color w:val="000000" w:themeColor="text1"/>
          <w:sz w:val="24"/>
          <w:szCs w:val="24"/>
        </w:rPr>
        <w:t>A1</w:t>
      </w:r>
      <w:r w:rsidR="000A0875">
        <w:rPr>
          <w:rFonts w:eastAsiaTheme="minorEastAsia"/>
          <w:color w:val="000000" w:themeColor="text1"/>
          <w:sz w:val="24"/>
          <w:szCs w:val="24"/>
        </w:rPr>
        <w:t>3</w:t>
      </w:r>
      <w:r w:rsidRPr="00E431BD">
        <w:rPr>
          <w:rFonts w:eastAsiaTheme="minorEastAsia"/>
          <w:color w:val="000000" w:themeColor="text1"/>
          <w:sz w:val="24"/>
          <w:szCs w:val="24"/>
        </w:rPr>
        <w:t>:</w:t>
      </w:r>
      <w:r w:rsidRPr="00E431BD">
        <w:rPr>
          <w:rFonts w:eastAsiaTheme="minorEastAsia"/>
          <w:color w:val="000000" w:themeColor="text1"/>
          <w:sz w:val="24"/>
          <w:szCs w:val="24"/>
        </w:rPr>
        <w:tab/>
      </w:r>
      <w:r w:rsidR="00D4237C">
        <w:rPr>
          <w:rFonts w:eastAsiaTheme="minorEastAsia"/>
          <w:color w:val="000000" w:themeColor="text1"/>
          <w:sz w:val="24"/>
          <w:szCs w:val="24"/>
        </w:rPr>
        <w:t>The sampled h</w:t>
      </w:r>
      <w:r w:rsidR="00391674">
        <w:rPr>
          <w:rFonts w:eastAsiaTheme="minorEastAsia"/>
          <w:color w:val="000000" w:themeColor="text1"/>
          <w:sz w:val="24"/>
          <w:szCs w:val="24"/>
        </w:rPr>
        <w:t>ousehold</w:t>
      </w:r>
      <w:r w:rsidR="00D4237C">
        <w:rPr>
          <w:rFonts w:eastAsiaTheme="minorEastAsia"/>
          <w:color w:val="000000" w:themeColor="text1"/>
          <w:sz w:val="24"/>
          <w:szCs w:val="24"/>
        </w:rPr>
        <w:t>s</w:t>
      </w:r>
      <w:r w:rsidR="00391674">
        <w:rPr>
          <w:rFonts w:eastAsiaTheme="minorEastAsia"/>
          <w:color w:val="000000" w:themeColor="text1"/>
          <w:sz w:val="24"/>
          <w:szCs w:val="24"/>
        </w:rPr>
        <w:t xml:space="preserve"> </w:t>
      </w:r>
      <w:r w:rsidR="00D4237C">
        <w:rPr>
          <w:rFonts w:eastAsiaTheme="minorEastAsia"/>
          <w:color w:val="000000" w:themeColor="text1"/>
          <w:sz w:val="24"/>
          <w:szCs w:val="24"/>
        </w:rPr>
        <w:t>may</w:t>
      </w:r>
      <w:r w:rsidR="00391674">
        <w:rPr>
          <w:rFonts w:eastAsiaTheme="minorEastAsia"/>
          <w:color w:val="000000" w:themeColor="text1"/>
          <w:sz w:val="24"/>
          <w:szCs w:val="24"/>
        </w:rPr>
        <w:t xml:space="preserve"> </w:t>
      </w:r>
      <w:proofErr w:type="gramStart"/>
      <w:r w:rsidR="00391674">
        <w:rPr>
          <w:rFonts w:eastAsiaTheme="minorEastAsia"/>
          <w:color w:val="000000" w:themeColor="text1"/>
          <w:sz w:val="24"/>
          <w:szCs w:val="24"/>
        </w:rPr>
        <w:t>be located in</w:t>
      </w:r>
      <w:proofErr w:type="gramEnd"/>
      <w:r w:rsidR="00391674">
        <w:rPr>
          <w:rFonts w:eastAsiaTheme="minorEastAsia"/>
          <w:color w:val="000000" w:themeColor="text1"/>
          <w:sz w:val="24"/>
          <w:szCs w:val="24"/>
        </w:rPr>
        <w:t xml:space="preserve"> rural and/or urban areas. </w:t>
      </w:r>
      <w:r w:rsidR="004F56DA" w:rsidRPr="004F56DA">
        <w:rPr>
          <w:rFonts w:eastAsiaTheme="minorEastAsia"/>
          <w:color w:val="000000" w:themeColor="text1"/>
          <w:sz w:val="24"/>
          <w:szCs w:val="24"/>
        </w:rPr>
        <w:t>Please see the GFO manual section</w:t>
      </w:r>
      <w:r w:rsidR="005210FD">
        <w:rPr>
          <w:rFonts w:eastAsiaTheme="minorEastAsia"/>
          <w:color w:val="000000" w:themeColor="text1"/>
          <w:sz w:val="24"/>
          <w:szCs w:val="24"/>
        </w:rPr>
        <w:t xml:space="preserve"> </w:t>
      </w:r>
      <w:r w:rsidR="005E489F">
        <w:rPr>
          <w:rFonts w:eastAsiaTheme="minorEastAsia"/>
          <w:color w:val="000000" w:themeColor="text1"/>
          <w:sz w:val="24"/>
          <w:szCs w:val="24"/>
        </w:rPr>
        <w:t xml:space="preserve">I.C. for minimum requirements. </w:t>
      </w:r>
      <w:r w:rsidR="004D6FDA">
        <w:rPr>
          <w:rFonts w:eastAsiaTheme="minorEastAsia"/>
          <w:color w:val="000000" w:themeColor="text1"/>
          <w:sz w:val="24"/>
          <w:szCs w:val="24"/>
        </w:rPr>
        <w:t xml:space="preserve">It is up to applicant to </w:t>
      </w:r>
      <w:r w:rsidR="00D4237C">
        <w:rPr>
          <w:rFonts w:eastAsiaTheme="minorEastAsia"/>
          <w:color w:val="000000" w:themeColor="text1"/>
          <w:sz w:val="24"/>
          <w:szCs w:val="24"/>
        </w:rPr>
        <w:t>propose and justify a</w:t>
      </w:r>
      <w:r w:rsidR="004D6FDA">
        <w:rPr>
          <w:rFonts w:eastAsiaTheme="minorEastAsia"/>
          <w:color w:val="000000" w:themeColor="text1"/>
          <w:sz w:val="24"/>
          <w:szCs w:val="24"/>
        </w:rPr>
        <w:t xml:space="preserve"> </w:t>
      </w:r>
      <w:r w:rsidR="00D4237C">
        <w:rPr>
          <w:rFonts w:eastAsiaTheme="minorEastAsia"/>
          <w:color w:val="000000" w:themeColor="text1"/>
          <w:sz w:val="24"/>
          <w:szCs w:val="24"/>
        </w:rPr>
        <w:t xml:space="preserve">credible </w:t>
      </w:r>
      <w:r w:rsidR="004D6FDA">
        <w:rPr>
          <w:rFonts w:eastAsiaTheme="minorEastAsia"/>
          <w:color w:val="000000" w:themeColor="text1"/>
          <w:sz w:val="24"/>
          <w:szCs w:val="24"/>
        </w:rPr>
        <w:t>sample</w:t>
      </w:r>
      <w:r w:rsidR="0007324D">
        <w:rPr>
          <w:rFonts w:eastAsiaTheme="minorEastAsia"/>
          <w:color w:val="000000" w:themeColor="text1"/>
          <w:sz w:val="24"/>
          <w:szCs w:val="24"/>
        </w:rPr>
        <w:t xml:space="preserve"> design</w:t>
      </w:r>
      <w:r w:rsidR="00D4237C">
        <w:rPr>
          <w:rFonts w:eastAsiaTheme="minorEastAsia"/>
          <w:color w:val="000000" w:themeColor="text1"/>
          <w:sz w:val="24"/>
          <w:szCs w:val="24"/>
        </w:rPr>
        <w:t xml:space="preserve"> toward attainin</w:t>
      </w:r>
      <w:r w:rsidR="00146B43">
        <w:rPr>
          <w:rFonts w:eastAsiaTheme="minorEastAsia"/>
          <w:color w:val="000000" w:themeColor="text1"/>
          <w:sz w:val="24"/>
          <w:szCs w:val="24"/>
        </w:rPr>
        <w:t>g the goals of the solicitation</w:t>
      </w:r>
      <w:r w:rsidR="0007324D">
        <w:rPr>
          <w:rFonts w:eastAsiaTheme="minorEastAsia"/>
          <w:color w:val="000000" w:themeColor="text1"/>
          <w:sz w:val="24"/>
          <w:szCs w:val="24"/>
        </w:rPr>
        <w:t xml:space="preserve">. </w:t>
      </w:r>
    </w:p>
    <w:p w14:paraId="35ECE417" w14:textId="77777777" w:rsidR="00F44D4E" w:rsidRPr="00E431BD" w:rsidRDefault="00F44D4E" w:rsidP="00E431BD">
      <w:pPr>
        <w:ind w:left="720" w:hanging="720"/>
        <w:rPr>
          <w:rFonts w:eastAsiaTheme="minorEastAsia"/>
          <w:color w:val="000000" w:themeColor="text1"/>
          <w:sz w:val="24"/>
          <w:szCs w:val="24"/>
        </w:rPr>
      </w:pPr>
    </w:p>
    <w:p w14:paraId="02DBB649" w14:textId="7C4A9610" w:rsidR="00E431BD" w:rsidRDefault="00E431BD" w:rsidP="00E431BD">
      <w:pPr>
        <w:ind w:left="720" w:hanging="720"/>
        <w:rPr>
          <w:rFonts w:eastAsiaTheme="minorEastAsia"/>
          <w:b/>
          <w:bCs/>
          <w:color w:val="000000" w:themeColor="text1"/>
          <w:sz w:val="24"/>
          <w:szCs w:val="24"/>
        </w:rPr>
      </w:pPr>
      <w:r>
        <w:rPr>
          <w:rFonts w:eastAsiaTheme="minorEastAsia"/>
          <w:b/>
          <w:bCs/>
          <w:color w:val="000000" w:themeColor="text1"/>
          <w:sz w:val="24"/>
          <w:szCs w:val="24"/>
        </w:rPr>
        <w:t>Q1</w:t>
      </w:r>
      <w:r w:rsidR="000A0875">
        <w:rPr>
          <w:rFonts w:eastAsiaTheme="minorEastAsia"/>
          <w:b/>
          <w:bCs/>
          <w:color w:val="000000" w:themeColor="text1"/>
          <w:sz w:val="24"/>
          <w:szCs w:val="24"/>
        </w:rPr>
        <w:t>4</w:t>
      </w:r>
      <w:r>
        <w:rPr>
          <w:rFonts w:eastAsiaTheme="minorEastAsia"/>
          <w:b/>
          <w:bCs/>
          <w:color w:val="000000" w:themeColor="text1"/>
          <w:sz w:val="24"/>
          <w:szCs w:val="24"/>
        </w:rPr>
        <w:t>:</w:t>
      </w:r>
      <w:r>
        <w:rPr>
          <w:rFonts w:eastAsiaTheme="minorEastAsia"/>
          <w:b/>
          <w:bCs/>
          <w:color w:val="000000" w:themeColor="text1"/>
          <w:sz w:val="24"/>
          <w:szCs w:val="24"/>
        </w:rPr>
        <w:tab/>
      </w:r>
      <w:r w:rsidRPr="001F36D0">
        <w:rPr>
          <w:rFonts w:eastAsiaTheme="minorEastAsia"/>
          <w:b/>
          <w:bCs/>
          <w:color w:val="000000" w:themeColor="text1"/>
          <w:sz w:val="24"/>
          <w:szCs w:val="24"/>
        </w:rPr>
        <w:t>The indoor air pollutant exposure in multifamily homes may largely come from</w:t>
      </w:r>
      <w:r>
        <w:rPr>
          <w:rFonts w:eastAsiaTheme="minorEastAsia"/>
          <w:b/>
          <w:bCs/>
          <w:color w:val="000000" w:themeColor="text1"/>
          <w:sz w:val="24"/>
          <w:szCs w:val="24"/>
        </w:rPr>
        <w:t xml:space="preserve"> </w:t>
      </w:r>
      <w:r w:rsidRPr="001F36D0">
        <w:rPr>
          <w:rFonts w:eastAsiaTheme="minorEastAsia"/>
          <w:b/>
          <w:bCs/>
          <w:color w:val="000000" w:themeColor="text1"/>
          <w:sz w:val="24"/>
          <w:szCs w:val="24"/>
        </w:rPr>
        <w:t>other sources (heating, dryer) than the gas cookstove. Would a grant application that focuses just as much on the “other sources” as on the gas stove be competitive?</w:t>
      </w:r>
    </w:p>
    <w:p w14:paraId="44D1275A" w14:textId="640DDE2C" w:rsidR="00E431BD" w:rsidRDefault="00E431BD"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A1</w:t>
      </w:r>
      <w:r w:rsidR="000A0875" w:rsidRPr="470E5D75">
        <w:rPr>
          <w:rFonts w:eastAsiaTheme="minorEastAsia"/>
          <w:color w:val="000000" w:themeColor="text1"/>
          <w:sz w:val="24"/>
          <w:szCs w:val="24"/>
        </w:rPr>
        <w:t>4</w:t>
      </w:r>
      <w:r w:rsidRPr="470E5D75">
        <w:rPr>
          <w:rFonts w:eastAsiaTheme="minorEastAsia"/>
          <w:color w:val="000000" w:themeColor="text1"/>
          <w:sz w:val="24"/>
          <w:szCs w:val="24"/>
        </w:rPr>
        <w:t>:</w:t>
      </w:r>
      <w:r>
        <w:tab/>
      </w:r>
      <w:r w:rsidR="0066459F" w:rsidRPr="470E5D75">
        <w:rPr>
          <w:rFonts w:eastAsiaTheme="minorEastAsia"/>
          <w:color w:val="000000" w:themeColor="text1"/>
          <w:sz w:val="24"/>
          <w:szCs w:val="24"/>
        </w:rPr>
        <w:t>This GFO is focused on</w:t>
      </w:r>
      <w:r w:rsidR="00576015" w:rsidRPr="470E5D75">
        <w:rPr>
          <w:sz w:val="24"/>
          <w:szCs w:val="24"/>
        </w:rPr>
        <w:t xml:space="preserve"> understanding </w:t>
      </w:r>
      <w:r w:rsidR="0098BBDC" w:rsidRPr="470E5D75">
        <w:rPr>
          <w:sz w:val="24"/>
          <w:szCs w:val="24"/>
        </w:rPr>
        <w:t xml:space="preserve">residents’ exposure to indoor air </w:t>
      </w:r>
      <w:r w:rsidR="00576015" w:rsidRPr="470E5D75">
        <w:rPr>
          <w:sz w:val="24"/>
          <w:szCs w:val="24"/>
        </w:rPr>
        <w:t>pollutants</w:t>
      </w:r>
      <w:r w:rsidR="00576015" w:rsidRPr="470E5D75">
        <w:rPr>
          <w:rFonts w:eastAsiaTheme="minorEastAsia"/>
          <w:color w:val="000000" w:themeColor="text1"/>
          <w:sz w:val="24"/>
          <w:szCs w:val="24"/>
        </w:rPr>
        <w:t xml:space="preserve"> generated from </w:t>
      </w:r>
      <w:r w:rsidR="00146B43" w:rsidRPr="470E5D75">
        <w:rPr>
          <w:rFonts w:eastAsiaTheme="minorEastAsia"/>
          <w:color w:val="000000" w:themeColor="text1"/>
          <w:sz w:val="24"/>
          <w:szCs w:val="24"/>
        </w:rPr>
        <w:t xml:space="preserve">residential </w:t>
      </w:r>
      <w:r w:rsidR="0066459F" w:rsidRPr="470E5D75">
        <w:rPr>
          <w:rFonts w:eastAsiaTheme="minorEastAsia"/>
          <w:color w:val="000000" w:themeColor="text1"/>
          <w:sz w:val="24"/>
          <w:szCs w:val="24"/>
        </w:rPr>
        <w:t>cooking</w:t>
      </w:r>
      <w:r w:rsidR="00895887" w:rsidRPr="470E5D75">
        <w:rPr>
          <w:rFonts w:eastAsiaTheme="minorEastAsia"/>
          <w:color w:val="000000" w:themeColor="text1"/>
          <w:sz w:val="24"/>
          <w:szCs w:val="24"/>
        </w:rPr>
        <w:t>, considering a variety of</w:t>
      </w:r>
      <w:r w:rsidR="0066459F" w:rsidRPr="470E5D75">
        <w:rPr>
          <w:rFonts w:eastAsiaTheme="minorEastAsia"/>
          <w:color w:val="000000" w:themeColor="text1"/>
          <w:sz w:val="24"/>
          <w:szCs w:val="24"/>
        </w:rPr>
        <w:t xml:space="preserve"> equipment</w:t>
      </w:r>
      <w:r w:rsidR="00895887" w:rsidRPr="470E5D75">
        <w:rPr>
          <w:rFonts w:eastAsiaTheme="minorEastAsia"/>
          <w:color w:val="000000" w:themeColor="text1"/>
          <w:sz w:val="24"/>
          <w:szCs w:val="24"/>
        </w:rPr>
        <w:t xml:space="preserve"> and household practices</w:t>
      </w:r>
      <w:r w:rsidR="0066459F" w:rsidRPr="470E5D75">
        <w:rPr>
          <w:rFonts w:eastAsiaTheme="minorEastAsia"/>
          <w:color w:val="000000" w:themeColor="text1"/>
          <w:sz w:val="24"/>
          <w:szCs w:val="24"/>
        </w:rPr>
        <w:t>. Please see the GFO manual section I.C. for minimum requirements.</w:t>
      </w:r>
    </w:p>
    <w:p w14:paraId="1DF942CD" w14:textId="53AFC050" w:rsidR="005511B8" w:rsidRDefault="005511B8" w:rsidP="005511B8">
      <w:pPr>
        <w:ind w:left="720"/>
        <w:rPr>
          <w:rFonts w:eastAsiaTheme="minorEastAsia"/>
          <w:color w:val="000000" w:themeColor="text1"/>
          <w:sz w:val="24"/>
          <w:szCs w:val="24"/>
        </w:rPr>
      </w:pPr>
      <w:r>
        <w:rPr>
          <w:rFonts w:eastAsiaTheme="minorEastAsia"/>
          <w:color w:val="000000" w:themeColor="text1"/>
          <w:sz w:val="24"/>
          <w:szCs w:val="24"/>
        </w:rPr>
        <w:t>“</w:t>
      </w:r>
      <w:r w:rsidRPr="005511B8">
        <w:rPr>
          <w:rFonts w:eastAsiaTheme="minorEastAsia"/>
          <w:color w:val="000000" w:themeColor="text1"/>
          <w:sz w:val="24"/>
          <w:szCs w:val="24"/>
        </w:rPr>
        <w:t>The successful Applicant will design and implement a field study of multifamily homes (e.g., apartments) in California to determine human exposures to pollutants from residential cooking appliances.</w:t>
      </w:r>
      <w:r>
        <w:rPr>
          <w:rFonts w:eastAsiaTheme="minorEastAsia"/>
          <w:color w:val="000000" w:themeColor="text1"/>
          <w:sz w:val="24"/>
          <w:szCs w:val="24"/>
        </w:rPr>
        <w:t>”</w:t>
      </w:r>
    </w:p>
    <w:p w14:paraId="46FA85E3" w14:textId="78713AB9" w:rsidR="0067795F" w:rsidRDefault="004D3991" w:rsidP="00E01DD8">
      <w:pPr>
        <w:ind w:left="720"/>
        <w:rPr>
          <w:rFonts w:eastAsiaTheme="minorEastAsia"/>
          <w:color w:val="000000" w:themeColor="text1"/>
          <w:sz w:val="24"/>
          <w:szCs w:val="24"/>
        </w:rPr>
      </w:pPr>
      <w:r w:rsidRPr="470E5D75">
        <w:rPr>
          <w:rFonts w:eastAsiaTheme="minorEastAsia"/>
          <w:color w:val="000000" w:themeColor="text1"/>
          <w:sz w:val="24"/>
          <w:szCs w:val="24"/>
        </w:rPr>
        <w:t>“</w:t>
      </w:r>
      <w:r w:rsidR="008C0718" w:rsidRPr="470E5D75">
        <w:rPr>
          <w:rFonts w:eastAsiaTheme="minorEastAsia"/>
          <w:color w:val="000000" w:themeColor="text1"/>
          <w:sz w:val="24"/>
          <w:szCs w:val="24"/>
        </w:rPr>
        <w:t xml:space="preserve">Research must, at a minimum: </w:t>
      </w:r>
      <w:r w:rsidRPr="470E5D75">
        <w:rPr>
          <w:rFonts w:eastAsiaTheme="minorEastAsia"/>
          <w:color w:val="000000" w:themeColor="text1"/>
          <w:sz w:val="24"/>
          <w:szCs w:val="24"/>
        </w:rPr>
        <w:t>Contribute to understanding the differences in residents’ exposures to cooking generated PM</w:t>
      </w:r>
      <w:r w:rsidRPr="470E5D75">
        <w:rPr>
          <w:rFonts w:eastAsiaTheme="minorEastAsia"/>
          <w:color w:val="000000" w:themeColor="text1"/>
          <w:sz w:val="24"/>
          <w:szCs w:val="24"/>
          <w:vertAlign w:val="subscript"/>
        </w:rPr>
        <w:t xml:space="preserve">2.5 </w:t>
      </w:r>
      <w:r w:rsidRPr="470E5D75">
        <w:rPr>
          <w:rFonts w:eastAsiaTheme="minorEastAsia"/>
          <w:color w:val="000000" w:themeColor="text1"/>
          <w:sz w:val="24"/>
          <w:szCs w:val="24"/>
        </w:rPr>
        <w:t xml:space="preserve">in multifamily homes that burn </w:t>
      </w:r>
      <w:r w:rsidRPr="470E5D75">
        <w:rPr>
          <w:rFonts w:eastAsiaTheme="minorEastAsia"/>
          <w:color w:val="000000" w:themeColor="text1"/>
          <w:sz w:val="24"/>
          <w:szCs w:val="24"/>
        </w:rPr>
        <w:lastRenderedPageBreak/>
        <w:t>gas relative to multi-family homes that are electrified. The study sample should include and differentiate between appliance type (range, stove, oven) and between fuel type (gas (methane/propane), electric resistance, induction).”</w:t>
      </w:r>
    </w:p>
    <w:p w14:paraId="3186FC41" w14:textId="77777777" w:rsidR="00F44D4E" w:rsidRPr="00E431BD" w:rsidRDefault="00F44D4E" w:rsidP="00E431BD">
      <w:pPr>
        <w:ind w:left="720" w:hanging="720"/>
        <w:rPr>
          <w:rFonts w:eastAsiaTheme="minorEastAsia"/>
          <w:color w:val="000000" w:themeColor="text1"/>
          <w:sz w:val="24"/>
          <w:szCs w:val="24"/>
        </w:rPr>
      </w:pPr>
    </w:p>
    <w:p w14:paraId="70CD3DA6" w14:textId="763E3621" w:rsidR="00E431BD" w:rsidRDefault="00E431BD" w:rsidP="00E431BD">
      <w:pPr>
        <w:ind w:left="720" w:hanging="720"/>
        <w:rPr>
          <w:rFonts w:eastAsiaTheme="minorEastAsia"/>
          <w:b/>
          <w:bCs/>
          <w:color w:val="000000" w:themeColor="text1"/>
          <w:sz w:val="24"/>
          <w:szCs w:val="24"/>
        </w:rPr>
      </w:pPr>
      <w:r>
        <w:rPr>
          <w:rFonts w:eastAsiaTheme="minorEastAsia"/>
          <w:b/>
          <w:bCs/>
          <w:color w:val="000000" w:themeColor="text1"/>
          <w:sz w:val="24"/>
          <w:szCs w:val="24"/>
        </w:rPr>
        <w:t>Q1</w:t>
      </w:r>
      <w:r w:rsidR="000A0875">
        <w:rPr>
          <w:rFonts w:eastAsiaTheme="minorEastAsia"/>
          <w:b/>
          <w:bCs/>
          <w:color w:val="000000" w:themeColor="text1"/>
          <w:sz w:val="24"/>
          <w:szCs w:val="24"/>
        </w:rPr>
        <w:t>5</w:t>
      </w:r>
      <w:r>
        <w:rPr>
          <w:rFonts w:eastAsiaTheme="minorEastAsia"/>
          <w:b/>
          <w:bCs/>
          <w:color w:val="000000" w:themeColor="text1"/>
          <w:sz w:val="24"/>
          <w:szCs w:val="24"/>
        </w:rPr>
        <w:t>:</w:t>
      </w:r>
      <w:r>
        <w:rPr>
          <w:rFonts w:eastAsiaTheme="minorEastAsia"/>
          <w:b/>
          <w:bCs/>
          <w:color w:val="000000" w:themeColor="text1"/>
          <w:sz w:val="24"/>
          <w:szCs w:val="24"/>
        </w:rPr>
        <w:tab/>
      </w:r>
      <w:r w:rsidRPr="00203F2F">
        <w:rPr>
          <w:rFonts w:eastAsiaTheme="minorEastAsia"/>
          <w:b/>
          <w:bCs/>
          <w:color w:val="000000" w:themeColor="text1"/>
          <w:sz w:val="24"/>
          <w:szCs w:val="24"/>
        </w:rPr>
        <w:t xml:space="preserve">Can you offer any guidance about the sample size and regional representativeness that you are looking for in this study? (There is a tension between how many homes/geographic </w:t>
      </w:r>
      <w:proofErr w:type="gramStart"/>
      <w:r w:rsidRPr="00203F2F">
        <w:rPr>
          <w:rFonts w:eastAsiaTheme="minorEastAsia"/>
          <w:b/>
          <w:bCs/>
          <w:color w:val="000000" w:themeColor="text1"/>
          <w:sz w:val="24"/>
          <w:szCs w:val="24"/>
        </w:rPr>
        <w:t>spread</w:t>
      </w:r>
      <w:proofErr w:type="gramEnd"/>
      <w:r w:rsidRPr="00203F2F">
        <w:rPr>
          <w:rFonts w:eastAsiaTheme="minorEastAsia"/>
          <w:b/>
          <w:bCs/>
          <w:color w:val="000000" w:themeColor="text1"/>
          <w:sz w:val="24"/>
          <w:szCs w:val="24"/>
        </w:rPr>
        <w:t xml:space="preserve"> and how intensive the monitoring can be at each home).</w:t>
      </w:r>
    </w:p>
    <w:p w14:paraId="4BF36A31" w14:textId="58E73D94" w:rsidR="00707790" w:rsidRDefault="00E431BD" w:rsidP="00E431BD">
      <w:pPr>
        <w:ind w:left="720" w:hanging="720"/>
        <w:rPr>
          <w:rFonts w:eastAsiaTheme="minorEastAsia"/>
          <w:color w:val="000000" w:themeColor="text1"/>
          <w:sz w:val="24"/>
          <w:szCs w:val="24"/>
        </w:rPr>
      </w:pPr>
      <w:r w:rsidRPr="00E431BD">
        <w:rPr>
          <w:rFonts w:eastAsiaTheme="minorEastAsia"/>
          <w:color w:val="000000" w:themeColor="text1"/>
          <w:sz w:val="24"/>
          <w:szCs w:val="24"/>
        </w:rPr>
        <w:t>A1</w:t>
      </w:r>
      <w:r w:rsidR="000A0875">
        <w:rPr>
          <w:rFonts w:eastAsiaTheme="minorEastAsia"/>
          <w:color w:val="000000" w:themeColor="text1"/>
          <w:sz w:val="24"/>
          <w:szCs w:val="24"/>
        </w:rPr>
        <w:t>5</w:t>
      </w:r>
      <w:r w:rsidRPr="00E431BD">
        <w:rPr>
          <w:rFonts w:eastAsiaTheme="minorEastAsia"/>
          <w:color w:val="000000" w:themeColor="text1"/>
          <w:sz w:val="24"/>
          <w:szCs w:val="24"/>
        </w:rPr>
        <w:t>:</w:t>
      </w:r>
      <w:r w:rsidR="00E37B30">
        <w:rPr>
          <w:rFonts w:eastAsiaTheme="minorEastAsia"/>
          <w:color w:val="000000" w:themeColor="text1"/>
          <w:sz w:val="24"/>
          <w:szCs w:val="24"/>
        </w:rPr>
        <w:tab/>
      </w:r>
      <w:r w:rsidR="004617CB">
        <w:rPr>
          <w:rFonts w:eastAsiaTheme="minorEastAsia"/>
          <w:color w:val="000000" w:themeColor="text1"/>
          <w:sz w:val="24"/>
          <w:szCs w:val="24"/>
        </w:rPr>
        <w:t>It is the responsibility of the a</w:t>
      </w:r>
      <w:r w:rsidR="00E37B30" w:rsidRPr="00466DB6">
        <w:rPr>
          <w:rFonts w:eastAsiaTheme="minorEastAsia"/>
          <w:color w:val="000000" w:themeColor="text1"/>
          <w:sz w:val="24"/>
          <w:szCs w:val="24"/>
        </w:rPr>
        <w:t xml:space="preserve">pplicant </w:t>
      </w:r>
      <w:r w:rsidR="004617CB">
        <w:rPr>
          <w:rFonts w:eastAsiaTheme="minorEastAsia"/>
          <w:color w:val="000000" w:themeColor="text1"/>
          <w:sz w:val="24"/>
          <w:szCs w:val="24"/>
        </w:rPr>
        <w:t>to propose and justify a credible</w:t>
      </w:r>
      <w:r w:rsidR="00E37B30" w:rsidRPr="00466DB6">
        <w:rPr>
          <w:rFonts w:eastAsiaTheme="minorEastAsia"/>
          <w:color w:val="000000" w:themeColor="text1"/>
          <w:sz w:val="24"/>
          <w:szCs w:val="24"/>
        </w:rPr>
        <w:t xml:space="preserve"> </w:t>
      </w:r>
      <w:r w:rsidR="00410A75">
        <w:rPr>
          <w:rFonts w:eastAsiaTheme="minorEastAsia"/>
          <w:color w:val="000000" w:themeColor="text1"/>
          <w:sz w:val="24"/>
          <w:szCs w:val="24"/>
        </w:rPr>
        <w:t>approach</w:t>
      </w:r>
      <w:r w:rsidR="00707790">
        <w:rPr>
          <w:rFonts w:eastAsiaTheme="minorEastAsia"/>
          <w:color w:val="000000" w:themeColor="text1"/>
          <w:sz w:val="24"/>
          <w:szCs w:val="24"/>
        </w:rPr>
        <w:t xml:space="preserve"> to</w:t>
      </w:r>
      <w:r w:rsidR="00E37B30" w:rsidRPr="00466DB6">
        <w:rPr>
          <w:rFonts w:eastAsiaTheme="minorEastAsia"/>
          <w:color w:val="000000" w:themeColor="text1"/>
          <w:sz w:val="24"/>
          <w:szCs w:val="24"/>
        </w:rPr>
        <w:t xml:space="preserve"> </w:t>
      </w:r>
      <w:r w:rsidR="00707790">
        <w:rPr>
          <w:rFonts w:eastAsiaTheme="minorEastAsia"/>
          <w:color w:val="000000" w:themeColor="text1"/>
          <w:sz w:val="24"/>
          <w:szCs w:val="24"/>
        </w:rPr>
        <w:t>sampling,</w:t>
      </w:r>
      <w:r w:rsidR="00E37B30" w:rsidRPr="00466DB6">
        <w:rPr>
          <w:rFonts w:eastAsiaTheme="minorEastAsia"/>
          <w:color w:val="000000" w:themeColor="text1"/>
          <w:sz w:val="24"/>
          <w:szCs w:val="24"/>
        </w:rPr>
        <w:t xml:space="preserve"> including sample size and </w:t>
      </w:r>
      <w:r w:rsidR="00400AAA" w:rsidRPr="00466DB6">
        <w:rPr>
          <w:rFonts w:eastAsiaTheme="minorEastAsia"/>
          <w:color w:val="000000" w:themeColor="text1"/>
          <w:sz w:val="24"/>
          <w:szCs w:val="24"/>
        </w:rPr>
        <w:t xml:space="preserve">geography. </w:t>
      </w:r>
    </w:p>
    <w:p w14:paraId="273B95CB" w14:textId="64405B8B" w:rsidR="00E431BD" w:rsidRDefault="00466DB6" w:rsidP="002F4124">
      <w:pPr>
        <w:ind w:left="720"/>
        <w:rPr>
          <w:rFonts w:eastAsiaTheme="minorEastAsia"/>
          <w:color w:val="000000" w:themeColor="text1"/>
          <w:sz w:val="24"/>
          <w:szCs w:val="24"/>
        </w:rPr>
      </w:pPr>
      <w:r w:rsidRPr="00466DB6">
        <w:rPr>
          <w:rFonts w:eastAsiaTheme="minorEastAsia"/>
          <w:color w:val="000000" w:themeColor="text1"/>
          <w:sz w:val="24"/>
          <w:szCs w:val="24"/>
        </w:rPr>
        <w:t xml:space="preserve">As noted in the </w:t>
      </w:r>
      <w:r w:rsidR="00707790">
        <w:rPr>
          <w:rFonts w:eastAsiaTheme="minorEastAsia"/>
          <w:color w:val="000000" w:themeColor="text1"/>
          <w:sz w:val="24"/>
          <w:szCs w:val="24"/>
        </w:rPr>
        <w:t>solicitation manual</w:t>
      </w:r>
      <w:r w:rsidRPr="00466DB6">
        <w:rPr>
          <w:rFonts w:eastAsiaTheme="minorEastAsia"/>
          <w:color w:val="000000" w:themeColor="text1"/>
          <w:sz w:val="24"/>
          <w:szCs w:val="24"/>
        </w:rPr>
        <w:t>, “</w:t>
      </w:r>
      <w:r w:rsidRPr="00466DB6">
        <w:rPr>
          <w:sz w:val="24"/>
          <w:szCs w:val="24"/>
        </w:rPr>
        <w:t xml:space="preserve">the study sample must be designed to illuminate exposures in multifamily homes. This may include a diverse sample of housing such as apartments, townhomes, manufactured homes, and mobile homes. At least 80% of field measurement sites must </w:t>
      </w:r>
      <w:proofErr w:type="gramStart"/>
      <w:r w:rsidRPr="00466DB6">
        <w:rPr>
          <w:sz w:val="24"/>
          <w:szCs w:val="24"/>
        </w:rPr>
        <w:t>be located in</w:t>
      </w:r>
      <w:proofErr w:type="gramEnd"/>
      <w:r w:rsidRPr="00466DB6">
        <w:rPr>
          <w:sz w:val="24"/>
          <w:szCs w:val="24"/>
        </w:rPr>
        <w:t xml:space="preserve"> a disadvantaged and/or low-income community, and/or tribal community. Applicants must justify the rationale for focusing on specific type(s) of housing. The study must note, for each sampled home, both kitchen and total home square footage as well as differentiate between American Society of Heating, Refrigerating and Air-Conditioning Engineers (ASHRAE) 62.2 </w:t>
      </w:r>
      <w:sdt>
        <w:sdtPr>
          <w:rPr>
            <w:sz w:val="24"/>
            <w:szCs w:val="24"/>
          </w:rPr>
          <w:id w:val="1558744732"/>
          <w:placeholder>
            <w:docPart w:val="8B44DA14069043448427473F588D0031"/>
          </w:placeholder>
          <w:citation/>
        </w:sdtPr>
        <w:sdtContent>
          <w:r w:rsidRPr="00466DB6">
            <w:rPr>
              <w:sz w:val="24"/>
              <w:szCs w:val="24"/>
            </w:rPr>
            <w:fldChar w:fldCharType="begin"/>
          </w:r>
          <w:r w:rsidRPr="00466DB6">
            <w:rPr>
              <w:sz w:val="24"/>
              <w:szCs w:val="24"/>
            </w:rPr>
            <w:instrText xml:space="preserve"> CITATION ASH23 \l 1033 </w:instrText>
          </w:r>
          <w:r w:rsidRPr="00466DB6">
            <w:rPr>
              <w:sz w:val="24"/>
              <w:szCs w:val="24"/>
            </w:rPr>
            <w:fldChar w:fldCharType="separate"/>
          </w:r>
          <w:r w:rsidRPr="00466DB6">
            <w:rPr>
              <w:noProof/>
              <w:sz w:val="24"/>
              <w:szCs w:val="24"/>
            </w:rPr>
            <w:t>(ASHRAE 2023)</w:t>
          </w:r>
          <w:r w:rsidRPr="00466DB6">
            <w:rPr>
              <w:sz w:val="24"/>
              <w:szCs w:val="24"/>
            </w:rPr>
            <w:fldChar w:fldCharType="end"/>
          </w:r>
        </w:sdtContent>
      </w:sdt>
      <w:r w:rsidRPr="00466DB6">
        <w:rPr>
          <w:sz w:val="24"/>
          <w:szCs w:val="24"/>
        </w:rPr>
        <w:t xml:space="preserve"> compliant homes and non-compliant homes. Applicants must characterize homes and activity patterns of residents that can help characterize concentrations and exposure.</w:t>
      </w:r>
      <w:r w:rsidR="00B62A7B">
        <w:rPr>
          <w:sz w:val="24"/>
          <w:szCs w:val="24"/>
        </w:rPr>
        <w:t>”</w:t>
      </w:r>
      <w:r w:rsidRPr="00466DB6">
        <w:rPr>
          <w:sz w:val="24"/>
          <w:szCs w:val="24"/>
        </w:rPr>
        <w:t xml:space="preserve"> </w:t>
      </w:r>
      <w:r w:rsidR="00576015" w:rsidRPr="00466DB6">
        <w:rPr>
          <w:rFonts w:eastAsiaTheme="minorEastAsia"/>
          <w:color w:val="000000" w:themeColor="text1"/>
          <w:sz w:val="24"/>
          <w:szCs w:val="24"/>
        </w:rPr>
        <w:t>Please see the GFO manual section I.C. for minimum requirements.</w:t>
      </w:r>
    </w:p>
    <w:p w14:paraId="57BFD91C" w14:textId="77777777" w:rsidR="00F44D4E" w:rsidRPr="00E431BD" w:rsidRDefault="00F44D4E" w:rsidP="00E431BD">
      <w:pPr>
        <w:ind w:left="720" w:hanging="720"/>
        <w:rPr>
          <w:rFonts w:eastAsiaTheme="minorEastAsia"/>
          <w:color w:val="000000" w:themeColor="text1"/>
          <w:sz w:val="24"/>
          <w:szCs w:val="24"/>
        </w:rPr>
      </w:pPr>
    </w:p>
    <w:p w14:paraId="78613B2C" w14:textId="51C91FE5" w:rsidR="00203F2F" w:rsidRDefault="00203F2F" w:rsidP="009B6DFD">
      <w:pPr>
        <w:ind w:left="720" w:hanging="720"/>
        <w:rPr>
          <w:rFonts w:eastAsiaTheme="minorEastAsia"/>
          <w:b/>
          <w:bCs/>
          <w:color w:val="000000" w:themeColor="text1"/>
          <w:sz w:val="24"/>
          <w:szCs w:val="24"/>
        </w:rPr>
      </w:pPr>
      <w:r>
        <w:rPr>
          <w:rFonts w:eastAsiaTheme="minorEastAsia"/>
          <w:b/>
          <w:bCs/>
          <w:color w:val="000000" w:themeColor="text1"/>
          <w:sz w:val="24"/>
          <w:szCs w:val="24"/>
        </w:rPr>
        <w:t>Q1</w:t>
      </w:r>
      <w:r w:rsidR="000A0875">
        <w:rPr>
          <w:rFonts w:eastAsiaTheme="minorEastAsia"/>
          <w:b/>
          <w:bCs/>
          <w:color w:val="000000" w:themeColor="text1"/>
          <w:sz w:val="24"/>
          <w:szCs w:val="24"/>
        </w:rPr>
        <w:t>6</w:t>
      </w:r>
      <w:r>
        <w:rPr>
          <w:rFonts w:eastAsiaTheme="minorEastAsia"/>
          <w:b/>
          <w:bCs/>
          <w:color w:val="000000" w:themeColor="text1"/>
          <w:sz w:val="24"/>
          <w:szCs w:val="24"/>
        </w:rPr>
        <w:t>:</w:t>
      </w:r>
      <w:r>
        <w:rPr>
          <w:rFonts w:eastAsiaTheme="minorEastAsia"/>
          <w:b/>
          <w:bCs/>
          <w:color w:val="000000" w:themeColor="text1"/>
          <w:sz w:val="24"/>
          <w:szCs w:val="24"/>
        </w:rPr>
        <w:tab/>
      </w:r>
      <w:r w:rsidRPr="00203F2F">
        <w:rPr>
          <w:rFonts w:eastAsiaTheme="minorEastAsia"/>
          <w:b/>
          <w:bCs/>
          <w:color w:val="000000" w:themeColor="text1"/>
          <w:sz w:val="24"/>
          <w:szCs w:val="24"/>
        </w:rPr>
        <w:t>Can you please clarify what you meant in your presentation by “actual personal exposure”? (i.e., does this require direct personal exposure assessment vs. measurement of indoor concentrations at a few fixed locations?)</w:t>
      </w:r>
    </w:p>
    <w:p w14:paraId="22F42DFA" w14:textId="1AF0E1C2" w:rsidR="00E431BD" w:rsidRDefault="00E431BD"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A1</w:t>
      </w:r>
      <w:r w:rsidR="000A0875" w:rsidRPr="470E5D75">
        <w:rPr>
          <w:rFonts w:eastAsiaTheme="minorEastAsia"/>
          <w:color w:val="000000" w:themeColor="text1"/>
          <w:sz w:val="24"/>
          <w:szCs w:val="24"/>
        </w:rPr>
        <w:t>6</w:t>
      </w:r>
      <w:r w:rsidRPr="470E5D75">
        <w:rPr>
          <w:rFonts w:eastAsiaTheme="minorEastAsia"/>
          <w:color w:val="000000" w:themeColor="text1"/>
          <w:sz w:val="24"/>
          <w:szCs w:val="24"/>
        </w:rPr>
        <w:t>:</w:t>
      </w:r>
      <w:r>
        <w:tab/>
      </w:r>
      <w:r w:rsidR="001F7D30" w:rsidRPr="470E5D75">
        <w:rPr>
          <w:rFonts w:eastAsiaTheme="minorEastAsia"/>
          <w:color w:val="000000" w:themeColor="text1"/>
          <w:sz w:val="24"/>
          <w:szCs w:val="24"/>
        </w:rPr>
        <w:t xml:space="preserve">“Actual personal exposure” refers to the </w:t>
      </w:r>
      <w:r w:rsidR="009E0DA8" w:rsidRPr="470E5D75">
        <w:rPr>
          <w:rFonts w:eastAsiaTheme="minorEastAsia"/>
          <w:color w:val="000000" w:themeColor="text1"/>
          <w:sz w:val="24"/>
          <w:szCs w:val="24"/>
        </w:rPr>
        <w:t xml:space="preserve">measuring </w:t>
      </w:r>
      <w:r w:rsidR="00415C7C" w:rsidRPr="470E5D75">
        <w:rPr>
          <w:rFonts w:eastAsiaTheme="minorEastAsia"/>
          <w:color w:val="000000" w:themeColor="text1"/>
          <w:sz w:val="24"/>
          <w:szCs w:val="24"/>
        </w:rPr>
        <w:t xml:space="preserve">pollutant exposure to home </w:t>
      </w:r>
      <w:r w:rsidR="00BE7944" w:rsidRPr="470E5D75">
        <w:rPr>
          <w:rFonts w:eastAsiaTheme="minorEastAsia"/>
          <w:color w:val="000000" w:themeColor="text1"/>
          <w:sz w:val="24"/>
          <w:szCs w:val="24"/>
        </w:rPr>
        <w:t>residents</w:t>
      </w:r>
      <w:r w:rsidR="00415C7C" w:rsidRPr="470E5D75">
        <w:rPr>
          <w:rFonts w:eastAsiaTheme="minorEastAsia"/>
          <w:color w:val="000000" w:themeColor="text1"/>
          <w:sz w:val="24"/>
          <w:szCs w:val="24"/>
        </w:rPr>
        <w:t xml:space="preserve">, which is </w:t>
      </w:r>
      <w:r w:rsidR="00D645B9" w:rsidRPr="470E5D75">
        <w:rPr>
          <w:rFonts w:eastAsiaTheme="minorEastAsia"/>
          <w:color w:val="000000" w:themeColor="text1"/>
          <w:sz w:val="24"/>
          <w:szCs w:val="24"/>
        </w:rPr>
        <w:t xml:space="preserve">a function of </w:t>
      </w:r>
      <w:r w:rsidR="00557760" w:rsidRPr="470E5D75">
        <w:rPr>
          <w:rFonts w:eastAsiaTheme="minorEastAsia"/>
          <w:color w:val="000000" w:themeColor="text1"/>
          <w:sz w:val="24"/>
          <w:szCs w:val="24"/>
        </w:rPr>
        <w:t xml:space="preserve">pollutant </w:t>
      </w:r>
      <w:r w:rsidR="00D645B9" w:rsidRPr="470E5D75">
        <w:rPr>
          <w:rFonts w:eastAsiaTheme="minorEastAsia"/>
          <w:color w:val="000000" w:themeColor="text1"/>
          <w:sz w:val="24"/>
          <w:szCs w:val="24"/>
        </w:rPr>
        <w:t xml:space="preserve">concentration, time duration, </w:t>
      </w:r>
      <w:r w:rsidR="00557760" w:rsidRPr="470E5D75">
        <w:rPr>
          <w:rFonts w:eastAsiaTheme="minorEastAsia"/>
          <w:color w:val="000000" w:themeColor="text1"/>
          <w:sz w:val="24"/>
          <w:szCs w:val="24"/>
        </w:rPr>
        <w:t xml:space="preserve">and </w:t>
      </w:r>
      <w:r w:rsidR="00BE7944" w:rsidRPr="470E5D75">
        <w:rPr>
          <w:rFonts w:eastAsiaTheme="minorEastAsia"/>
          <w:color w:val="000000" w:themeColor="text1"/>
          <w:sz w:val="24"/>
          <w:szCs w:val="24"/>
        </w:rPr>
        <w:t>frequency</w:t>
      </w:r>
      <w:r w:rsidR="22FB4AFA" w:rsidRPr="470E5D75">
        <w:rPr>
          <w:rFonts w:eastAsiaTheme="minorEastAsia"/>
          <w:color w:val="000000" w:themeColor="text1"/>
          <w:sz w:val="24"/>
          <w:szCs w:val="24"/>
        </w:rPr>
        <w:t>,</w:t>
      </w:r>
      <w:r w:rsidR="00BE7944" w:rsidRPr="470E5D75">
        <w:rPr>
          <w:rFonts w:eastAsiaTheme="minorEastAsia"/>
          <w:color w:val="000000" w:themeColor="text1"/>
          <w:sz w:val="24"/>
          <w:szCs w:val="24"/>
        </w:rPr>
        <w:t xml:space="preserve"> </w:t>
      </w:r>
      <w:r w:rsidR="5E4CAD76" w:rsidRPr="470E5D75">
        <w:rPr>
          <w:rFonts w:eastAsiaTheme="minorEastAsia"/>
          <w:color w:val="000000" w:themeColor="text1"/>
          <w:sz w:val="24"/>
          <w:szCs w:val="24"/>
        </w:rPr>
        <w:t>as well as the</w:t>
      </w:r>
      <w:r w:rsidR="00BE7944" w:rsidRPr="470E5D75">
        <w:rPr>
          <w:rFonts w:eastAsiaTheme="minorEastAsia"/>
          <w:color w:val="000000" w:themeColor="text1"/>
          <w:sz w:val="24"/>
          <w:szCs w:val="24"/>
        </w:rPr>
        <w:t xml:space="preserve"> behavior of </w:t>
      </w:r>
      <w:r w:rsidR="00557760" w:rsidRPr="470E5D75">
        <w:rPr>
          <w:rFonts w:eastAsiaTheme="minorEastAsia"/>
          <w:color w:val="000000" w:themeColor="text1"/>
          <w:sz w:val="24"/>
          <w:szCs w:val="24"/>
        </w:rPr>
        <w:t xml:space="preserve">home </w:t>
      </w:r>
      <w:r w:rsidR="00BE7944" w:rsidRPr="470E5D75">
        <w:rPr>
          <w:rFonts w:eastAsiaTheme="minorEastAsia"/>
          <w:color w:val="000000" w:themeColor="text1"/>
          <w:sz w:val="24"/>
          <w:szCs w:val="24"/>
        </w:rPr>
        <w:t>occupants</w:t>
      </w:r>
      <w:r w:rsidR="00415C7C" w:rsidRPr="470E5D75">
        <w:rPr>
          <w:rFonts w:eastAsiaTheme="minorEastAsia"/>
          <w:color w:val="000000" w:themeColor="text1"/>
          <w:sz w:val="24"/>
          <w:szCs w:val="24"/>
        </w:rPr>
        <w:t xml:space="preserve">. </w:t>
      </w:r>
    </w:p>
    <w:p w14:paraId="6A6C6446" w14:textId="77777777" w:rsidR="00F44D4E" w:rsidRPr="00E431BD" w:rsidRDefault="00F44D4E" w:rsidP="009B6DFD">
      <w:pPr>
        <w:ind w:left="720" w:hanging="720"/>
        <w:rPr>
          <w:rFonts w:eastAsiaTheme="minorEastAsia"/>
          <w:color w:val="000000" w:themeColor="text1"/>
          <w:sz w:val="24"/>
          <w:szCs w:val="24"/>
        </w:rPr>
      </w:pPr>
    </w:p>
    <w:p w14:paraId="224C1964" w14:textId="78E42E23" w:rsidR="00203F2F" w:rsidRDefault="00203F2F"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Q1</w:t>
      </w:r>
      <w:r w:rsidR="000A0875" w:rsidRPr="470E5D75">
        <w:rPr>
          <w:rFonts w:eastAsiaTheme="minorEastAsia"/>
          <w:b/>
          <w:bCs/>
          <w:color w:val="000000" w:themeColor="text1"/>
          <w:sz w:val="24"/>
          <w:szCs w:val="24"/>
        </w:rPr>
        <w:t>7</w:t>
      </w:r>
      <w:r w:rsidR="00E7232E" w:rsidRPr="470E5D75">
        <w:rPr>
          <w:rFonts w:eastAsiaTheme="minorEastAsia"/>
          <w:b/>
          <w:bCs/>
          <w:color w:val="000000" w:themeColor="text1"/>
          <w:sz w:val="24"/>
          <w:szCs w:val="24"/>
        </w:rPr>
        <w:t>a</w:t>
      </w:r>
      <w:r w:rsidRPr="470E5D75">
        <w:rPr>
          <w:rFonts w:eastAsiaTheme="minorEastAsia"/>
          <w:b/>
          <w:bCs/>
          <w:color w:val="000000" w:themeColor="text1"/>
          <w:sz w:val="24"/>
          <w:szCs w:val="24"/>
        </w:rPr>
        <w:t>:</w:t>
      </w:r>
      <w:r>
        <w:tab/>
      </w:r>
      <w:r w:rsidR="00AC7966" w:rsidRPr="470E5D75">
        <w:rPr>
          <w:rFonts w:eastAsiaTheme="minorEastAsia"/>
          <w:b/>
          <w:bCs/>
          <w:color w:val="000000" w:themeColor="text1"/>
          <w:sz w:val="24"/>
          <w:szCs w:val="24"/>
        </w:rPr>
        <w:t>Would additional contextual measurements (i.e.</w:t>
      </w:r>
      <w:r w:rsidR="3562202B" w:rsidRPr="470E5D75">
        <w:rPr>
          <w:rFonts w:eastAsiaTheme="minorEastAsia"/>
          <w:b/>
          <w:bCs/>
          <w:color w:val="000000" w:themeColor="text1"/>
          <w:sz w:val="24"/>
          <w:szCs w:val="24"/>
        </w:rPr>
        <w:t>,</w:t>
      </w:r>
      <w:r w:rsidR="00AC7966" w:rsidRPr="470E5D75">
        <w:rPr>
          <w:rFonts w:eastAsiaTheme="minorEastAsia"/>
          <w:b/>
          <w:bCs/>
          <w:color w:val="000000" w:themeColor="text1"/>
          <w:sz w:val="24"/>
          <w:szCs w:val="24"/>
        </w:rPr>
        <w:t xml:space="preserve"> outdoor measurements) be allowable or out of scope?</w:t>
      </w:r>
    </w:p>
    <w:p w14:paraId="7666CE18" w14:textId="261184E7" w:rsidR="00E431BD" w:rsidRDefault="00E431BD"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A1</w:t>
      </w:r>
      <w:r w:rsidR="000A0875" w:rsidRPr="470E5D75">
        <w:rPr>
          <w:rFonts w:eastAsiaTheme="minorEastAsia"/>
          <w:color w:val="000000" w:themeColor="text1"/>
          <w:sz w:val="24"/>
          <w:szCs w:val="24"/>
        </w:rPr>
        <w:t>7</w:t>
      </w:r>
      <w:r w:rsidR="00E7232E" w:rsidRPr="470E5D75">
        <w:rPr>
          <w:rFonts w:eastAsiaTheme="minorEastAsia"/>
          <w:color w:val="000000" w:themeColor="text1"/>
          <w:sz w:val="24"/>
          <w:szCs w:val="24"/>
        </w:rPr>
        <w:t>a</w:t>
      </w:r>
      <w:r w:rsidRPr="470E5D75">
        <w:rPr>
          <w:rFonts w:eastAsiaTheme="minorEastAsia"/>
          <w:color w:val="000000" w:themeColor="text1"/>
          <w:sz w:val="24"/>
          <w:szCs w:val="24"/>
        </w:rPr>
        <w:t>:</w:t>
      </w:r>
      <w:r>
        <w:tab/>
      </w:r>
      <w:r w:rsidR="00644BAD" w:rsidRPr="470E5D75">
        <w:rPr>
          <w:rFonts w:eastAsiaTheme="minorEastAsia"/>
          <w:color w:val="000000" w:themeColor="text1"/>
          <w:sz w:val="24"/>
          <w:szCs w:val="24"/>
        </w:rPr>
        <w:t xml:space="preserve">Applicants are expected to </w:t>
      </w:r>
      <w:r w:rsidR="00644BAD" w:rsidRPr="470E5D75">
        <w:rPr>
          <w:sz w:val="24"/>
          <w:szCs w:val="24"/>
        </w:rPr>
        <w:t xml:space="preserve">develop </w:t>
      </w:r>
      <w:r w:rsidR="034EF179" w:rsidRPr="470E5D75">
        <w:rPr>
          <w:sz w:val="24"/>
          <w:szCs w:val="24"/>
        </w:rPr>
        <w:t xml:space="preserve">a </w:t>
      </w:r>
      <w:r w:rsidR="00644BAD" w:rsidRPr="470E5D75">
        <w:rPr>
          <w:sz w:val="24"/>
          <w:szCs w:val="24"/>
        </w:rPr>
        <w:t>methodology to address confounders that may affect exposure to cooking</w:t>
      </w:r>
      <w:r w:rsidR="2F6DF7EB" w:rsidRPr="470E5D75">
        <w:rPr>
          <w:sz w:val="24"/>
          <w:szCs w:val="24"/>
        </w:rPr>
        <w:t>-</w:t>
      </w:r>
      <w:r w:rsidR="00644BAD" w:rsidRPr="470E5D75">
        <w:rPr>
          <w:sz w:val="24"/>
          <w:szCs w:val="24"/>
        </w:rPr>
        <w:t xml:space="preserve">generated pollutants. This may include understanding </w:t>
      </w:r>
      <w:r w:rsidR="006702FA" w:rsidRPr="470E5D75">
        <w:rPr>
          <w:sz w:val="24"/>
          <w:szCs w:val="24"/>
        </w:rPr>
        <w:t xml:space="preserve">the </w:t>
      </w:r>
      <w:r w:rsidR="00644BAD" w:rsidRPr="470E5D75">
        <w:rPr>
          <w:sz w:val="24"/>
          <w:szCs w:val="24"/>
        </w:rPr>
        <w:t xml:space="preserve">contribution of outdoor </w:t>
      </w:r>
      <w:r w:rsidR="00ED640C" w:rsidRPr="470E5D75">
        <w:rPr>
          <w:sz w:val="24"/>
          <w:szCs w:val="24"/>
        </w:rPr>
        <w:t>pollutants to indoor</w:t>
      </w:r>
      <w:r w:rsidR="006702FA" w:rsidRPr="470E5D75">
        <w:rPr>
          <w:sz w:val="24"/>
          <w:szCs w:val="24"/>
        </w:rPr>
        <w:t xml:space="preserve"> exposure</w:t>
      </w:r>
      <w:r w:rsidR="00ED640C" w:rsidRPr="470E5D75">
        <w:rPr>
          <w:sz w:val="24"/>
          <w:szCs w:val="24"/>
        </w:rPr>
        <w:t xml:space="preserve">s. If the outdoor measurements help in fulfilling </w:t>
      </w:r>
      <w:r w:rsidR="4254A785" w:rsidRPr="470E5D75">
        <w:rPr>
          <w:sz w:val="24"/>
          <w:szCs w:val="24"/>
        </w:rPr>
        <w:t xml:space="preserve">the </w:t>
      </w:r>
      <w:r w:rsidR="00ED640C" w:rsidRPr="470E5D75">
        <w:rPr>
          <w:sz w:val="24"/>
          <w:szCs w:val="24"/>
        </w:rPr>
        <w:t xml:space="preserve">research scope, </w:t>
      </w:r>
      <w:r w:rsidR="00E7232E" w:rsidRPr="470E5D75">
        <w:rPr>
          <w:sz w:val="24"/>
          <w:szCs w:val="24"/>
        </w:rPr>
        <w:t>they will be allowable.</w:t>
      </w:r>
      <w:r w:rsidR="00E7232E">
        <w:t xml:space="preserve"> </w:t>
      </w:r>
    </w:p>
    <w:p w14:paraId="1D4A26A2" w14:textId="77777777" w:rsidR="00F44D4E" w:rsidRPr="00E431BD" w:rsidRDefault="00F44D4E" w:rsidP="009B6DFD">
      <w:pPr>
        <w:ind w:left="720" w:hanging="720"/>
        <w:rPr>
          <w:rFonts w:eastAsiaTheme="minorEastAsia"/>
          <w:color w:val="000000" w:themeColor="text1"/>
          <w:sz w:val="24"/>
          <w:szCs w:val="24"/>
        </w:rPr>
      </w:pPr>
    </w:p>
    <w:p w14:paraId="6E336801" w14:textId="092458F4" w:rsidR="00AC7966" w:rsidRDefault="00AC7966" w:rsidP="470E5D75">
      <w:pPr>
        <w:ind w:left="720" w:hanging="720"/>
        <w:rPr>
          <w:rFonts w:eastAsiaTheme="minorEastAsia"/>
          <w:b/>
          <w:bCs/>
          <w:color w:val="000000" w:themeColor="text1"/>
          <w:sz w:val="24"/>
          <w:szCs w:val="24"/>
        </w:rPr>
      </w:pPr>
      <w:r w:rsidRPr="470E5D75">
        <w:rPr>
          <w:rFonts w:eastAsiaTheme="minorEastAsia"/>
          <w:b/>
          <w:bCs/>
          <w:color w:val="000000" w:themeColor="text1"/>
          <w:sz w:val="24"/>
          <w:szCs w:val="24"/>
        </w:rPr>
        <w:t>Q1</w:t>
      </w:r>
      <w:r w:rsidR="00E7232E" w:rsidRPr="470E5D75">
        <w:rPr>
          <w:rFonts w:eastAsiaTheme="minorEastAsia"/>
          <w:b/>
          <w:bCs/>
          <w:color w:val="000000" w:themeColor="text1"/>
          <w:sz w:val="24"/>
          <w:szCs w:val="24"/>
        </w:rPr>
        <w:t>7b</w:t>
      </w:r>
      <w:r w:rsidRPr="470E5D75">
        <w:rPr>
          <w:rFonts w:eastAsiaTheme="minorEastAsia"/>
          <w:b/>
          <w:bCs/>
          <w:color w:val="000000" w:themeColor="text1"/>
          <w:sz w:val="24"/>
          <w:szCs w:val="24"/>
        </w:rPr>
        <w:t>:</w:t>
      </w:r>
      <w:r>
        <w:tab/>
      </w:r>
      <w:r w:rsidRPr="470E5D75">
        <w:rPr>
          <w:rFonts w:eastAsiaTheme="minorEastAsia"/>
          <w:b/>
          <w:bCs/>
          <w:color w:val="000000" w:themeColor="text1"/>
          <w:sz w:val="24"/>
          <w:szCs w:val="24"/>
        </w:rPr>
        <w:t>So</w:t>
      </w:r>
      <w:r w:rsidR="00E7232E" w:rsidRPr="470E5D75">
        <w:rPr>
          <w:rFonts w:eastAsiaTheme="minorEastAsia"/>
          <w:b/>
          <w:bCs/>
          <w:color w:val="000000" w:themeColor="text1"/>
          <w:sz w:val="24"/>
          <w:szCs w:val="24"/>
        </w:rPr>
        <w:t>,</w:t>
      </w:r>
      <w:r w:rsidRPr="470E5D75">
        <w:rPr>
          <w:rFonts w:eastAsiaTheme="minorEastAsia"/>
          <w:b/>
          <w:bCs/>
          <w:color w:val="000000" w:themeColor="text1"/>
          <w:sz w:val="24"/>
          <w:szCs w:val="24"/>
        </w:rPr>
        <w:t xml:space="preserve"> the answer to the previous questions is </w:t>
      </w:r>
      <w:r w:rsidR="06D20002" w:rsidRPr="470E5D75">
        <w:rPr>
          <w:rFonts w:eastAsiaTheme="minorEastAsia"/>
          <w:b/>
          <w:bCs/>
          <w:color w:val="000000" w:themeColor="text1"/>
          <w:sz w:val="24"/>
          <w:szCs w:val="24"/>
        </w:rPr>
        <w:t>“</w:t>
      </w:r>
      <w:r w:rsidR="004D401A" w:rsidRPr="470E5D75">
        <w:rPr>
          <w:rFonts w:eastAsiaTheme="minorEastAsia"/>
          <w:b/>
          <w:bCs/>
          <w:color w:val="000000" w:themeColor="text1"/>
          <w:sz w:val="24"/>
          <w:szCs w:val="24"/>
        </w:rPr>
        <w:t>Yes,</w:t>
      </w:r>
      <w:r w:rsidRPr="470E5D75">
        <w:rPr>
          <w:rFonts w:eastAsiaTheme="minorEastAsia"/>
          <w:b/>
          <w:bCs/>
          <w:color w:val="000000" w:themeColor="text1"/>
          <w:sz w:val="24"/>
          <w:szCs w:val="24"/>
        </w:rPr>
        <w:t xml:space="preserve"> they are allowed but the main focus </w:t>
      </w:r>
      <w:r w:rsidR="709F606E" w:rsidRPr="470E5D75">
        <w:rPr>
          <w:rFonts w:eastAsiaTheme="minorEastAsia"/>
          <w:b/>
          <w:bCs/>
          <w:color w:val="000000" w:themeColor="text1"/>
          <w:sz w:val="24"/>
          <w:szCs w:val="24"/>
        </w:rPr>
        <w:t>is</w:t>
      </w:r>
      <w:r w:rsidRPr="470E5D75">
        <w:rPr>
          <w:rFonts w:eastAsiaTheme="minorEastAsia"/>
          <w:b/>
          <w:bCs/>
          <w:color w:val="000000" w:themeColor="text1"/>
          <w:sz w:val="24"/>
          <w:szCs w:val="24"/>
        </w:rPr>
        <w:t xml:space="preserve"> gas stoves?</w:t>
      </w:r>
      <w:r w:rsidR="72471948" w:rsidRPr="470E5D75">
        <w:rPr>
          <w:rFonts w:eastAsiaTheme="minorEastAsia"/>
          <w:b/>
          <w:bCs/>
          <w:color w:val="000000" w:themeColor="text1"/>
          <w:sz w:val="24"/>
          <w:szCs w:val="24"/>
        </w:rPr>
        <w:t>”</w:t>
      </w:r>
    </w:p>
    <w:p w14:paraId="61DABC47" w14:textId="38B41B7A" w:rsidR="00E431BD" w:rsidRDefault="00E431BD" w:rsidP="009B6DFD">
      <w:pPr>
        <w:ind w:left="720" w:hanging="720"/>
        <w:rPr>
          <w:rFonts w:eastAsiaTheme="minorEastAsia"/>
          <w:color w:val="000000" w:themeColor="text1"/>
          <w:sz w:val="24"/>
          <w:szCs w:val="24"/>
        </w:rPr>
      </w:pPr>
      <w:r w:rsidRPr="00E431BD">
        <w:rPr>
          <w:rFonts w:eastAsiaTheme="minorEastAsia"/>
          <w:color w:val="000000" w:themeColor="text1"/>
          <w:sz w:val="24"/>
          <w:szCs w:val="24"/>
        </w:rPr>
        <w:lastRenderedPageBreak/>
        <w:t>A1</w:t>
      </w:r>
      <w:r w:rsidR="00E7232E">
        <w:rPr>
          <w:rFonts w:eastAsiaTheme="minorEastAsia"/>
          <w:color w:val="000000" w:themeColor="text1"/>
          <w:sz w:val="24"/>
          <w:szCs w:val="24"/>
        </w:rPr>
        <w:t>7b</w:t>
      </w:r>
      <w:r w:rsidRPr="00E431BD">
        <w:rPr>
          <w:rFonts w:eastAsiaTheme="minorEastAsia"/>
          <w:color w:val="000000" w:themeColor="text1"/>
          <w:sz w:val="24"/>
          <w:szCs w:val="24"/>
        </w:rPr>
        <w:t>:</w:t>
      </w:r>
      <w:r w:rsidRPr="00E431BD">
        <w:rPr>
          <w:rFonts w:eastAsiaTheme="minorEastAsia"/>
          <w:color w:val="000000" w:themeColor="text1"/>
          <w:sz w:val="24"/>
          <w:szCs w:val="24"/>
        </w:rPr>
        <w:tab/>
      </w:r>
      <w:r w:rsidR="00E7232E">
        <w:rPr>
          <w:rFonts w:eastAsiaTheme="minorEastAsia"/>
          <w:color w:val="000000" w:themeColor="text1"/>
          <w:sz w:val="24"/>
          <w:szCs w:val="24"/>
        </w:rPr>
        <w:t xml:space="preserve">The </w:t>
      </w:r>
      <w:proofErr w:type="gramStart"/>
      <w:r w:rsidR="00E7232E">
        <w:rPr>
          <w:rFonts w:eastAsiaTheme="minorEastAsia"/>
          <w:color w:val="000000" w:themeColor="text1"/>
          <w:sz w:val="24"/>
          <w:szCs w:val="24"/>
        </w:rPr>
        <w:t>main focus</w:t>
      </w:r>
      <w:proofErr w:type="gramEnd"/>
      <w:r w:rsidR="00E7232E">
        <w:rPr>
          <w:rFonts w:eastAsiaTheme="minorEastAsia"/>
          <w:color w:val="000000" w:themeColor="text1"/>
          <w:sz w:val="24"/>
          <w:szCs w:val="24"/>
        </w:rPr>
        <w:t xml:space="preserve"> is understanding exposures to pollutants from </w:t>
      </w:r>
      <w:r w:rsidR="00013E20">
        <w:rPr>
          <w:rFonts w:eastAsiaTheme="minorEastAsia"/>
          <w:color w:val="000000" w:themeColor="text1"/>
          <w:sz w:val="24"/>
          <w:szCs w:val="24"/>
        </w:rPr>
        <w:t>residential cooking in multifamily homes in California</w:t>
      </w:r>
      <w:r w:rsidR="00E7232E">
        <w:rPr>
          <w:rFonts w:eastAsiaTheme="minorEastAsia"/>
          <w:color w:val="000000" w:themeColor="text1"/>
          <w:sz w:val="24"/>
          <w:szCs w:val="24"/>
        </w:rPr>
        <w:t xml:space="preserve">. </w:t>
      </w:r>
      <w:r w:rsidR="00057A46" w:rsidRPr="00057A46">
        <w:rPr>
          <w:rFonts w:eastAsiaTheme="minorEastAsia"/>
          <w:color w:val="000000" w:themeColor="text1"/>
          <w:sz w:val="24"/>
          <w:szCs w:val="24"/>
        </w:rPr>
        <w:t xml:space="preserve">Please see the GFO manual section I.C. for </w:t>
      </w:r>
      <w:r w:rsidR="00057A46">
        <w:rPr>
          <w:rFonts w:eastAsiaTheme="minorEastAsia"/>
          <w:color w:val="000000" w:themeColor="text1"/>
          <w:sz w:val="24"/>
          <w:szCs w:val="24"/>
        </w:rPr>
        <w:t xml:space="preserve">project focus and </w:t>
      </w:r>
      <w:r w:rsidR="00057A46" w:rsidRPr="00057A46">
        <w:rPr>
          <w:rFonts w:eastAsiaTheme="minorEastAsia"/>
          <w:color w:val="000000" w:themeColor="text1"/>
          <w:sz w:val="24"/>
          <w:szCs w:val="24"/>
        </w:rPr>
        <w:t>minimum requirements.</w:t>
      </w:r>
    </w:p>
    <w:p w14:paraId="0EB8AFDC" w14:textId="77777777" w:rsidR="00F44D4E" w:rsidRPr="00E431BD" w:rsidRDefault="00F44D4E" w:rsidP="009B6DFD">
      <w:pPr>
        <w:ind w:left="720" w:hanging="720"/>
        <w:rPr>
          <w:rFonts w:eastAsiaTheme="minorEastAsia"/>
          <w:color w:val="000000" w:themeColor="text1"/>
          <w:sz w:val="24"/>
          <w:szCs w:val="24"/>
        </w:rPr>
      </w:pPr>
    </w:p>
    <w:p w14:paraId="66C812EB" w14:textId="52635CAF" w:rsidR="003E2ABA" w:rsidRPr="003E2ABA" w:rsidRDefault="00AC7966" w:rsidP="003E2ABA">
      <w:pPr>
        <w:ind w:left="720" w:hanging="720"/>
        <w:rPr>
          <w:rFonts w:eastAsiaTheme="minorEastAsia"/>
          <w:b/>
          <w:bCs/>
          <w:color w:val="000000" w:themeColor="text1"/>
          <w:sz w:val="24"/>
          <w:szCs w:val="24"/>
        </w:rPr>
      </w:pPr>
      <w:r>
        <w:rPr>
          <w:rFonts w:eastAsiaTheme="minorEastAsia"/>
          <w:b/>
          <w:bCs/>
          <w:color w:val="000000" w:themeColor="text1"/>
          <w:sz w:val="24"/>
          <w:szCs w:val="24"/>
        </w:rPr>
        <w:t>Q</w:t>
      </w:r>
      <w:r w:rsidR="000A0875">
        <w:rPr>
          <w:rFonts w:eastAsiaTheme="minorEastAsia"/>
          <w:b/>
          <w:bCs/>
          <w:color w:val="000000" w:themeColor="text1"/>
          <w:sz w:val="24"/>
          <w:szCs w:val="24"/>
        </w:rPr>
        <w:t>1</w:t>
      </w:r>
      <w:r w:rsidR="00E7232E">
        <w:rPr>
          <w:rFonts w:eastAsiaTheme="minorEastAsia"/>
          <w:b/>
          <w:bCs/>
          <w:color w:val="000000" w:themeColor="text1"/>
          <w:sz w:val="24"/>
          <w:szCs w:val="24"/>
        </w:rPr>
        <w:t>8</w:t>
      </w:r>
      <w:r>
        <w:rPr>
          <w:rFonts w:eastAsiaTheme="minorEastAsia"/>
          <w:b/>
          <w:bCs/>
          <w:color w:val="000000" w:themeColor="text1"/>
          <w:sz w:val="24"/>
          <w:szCs w:val="24"/>
        </w:rPr>
        <w:t>:</w:t>
      </w:r>
      <w:r>
        <w:rPr>
          <w:rFonts w:eastAsiaTheme="minorEastAsia"/>
          <w:b/>
          <w:bCs/>
          <w:color w:val="000000" w:themeColor="text1"/>
          <w:sz w:val="24"/>
          <w:szCs w:val="24"/>
        </w:rPr>
        <w:tab/>
      </w:r>
      <w:r w:rsidRPr="00AC7966">
        <w:rPr>
          <w:rFonts w:eastAsiaTheme="minorEastAsia"/>
          <w:b/>
          <w:bCs/>
          <w:color w:val="000000" w:themeColor="text1"/>
          <w:sz w:val="24"/>
          <w:szCs w:val="24"/>
        </w:rPr>
        <w:t xml:space="preserve">I am a little confused about the alignment between the funding source (CEC gas funds) vs. the additional focus on electric cooking. Can you please </w:t>
      </w:r>
      <w:r w:rsidRPr="00E431BD">
        <w:rPr>
          <w:rFonts w:eastAsiaTheme="minorEastAsia"/>
          <w:b/>
          <w:bCs/>
          <w:color w:val="000000" w:themeColor="text1"/>
          <w:sz w:val="24"/>
          <w:szCs w:val="24"/>
        </w:rPr>
        <w:t>comment?</w:t>
      </w:r>
    </w:p>
    <w:p w14:paraId="3D6D565F" w14:textId="5275439C" w:rsidR="00E431BD" w:rsidRPr="00E431BD" w:rsidRDefault="00E431BD" w:rsidP="470E5D75">
      <w:pPr>
        <w:ind w:left="720" w:hanging="720"/>
        <w:rPr>
          <w:rFonts w:eastAsiaTheme="minorEastAsia"/>
          <w:color w:val="000000" w:themeColor="text1"/>
          <w:sz w:val="24"/>
          <w:szCs w:val="24"/>
        </w:rPr>
      </w:pPr>
      <w:r w:rsidRPr="470E5D75">
        <w:rPr>
          <w:rFonts w:eastAsiaTheme="minorEastAsia"/>
          <w:color w:val="000000" w:themeColor="text1"/>
          <w:sz w:val="24"/>
          <w:szCs w:val="24"/>
        </w:rPr>
        <w:t>A</w:t>
      </w:r>
      <w:r w:rsidR="000A0875" w:rsidRPr="470E5D75">
        <w:rPr>
          <w:rFonts w:eastAsiaTheme="minorEastAsia"/>
          <w:color w:val="000000" w:themeColor="text1"/>
          <w:sz w:val="24"/>
          <w:szCs w:val="24"/>
        </w:rPr>
        <w:t>1</w:t>
      </w:r>
      <w:r w:rsidR="00E7232E" w:rsidRPr="470E5D75">
        <w:rPr>
          <w:rFonts w:eastAsiaTheme="minorEastAsia"/>
          <w:color w:val="000000" w:themeColor="text1"/>
          <w:sz w:val="24"/>
          <w:szCs w:val="24"/>
        </w:rPr>
        <w:t>8</w:t>
      </w:r>
      <w:r w:rsidRPr="470E5D75">
        <w:rPr>
          <w:rFonts w:eastAsiaTheme="minorEastAsia"/>
          <w:color w:val="000000" w:themeColor="text1"/>
          <w:sz w:val="24"/>
          <w:szCs w:val="24"/>
        </w:rPr>
        <w:t>:</w:t>
      </w:r>
      <w:r>
        <w:tab/>
      </w:r>
      <w:r w:rsidR="002C737A" w:rsidRPr="470E5D75">
        <w:rPr>
          <w:rFonts w:eastAsiaTheme="minorEastAsia"/>
          <w:color w:val="000000" w:themeColor="text1"/>
          <w:sz w:val="24"/>
          <w:szCs w:val="24"/>
        </w:rPr>
        <w:t>This research directly addresses CPUC’s direction in Resolution G-3571 (p. 15) to support research to</w:t>
      </w:r>
      <w:r w:rsidR="2EDC8338" w:rsidRPr="470E5D75">
        <w:rPr>
          <w:rFonts w:eastAsiaTheme="minorEastAsia"/>
          <w:color w:val="000000" w:themeColor="text1"/>
          <w:sz w:val="24"/>
          <w:szCs w:val="24"/>
        </w:rPr>
        <w:t>,</w:t>
      </w:r>
      <w:r w:rsidR="002C737A" w:rsidRPr="470E5D75">
        <w:rPr>
          <w:rFonts w:eastAsiaTheme="minorEastAsia"/>
          <w:color w:val="000000" w:themeColor="text1"/>
          <w:sz w:val="24"/>
          <w:szCs w:val="24"/>
        </w:rPr>
        <w:t xml:space="preserve"> “Quantify and document impacts to indoor air quality from natural gas appliances and the potential technically feasible improvements and potential risks to indoor air quality that could be achieved from fuel blending or electrification.”</w:t>
      </w:r>
      <w:r w:rsidR="00D57B59" w:rsidRPr="470E5D75">
        <w:rPr>
          <w:rFonts w:eastAsiaTheme="minorEastAsia"/>
          <w:color w:val="000000" w:themeColor="text1"/>
          <w:sz w:val="24"/>
          <w:szCs w:val="24"/>
        </w:rPr>
        <w:t xml:space="preserve"> The GFO responds to the 2021-2022 California Energy Commission’s Gas Research &amp; Development (Gas R&amp;D) Budget Plan research initiative “Quantify Exposures to Indoor Air Pollutants in Multifamily Homes that Cook with Gas or Alternatives</w:t>
      </w:r>
      <w:r w:rsidR="4CB7354B" w:rsidRPr="470E5D75">
        <w:rPr>
          <w:rFonts w:eastAsiaTheme="minorEastAsia"/>
          <w:color w:val="000000" w:themeColor="text1"/>
          <w:sz w:val="24"/>
          <w:szCs w:val="24"/>
        </w:rPr>
        <w:t>.</w:t>
      </w:r>
      <w:r w:rsidR="00D57B59" w:rsidRPr="470E5D75">
        <w:rPr>
          <w:rFonts w:eastAsiaTheme="minorEastAsia"/>
          <w:color w:val="000000" w:themeColor="text1"/>
          <w:sz w:val="24"/>
          <w:szCs w:val="24"/>
        </w:rPr>
        <w:t>”</w:t>
      </w:r>
    </w:p>
    <w:p w14:paraId="2F48FBFD" w14:textId="77777777" w:rsidR="007609F1" w:rsidRDefault="007609F1" w:rsidP="009B6DFD">
      <w:pPr>
        <w:ind w:left="720" w:hanging="720"/>
        <w:rPr>
          <w:rFonts w:eastAsiaTheme="minorEastAsia"/>
          <w:b/>
          <w:bCs/>
          <w:color w:val="000000" w:themeColor="text1"/>
          <w:sz w:val="24"/>
          <w:szCs w:val="24"/>
        </w:rPr>
      </w:pPr>
    </w:p>
    <w:p w14:paraId="0E8654B4" w14:textId="77777777" w:rsidR="00E431BD" w:rsidRPr="009B6DFD" w:rsidRDefault="00E431BD" w:rsidP="00E431BD">
      <w:pPr>
        <w:ind w:left="720"/>
        <w:rPr>
          <w:rFonts w:eastAsiaTheme="minorEastAsia"/>
          <w:b/>
          <w:bCs/>
          <w:color w:val="000000" w:themeColor="text1"/>
          <w:sz w:val="24"/>
          <w:szCs w:val="24"/>
        </w:rPr>
      </w:pPr>
    </w:p>
    <w:p w14:paraId="3DF82132" w14:textId="77777777" w:rsidR="00D377EA" w:rsidRDefault="00D377EA" w:rsidP="00D377EA">
      <w:pPr>
        <w:ind w:left="360"/>
        <w:rPr>
          <w:rFonts w:eastAsiaTheme="minorEastAsia"/>
          <w:b/>
          <w:bCs/>
          <w:color w:val="000000" w:themeColor="text1"/>
          <w:sz w:val="24"/>
          <w:szCs w:val="24"/>
        </w:rPr>
      </w:pPr>
    </w:p>
    <w:p w14:paraId="6F1448FF" w14:textId="0AE4C7E2" w:rsidR="00D377EA" w:rsidRPr="00227CE1" w:rsidRDefault="00D377EA" w:rsidP="00227CE1">
      <w:pPr>
        <w:rPr>
          <w:b/>
          <w:bCs/>
        </w:rPr>
      </w:pPr>
    </w:p>
    <w:sectPr w:rsidR="00D377EA" w:rsidRPr="00227C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F78A" w14:textId="77777777" w:rsidR="00305498" w:rsidRDefault="00305498" w:rsidP="00D07669">
      <w:pPr>
        <w:spacing w:after="0"/>
      </w:pPr>
      <w:r>
        <w:separator/>
      </w:r>
    </w:p>
  </w:endnote>
  <w:endnote w:type="continuationSeparator" w:id="0">
    <w:p w14:paraId="02B030F4" w14:textId="77777777" w:rsidR="00305498" w:rsidRDefault="00305498" w:rsidP="00D07669">
      <w:pPr>
        <w:spacing w:after="0"/>
      </w:pPr>
      <w:r>
        <w:continuationSeparator/>
      </w:r>
    </w:p>
  </w:endnote>
  <w:endnote w:type="continuationNotice" w:id="1">
    <w:p w14:paraId="4C674DFA" w14:textId="77777777" w:rsidR="00305498" w:rsidRDefault="003054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82583"/>
      <w:docPartObj>
        <w:docPartGallery w:val="Page Numbers (Bottom of Page)"/>
        <w:docPartUnique/>
      </w:docPartObj>
    </w:sdtPr>
    <w:sdtContent>
      <w:sdt>
        <w:sdtPr>
          <w:id w:val="1728636285"/>
          <w:docPartObj>
            <w:docPartGallery w:val="Page Numbers (Top of Page)"/>
            <w:docPartUnique/>
          </w:docPartObj>
        </w:sdtPr>
        <w:sdtContent>
          <w:p w14:paraId="4AEF320A" w14:textId="36EE0597" w:rsidR="00D07669" w:rsidRDefault="00D076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389B07" w14:textId="77777777" w:rsidR="00D07669" w:rsidRDefault="00D07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E999" w14:textId="77777777" w:rsidR="00305498" w:rsidRDefault="00305498" w:rsidP="00D07669">
      <w:pPr>
        <w:spacing w:after="0"/>
      </w:pPr>
      <w:r>
        <w:separator/>
      </w:r>
    </w:p>
  </w:footnote>
  <w:footnote w:type="continuationSeparator" w:id="0">
    <w:p w14:paraId="2C87F231" w14:textId="77777777" w:rsidR="00305498" w:rsidRDefault="00305498" w:rsidP="00D07669">
      <w:pPr>
        <w:spacing w:after="0"/>
      </w:pPr>
      <w:r>
        <w:continuationSeparator/>
      </w:r>
    </w:p>
  </w:footnote>
  <w:footnote w:type="continuationNotice" w:id="1">
    <w:p w14:paraId="4ED2A62B" w14:textId="77777777" w:rsidR="00305498" w:rsidRDefault="003054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8A2"/>
    <w:multiLevelType w:val="hybridMultilevel"/>
    <w:tmpl w:val="CBA0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80F29"/>
    <w:multiLevelType w:val="hybridMultilevel"/>
    <w:tmpl w:val="A0F44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A1F93"/>
    <w:multiLevelType w:val="hybridMultilevel"/>
    <w:tmpl w:val="CE3A2A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D6F4104"/>
    <w:multiLevelType w:val="hybridMultilevel"/>
    <w:tmpl w:val="013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72AC3"/>
    <w:multiLevelType w:val="hybridMultilevel"/>
    <w:tmpl w:val="92BE0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56243D"/>
    <w:multiLevelType w:val="hybridMultilevel"/>
    <w:tmpl w:val="EC5E7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4336FA"/>
    <w:multiLevelType w:val="hybridMultilevel"/>
    <w:tmpl w:val="E864E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6113886">
    <w:abstractNumId w:val="5"/>
  </w:num>
  <w:num w:numId="2" w16cid:durableId="560485348">
    <w:abstractNumId w:val="2"/>
  </w:num>
  <w:num w:numId="3" w16cid:durableId="1895852840">
    <w:abstractNumId w:val="3"/>
  </w:num>
  <w:num w:numId="4" w16cid:durableId="34696149">
    <w:abstractNumId w:val="0"/>
  </w:num>
  <w:num w:numId="5" w16cid:durableId="1858807629">
    <w:abstractNumId w:val="6"/>
  </w:num>
  <w:num w:numId="6" w16cid:durableId="81609750">
    <w:abstractNumId w:val="4"/>
  </w:num>
  <w:num w:numId="7" w16cid:durableId="95513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0"/>
    <w:rsid w:val="00013E20"/>
    <w:rsid w:val="00027E23"/>
    <w:rsid w:val="00030B45"/>
    <w:rsid w:val="000337CC"/>
    <w:rsid w:val="00036729"/>
    <w:rsid w:val="00057A46"/>
    <w:rsid w:val="0006624A"/>
    <w:rsid w:val="0007324D"/>
    <w:rsid w:val="0007733A"/>
    <w:rsid w:val="00083D33"/>
    <w:rsid w:val="00086563"/>
    <w:rsid w:val="00094CF7"/>
    <w:rsid w:val="00096EBA"/>
    <w:rsid w:val="000A0875"/>
    <w:rsid w:val="000B77F1"/>
    <w:rsid w:val="00100CD7"/>
    <w:rsid w:val="001065BF"/>
    <w:rsid w:val="00107266"/>
    <w:rsid w:val="0011157F"/>
    <w:rsid w:val="001208BB"/>
    <w:rsid w:val="001371AB"/>
    <w:rsid w:val="00146B43"/>
    <w:rsid w:val="001616C7"/>
    <w:rsid w:val="00173392"/>
    <w:rsid w:val="001950D8"/>
    <w:rsid w:val="001A6FFE"/>
    <w:rsid w:val="001B3373"/>
    <w:rsid w:val="001C2161"/>
    <w:rsid w:val="001C63F1"/>
    <w:rsid w:val="001D3423"/>
    <w:rsid w:val="001E32D4"/>
    <w:rsid w:val="001E35ED"/>
    <w:rsid w:val="001E7E6E"/>
    <w:rsid w:val="001F1D4A"/>
    <w:rsid w:val="001F36D0"/>
    <w:rsid w:val="001F616F"/>
    <w:rsid w:val="001F7D30"/>
    <w:rsid w:val="00200312"/>
    <w:rsid w:val="00203F2F"/>
    <w:rsid w:val="00222E8B"/>
    <w:rsid w:val="00227CE1"/>
    <w:rsid w:val="0023262C"/>
    <w:rsid w:val="00243AD8"/>
    <w:rsid w:val="0025755E"/>
    <w:rsid w:val="0026183C"/>
    <w:rsid w:val="0026786E"/>
    <w:rsid w:val="0029016E"/>
    <w:rsid w:val="002A0068"/>
    <w:rsid w:val="002B55CF"/>
    <w:rsid w:val="002C737A"/>
    <w:rsid w:val="002D350E"/>
    <w:rsid w:val="002D63DF"/>
    <w:rsid w:val="002F2311"/>
    <w:rsid w:val="002F3B54"/>
    <w:rsid w:val="002F4124"/>
    <w:rsid w:val="002F7219"/>
    <w:rsid w:val="002F79C7"/>
    <w:rsid w:val="00305498"/>
    <w:rsid w:val="0032762C"/>
    <w:rsid w:val="00332006"/>
    <w:rsid w:val="00354158"/>
    <w:rsid w:val="003629E5"/>
    <w:rsid w:val="00363D0C"/>
    <w:rsid w:val="00382F05"/>
    <w:rsid w:val="0039002C"/>
    <w:rsid w:val="00391674"/>
    <w:rsid w:val="00397EEE"/>
    <w:rsid w:val="003A47CC"/>
    <w:rsid w:val="003B5BA9"/>
    <w:rsid w:val="003D385F"/>
    <w:rsid w:val="003D662A"/>
    <w:rsid w:val="003E2ABA"/>
    <w:rsid w:val="003E52A3"/>
    <w:rsid w:val="003F40F9"/>
    <w:rsid w:val="00400AAA"/>
    <w:rsid w:val="004076D3"/>
    <w:rsid w:val="00410A75"/>
    <w:rsid w:val="00415C7C"/>
    <w:rsid w:val="0042159A"/>
    <w:rsid w:val="0043421A"/>
    <w:rsid w:val="00435F4E"/>
    <w:rsid w:val="00437F93"/>
    <w:rsid w:val="00443E56"/>
    <w:rsid w:val="004461FB"/>
    <w:rsid w:val="004520DE"/>
    <w:rsid w:val="00454733"/>
    <w:rsid w:val="0045485E"/>
    <w:rsid w:val="004617CB"/>
    <w:rsid w:val="00466DB6"/>
    <w:rsid w:val="00482121"/>
    <w:rsid w:val="00484CDE"/>
    <w:rsid w:val="00491166"/>
    <w:rsid w:val="004925F5"/>
    <w:rsid w:val="00495EE5"/>
    <w:rsid w:val="004A0F0A"/>
    <w:rsid w:val="004A1739"/>
    <w:rsid w:val="004A2A51"/>
    <w:rsid w:val="004D3991"/>
    <w:rsid w:val="004D401A"/>
    <w:rsid w:val="004D6FDA"/>
    <w:rsid w:val="004F1763"/>
    <w:rsid w:val="004F396F"/>
    <w:rsid w:val="004F56DA"/>
    <w:rsid w:val="00502F0B"/>
    <w:rsid w:val="005139CF"/>
    <w:rsid w:val="005210FD"/>
    <w:rsid w:val="00535309"/>
    <w:rsid w:val="0054273E"/>
    <w:rsid w:val="005511B8"/>
    <w:rsid w:val="00556509"/>
    <w:rsid w:val="00557760"/>
    <w:rsid w:val="00560936"/>
    <w:rsid w:val="0056456B"/>
    <w:rsid w:val="00572727"/>
    <w:rsid w:val="00575FB3"/>
    <w:rsid w:val="00576015"/>
    <w:rsid w:val="00587017"/>
    <w:rsid w:val="005943F6"/>
    <w:rsid w:val="005C0CCE"/>
    <w:rsid w:val="005C295A"/>
    <w:rsid w:val="005C5F9D"/>
    <w:rsid w:val="005E2483"/>
    <w:rsid w:val="005E489F"/>
    <w:rsid w:val="005F3853"/>
    <w:rsid w:val="005F78B0"/>
    <w:rsid w:val="0060008F"/>
    <w:rsid w:val="0060110F"/>
    <w:rsid w:val="00605EEE"/>
    <w:rsid w:val="00623154"/>
    <w:rsid w:val="00632123"/>
    <w:rsid w:val="00644BAD"/>
    <w:rsid w:val="00652542"/>
    <w:rsid w:val="0066459F"/>
    <w:rsid w:val="00667A38"/>
    <w:rsid w:val="006702FA"/>
    <w:rsid w:val="0067795F"/>
    <w:rsid w:val="006A3B7A"/>
    <w:rsid w:val="006B4709"/>
    <w:rsid w:val="006D5BCA"/>
    <w:rsid w:val="006E08E3"/>
    <w:rsid w:val="006E1758"/>
    <w:rsid w:val="006E6FE1"/>
    <w:rsid w:val="006F46B6"/>
    <w:rsid w:val="00707790"/>
    <w:rsid w:val="00740499"/>
    <w:rsid w:val="00743A45"/>
    <w:rsid w:val="007609F1"/>
    <w:rsid w:val="00762BE0"/>
    <w:rsid w:val="00795F50"/>
    <w:rsid w:val="007C70E5"/>
    <w:rsid w:val="007E31C5"/>
    <w:rsid w:val="007E62A1"/>
    <w:rsid w:val="007E7F9C"/>
    <w:rsid w:val="007F0DB4"/>
    <w:rsid w:val="007F2707"/>
    <w:rsid w:val="007F4317"/>
    <w:rsid w:val="007F6F26"/>
    <w:rsid w:val="00842E7C"/>
    <w:rsid w:val="00872341"/>
    <w:rsid w:val="00880819"/>
    <w:rsid w:val="00895887"/>
    <w:rsid w:val="008A0D6B"/>
    <w:rsid w:val="008A1FBF"/>
    <w:rsid w:val="008B6435"/>
    <w:rsid w:val="008B6F0F"/>
    <w:rsid w:val="008C0718"/>
    <w:rsid w:val="008D1081"/>
    <w:rsid w:val="008E6722"/>
    <w:rsid w:val="0090213D"/>
    <w:rsid w:val="009215A6"/>
    <w:rsid w:val="0098BBDC"/>
    <w:rsid w:val="009B6DFD"/>
    <w:rsid w:val="009C02D2"/>
    <w:rsid w:val="009E0DA8"/>
    <w:rsid w:val="00A14CEC"/>
    <w:rsid w:val="00A24447"/>
    <w:rsid w:val="00A37437"/>
    <w:rsid w:val="00A37CA5"/>
    <w:rsid w:val="00A50D3F"/>
    <w:rsid w:val="00A75EDF"/>
    <w:rsid w:val="00A814FC"/>
    <w:rsid w:val="00A850C6"/>
    <w:rsid w:val="00A85421"/>
    <w:rsid w:val="00AC7966"/>
    <w:rsid w:val="00AF17CE"/>
    <w:rsid w:val="00B04D01"/>
    <w:rsid w:val="00B13345"/>
    <w:rsid w:val="00B22A5B"/>
    <w:rsid w:val="00B22BB6"/>
    <w:rsid w:val="00B27275"/>
    <w:rsid w:val="00B424FC"/>
    <w:rsid w:val="00B44994"/>
    <w:rsid w:val="00B517C2"/>
    <w:rsid w:val="00B62A7B"/>
    <w:rsid w:val="00B644C7"/>
    <w:rsid w:val="00B74D1B"/>
    <w:rsid w:val="00BC25E8"/>
    <w:rsid w:val="00BD4BBB"/>
    <w:rsid w:val="00BE00C8"/>
    <w:rsid w:val="00BE7944"/>
    <w:rsid w:val="00BF3B15"/>
    <w:rsid w:val="00BF7BE9"/>
    <w:rsid w:val="00C106D4"/>
    <w:rsid w:val="00C116E3"/>
    <w:rsid w:val="00C11CBA"/>
    <w:rsid w:val="00C15169"/>
    <w:rsid w:val="00C377C3"/>
    <w:rsid w:val="00C42C28"/>
    <w:rsid w:val="00C45BDE"/>
    <w:rsid w:val="00C63F0F"/>
    <w:rsid w:val="00C654AA"/>
    <w:rsid w:val="00C91283"/>
    <w:rsid w:val="00C927CB"/>
    <w:rsid w:val="00CA119B"/>
    <w:rsid w:val="00CA3188"/>
    <w:rsid w:val="00CA3DD0"/>
    <w:rsid w:val="00CB1F8F"/>
    <w:rsid w:val="00CB2D47"/>
    <w:rsid w:val="00CB4244"/>
    <w:rsid w:val="00CC341E"/>
    <w:rsid w:val="00CC76D7"/>
    <w:rsid w:val="00CD22DE"/>
    <w:rsid w:val="00CD253A"/>
    <w:rsid w:val="00CE18DF"/>
    <w:rsid w:val="00CE2FCE"/>
    <w:rsid w:val="00CE63C2"/>
    <w:rsid w:val="00CF2996"/>
    <w:rsid w:val="00D04CF3"/>
    <w:rsid w:val="00D07669"/>
    <w:rsid w:val="00D270A8"/>
    <w:rsid w:val="00D27B82"/>
    <w:rsid w:val="00D35CC8"/>
    <w:rsid w:val="00D377EA"/>
    <w:rsid w:val="00D4237C"/>
    <w:rsid w:val="00D51FF6"/>
    <w:rsid w:val="00D57B59"/>
    <w:rsid w:val="00D645B9"/>
    <w:rsid w:val="00D654E3"/>
    <w:rsid w:val="00D726D3"/>
    <w:rsid w:val="00D771CD"/>
    <w:rsid w:val="00E01DD8"/>
    <w:rsid w:val="00E05B2F"/>
    <w:rsid w:val="00E179A2"/>
    <w:rsid w:val="00E37B30"/>
    <w:rsid w:val="00E409DB"/>
    <w:rsid w:val="00E431BD"/>
    <w:rsid w:val="00E5428D"/>
    <w:rsid w:val="00E7232E"/>
    <w:rsid w:val="00E73D25"/>
    <w:rsid w:val="00E842FE"/>
    <w:rsid w:val="00E9338A"/>
    <w:rsid w:val="00E95C9A"/>
    <w:rsid w:val="00EB4674"/>
    <w:rsid w:val="00ED0A54"/>
    <w:rsid w:val="00ED4AFB"/>
    <w:rsid w:val="00ED640C"/>
    <w:rsid w:val="00EE7F38"/>
    <w:rsid w:val="00EF0763"/>
    <w:rsid w:val="00EF0F3B"/>
    <w:rsid w:val="00F00E69"/>
    <w:rsid w:val="00F15223"/>
    <w:rsid w:val="00F16281"/>
    <w:rsid w:val="00F35722"/>
    <w:rsid w:val="00F44D4E"/>
    <w:rsid w:val="00F56538"/>
    <w:rsid w:val="00F668FA"/>
    <w:rsid w:val="00F718BB"/>
    <w:rsid w:val="00F83E8A"/>
    <w:rsid w:val="00F967D4"/>
    <w:rsid w:val="00FD1B8B"/>
    <w:rsid w:val="00FE2660"/>
    <w:rsid w:val="00FF3DAA"/>
    <w:rsid w:val="011ACE2A"/>
    <w:rsid w:val="034EF179"/>
    <w:rsid w:val="0447435F"/>
    <w:rsid w:val="061552E9"/>
    <w:rsid w:val="06D20002"/>
    <w:rsid w:val="07C8FC7E"/>
    <w:rsid w:val="0DD306F4"/>
    <w:rsid w:val="1359D6A7"/>
    <w:rsid w:val="151B4118"/>
    <w:rsid w:val="1760C0DD"/>
    <w:rsid w:val="1A434CF0"/>
    <w:rsid w:val="1ABCDB1E"/>
    <w:rsid w:val="1F78CCC1"/>
    <w:rsid w:val="20C56D0A"/>
    <w:rsid w:val="22FB4AFA"/>
    <w:rsid w:val="259B9597"/>
    <w:rsid w:val="25FF8DC5"/>
    <w:rsid w:val="2666C50A"/>
    <w:rsid w:val="29D6C149"/>
    <w:rsid w:val="2E80972A"/>
    <w:rsid w:val="2EDC8338"/>
    <w:rsid w:val="2F6DF7EB"/>
    <w:rsid w:val="31FA7B3D"/>
    <w:rsid w:val="3481CEB4"/>
    <w:rsid w:val="3562202B"/>
    <w:rsid w:val="36F04C25"/>
    <w:rsid w:val="386111A1"/>
    <w:rsid w:val="3BC13F75"/>
    <w:rsid w:val="3BC3BD48"/>
    <w:rsid w:val="3D5F8DA9"/>
    <w:rsid w:val="3E6980B2"/>
    <w:rsid w:val="4254A785"/>
    <w:rsid w:val="470E5D75"/>
    <w:rsid w:val="4885B457"/>
    <w:rsid w:val="4A45FE37"/>
    <w:rsid w:val="4C134A41"/>
    <w:rsid w:val="4CB7354B"/>
    <w:rsid w:val="4FB52F87"/>
    <w:rsid w:val="4FB5E17B"/>
    <w:rsid w:val="51E0F680"/>
    <w:rsid w:val="521771C2"/>
    <w:rsid w:val="53A233CE"/>
    <w:rsid w:val="5B124318"/>
    <w:rsid w:val="5C43A6EC"/>
    <w:rsid w:val="5CAE1379"/>
    <w:rsid w:val="5E4CAD76"/>
    <w:rsid w:val="66575415"/>
    <w:rsid w:val="6746A2E1"/>
    <w:rsid w:val="67B60A4E"/>
    <w:rsid w:val="6D290723"/>
    <w:rsid w:val="6ECEEB64"/>
    <w:rsid w:val="6EF5E743"/>
    <w:rsid w:val="709F606E"/>
    <w:rsid w:val="72471948"/>
    <w:rsid w:val="731BE4FC"/>
    <w:rsid w:val="7645D324"/>
    <w:rsid w:val="7704F877"/>
    <w:rsid w:val="7F01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103C"/>
  <w15:chartTrackingRefBased/>
  <w15:docId w15:val="{AFA1991C-CDF4-42CE-BE65-FECFF0F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33"/>
    <w:pPr>
      <w:spacing w:after="120" w:line="240" w:lineRule="auto"/>
    </w:pPr>
    <w:rPr>
      <w:rFonts w:ascii="Arial" w:eastAsia="Times New Roman" w:hAnsi="Arial" w:cs="Arial"/>
      <w:kern w:val="0"/>
      <w:szCs w:val="20"/>
      <w14:ligatures w14:val="none"/>
    </w:rPr>
  </w:style>
  <w:style w:type="paragraph" w:styleId="Heading1">
    <w:name w:val="heading 1"/>
    <w:basedOn w:val="Normal"/>
    <w:next w:val="Normal"/>
    <w:link w:val="Heading1Char"/>
    <w:uiPriority w:val="9"/>
    <w:qFormat/>
    <w:rsid w:val="00BF3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9016E"/>
  </w:style>
  <w:style w:type="paragraph" w:styleId="NoSpacing">
    <w:name w:val="No Spacing"/>
    <w:uiPriority w:val="1"/>
    <w:qFormat/>
    <w:rsid w:val="0029016E"/>
    <w:pPr>
      <w:spacing w:after="0" w:line="240" w:lineRule="auto"/>
    </w:pPr>
    <w:rPr>
      <w:kern w:val="0"/>
      <w14:ligatures w14:val="none"/>
    </w:rPr>
  </w:style>
  <w:style w:type="paragraph" w:styleId="ListParagraph">
    <w:name w:val="List Paragraph"/>
    <w:basedOn w:val="Normal"/>
    <w:uiPriority w:val="34"/>
    <w:qFormat/>
    <w:rsid w:val="00D377EA"/>
    <w:pPr>
      <w:ind w:left="720"/>
      <w:contextualSpacing/>
    </w:pPr>
  </w:style>
  <w:style w:type="paragraph" w:styleId="Header">
    <w:name w:val="header"/>
    <w:basedOn w:val="Normal"/>
    <w:link w:val="HeaderChar"/>
    <w:uiPriority w:val="99"/>
    <w:unhideWhenUsed/>
    <w:rsid w:val="00D07669"/>
    <w:pPr>
      <w:tabs>
        <w:tab w:val="center" w:pos="4680"/>
        <w:tab w:val="right" w:pos="9360"/>
      </w:tabs>
      <w:spacing w:after="0"/>
    </w:pPr>
  </w:style>
  <w:style w:type="character" w:customStyle="1" w:styleId="HeaderChar">
    <w:name w:val="Header Char"/>
    <w:basedOn w:val="DefaultParagraphFont"/>
    <w:link w:val="Header"/>
    <w:uiPriority w:val="99"/>
    <w:rsid w:val="00D07669"/>
    <w:rPr>
      <w:rFonts w:ascii="Arial" w:eastAsia="Times New Roman" w:hAnsi="Arial" w:cs="Arial"/>
      <w:kern w:val="0"/>
      <w:szCs w:val="20"/>
      <w14:ligatures w14:val="none"/>
    </w:rPr>
  </w:style>
  <w:style w:type="paragraph" w:styleId="Footer">
    <w:name w:val="footer"/>
    <w:basedOn w:val="Normal"/>
    <w:link w:val="FooterChar"/>
    <w:uiPriority w:val="99"/>
    <w:unhideWhenUsed/>
    <w:rsid w:val="00D07669"/>
    <w:pPr>
      <w:tabs>
        <w:tab w:val="center" w:pos="4680"/>
        <w:tab w:val="right" w:pos="9360"/>
      </w:tabs>
      <w:spacing w:after="0"/>
    </w:pPr>
  </w:style>
  <w:style w:type="character" w:customStyle="1" w:styleId="FooterChar">
    <w:name w:val="Footer Char"/>
    <w:basedOn w:val="DefaultParagraphFont"/>
    <w:link w:val="Footer"/>
    <w:uiPriority w:val="99"/>
    <w:rsid w:val="00D07669"/>
    <w:rPr>
      <w:rFonts w:ascii="Arial" w:eastAsia="Times New Roman" w:hAnsi="Arial" w:cs="Arial"/>
      <w:kern w:val="0"/>
      <w:szCs w:val="20"/>
      <w14:ligatures w14:val="none"/>
    </w:rPr>
  </w:style>
  <w:style w:type="character" w:styleId="Hyperlink">
    <w:name w:val="Hyperlink"/>
    <w:basedOn w:val="DefaultParagraphFont"/>
    <w:uiPriority w:val="99"/>
    <w:unhideWhenUsed/>
    <w:rsid w:val="00EF0F3B"/>
    <w:rPr>
      <w:color w:val="0563C1" w:themeColor="hyperlink"/>
      <w:u w:val="single"/>
    </w:rPr>
  </w:style>
  <w:style w:type="character" w:styleId="UnresolvedMention">
    <w:name w:val="Unresolved Mention"/>
    <w:basedOn w:val="DefaultParagraphFont"/>
    <w:uiPriority w:val="99"/>
    <w:semiHidden/>
    <w:unhideWhenUsed/>
    <w:rsid w:val="00EF0F3B"/>
    <w:rPr>
      <w:color w:val="605E5C"/>
      <w:shd w:val="clear" w:color="auto" w:fill="E1DFDD"/>
    </w:rPr>
  </w:style>
  <w:style w:type="paragraph" w:styleId="Revision">
    <w:name w:val="Revision"/>
    <w:hidden/>
    <w:uiPriority w:val="99"/>
    <w:semiHidden/>
    <w:rsid w:val="00E9338A"/>
    <w:pPr>
      <w:spacing w:after="0" w:line="240" w:lineRule="auto"/>
    </w:pPr>
    <w:rPr>
      <w:rFonts w:ascii="Arial" w:eastAsia="Times New Roman" w:hAnsi="Arial" w:cs="Arial"/>
      <w:kern w:val="0"/>
      <w:szCs w:val="20"/>
      <w14:ligatures w14:val="none"/>
    </w:rPr>
  </w:style>
  <w:style w:type="character" w:styleId="CommentReference">
    <w:name w:val="annotation reference"/>
    <w:basedOn w:val="DefaultParagraphFont"/>
    <w:uiPriority w:val="99"/>
    <w:semiHidden/>
    <w:unhideWhenUsed/>
    <w:rsid w:val="007F0DB4"/>
    <w:rPr>
      <w:sz w:val="16"/>
      <w:szCs w:val="16"/>
    </w:rPr>
  </w:style>
  <w:style w:type="paragraph" w:styleId="CommentText">
    <w:name w:val="annotation text"/>
    <w:basedOn w:val="Normal"/>
    <w:link w:val="CommentTextChar"/>
    <w:uiPriority w:val="99"/>
    <w:unhideWhenUsed/>
    <w:rsid w:val="007F0DB4"/>
    <w:rPr>
      <w:sz w:val="20"/>
    </w:rPr>
  </w:style>
  <w:style w:type="character" w:customStyle="1" w:styleId="CommentTextChar">
    <w:name w:val="Comment Text Char"/>
    <w:basedOn w:val="DefaultParagraphFont"/>
    <w:link w:val="CommentText"/>
    <w:uiPriority w:val="99"/>
    <w:rsid w:val="007F0DB4"/>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0DB4"/>
    <w:rPr>
      <w:b/>
      <w:bCs/>
    </w:rPr>
  </w:style>
  <w:style w:type="character" w:customStyle="1" w:styleId="CommentSubjectChar">
    <w:name w:val="Comment Subject Char"/>
    <w:basedOn w:val="CommentTextChar"/>
    <w:link w:val="CommentSubject"/>
    <w:uiPriority w:val="99"/>
    <w:semiHidden/>
    <w:rsid w:val="007F0DB4"/>
    <w:rPr>
      <w:rFonts w:ascii="Arial" w:eastAsia="Times New Roman" w:hAnsi="Arial" w:cs="Arial"/>
      <w:b/>
      <w:bCs/>
      <w:kern w:val="0"/>
      <w:sz w:val="20"/>
      <w:szCs w:val="20"/>
      <w14:ligatures w14:val="none"/>
    </w:rPr>
  </w:style>
  <w:style w:type="character" w:styleId="Mention">
    <w:name w:val="Mention"/>
    <w:basedOn w:val="DefaultParagraphFont"/>
    <w:uiPriority w:val="99"/>
    <w:unhideWhenUsed/>
    <w:rsid w:val="00CD22DE"/>
    <w:rPr>
      <w:color w:val="2B579A"/>
      <w:shd w:val="clear" w:color="auto" w:fill="E1DFDD"/>
    </w:rPr>
  </w:style>
  <w:style w:type="character" w:customStyle="1" w:styleId="Heading1Char">
    <w:name w:val="Heading 1 Char"/>
    <w:basedOn w:val="DefaultParagraphFont"/>
    <w:link w:val="Heading1"/>
    <w:uiPriority w:val="9"/>
    <w:rsid w:val="00BF3B1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funding-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44DA14069043448427473F588D0031"/>
        <w:category>
          <w:name w:val="General"/>
          <w:gallery w:val="placeholder"/>
        </w:category>
        <w:types>
          <w:type w:val="bbPlcHdr"/>
        </w:types>
        <w:behaviors>
          <w:behavior w:val="content"/>
        </w:behaviors>
        <w:guid w:val="{4D4A9F4B-0424-4D2D-B809-7D5953EEA4C9}"/>
      </w:docPartPr>
      <w:docPartBody>
        <w:p w:rsidR="00030184" w:rsidRDefault="000301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93"/>
    <w:rsid w:val="00030184"/>
    <w:rsid w:val="00224D1D"/>
    <w:rsid w:val="006328AF"/>
    <w:rsid w:val="008F2DA9"/>
    <w:rsid w:val="0097115B"/>
    <w:rsid w:val="00E2198D"/>
    <w:rsid w:val="00F8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94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b:Source>
    <b:Tag>ASH23</b:Tag>
    <b:SourceType>InternetSite</b:SourceType>
    <b:Guid>{BD6B4C7D-8D60-4947-B37F-7329318DD5EB}</b:Guid>
    <b:Author>
      <b:Author>
        <b:Corporate>ASHRAE</b:Corporate>
      </b:Author>
    </b:Author>
    <b:Title>ASHRAE Standards 62.1 and 62.2</b:Title>
    <b:Year>2023</b:Year>
    <b:YearAccessed>2023</b:YearAccessed>
    <b:MonthAccessed>June</b:MonthAccessed>
    <b:DayAccessed>29</b:DayAccessed>
    <b:URL>https://www.ashrae.org/technical-resources/bookstore/standards-62-1-62-2</b:URL>
    <b:RefOrder>10</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7DEFC-0D24-456B-AA30-734AE95941A9}">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29D6EE2C-2784-417B-815F-70BE901BCF3A}">
  <ds:schemaRefs>
    <ds:schemaRef ds:uri="http://schemas.openxmlformats.org/officeDocument/2006/bibliography"/>
  </ds:schemaRefs>
</ds:datastoreItem>
</file>

<file path=customXml/itemProps3.xml><?xml version="1.0" encoding="utf-8"?>
<ds:datastoreItem xmlns:ds="http://schemas.openxmlformats.org/officeDocument/2006/customXml" ds:itemID="{6276380A-3567-4017-ABDF-42EDD272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2FC7C-B494-4F6B-8E83-FCA5A188E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 Maninder@Energy</dc:creator>
  <cp:keywords/>
  <dc:description/>
  <cp:lastModifiedBy>Kidd, Kevin@Energy</cp:lastModifiedBy>
  <cp:revision>3</cp:revision>
  <dcterms:created xsi:type="dcterms:W3CDTF">2023-12-23T08:07:00Z</dcterms:created>
  <dcterms:modified xsi:type="dcterms:W3CDTF">2023-12-26T17:38:00Z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