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BEBA" w14:textId="77777777" w:rsidR="00472D2F" w:rsidRPr="00A62F65" w:rsidRDefault="00472D2F" w:rsidP="00B4351B">
      <w:pPr>
        <w:spacing w:after="0" w:line="240" w:lineRule="auto"/>
        <w:ind w:left="720" w:hanging="720"/>
        <w:jc w:val="center"/>
        <w:rPr>
          <w:rFonts w:ascii="Tahoma" w:hAnsi="Tahoma" w:cs="Tahoma"/>
          <w:b/>
          <w:sz w:val="24"/>
          <w:szCs w:val="24"/>
        </w:rPr>
      </w:pPr>
      <w:r w:rsidRPr="00A62F65">
        <w:rPr>
          <w:rFonts w:ascii="Tahoma" w:hAnsi="Tahoma" w:cs="Tahoma"/>
          <w:b/>
          <w:sz w:val="24"/>
          <w:szCs w:val="24"/>
        </w:rPr>
        <w:t>Questions and Answers</w:t>
      </w:r>
    </w:p>
    <w:p w14:paraId="4C8E25DB" w14:textId="77777777" w:rsidR="00A23A13" w:rsidRDefault="009767FC" w:rsidP="00B4351B">
      <w:pPr>
        <w:spacing w:after="0" w:line="240" w:lineRule="auto"/>
        <w:ind w:left="720" w:hanging="720"/>
        <w:jc w:val="center"/>
        <w:rPr>
          <w:rFonts w:ascii="Tahoma" w:hAnsi="Tahoma" w:cs="Tahoma"/>
          <w:b/>
          <w:sz w:val="24"/>
          <w:szCs w:val="24"/>
        </w:rPr>
      </w:pPr>
      <w:r w:rsidRPr="009767FC">
        <w:rPr>
          <w:rFonts w:ascii="Tahoma" w:hAnsi="Tahoma" w:cs="Tahoma"/>
          <w:b/>
          <w:sz w:val="24"/>
          <w:szCs w:val="24"/>
        </w:rPr>
        <w:t xml:space="preserve">Improvements in Maintenance Processes for Reliable Operations that are Verifiable and Effective for Hydrogen Refueling Stations </w:t>
      </w:r>
    </w:p>
    <w:p w14:paraId="2008D358" w14:textId="19577E1F" w:rsidR="00472D2F" w:rsidRPr="00A62F65" w:rsidRDefault="009767FC" w:rsidP="00B4351B">
      <w:pPr>
        <w:spacing w:after="0" w:line="240" w:lineRule="auto"/>
        <w:ind w:left="720" w:hanging="720"/>
        <w:jc w:val="center"/>
        <w:rPr>
          <w:rFonts w:ascii="Tahoma" w:hAnsi="Tahoma" w:cs="Tahoma"/>
          <w:b/>
          <w:sz w:val="24"/>
          <w:szCs w:val="24"/>
        </w:rPr>
      </w:pPr>
      <w:r w:rsidRPr="009767FC">
        <w:rPr>
          <w:rFonts w:ascii="Tahoma" w:hAnsi="Tahoma" w:cs="Tahoma"/>
          <w:b/>
          <w:sz w:val="24"/>
          <w:szCs w:val="24"/>
        </w:rPr>
        <w:t>(IMPROVE for H2)</w:t>
      </w:r>
    </w:p>
    <w:p w14:paraId="0DA08E6B" w14:textId="77777777" w:rsidR="00472D2F" w:rsidRDefault="00320494" w:rsidP="00B4351B">
      <w:pPr>
        <w:spacing w:after="0" w:line="240" w:lineRule="auto"/>
        <w:ind w:left="720" w:hanging="720"/>
        <w:jc w:val="center"/>
        <w:rPr>
          <w:rFonts w:ascii="Tahoma" w:hAnsi="Tahoma" w:cs="Tahoma"/>
          <w:b/>
          <w:sz w:val="24"/>
          <w:szCs w:val="24"/>
        </w:rPr>
      </w:pPr>
      <w:r w:rsidRPr="00A62F65">
        <w:rPr>
          <w:rFonts w:ascii="Tahoma" w:hAnsi="Tahoma" w:cs="Tahoma"/>
          <w:b/>
          <w:sz w:val="24"/>
          <w:szCs w:val="24"/>
        </w:rPr>
        <w:t>GFO</w:t>
      </w:r>
      <w:r w:rsidR="00B4351B" w:rsidRPr="00A62F65">
        <w:rPr>
          <w:rFonts w:ascii="Tahoma" w:hAnsi="Tahoma" w:cs="Tahoma"/>
          <w:b/>
          <w:sz w:val="24"/>
          <w:szCs w:val="24"/>
        </w:rPr>
        <w:t>-</w:t>
      </w:r>
      <w:r w:rsidR="009767FC">
        <w:rPr>
          <w:rFonts w:ascii="Tahoma" w:hAnsi="Tahoma" w:cs="Tahoma"/>
          <w:b/>
          <w:sz w:val="24"/>
          <w:szCs w:val="24"/>
        </w:rPr>
        <w:t>23</w:t>
      </w:r>
      <w:r w:rsidR="00B4351B" w:rsidRPr="00A62F65">
        <w:rPr>
          <w:rFonts w:ascii="Tahoma" w:hAnsi="Tahoma" w:cs="Tahoma"/>
          <w:b/>
          <w:sz w:val="24"/>
          <w:szCs w:val="24"/>
        </w:rPr>
        <w:t>-</w:t>
      </w:r>
      <w:r w:rsidR="009767FC">
        <w:rPr>
          <w:rFonts w:ascii="Tahoma" w:hAnsi="Tahoma" w:cs="Tahoma"/>
          <w:b/>
          <w:sz w:val="24"/>
          <w:szCs w:val="24"/>
        </w:rPr>
        <w:t>604</w:t>
      </w:r>
    </w:p>
    <w:p w14:paraId="6384623B" w14:textId="3F1944D4" w:rsidR="00A62F65" w:rsidRPr="00A62F65" w:rsidRDefault="009767FC" w:rsidP="00B4351B">
      <w:pPr>
        <w:spacing w:after="0" w:line="240" w:lineRule="auto"/>
        <w:ind w:left="720" w:hanging="720"/>
        <w:jc w:val="center"/>
        <w:rPr>
          <w:rFonts w:ascii="Tahoma" w:hAnsi="Tahoma" w:cs="Tahoma"/>
          <w:b/>
          <w:sz w:val="24"/>
          <w:szCs w:val="24"/>
        </w:rPr>
      </w:pPr>
      <w:r>
        <w:rPr>
          <w:rFonts w:ascii="Tahoma" w:hAnsi="Tahoma" w:cs="Tahoma"/>
          <w:b/>
          <w:sz w:val="24"/>
          <w:szCs w:val="24"/>
        </w:rPr>
        <w:t xml:space="preserve">December </w:t>
      </w:r>
      <w:r w:rsidR="006B3260">
        <w:rPr>
          <w:rFonts w:ascii="Tahoma" w:hAnsi="Tahoma" w:cs="Tahoma"/>
          <w:b/>
          <w:sz w:val="24"/>
          <w:szCs w:val="24"/>
        </w:rPr>
        <w:t>15</w:t>
      </w:r>
      <w:r>
        <w:rPr>
          <w:rFonts w:ascii="Tahoma" w:hAnsi="Tahoma" w:cs="Tahoma"/>
          <w:b/>
          <w:sz w:val="24"/>
          <w:szCs w:val="24"/>
        </w:rPr>
        <w:t>, 2023</w:t>
      </w:r>
    </w:p>
    <w:p w14:paraId="68B95696" w14:textId="77777777" w:rsidR="00472D2F" w:rsidRDefault="00472D2F" w:rsidP="00B4351B">
      <w:pPr>
        <w:spacing w:after="0" w:line="240" w:lineRule="auto"/>
        <w:ind w:left="720" w:hanging="720"/>
      </w:pPr>
    </w:p>
    <w:p w14:paraId="293B9A93" w14:textId="77777777" w:rsidR="00B4351B" w:rsidRDefault="00B4351B" w:rsidP="00B4351B">
      <w:pPr>
        <w:spacing w:after="0" w:line="240" w:lineRule="auto"/>
        <w:ind w:left="720" w:hanging="720"/>
      </w:pPr>
    </w:p>
    <w:p w14:paraId="6EA5CA53" w14:textId="78E404D4" w:rsidR="00A62F65" w:rsidRDefault="00A62F65" w:rsidP="00A62F65">
      <w:pPr>
        <w:spacing w:after="0" w:line="240" w:lineRule="auto"/>
        <w:rPr>
          <w:rFonts w:ascii="Tahoma" w:hAnsi="Tahoma" w:cs="Tahoma"/>
          <w:sz w:val="24"/>
          <w:szCs w:val="24"/>
        </w:rPr>
      </w:pPr>
      <w:r w:rsidRPr="00547B20">
        <w:rPr>
          <w:rFonts w:ascii="Tahoma" w:hAnsi="Tahoma" w:cs="Tahoma"/>
          <w:sz w:val="24"/>
          <w:szCs w:val="24"/>
        </w:rPr>
        <w:t>The following answers are based on California Energy Commission (CEC) staff’s interpretation of the questions received. It is the Applicant’s 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2DBB7B46" w14:textId="77777777" w:rsidR="00E2210F" w:rsidRDefault="00E2210F" w:rsidP="00A62F65">
      <w:pPr>
        <w:spacing w:after="0" w:line="240" w:lineRule="auto"/>
        <w:rPr>
          <w:rFonts w:ascii="Tahoma" w:hAnsi="Tahoma" w:cs="Tahoma"/>
          <w:sz w:val="24"/>
          <w:szCs w:val="24"/>
        </w:rPr>
      </w:pPr>
    </w:p>
    <w:p w14:paraId="252BEDB6" w14:textId="024209CB" w:rsidR="00E2210F" w:rsidRDefault="00E2210F" w:rsidP="00A62F65">
      <w:pPr>
        <w:spacing w:after="0" w:line="240" w:lineRule="auto"/>
        <w:rPr>
          <w:rFonts w:ascii="Tahoma" w:hAnsi="Tahoma" w:cs="Tahoma"/>
          <w:sz w:val="24"/>
          <w:szCs w:val="24"/>
        </w:rPr>
      </w:pPr>
      <w:r>
        <w:rPr>
          <w:rFonts w:ascii="Tahoma" w:hAnsi="Tahoma" w:cs="Tahoma"/>
          <w:sz w:val="24"/>
          <w:szCs w:val="24"/>
        </w:rPr>
        <w:t xml:space="preserve">Unless indicated otherwise, all section numbers identified below are from the solicitation manual (for example, “Section II.B” refers to Section II.B of the solicitation manual). </w:t>
      </w:r>
    </w:p>
    <w:p w14:paraId="694FB295" w14:textId="77777777" w:rsidR="00A62F65" w:rsidRDefault="00A62F65" w:rsidP="00A62F65">
      <w:pPr>
        <w:spacing w:after="0" w:line="240" w:lineRule="auto"/>
        <w:rPr>
          <w:highlight w:val="yellow"/>
        </w:rPr>
      </w:pPr>
    </w:p>
    <w:p w14:paraId="3182F5A4" w14:textId="77777777" w:rsidR="00472D2F" w:rsidRPr="003147DF" w:rsidRDefault="009767FC" w:rsidP="00B4351B">
      <w:pPr>
        <w:spacing w:after="0" w:line="240" w:lineRule="auto"/>
        <w:ind w:left="720" w:hanging="720"/>
        <w:rPr>
          <w:rFonts w:ascii="Tahoma" w:hAnsi="Tahoma" w:cs="Tahoma"/>
          <w:b/>
          <w:bCs/>
          <w:i/>
          <w:iCs/>
          <w:sz w:val="24"/>
          <w:szCs w:val="24"/>
          <w:u w:val="single"/>
        </w:rPr>
      </w:pPr>
      <w:r w:rsidRPr="003147DF">
        <w:rPr>
          <w:rFonts w:ascii="Tahoma" w:hAnsi="Tahoma" w:cs="Tahoma"/>
          <w:b/>
          <w:bCs/>
          <w:i/>
          <w:iCs/>
          <w:sz w:val="24"/>
          <w:szCs w:val="24"/>
          <w:u w:val="single"/>
        </w:rPr>
        <w:t>Eligibility Requirements</w:t>
      </w:r>
    </w:p>
    <w:p w14:paraId="0816638E" w14:textId="77777777" w:rsidR="00B4351B" w:rsidRPr="00A62F65" w:rsidRDefault="00B4351B" w:rsidP="00B4351B">
      <w:pPr>
        <w:spacing w:after="0" w:line="240" w:lineRule="auto"/>
        <w:ind w:left="720" w:hanging="720"/>
        <w:rPr>
          <w:rFonts w:ascii="Tahoma" w:hAnsi="Tahoma" w:cs="Tahoma"/>
          <w:sz w:val="24"/>
          <w:szCs w:val="24"/>
        </w:rPr>
      </w:pPr>
    </w:p>
    <w:p w14:paraId="5DF6034B" w14:textId="62295B9F" w:rsidR="00472D2F" w:rsidRPr="00A62F65" w:rsidRDefault="00472D2F" w:rsidP="00B4351B">
      <w:pPr>
        <w:spacing w:after="0" w:line="240" w:lineRule="auto"/>
        <w:ind w:left="720" w:hanging="720"/>
        <w:rPr>
          <w:rFonts w:ascii="Tahoma" w:hAnsi="Tahoma" w:cs="Tahoma"/>
          <w:b/>
          <w:sz w:val="24"/>
          <w:szCs w:val="24"/>
        </w:rPr>
      </w:pPr>
      <w:r w:rsidRPr="00A62F65">
        <w:rPr>
          <w:rFonts w:ascii="Tahoma" w:hAnsi="Tahoma" w:cs="Tahoma"/>
          <w:b/>
          <w:sz w:val="24"/>
          <w:szCs w:val="24"/>
        </w:rPr>
        <w:t>Q1</w:t>
      </w:r>
      <w:r w:rsidR="00A62F65">
        <w:rPr>
          <w:rFonts w:ascii="Tahoma" w:hAnsi="Tahoma" w:cs="Tahoma"/>
          <w:b/>
          <w:sz w:val="24"/>
          <w:szCs w:val="24"/>
        </w:rPr>
        <w:t>.</w:t>
      </w:r>
      <w:r>
        <w:tab/>
      </w:r>
      <w:r w:rsidR="00C218FC">
        <w:rPr>
          <w:rFonts w:ascii="Tahoma" w:hAnsi="Tahoma" w:cs="Tahoma"/>
          <w:b/>
          <w:sz w:val="24"/>
          <w:szCs w:val="24"/>
        </w:rPr>
        <w:t xml:space="preserve">The Cal State LA station </w:t>
      </w:r>
      <w:r w:rsidR="003D7E9B">
        <w:rPr>
          <w:rFonts w:ascii="Tahoma" w:hAnsi="Tahoma" w:cs="Tahoma"/>
          <w:b/>
          <w:sz w:val="24"/>
          <w:szCs w:val="24"/>
        </w:rPr>
        <w:t xml:space="preserve">has been </w:t>
      </w:r>
      <w:r w:rsidR="00C218FC">
        <w:rPr>
          <w:rFonts w:ascii="Tahoma" w:hAnsi="Tahoma" w:cs="Tahoma"/>
          <w:b/>
          <w:sz w:val="24"/>
          <w:szCs w:val="24"/>
        </w:rPr>
        <w:t>removed from the Hydrogen Fuel Cell Partnership’s Station Operational Status System (SOSS) until the repair is done</w:t>
      </w:r>
      <w:r w:rsidR="00C218FC" w:rsidRPr="00C218FC">
        <w:rPr>
          <w:rFonts w:ascii="Tahoma" w:hAnsi="Tahoma" w:cs="Tahoma"/>
          <w:b/>
          <w:sz w:val="24"/>
          <w:szCs w:val="24"/>
        </w:rPr>
        <w:t>.</w:t>
      </w:r>
      <w:r w:rsidR="009767FC" w:rsidRPr="00C218FC">
        <w:rPr>
          <w:rFonts w:ascii="Tahoma" w:hAnsi="Tahoma" w:cs="Tahoma"/>
          <w:b/>
          <w:sz w:val="24"/>
          <w:szCs w:val="24"/>
        </w:rPr>
        <w:t xml:space="preserve"> </w:t>
      </w:r>
      <w:r w:rsidR="00C218FC" w:rsidRPr="00C218FC">
        <w:rPr>
          <w:rFonts w:ascii="Tahoma" w:hAnsi="Tahoma" w:cs="Tahoma"/>
          <w:b/>
          <w:sz w:val="24"/>
          <w:szCs w:val="24"/>
        </w:rPr>
        <w:t>H</w:t>
      </w:r>
      <w:r w:rsidR="009767FC" w:rsidRPr="00C218FC">
        <w:rPr>
          <w:rFonts w:ascii="Tahoma" w:hAnsi="Tahoma" w:cs="Tahoma"/>
          <w:b/>
          <w:sz w:val="24"/>
          <w:szCs w:val="24"/>
        </w:rPr>
        <w:t xml:space="preserve">ow can we address the </w:t>
      </w:r>
      <w:r w:rsidR="009E53A8" w:rsidRPr="00C218FC">
        <w:rPr>
          <w:rFonts w:ascii="Tahoma" w:hAnsi="Tahoma" w:cs="Tahoma"/>
          <w:b/>
          <w:sz w:val="24"/>
          <w:szCs w:val="24"/>
        </w:rPr>
        <w:t>printout</w:t>
      </w:r>
      <w:r w:rsidR="00C218FC" w:rsidRPr="00C218FC">
        <w:rPr>
          <w:rFonts w:ascii="Tahoma" w:hAnsi="Tahoma" w:cs="Tahoma"/>
          <w:b/>
          <w:sz w:val="24"/>
          <w:szCs w:val="24"/>
        </w:rPr>
        <w:t xml:space="preserve"> of SOSS since we removed it until the O&amp;M repair is completed</w:t>
      </w:r>
      <w:r w:rsidR="009767FC" w:rsidRPr="00C218FC">
        <w:rPr>
          <w:rFonts w:ascii="Tahoma" w:hAnsi="Tahoma" w:cs="Tahoma"/>
          <w:b/>
          <w:sz w:val="24"/>
          <w:szCs w:val="24"/>
        </w:rPr>
        <w:t>?</w:t>
      </w:r>
    </w:p>
    <w:p w14:paraId="41E943BD" w14:textId="77777777" w:rsidR="00B4351B" w:rsidRPr="00A62F65" w:rsidRDefault="00B4351B" w:rsidP="00B4351B">
      <w:pPr>
        <w:spacing w:after="0" w:line="240" w:lineRule="auto"/>
        <w:ind w:left="720" w:hanging="720"/>
        <w:rPr>
          <w:rFonts w:ascii="Tahoma" w:hAnsi="Tahoma" w:cs="Tahoma"/>
          <w:sz w:val="24"/>
          <w:szCs w:val="24"/>
        </w:rPr>
      </w:pPr>
    </w:p>
    <w:p w14:paraId="1758D60F" w14:textId="3EE98746" w:rsidR="00007918" w:rsidRDefault="00472D2F" w:rsidP="00B4351B">
      <w:pPr>
        <w:spacing w:after="0" w:line="240" w:lineRule="auto"/>
        <w:ind w:left="720" w:hanging="720"/>
        <w:rPr>
          <w:rFonts w:ascii="Tahoma" w:hAnsi="Tahoma" w:cs="Tahoma"/>
          <w:sz w:val="24"/>
          <w:szCs w:val="24"/>
        </w:rPr>
      </w:pPr>
      <w:r w:rsidRPr="1E7A943D">
        <w:rPr>
          <w:rFonts w:ascii="Tahoma" w:hAnsi="Tahoma" w:cs="Tahoma"/>
          <w:sz w:val="24"/>
          <w:szCs w:val="24"/>
        </w:rPr>
        <w:t>A1</w:t>
      </w:r>
      <w:r w:rsidR="00A62F65" w:rsidRPr="1E7A943D">
        <w:rPr>
          <w:rFonts w:ascii="Tahoma" w:hAnsi="Tahoma" w:cs="Tahoma"/>
          <w:sz w:val="24"/>
          <w:szCs w:val="24"/>
        </w:rPr>
        <w:t>.</w:t>
      </w:r>
      <w:r>
        <w:tab/>
      </w:r>
      <w:r w:rsidR="00C218FC" w:rsidRPr="1E7A943D">
        <w:rPr>
          <w:rFonts w:ascii="Tahoma" w:hAnsi="Tahoma" w:cs="Tahoma"/>
          <w:sz w:val="24"/>
          <w:szCs w:val="24"/>
        </w:rPr>
        <w:t>Per</w:t>
      </w:r>
      <w:r w:rsidR="00C218FC" w:rsidRPr="1E7A943D" w:rsidDel="0040625D">
        <w:rPr>
          <w:rFonts w:ascii="Tahoma" w:hAnsi="Tahoma" w:cs="Tahoma"/>
          <w:sz w:val="24"/>
          <w:szCs w:val="24"/>
        </w:rPr>
        <w:t xml:space="preserve"> </w:t>
      </w:r>
      <w:r w:rsidR="0040625D">
        <w:rPr>
          <w:rFonts w:ascii="Tahoma" w:hAnsi="Tahoma" w:cs="Tahoma"/>
          <w:sz w:val="24"/>
          <w:szCs w:val="24"/>
        </w:rPr>
        <w:t>Section II.B,</w:t>
      </w:r>
      <w:r w:rsidR="0040625D" w:rsidRPr="1E7A943D">
        <w:rPr>
          <w:rFonts w:ascii="Tahoma" w:hAnsi="Tahoma" w:cs="Tahoma"/>
          <w:sz w:val="24"/>
          <w:szCs w:val="24"/>
        </w:rPr>
        <w:t xml:space="preserve"> </w:t>
      </w:r>
      <w:r w:rsidR="00C218FC" w:rsidRPr="1E7A943D">
        <w:rPr>
          <w:rFonts w:ascii="Tahoma" w:hAnsi="Tahoma" w:cs="Tahoma"/>
          <w:sz w:val="24"/>
          <w:szCs w:val="24"/>
        </w:rPr>
        <w:t xml:space="preserve">Project Requirements of the solicitation manual, an eligible hydrogen refueling station is a hydrogen refueling station listed as “Retail: Open” or “Retail: Unavailable,” on the </w:t>
      </w:r>
      <w:hyperlink r:id="rId10">
        <w:r w:rsidR="00C218FC" w:rsidRPr="1E7A943D">
          <w:rPr>
            <w:rStyle w:val="Hyperlink"/>
            <w:rFonts w:ascii="Tahoma" w:hAnsi="Tahoma" w:cs="Tahoma"/>
            <w:sz w:val="24"/>
            <w:szCs w:val="24"/>
          </w:rPr>
          <w:t>Hydrogen Fuel Cell Partnership Station Map</w:t>
        </w:r>
      </w:hyperlink>
      <w:r w:rsidR="00C218FC" w:rsidRPr="1E7A943D">
        <w:rPr>
          <w:rFonts w:ascii="Tahoma" w:hAnsi="Tahoma" w:cs="Tahoma"/>
          <w:sz w:val="24"/>
          <w:szCs w:val="24"/>
        </w:rPr>
        <w:t xml:space="preserve"> at https://h2fcp.org/stationmap at the time of application submittal.</w:t>
      </w:r>
      <w:r w:rsidRPr="1E7A943D">
        <w:rPr>
          <w:rFonts w:ascii="Tahoma" w:hAnsi="Tahoma" w:cs="Tahoma"/>
          <w:sz w:val="24"/>
          <w:szCs w:val="24"/>
        </w:rPr>
        <w:t xml:space="preserve"> </w:t>
      </w:r>
    </w:p>
    <w:p w14:paraId="58E0F26C" w14:textId="77777777" w:rsidR="00007918" w:rsidRDefault="00007918" w:rsidP="00B4351B">
      <w:pPr>
        <w:spacing w:after="0" w:line="240" w:lineRule="auto"/>
        <w:ind w:left="720" w:hanging="720"/>
        <w:rPr>
          <w:rFonts w:ascii="Tahoma" w:hAnsi="Tahoma" w:cs="Tahoma"/>
          <w:sz w:val="24"/>
          <w:szCs w:val="24"/>
        </w:rPr>
      </w:pPr>
    </w:p>
    <w:p w14:paraId="0AD7848D" w14:textId="54BD2BB7" w:rsidR="007D6E45" w:rsidRPr="00A62F65" w:rsidRDefault="00C218FC" w:rsidP="0245FBA0">
      <w:pPr>
        <w:spacing w:after="0" w:line="240" w:lineRule="auto"/>
        <w:ind w:left="720"/>
        <w:rPr>
          <w:rFonts w:ascii="Tahoma" w:hAnsi="Tahoma" w:cs="Tahoma"/>
          <w:sz w:val="24"/>
          <w:szCs w:val="24"/>
        </w:rPr>
      </w:pPr>
      <w:r w:rsidRPr="57CE2C2C">
        <w:rPr>
          <w:rFonts w:ascii="Tahoma" w:hAnsi="Tahoma" w:cs="Tahoma"/>
          <w:sz w:val="24"/>
          <w:szCs w:val="24"/>
        </w:rPr>
        <w:t>At the time of this Questions and Answers document</w:t>
      </w:r>
      <w:r w:rsidR="6A3CB803" w:rsidRPr="57CE2C2C">
        <w:rPr>
          <w:rFonts w:ascii="Tahoma" w:hAnsi="Tahoma" w:cs="Tahoma"/>
          <w:sz w:val="24"/>
          <w:szCs w:val="24"/>
        </w:rPr>
        <w:t>’s</w:t>
      </w:r>
      <w:r w:rsidRPr="57CE2C2C">
        <w:rPr>
          <w:rFonts w:ascii="Tahoma" w:hAnsi="Tahoma" w:cs="Tahoma"/>
          <w:sz w:val="24"/>
          <w:szCs w:val="24"/>
        </w:rPr>
        <w:t xml:space="preserve"> publi</w:t>
      </w:r>
      <w:r w:rsidR="0986BC75" w:rsidRPr="57CE2C2C">
        <w:rPr>
          <w:rFonts w:ascii="Tahoma" w:hAnsi="Tahoma" w:cs="Tahoma"/>
          <w:sz w:val="24"/>
          <w:szCs w:val="24"/>
        </w:rPr>
        <w:t>cation</w:t>
      </w:r>
      <w:r w:rsidRPr="57CE2C2C">
        <w:rPr>
          <w:rFonts w:ascii="Tahoma" w:hAnsi="Tahoma" w:cs="Tahoma"/>
          <w:sz w:val="24"/>
          <w:szCs w:val="24"/>
        </w:rPr>
        <w:t>, the Cal State LA</w:t>
      </w:r>
      <w:r w:rsidR="0058342B" w:rsidRPr="57CE2C2C">
        <w:rPr>
          <w:rFonts w:ascii="Tahoma" w:hAnsi="Tahoma" w:cs="Tahoma"/>
          <w:sz w:val="24"/>
          <w:szCs w:val="24"/>
        </w:rPr>
        <w:t xml:space="preserve"> station</w:t>
      </w:r>
      <w:r w:rsidRPr="57CE2C2C">
        <w:rPr>
          <w:rFonts w:ascii="Tahoma" w:hAnsi="Tahoma" w:cs="Tahoma"/>
          <w:sz w:val="24"/>
          <w:szCs w:val="24"/>
        </w:rPr>
        <w:t xml:space="preserve"> is listed as </w:t>
      </w:r>
      <w:r w:rsidR="001149F5" w:rsidRPr="57CE2C2C">
        <w:rPr>
          <w:rFonts w:ascii="Tahoma" w:hAnsi="Tahoma" w:cs="Tahoma"/>
          <w:sz w:val="24"/>
          <w:szCs w:val="24"/>
        </w:rPr>
        <w:t>“</w:t>
      </w:r>
      <w:r w:rsidRPr="57CE2C2C">
        <w:rPr>
          <w:rFonts w:ascii="Tahoma" w:hAnsi="Tahoma" w:cs="Tahoma"/>
          <w:sz w:val="24"/>
          <w:szCs w:val="24"/>
        </w:rPr>
        <w:t>Retail: Unavailable</w:t>
      </w:r>
      <w:r w:rsidR="001149F5" w:rsidRPr="57CE2C2C">
        <w:rPr>
          <w:rFonts w:ascii="Tahoma" w:hAnsi="Tahoma" w:cs="Tahoma"/>
          <w:sz w:val="24"/>
          <w:szCs w:val="24"/>
        </w:rPr>
        <w:t>”</w:t>
      </w:r>
      <w:r w:rsidRPr="57CE2C2C">
        <w:rPr>
          <w:rFonts w:ascii="Tahoma" w:hAnsi="Tahoma" w:cs="Tahoma"/>
          <w:sz w:val="24"/>
          <w:szCs w:val="24"/>
        </w:rPr>
        <w:t xml:space="preserve"> on the Hydrogen Fuel Cell Partnership Station Map.</w:t>
      </w:r>
    </w:p>
    <w:p w14:paraId="0904DCA2" w14:textId="77777777" w:rsidR="00B4351B" w:rsidRPr="00A62F65" w:rsidRDefault="00B4351B" w:rsidP="00B4351B">
      <w:pPr>
        <w:spacing w:after="0" w:line="240" w:lineRule="auto"/>
        <w:ind w:left="720" w:hanging="720"/>
        <w:rPr>
          <w:rFonts w:ascii="Tahoma" w:hAnsi="Tahoma" w:cs="Tahoma"/>
          <w:b/>
          <w:sz w:val="24"/>
          <w:szCs w:val="24"/>
        </w:rPr>
      </w:pPr>
    </w:p>
    <w:p w14:paraId="1A90EA4D" w14:textId="77777777" w:rsidR="00472D2F" w:rsidRPr="00A62F65" w:rsidRDefault="00472D2F" w:rsidP="00B4351B">
      <w:pPr>
        <w:spacing w:after="0" w:line="240" w:lineRule="auto"/>
        <w:ind w:left="720" w:hanging="720"/>
        <w:rPr>
          <w:rFonts w:ascii="Tahoma" w:hAnsi="Tahoma" w:cs="Tahoma"/>
          <w:b/>
          <w:sz w:val="24"/>
          <w:szCs w:val="24"/>
        </w:rPr>
      </w:pPr>
      <w:r w:rsidRPr="00A62F65">
        <w:rPr>
          <w:rFonts w:ascii="Tahoma" w:hAnsi="Tahoma" w:cs="Tahoma"/>
          <w:b/>
          <w:sz w:val="24"/>
          <w:szCs w:val="24"/>
        </w:rPr>
        <w:t>Q2</w:t>
      </w:r>
      <w:r w:rsidR="00A62F65">
        <w:rPr>
          <w:rFonts w:ascii="Tahoma" w:hAnsi="Tahoma" w:cs="Tahoma"/>
          <w:b/>
          <w:sz w:val="24"/>
          <w:szCs w:val="24"/>
        </w:rPr>
        <w:t>.</w:t>
      </w:r>
      <w:r w:rsidRPr="00A62F65">
        <w:rPr>
          <w:rFonts w:ascii="Tahoma" w:hAnsi="Tahoma" w:cs="Tahoma"/>
          <w:b/>
          <w:sz w:val="24"/>
          <w:szCs w:val="24"/>
        </w:rPr>
        <w:tab/>
      </w:r>
      <w:r w:rsidR="009767FC" w:rsidRPr="009767FC">
        <w:rPr>
          <w:rFonts w:ascii="Tahoma" w:hAnsi="Tahoma" w:cs="Tahoma"/>
          <w:b/>
          <w:sz w:val="24"/>
          <w:szCs w:val="24"/>
        </w:rPr>
        <w:t xml:space="preserve">Is there a preference to stations in </w:t>
      </w:r>
      <w:r w:rsidR="00C218FC">
        <w:rPr>
          <w:rFonts w:ascii="Tahoma" w:hAnsi="Tahoma" w:cs="Tahoma"/>
          <w:b/>
          <w:sz w:val="24"/>
          <w:szCs w:val="24"/>
        </w:rPr>
        <w:t>disadvantaged community</w:t>
      </w:r>
      <w:r w:rsidR="009767FC" w:rsidRPr="009767FC">
        <w:rPr>
          <w:rFonts w:ascii="Tahoma" w:hAnsi="Tahoma" w:cs="Tahoma"/>
          <w:b/>
          <w:sz w:val="24"/>
          <w:szCs w:val="24"/>
        </w:rPr>
        <w:t xml:space="preserve"> areas?</w:t>
      </w:r>
    </w:p>
    <w:p w14:paraId="44794F55" w14:textId="77777777" w:rsidR="00B4351B" w:rsidRPr="00A62F65" w:rsidRDefault="00B4351B" w:rsidP="00B4351B">
      <w:pPr>
        <w:spacing w:after="0" w:line="240" w:lineRule="auto"/>
        <w:ind w:left="720" w:hanging="720"/>
        <w:rPr>
          <w:rFonts w:ascii="Tahoma" w:hAnsi="Tahoma" w:cs="Tahoma"/>
          <w:sz w:val="24"/>
          <w:szCs w:val="24"/>
        </w:rPr>
      </w:pPr>
    </w:p>
    <w:p w14:paraId="7CE55507" w14:textId="6125CB43" w:rsidR="00472D2F" w:rsidRDefault="00472D2F" w:rsidP="00B4351B">
      <w:pPr>
        <w:spacing w:after="0" w:line="240" w:lineRule="auto"/>
        <w:ind w:left="720" w:hanging="720"/>
        <w:rPr>
          <w:rFonts w:ascii="Tahoma" w:hAnsi="Tahoma" w:cs="Tahoma"/>
          <w:sz w:val="24"/>
          <w:szCs w:val="24"/>
        </w:rPr>
      </w:pPr>
      <w:r w:rsidRPr="00A62F65">
        <w:rPr>
          <w:rFonts w:ascii="Tahoma" w:hAnsi="Tahoma" w:cs="Tahoma"/>
          <w:sz w:val="24"/>
          <w:szCs w:val="24"/>
        </w:rPr>
        <w:t>A2</w:t>
      </w:r>
      <w:r w:rsidR="00A62F65">
        <w:rPr>
          <w:rFonts w:ascii="Tahoma" w:hAnsi="Tahoma" w:cs="Tahoma"/>
          <w:sz w:val="24"/>
          <w:szCs w:val="24"/>
        </w:rPr>
        <w:t>.</w:t>
      </w:r>
      <w:r>
        <w:tab/>
      </w:r>
      <w:r w:rsidR="009B2818">
        <w:rPr>
          <w:rFonts w:ascii="Tahoma" w:hAnsi="Tahoma" w:cs="Tahoma"/>
          <w:sz w:val="24"/>
          <w:szCs w:val="24"/>
        </w:rPr>
        <w:t>There is no direct preference given to stations in disadvantaged community areas. However,</w:t>
      </w:r>
      <w:r w:rsidR="009B2818" w:rsidDel="00DD3720">
        <w:rPr>
          <w:rFonts w:ascii="Tahoma" w:hAnsi="Tahoma" w:cs="Tahoma"/>
          <w:sz w:val="24"/>
          <w:szCs w:val="24"/>
        </w:rPr>
        <w:t xml:space="preserve"> </w:t>
      </w:r>
      <w:r w:rsidR="00DD3720">
        <w:rPr>
          <w:rFonts w:ascii="Tahoma" w:hAnsi="Tahoma" w:cs="Tahoma"/>
          <w:sz w:val="24"/>
          <w:szCs w:val="24"/>
        </w:rPr>
        <w:t xml:space="preserve">applications </w:t>
      </w:r>
      <w:r w:rsidR="00345A3A">
        <w:rPr>
          <w:rFonts w:ascii="Tahoma" w:hAnsi="Tahoma" w:cs="Tahoma"/>
          <w:sz w:val="24"/>
          <w:szCs w:val="24"/>
        </w:rPr>
        <w:t xml:space="preserve">will be scored </w:t>
      </w:r>
      <w:r w:rsidR="009B2818">
        <w:rPr>
          <w:rFonts w:ascii="Tahoma" w:hAnsi="Tahoma" w:cs="Tahoma"/>
          <w:sz w:val="24"/>
          <w:szCs w:val="24"/>
        </w:rPr>
        <w:t xml:space="preserve">under the Economic and Environmental Benefits, and Sustainability evaluation criterion </w:t>
      </w:r>
      <w:r w:rsidR="00AD5722">
        <w:rPr>
          <w:rFonts w:ascii="Tahoma" w:hAnsi="Tahoma" w:cs="Tahoma"/>
          <w:sz w:val="24"/>
          <w:szCs w:val="24"/>
        </w:rPr>
        <w:t>(Section III.</w:t>
      </w:r>
      <w:r w:rsidR="0073174B">
        <w:rPr>
          <w:rFonts w:ascii="Tahoma" w:hAnsi="Tahoma" w:cs="Tahoma"/>
          <w:sz w:val="24"/>
          <w:szCs w:val="24"/>
        </w:rPr>
        <w:t>E</w:t>
      </w:r>
      <w:r w:rsidR="00AD5722">
        <w:rPr>
          <w:rFonts w:ascii="Tahoma" w:hAnsi="Tahoma" w:cs="Tahoma"/>
          <w:sz w:val="24"/>
          <w:szCs w:val="24"/>
        </w:rPr>
        <w:t>.</w:t>
      </w:r>
      <w:r w:rsidR="0073174B">
        <w:rPr>
          <w:rFonts w:ascii="Tahoma" w:hAnsi="Tahoma" w:cs="Tahoma"/>
          <w:sz w:val="24"/>
          <w:szCs w:val="24"/>
        </w:rPr>
        <w:t>3</w:t>
      </w:r>
      <w:r w:rsidR="00AD5722">
        <w:rPr>
          <w:rFonts w:ascii="Tahoma" w:hAnsi="Tahoma" w:cs="Tahoma"/>
          <w:sz w:val="24"/>
          <w:szCs w:val="24"/>
        </w:rPr>
        <w:t xml:space="preserve">) </w:t>
      </w:r>
      <w:r w:rsidR="00DD3720">
        <w:rPr>
          <w:rFonts w:ascii="Tahoma" w:hAnsi="Tahoma" w:cs="Tahoma"/>
          <w:sz w:val="24"/>
          <w:szCs w:val="24"/>
        </w:rPr>
        <w:t>on the degree to which</w:t>
      </w:r>
      <w:r w:rsidR="005A0FD3">
        <w:rPr>
          <w:rFonts w:ascii="Tahoma" w:hAnsi="Tahoma" w:cs="Tahoma"/>
          <w:sz w:val="24"/>
          <w:szCs w:val="24"/>
        </w:rPr>
        <w:t xml:space="preserve"> the project will benefit disadvantaged communities and low-income communities, and </w:t>
      </w:r>
      <w:r w:rsidR="009B2818" w:rsidRPr="009B2818">
        <w:rPr>
          <w:rFonts w:ascii="Tahoma" w:hAnsi="Tahoma" w:cs="Tahoma"/>
          <w:sz w:val="24"/>
          <w:szCs w:val="24"/>
        </w:rPr>
        <w:t>workers within those communities, in accordance with</w:t>
      </w:r>
      <w:r w:rsidR="0073174B">
        <w:rPr>
          <w:rFonts w:ascii="Tahoma" w:hAnsi="Tahoma" w:cs="Tahoma"/>
          <w:sz w:val="24"/>
          <w:szCs w:val="24"/>
        </w:rPr>
        <w:t xml:space="preserve"> the</w:t>
      </w:r>
      <w:r w:rsidR="009B2818" w:rsidRPr="009B2818">
        <w:rPr>
          <w:rFonts w:ascii="Tahoma" w:hAnsi="Tahoma" w:cs="Tahoma"/>
          <w:sz w:val="24"/>
          <w:szCs w:val="24"/>
        </w:rPr>
        <w:t xml:space="preserve"> </w:t>
      </w:r>
      <w:hyperlink r:id="rId11">
        <w:r w:rsidR="009B2818" w:rsidRPr="20A8148B">
          <w:rPr>
            <w:rStyle w:val="Hyperlink"/>
            <w:rFonts w:ascii="Tahoma" w:hAnsi="Tahoma" w:cs="Tahoma"/>
            <w:sz w:val="24"/>
            <w:szCs w:val="24"/>
          </w:rPr>
          <w:t>CalEnviroScreen Tool,</w:t>
        </w:r>
      </w:hyperlink>
      <w:r w:rsidR="009B2818" w:rsidRPr="20A8148B">
        <w:rPr>
          <w:rFonts w:ascii="Tahoma" w:hAnsi="Tahoma" w:cs="Tahoma"/>
          <w:sz w:val="24"/>
          <w:szCs w:val="24"/>
        </w:rPr>
        <w:t xml:space="preserve"> </w:t>
      </w:r>
      <w:hyperlink r:id="rId12">
        <w:r w:rsidR="009B2818" w:rsidRPr="20A8148B">
          <w:rPr>
            <w:rFonts w:ascii="Tahoma" w:hAnsi="Tahoma" w:cs="Tahoma"/>
            <w:sz w:val="24"/>
            <w:szCs w:val="24"/>
          </w:rPr>
          <w:t>https://oehha.ca.gov/calenviroscreen/report/calenviroscreen-40</w:t>
        </w:r>
      </w:hyperlink>
      <w:r w:rsidR="009B2818" w:rsidRPr="682215D2">
        <w:rPr>
          <w:rFonts w:ascii="Tahoma" w:hAnsi="Tahoma" w:cs="Tahoma"/>
          <w:sz w:val="24"/>
          <w:szCs w:val="24"/>
        </w:rPr>
        <w:t>.</w:t>
      </w:r>
    </w:p>
    <w:p w14:paraId="04FBF5FE" w14:textId="77777777" w:rsidR="009767FC" w:rsidRDefault="009767FC" w:rsidP="00B4351B">
      <w:pPr>
        <w:spacing w:after="0" w:line="240" w:lineRule="auto"/>
        <w:ind w:left="720" w:hanging="720"/>
        <w:rPr>
          <w:rFonts w:ascii="Tahoma" w:hAnsi="Tahoma" w:cs="Tahoma"/>
          <w:sz w:val="24"/>
          <w:szCs w:val="24"/>
        </w:rPr>
      </w:pPr>
    </w:p>
    <w:p w14:paraId="5118BBE8" w14:textId="77777777" w:rsidR="009767FC" w:rsidRPr="00DB1373" w:rsidRDefault="009767FC" w:rsidP="009767FC">
      <w:pPr>
        <w:spacing w:after="0" w:line="240" w:lineRule="auto"/>
        <w:ind w:left="720" w:hanging="720"/>
        <w:rPr>
          <w:rFonts w:ascii="Tahoma" w:hAnsi="Tahoma" w:cs="Tahoma"/>
          <w:b/>
          <w:sz w:val="24"/>
          <w:szCs w:val="24"/>
        </w:rPr>
      </w:pPr>
      <w:r w:rsidRPr="00DB1373">
        <w:rPr>
          <w:rFonts w:ascii="Tahoma" w:hAnsi="Tahoma" w:cs="Tahoma"/>
          <w:b/>
          <w:sz w:val="24"/>
          <w:szCs w:val="24"/>
        </w:rPr>
        <w:lastRenderedPageBreak/>
        <w:t>Q</w:t>
      </w:r>
      <w:r w:rsidR="007D6E45" w:rsidRPr="00DB1373">
        <w:rPr>
          <w:rFonts w:ascii="Tahoma" w:hAnsi="Tahoma" w:cs="Tahoma"/>
          <w:b/>
          <w:sz w:val="24"/>
          <w:szCs w:val="24"/>
        </w:rPr>
        <w:t>3</w:t>
      </w:r>
      <w:r w:rsidRPr="00DB1373">
        <w:rPr>
          <w:rFonts w:ascii="Tahoma" w:hAnsi="Tahoma" w:cs="Tahoma"/>
          <w:b/>
          <w:sz w:val="24"/>
          <w:szCs w:val="24"/>
        </w:rPr>
        <w:t>.</w:t>
      </w:r>
      <w:r w:rsidRPr="00DB1373">
        <w:rPr>
          <w:rFonts w:ascii="Tahoma" w:hAnsi="Tahoma" w:cs="Tahoma"/>
          <w:b/>
          <w:sz w:val="24"/>
          <w:szCs w:val="24"/>
        </w:rPr>
        <w:tab/>
        <w:t>There was a requirement for a commitment to 95% up time. Is that just a commitment, what happens if that is not achieved?</w:t>
      </w:r>
    </w:p>
    <w:p w14:paraId="3CED9AAF" w14:textId="77777777" w:rsidR="009767FC" w:rsidRPr="00DB1373" w:rsidRDefault="009767FC" w:rsidP="009767FC">
      <w:pPr>
        <w:spacing w:after="0" w:line="240" w:lineRule="auto"/>
        <w:ind w:left="720" w:hanging="720"/>
        <w:rPr>
          <w:rFonts w:ascii="Tahoma" w:hAnsi="Tahoma" w:cs="Tahoma"/>
          <w:sz w:val="24"/>
          <w:szCs w:val="24"/>
        </w:rPr>
      </w:pPr>
    </w:p>
    <w:p w14:paraId="6A721B6C" w14:textId="1007CB5D" w:rsidR="009767FC" w:rsidRPr="00A62F65" w:rsidRDefault="009767FC" w:rsidP="0069197C">
      <w:pPr>
        <w:spacing w:after="0" w:line="240" w:lineRule="auto"/>
        <w:ind w:left="720" w:hanging="720"/>
        <w:rPr>
          <w:rFonts w:ascii="Tahoma" w:hAnsi="Tahoma" w:cs="Tahoma"/>
          <w:sz w:val="24"/>
          <w:szCs w:val="24"/>
          <w:highlight w:val="yellow"/>
        </w:rPr>
      </w:pPr>
      <w:r w:rsidRPr="57CE2C2C">
        <w:rPr>
          <w:rFonts w:ascii="Tahoma" w:hAnsi="Tahoma" w:cs="Tahoma"/>
          <w:sz w:val="24"/>
          <w:szCs w:val="24"/>
        </w:rPr>
        <w:t>A</w:t>
      </w:r>
      <w:r w:rsidR="007D6E45" w:rsidRPr="57CE2C2C">
        <w:rPr>
          <w:rFonts w:ascii="Tahoma" w:hAnsi="Tahoma" w:cs="Tahoma"/>
          <w:sz w:val="24"/>
          <w:szCs w:val="24"/>
        </w:rPr>
        <w:t>3</w:t>
      </w:r>
      <w:r w:rsidRPr="57CE2C2C">
        <w:rPr>
          <w:rFonts w:ascii="Tahoma" w:hAnsi="Tahoma" w:cs="Tahoma"/>
          <w:sz w:val="24"/>
          <w:szCs w:val="24"/>
        </w:rPr>
        <w:t>.</w:t>
      </w:r>
      <w:r>
        <w:tab/>
      </w:r>
      <w:r w:rsidR="0069197C" w:rsidRPr="57CE2C2C">
        <w:rPr>
          <w:rFonts w:ascii="Tahoma" w:hAnsi="Tahoma" w:cs="Tahoma"/>
          <w:sz w:val="24"/>
          <w:szCs w:val="24"/>
        </w:rPr>
        <w:t xml:space="preserve">The requirement that the Recipient commit to maintain a 95% uptime will be part of the Scope of Work. The </w:t>
      </w:r>
      <w:hyperlink r:id="rId13" w:history="1">
        <w:r w:rsidR="0069197C" w:rsidRPr="57CE2C2C">
          <w:rPr>
            <w:rStyle w:val="Hyperlink"/>
            <w:rFonts w:ascii="Tahoma" w:hAnsi="Tahoma" w:cs="Tahoma"/>
            <w:sz w:val="24"/>
            <w:szCs w:val="24"/>
          </w:rPr>
          <w:t>C</w:t>
        </w:r>
        <w:r w:rsidR="004F2032" w:rsidRPr="57CE2C2C">
          <w:rPr>
            <w:rStyle w:val="Hyperlink"/>
            <w:rFonts w:ascii="Tahoma" w:hAnsi="Tahoma" w:cs="Tahoma"/>
            <w:sz w:val="24"/>
            <w:szCs w:val="24"/>
          </w:rPr>
          <w:t>lean Transportation Program</w:t>
        </w:r>
        <w:r w:rsidR="0069197C" w:rsidRPr="57CE2C2C">
          <w:rPr>
            <w:rStyle w:val="Hyperlink"/>
            <w:rFonts w:ascii="Tahoma" w:hAnsi="Tahoma" w:cs="Tahoma"/>
            <w:sz w:val="24"/>
            <w:szCs w:val="24"/>
          </w:rPr>
          <w:t xml:space="preserve"> Standard Terms and Conditions</w:t>
        </w:r>
      </w:hyperlink>
      <w:r w:rsidR="0069197C" w:rsidRPr="57CE2C2C">
        <w:rPr>
          <w:rFonts w:ascii="Tahoma" w:hAnsi="Tahoma" w:cs="Tahoma"/>
          <w:sz w:val="24"/>
          <w:szCs w:val="24"/>
        </w:rPr>
        <w:t>, https://www.energy.ca.gov/sites/default/files/2023-11/CTP_Grant_Ex_C_Standard_General_TCs_revised_11-20-23_ada.pdf, also includes a provision (section 29) for commission remedies for Recipient’s non-compliance.</w:t>
      </w:r>
      <w:r>
        <w:br/>
      </w:r>
      <w:r>
        <w:br/>
      </w:r>
      <w:r w:rsidR="00EF1564" w:rsidRPr="57CE2C2C">
        <w:rPr>
          <w:rFonts w:ascii="Tahoma" w:hAnsi="Tahoma" w:cs="Tahoma"/>
          <w:sz w:val="24"/>
          <w:szCs w:val="24"/>
        </w:rPr>
        <w:t xml:space="preserve">Each project’s Scope of Work </w:t>
      </w:r>
      <w:r w:rsidR="00B61574" w:rsidRPr="57CE2C2C">
        <w:rPr>
          <w:rFonts w:ascii="Tahoma" w:hAnsi="Tahoma" w:cs="Tahoma"/>
          <w:sz w:val="24"/>
          <w:szCs w:val="24"/>
        </w:rPr>
        <w:t xml:space="preserve">requires that awardees provide an </w:t>
      </w:r>
      <w:r w:rsidR="00B61574" w:rsidRPr="57CE2C2C">
        <w:rPr>
          <w:rFonts w:ascii="Tahoma" w:hAnsi="Tahoma" w:cs="Tahoma"/>
          <w:i/>
          <w:iCs/>
          <w:sz w:val="24"/>
          <w:szCs w:val="24"/>
        </w:rPr>
        <w:t>Operations and Reliability Plan</w:t>
      </w:r>
      <w:r w:rsidR="00B61574" w:rsidRPr="57CE2C2C">
        <w:rPr>
          <w:rFonts w:ascii="Tahoma" w:hAnsi="Tahoma" w:cs="Tahoma"/>
          <w:sz w:val="24"/>
          <w:szCs w:val="24"/>
        </w:rPr>
        <w:t xml:space="preserve"> for the project e</w:t>
      </w:r>
      <w:r w:rsidR="00511327" w:rsidRPr="57CE2C2C">
        <w:rPr>
          <w:rFonts w:ascii="Tahoma" w:hAnsi="Tahoma" w:cs="Tahoma"/>
          <w:sz w:val="24"/>
          <w:szCs w:val="24"/>
        </w:rPr>
        <w:t xml:space="preserve">xplaining </w:t>
      </w:r>
      <w:r w:rsidR="00A726D0" w:rsidRPr="57CE2C2C">
        <w:rPr>
          <w:rFonts w:ascii="Tahoma" w:hAnsi="Tahoma" w:cs="Tahoma"/>
          <w:sz w:val="24"/>
          <w:szCs w:val="24"/>
        </w:rPr>
        <w:t xml:space="preserve">how 95% uptime at each eligible </w:t>
      </w:r>
      <w:r w:rsidR="00BC16E5" w:rsidRPr="57CE2C2C">
        <w:rPr>
          <w:rFonts w:ascii="Tahoma" w:hAnsi="Tahoma" w:cs="Tahoma"/>
          <w:sz w:val="24"/>
          <w:szCs w:val="24"/>
        </w:rPr>
        <w:t xml:space="preserve">hydrogen station included in the project will be achieved. </w:t>
      </w:r>
      <w:r w:rsidR="0069197C" w:rsidRPr="57CE2C2C">
        <w:rPr>
          <w:rFonts w:ascii="Tahoma" w:hAnsi="Tahoma" w:cs="Tahoma"/>
          <w:sz w:val="24"/>
          <w:szCs w:val="24"/>
        </w:rPr>
        <w:t>Without limitation to other rights and remedies which the CEC may have, including but not limited to survival provisions specified in the Terms and Conditions of this agreement, the requirement that the Recipient commit to operating each hydrogen refueling station included in this project for four years from execution of this Agreement, as feasible, and maintain a 95% uptime, shall survive the completion or termination date of this agreement. In addition to other requirements in the Terms and Conditions of this agreement, all CEC-reimbursable expenditures must be incurred within the Agreement term.</w:t>
      </w:r>
      <w:r>
        <w:br/>
      </w:r>
    </w:p>
    <w:p w14:paraId="3692E9E9" w14:textId="77777777" w:rsidR="009767FC" w:rsidRPr="00A62F65" w:rsidRDefault="009767FC" w:rsidP="009767FC">
      <w:pPr>
        <w:spacing w:after="0" w:line="240" w:lineRule="auto"/>
        <w:ind w:left="720" w:hanging="720"/>
        <w:rPr>
          <w:rFonts w:ascii="Tahoma" w:hAnsi="Tahoma" w:cs="Tahoma"/>
          <w:b/>
          <w:sz w:val="24"/>
          <w:szCs w:val="24"/>
        </w:rPr>
      </w:pPr>
      <w:r w:rsidRPr="00A62F65">
        <w:rPr>
          <w:rFonts w:ascii="Tahoma" w:hAnsi="Tahoma" w:cs="Tahoma"/>
          <w:b/>
          <w:sz w:val="24"/>
          <w:szCs w:val="24"/>
        </w:rPr>
        <w:t>Q</w:t>
      </w:r>
      <w:r w:rsidR="007D6E45">
        <w:rPr>
          <w:rFonts w:ascii="Tahoma" w:hAnsi="Tahoma" w:cs="Tahoma"/>
          <w:b/>
          <w:sz w:val="24"/>
          <w:szCs w:val="24"/>
        </w:rPr>
        <w:t>4</w:t>
      </w:r>
      <w:r>
        <w:rPr>
          <w:rFonts w:ascii="Tahoma" w:hAnsi="Tahoma" w:cs="Tahoma"/>
          <w:b/>
          <w:sz w:val="24"/>
          <w:szCs w:val="24"/>
        </w:rPr>
        <w:t>.</w:t>
      </w:r>
      <w:r w:rsidRPr="00A62F65">
        <w:rPr>
          <w:rFonts w:ascii="Tahoma" w:hAnsi="Tahoma" w:cs="Tahoma"/>
          <w:b/>
          <w:sz w:val="24"/>
          <w:szCs w:val="24"/>
        </w:rPr>
        <w:tab/>
      </w:r>
      <w:r w:rsidRPr="009767FC">
        <w:rPr>
          <w:rFonts w:ascii="Tahoma" w:hAnsi="Tahoma" w:cs="Tahoma"/>
          <w:b/>
          <w:sz w:val="24"/>
          <w:szCs w:val="24"/>
        </w:rPr>
        <w:t xml:space="preserve">Is the 95% </w:t>
      </w:r>
      <w:r w:rsidR="00312B3C">
        <w:rPr>
          <w:rFonts w:ascii="Tahoma" w:hAnsi="Tahoma" w:cs="Tahoma"/>
          <w:b/>
          <w:sz w:val="24"/>
          <w:szCs w:val="24"/>
        </w:rPr>
        <w:t xml:space="preserve">uptime requirement </w:t>
      </w:r>
      <w:r w:rsidRPr="009767FC">
        <w:rPr>
          <w:rFonts w:ascii="Tahoma" w:hAnsi="Tahoma" w:cs="Tahoma"/>
          <w:b/>
          <w:sz w:val="24"/>
          <w:szCs w:val="24"/>
        </w:rPr>
        <w:t>per hose/nozzle or station?</w:t>
      </w:r>
    </w:p>
    <w:p w14:paraId="3D245ACC" w14:textId="77777777" w:rsidR="009767FC" w:rsidRPr="00A62F65" w:rsidRDefault="009767FC" w:rsidP="009767FC">
      <w:pPr>
        <w:spacing w:after="0" w:line="240" w:lineRule="auto"/>
        <w:ind w:left="720" w:hanging="720"/>
        <w:rPr>
          <w:rFonts w:ascii="Tahoma" w:hAnsi="Tahoma" w:cs="Tahoma"/>
          <w:sz w:val="24"/>
          <w:szCs w:val="24"/>
        </w:rPr>
      </w:pPr>
    </w:p>
    <w:p w14:paraId="36BC2511" w14:textId="77777777" w:rsidR="009767FC" w:rsidRDefault="009767FC" w:rsidP="009767FC">
      <w:pPr>
        <w:spacing w:after="0" w:line="240" w:lineRule="auto"/>
        <w:ind w:left="720" w:hanging="720"/>
        <w:rPr>
          <w:rFonts w:ascii="Tahoma" w:hAnsi="Tahoma" w:cs="Tahoma"/>
          <w:sz w:val="24"/>
          <w:szCs w:val="24"/>
        </w:rPr>
      </w:pPr>
      <w:r w:rsidRPr="00A62F65">
        <w:rPr>
          <w:rFonts w:ascii="Tahoma" w:hAnsi="Tahoma" w:cs="Tahoma"/>
          <w:sz w:val="24"/>
          <w:szCs w:val="24"/>
        </w:rPr>
        <w:t>A</w:t>
      </w:r>
      <w:r w:rsidR="007D6E45">
        <w:rPr>
          <w:rFonts w:ascii="Tahoma" w:hAnsi="Tahoma" w:cs="Tahoma"/>
          <w:sz w:val="24"/>
          <w:szCs w:val="24"/>
        </w:rPr>
        <w:t>4</w:t>
      </w:r>
      <w:r>
        <w:rPr>
          <w:rFonts w:ascii="Tahoma" w:hAnsi="Tahoma" w:cs="Tahoma"/>
          <w:sz w:val="24"/>
          <w:szCs w:val="24"/>
        </w:rPr>
        <w:t>.</w:t>
      </w:r>
      <w:r w:rsidRPr="00A62F65">
        <w:rPr>
          <w:rFonts w:ascii="Tahoma" w:hAnsi="Tahoma" w:cs="Tahoma"/>
          <w:sz w:val="24"/>
          <w:szCs w:val="24"/>
        </w:rPr>
        <w:tab/>
      </w:r>
      <w:r w:rsidR="00C218FC">
        <w:rPr>
          <w:rFonts w:ascii="Tahoma" w:hAnsi="Tahoma" w:cs="Tahoma"/>
          <w:sz w:val="24"/>
          <w:szCs w:val="24"/>
        </w:rPr>
        <w:t>The 95% uptime requirement is for a station.</w:t>
      </w:r>
      <w:r w:rsidR="00C218FC" w:rsidRPr="00C218FC">
        <w:rPr>
          <w:rFonts w:ascii="Tahoma" w:hAnsi="Tahoma" w:cs="Tahoma"/>
          <w:sz w:val="24"/>
          <w:szCs w:val="24"/>
        </w:rPr>
        <w:t xml:space="preserve"> </w:t>
      </w:r>
      <w:r w:rsidR="00C218FC">
        <w:rPr>
          <w:rFonts w:ascii="Tahoma" w:hAnsi="Tahoma" w:cs="Tahoma"/>
          <w:sz w:val="24"/>
          <w:szCs w:val="24"/>
        </w:rPr>
        <w:t xml:space="preserve">Uptime is calculated as </w:t>
      </w:r>
      <w:r w:rsidR="00C218FC" w:rsidRPr="00C218FC">
        <w:rPr>
          <w:rFonts w:ascii="Tahoma" w:hAnsi="Tahoma" w:cs="Tahoma"/>
          <w:sz w:val="24"/>
          <w:szCs w:val="24"/>
        </w:rPr>
        <w:t xml:space="preserve">a quarterly average percentage and defined as (the total hours the station is available over the quarter / the total possible hours of operation over the </w:t>
      </w:r>
      <w:r w:rsidR="009E53A8" w:rsidRPr="00C218FC">
        <w:rPr>
          <w:rFonts w:ascii="Tahoma" w:hAnsi="Tahoma" w:cs="Tahoma"/>
          <w:sz w:val="24"/>
          <w:szCs w:val="24"/>
        </w:rPr>
        <w:t>quarter)</w:t>
      </w:r>
      <w:r w:rsidR="009E53A8">
        <w:rPr>
          <w:rFonts w:ascii="Tahoma" w:hAnsi="Tahoma" w:cs="Tahoma"/>
          <w:sz w:val="24"/>
          <w:szCs w:val="24"/>
        </w:rPr>
        <w:t xml:space="preserve"> ×</w:t>
      </w:r>
      <w:r w:rsidR="00C218FC" w:rsidRPr="00C218FC">
        <w:rPr>
          <w:rFonts w:ascii="Tahoma" w:hAnsi="Tahoma" w:cs="Tahoma"/>
          <w:sz w:val="24"/>
          <w:szCs w:val="24"/>
        </w:rPr>
        <w:t>100</w:t>
      </w:r>
      <w:r w:rsidR="00C218FC">
        <w:rPr>
          <w:rFonts w:ascii="Tahoma" w:hAnsi="Tahoma" w:cs="Tahoma"/>
          <w:sz w:val="24"/>
          <w:szCs w:val="24"/>
        </w:rPr>
        <w:t>.</w:t>
      </w:r>
    </w:p>
    <w:p w14:paraId="6AE6D8A9" w14:textId="77777777" w:rsidR="009767FC" w:rsidRDefault="009767FC" w:rsidP="009767FC">
      <w:pPr>
        <w:spacing w:after="0" w:line="240" w:lineRule="auto"/>
        <w:ind w:left="720" w:hanging="720"/>
        <w:rPr>
          <w:rFonts w:ascii="Tahoma" w:hAnsi="Tahoma" w:cs="Tahoma"/>
          <w:sz w:val="24"/>
          <w:szCs w:val="24"/>
        </w:rPr>
      </w:pPr>
    </w:p>
    <w:p w14:paraId="3512C348" w14:textId="7E5CC24E" w:rsidR="009767FC" w:rsidRPr="00A62F65" w:rsidRDefault="009767FC" w:rsidP="009767FC">
      <w:pPr>
        <w:spacing w:after="0" w:line="240" w:lineRule="auto"/>
        <w:ind w:left="720" w:hanging="720"/>
        <w:rPr>
          <w:rFonts w:ascii="Tahoma" w:hAnsi="Tahoma" w:cs="Tahoma"/>
          <w:b/>
          <w:sz w:val="24"/>
          <w:szCs w:val="24"/>
        </w:rPr>
      </w:pPr>
      <w:r w:rsidRPr="00A62F65">
        <w:rPr>
          <w:rFonts w:ascii="Tahoma" w:hAnsi="Tahoma" w:cs="Tahoma"/>
          <w:b/>
          <w:sz w:val="24"/>
          <w:szCs w:val="24"/>
        </w:rPr>
        <w:t>Q</w:t>
      </w:r>
      <w:r w:rsidR="007D6E45">
        <w:rPr>
          <w:rFonts w:ascii="Tahoma" w:hAnsi="Tahoma" w:cs="Tahoma"/>
          <w:b/>
          <w:sz w:val="24"/>
          <w:szCs w:val="24"/>
        </w:rPr>
        <w:t>5</w:t>
      </w:r>
      <w:r>
        <w:rPr>
          <w:rFonts w:ascii="Tahoma" w:hAnsi="Tahoma" w:cs="Tahoma"/>
          <w:b/>
          <w:sz w:val="24"/>
          <w:szCs w:val="24"/>
        </w:rPr>
        <w:t>.</w:t>
      </w:r>
      <w:r>
        <w:tab/>
      </w:r>
      <w:r w:rsidRPr="009767FC">
        <w:rPr>
          <w:rFonts w:ascii="Tahoma" w:hAnsi="Tahoma" w:cs="Tahoma"/>
          <w:b/>
          <w:sz w:val="24"/>
          <w:szCs w:val="24"/>
        </w:rPr>
        <w:t xml:space="preserve">For improvements that affect </w:t>
      </w:r>
      <w:r w:rsidR="002451E2">
        <w:rPr>
          <w:rFonts w:ascii="Tahoma" w:hAnsi="Tahoma" w:cs="Tahoma"/>
          <w:b/>
          <w:sz w:val="24"/>
          <w:szCs w:val="24"/>
        </w:rPr>
        <w:t xml:space="preserve">the </w:t>
      </w:r>
      <w:r w:rsidRPr="009767FC">
        <w:rPr>
          <w:rFonts w:ascii="Tahoma" w:hAnsi="Tahoma" w:cs="Tahoma"/>
          <w:b/>
          <w:sz w:val="24"/>
          <w:szCs w:val="24"/>
        </w:rPr>
        <w:t xml:space="preserve">product supply </w:t>
      </w:r>
      <w:r w:rsidR="002451E2">
        <w:rPr>
          <w:rFonts w:ascii="Tahoma" w:hAnsi="Tahoma" w:cs="Tahoma"/>
          <w:b/>
          <w:sz w:val="24"/>
          <w:szCs w:val="24"/>
        </w:rPr>
        <w:t>for</w:t>
      </w:r>
      <w:r w:rsidR="002451E2" w:rsidRPr="009767FC">
        <w:rPr>
          <w:rFonts w:ascii="Tahoma" w:hAnsi="Tahoma" w:cs="Tahoma"/>
          <w:b/>
          <w:sz w:val="24"/>
          <w:szCs w:val="24"/>
        </w:rPr>
        <w:t xml:space="preserve"> </w:t>
      </w:r>
      <w:r w:rsidRPr="009767FC">
        <w:rPr>
          <w:rFonts w:ascii="Tahoma" w:hAnsi="Tahoma" w:cs="Tahoma"/>
          <w:b/>
          <w:sz w:val="24"/>
          <w:szCs w:val="24"/>
        </w:rPr>
        <w:t xml:space="preserve">multiple sites, </w:t>
      </w:r>
      <w:r w:rsidR="002451E2">
        <w:rPr>
          <w:rFonts w:ascii="Tahoma" w:hAnsi="Tahoma" w:cs="Tahoma"/>
          <w:b/>
          <w:sz w:val="24"/>
          <w:szCs w:val="24"/>
        </w:rPr>
        <w:t xml:space="preserve">how </w:t>
      </w:r>
      <w:r w:rsidRPr="009767FC">
        <w:rPr>
          <w:rFonts w:ascii="Tahoma" w:hAnsi="Tahoma" w:cs="Tahoma"/>
          <w:b/>
          <w:sz w:val="24"/>
          <w:szCs w:val="24"/>
        </w:rPr>
        <w:t xml:space="preserve">does the </w:t>
      </w:r>
      <w:r w:rsidR="002451E2">
        <w:rPr>
          <w:rFonts w:ascii="Tahoma" w:hAnsi="Tahoma" w:cs="Tahoma"/>
          <w:b/>
          <w:sz w:val="24"/>
          <w:szCs w:val="24"/>
        </w:rPr>
        <w:t xml:space="preserve">Applicant split the </w:t>
      </w:r>
      <w:r w:rsidRPr="009767FC">
        <w:rPr>
          <w:rFonts w:ascii="Tahoma" w:hAnsi="Tahoma" w:cs="Tahoma"/>
          <w:b/>
          <w:sz w:val="24"/>
          <w:szCs w:val="24"/>
        </w:rPr>
        <w:t>cost between stations</w:t>
      </w:r>
      <w:r w:rsidRPr="7EE1F4D3">
        <w:rPr>
          <w:rFonts w:ascii="Tahoma" w:hAnsi="Tahoma" w:cs="Tahoma"/>
          <w:b/>
          <w:bCs/>
          <w:sz w:val="24"/>
          <w:szCs w:val="24"/>
        </w:rPr>
        <w:t>?</w:t>
      </w:r>
    </w:p>
    <w:p w14:paraId="2BDA6C9C" w14:textId="77777777" w:rsidR="009767FC" w:rsidRPr="00A62F65" w:rsidRDefault="009767FC" w:rsidP="009767FC">
      <w:pPr>
        <w:spacing w:after="0" w:line="240" w:lineRule="auto"/>
        <w:ind w:left="720" w:hanging="720"/>
        <w:rPr>
          <w:rFonts w:ascii="Tahoma" w:hAnsi="Tahoma" w:cs="Tahoma"/>
          <w:sz w:val="24"/>
          <w:szCs w:val="24"/>
        </w:rPr>
      </w:pPr>
    </w:p>
    <w:p w14:paraId="75857323" w14:textId="1E2F0F20" w:rsidR="009767FC" w:rsidRDefault="009767FC" w:rsidP="009767FC">
      <w:pPr>
        <w:spacing w:after="0" w:line="240" w:lineRule="auto"/>
        <w:ind w:left="720" w:hanging="720"/>
        <w:rPr>
          <w:rFonts w:ascii="Tahoma" w:hAnsi="Tahoma" w:cs="Tahoma"/>
          <w:sz w:val="24"/>
          <w:szCs w:val="24"/>
        </w:rPr>
      </w:pPr>
      <w:r w:rsidRPr="00A62F65">
        <w:rPr>
          <w:rFonts w:ascii="Tahoma" w:hAnsi="Tahoma" w:cs="Tahoma"/>
          <w:sz w:val="24"/>
          <w:szCs w:val="24"/>
        </w:rPr>
        <w:t>A</w:t>
      </w:r>
      <w:r w:rsidR="007D6E45">
        <w:rPr>
          <w:rFonts w:ascii="Tahoma" w:hAnsi="Tahoma" w:cs="Tahoma"/>
          <w:sz w:val="24"/>
          <w:szCs w:val="24"/>
        </w:rPr>
        <w:t>5</w:t>
      </w:r>
      <w:r>
        <w:rPr>
          <w:rFonts w:ascii="Tahoma" w:hAnsi="Tahoma" w:cs="Tahoma"/>
          <w:sz w:val="24"/>
          <w:szCs w:val="24"/>
        </w:rPr>
        <w:t>.</w:t>
      </w:r>
      <w:r>
        <w:tab/>
      </w:r>
      <w:r w:rsidR="007D6E45">
        <w:rPr>
          <w:rFonts w:ascii="Tahoma" w:hAnsi="Tahoma" w:cs="Tahoma"/>
          <w:sz w:val="24"/>
          <w:szCs w:val="24"/>
        </w:rPr>
        <w:t xml:space="preserve">How to distribute costs across multiple stations would be up to Applicants </w:t>
      </w:r>
      <w:proofErr w:type="gramStart"/>
      <w:r w:rsidR="007D6E45">
        <w:rPr>
          <w:rFonts w:ascii="Tahoma" w:hAnsi="Tahoma" w:cs="Tahoma"/>
          <w:sz w:val="24"/>
          <w:szCs w:val="24"/>
        </w:rPr>
        <w:t>as long as</w:t>
      </w:r>
      <w:proofErr w:type="gramEnd"/>
      <w:r w:rsidR="007D6E45">
        <w:rPr>
          <w:rFonts w:ascii="Tahoma" w:hAnsi="Tahoma" w:cs="Tahoma"/>
          <w:sz w:val="24"/>
          <w:szCs w:val="24"/>
        </w:rPr>
        <w:t xml:space="preserve"> Applicants have metric(s) to quantifiably measure and verify the effectiveness of the project’s tasks that correspond to the needed </w:t>
      </w:r>
      <w:r w:rsidR="001209CF">
        <w:rPr>
          <w:rFonts w:ascii="Tahoma" w:hAnsi="Tahoma" w:cs="Tahoma"/>
          <w:sz w:val="24"/>
          <w:szCs w:val="24"/>
        </w:rPr>
        <w:t>operations and maintenance (</w:t>
      </w:r>
      <w:r w:rsidR="007D6E45">
        <w:rPr>
          <w:rFonts w:ascii="Tahoma" w:hAnsi="Tahoma" w:cs="Tahoma"/>
          <w:sz w:val="24"/>
          <w:szCs w:val="24"/>
        </w:rPr>
        <w:t>O&amp;M</w:t>
      </w:r>
      <w:r w:rsidR="001209CF">
        <w:rPr>
          <w:rFonts w:ascii="Tahoma" w:hAnsi="Tahoma" w:cs="Tahoma"/>
          <w:sz w:val="24"/>
          <w:szCs w:val="24"/>
        </w:rPr>
        <w:t>)</w:t>
      </w:r>
      <w:r w:rsidR="007D6E45">
        <w:rPr>
          <w:rFonts w:ascii="Tahoma" w:hAnsi="Tahoma" w:cs="Tahoma"/>
          <w:sz w:val="24"/>
          <w:szCs w:val="24"/>
        </w:rPr>
        <w:t xml:space="preserve"> improvements that project aims to address. Section I.G</w:t>
      </w:r>
      <w:r w:rsidR="001569D1">
        <w:rPr>
          <w:rFonts w:ascii="Tahoma" w:hAnsi="Tahoma" w:cs="Tahoma"/>
          <w:sz w:val="24"/>
          <w:szCs w:val="24"/>
        </w:rPr>
        <w:t xml:space="preserve">, </w:t>
      </w:r>
      <w:r w:rsidR="007D6E45">
        <w:rPr>
          <w:rFonts w:ascii="Tahoma" w:hAnsi="Tahoma" w:cs="Tahoma"/>
          <w:sz w:val="24"/>
          <w:szCs w:val="24"/>
        </w:rPr>
        <w:t>Maximum Award Amounts states that projects do not need to spend grant funds evenly across all stations included in the project.</w:t>
      </w:r>
      <w:r w:rsidR="00AA71EF">
        <w:rPr>
          <w:rFonts w:ascii="Tahoma" w:hAnsi="Tahoma" w:cs="Tahoma"/>
          <w:sz w:val="24"/>
          <w:szCs w:val="24"/>
        </w:rPr>
        <w:t xml:space="preserve"> However, an Applicant could split </w:t>
      </w:r>
      <w:r w:rsidR="001209CF">
        <w:rPr>
          <w:rFonts w:ascii="Tahoma" w:hAnsi="Tahoma" w:cs="Tahoma"/>
          <w:sz w:val="24"/>
          <w:szCs w:val="24"/>
        </w:rPr>
        <w:t xml:space="preserve">grant funds evenly across all stations included in the project if each station is receiving the same O&amp;M improvement benefit. </w:t>
      </w:r>
      <w:r w:rsidR="007D6E45">
        <w:rPr>
          <w:rFonts w:ascii="Tahoma" w:hAnsi="Tahoma" w:cs="Tahoma"/>
          <w:sz w:val="24"/>
          <w:szCs w:val="24"/>
        </w:rPr>
        <w:t xml:space="preserve"> </w:t>
      </w:r>
    </w:p>
    <w:p w14:paraId="1B9EF715" w14:textId="77777777" w:rsidR="009767FC" w:rsidRDefault="009767FC" w:rsidP="009767FC">
      <w:pPr>
        <w:spacing w:after="0" w:line="240" w:lineRule="auto"/>
        <w:ind w:left="720" w:hanging="720"/>
        <w:rPr>
          <w:rFonts w:ascii="Tahoma" w:hAnsi="Tahoma" w:cs="Tahoma"/>
          <w:sz w:val="24"/>
          <w:szCs w:val="24"/>
        </w:rPr>
      </w:pPr>
    </w:p>
    <w:p w14:paraId="3C79B3BA" w14:textId="69FDE877" w:rsidR="009767FC" w:rsidRPr="00A62F65" w:rsidRDefault="009767FC" w:rsidP="009767FC">
      <w:pPr>
        <w:spacing w:after="0" w:line="240" w:lineRule="auto"/>
        <w:ind w:left="720" w:hanging="720"/>
        <w:rPr>
          <w:rFonts w:ascii="Tahoma" w:hAnsi="Tahoma" w:cs="Tahoma"/>
          <w:b/>
          <w:sz w:val="24"/>
          <w:szCs w:val="24"/>
        </w:rPr>
      </w:pPr>
      <w:r w:rsidRPr="00A62F65">
        <w:rPr>
          <w:rFonts w:ascii="Tahoma" w:hAnsi="Tahoma" w:cs="Tahoma"/>
          <w:b/>
          <w:sz w:val="24"/>
          <w:szCs w:val="24"/>
        </w:rPr>
        <w:t>Q</w:t>
      </w:r>
      <w:r w:rsidR="007D6E45">
        <w:rPr>
          <w:rFonts w:ascii="Tahoma" w:hAnsi="Tahoma" w:cs="Tahoma"/>
          <w:b/>
          <w:sz w:val="24"/>
          <w:szCs w:val="24"/>
        </w:rPr>
        <w:t>6</w:t>
      </w:r>
      <w:r>
        <w:rPr>
          <w:rFonts w:ascii="Tahoma" w:hAnsi="Tahoma" w:cs="Tahoma"/>
          <w:b/>
          <w:sz w:val="24"/>
          <w:szCs w:val="24"/>
        </w:rPr>
        <w:t>.</w:t>
      </w:r>
      <w:r>
        <w:tab/>
      </w:r>
      <w:r w:rsidRPr="009767FC">
        <w:rPr>
          <w:rFonts w:ascii="Tahoma" w:hAnsi="Tahoma" w:cs="Tahoma"/>
          <w:b/>
          <w:sz w:val="24"/>
          <w:szCs w:val="24"/>
        </w:rPr>
        <w:t xml:space="preserve">Can funds be used to increase </w:t>
      </w:r>
      <w:r w:rsidR="00EE3665" w:rsidRPr="2459C91A">
        <w:rPr>
          <w:rFonts w:ascii="Tahoma" w:hAnsi="Tahoma" w:cs="Tahoma"/>
          <w:b/>
          <w:bCs/>
          <w:sz w:val="24"/>
          <w:szCs w:val="24"/>
        </w:rPr>
        <w:t>r</w:t>
      </w:r>
      <w:r w:rsidRPr="2459C91A">
        <w:rPr>
          <w:rFonts w:ascii="Tahoma" w:hAnsi="Tahoma" w:cs="Tahoma"/>
          <w:b/>
          <w:bCs/>
          <w:sz w:val="24"/>
          <w:szCs w:val="24"/>
        </w:rPr>
        <w:t xml:space="preserve">eliability </w:t>
      </w:r>
      <w:r w:rsidR="00EE3665" w:rsidRPr="2459C91A">
        <w:rPr>
          <w:rFonts w:ascii="Tahoma" w:hAnsi="Tahoma" w:cs="Tahoma"/>
          <w:b/>
          <w:bCs/>
          <w:sz w:val="24"/>
          <w:szCs w:val="24"/>
        </w:rPr>
        <w:t>e</w:t>
      </w:r>
      <w:r w:rsidRPr="2459C91A">
        <w:rPr>
          <w:rFonts w:ascii="Tahoma" w:hAnsi="Tahoma" w:cs="Tahoma"/>
          <w:b/>
          <w:bCs/>
          <w:sz w:val="24"/>
          <w:szCs w:val="24"/>
        </w:rPr>
        <w:t>ngineering</w:t>
      </w:r>
      <w:r w:rsidRPr="009767FC">
        <w:rPr>
          <w:rFonts w:ascii="Tahoma" w:hAnsi="Tahoma" w:cs="Tahoma"/>
          <w:b/>
          <w:sz w:val="24"/>
          <w:szCs w:val="24"/>
        </w:rPr>
        <w:t xml:space="preserve"> staff (as opposed to direct maintenance</w:t>
      </w:r>
      <w:r>
        <w:rPr>
          <w:rFonts w:ascii="Tahoma" w:hAnsi="Tahoma" w:cs="Tahoma"/>
          <w:b/>
          <w:sz w:val="24"/>
          <w:szCs w:val="24"/>
        </w:rPr>
        <w:t xml:space="preserve"> </w:t>
      </w:r>
      <w:r w:rsidRPr="009767FC">
        <w:rPr>
          <w:rFonts w:ascii="Tahoma" w:hAnsi="Tahoma" w:cs="Tahoma"/>
          <w:b/>
          <w:sz w:val="24"/>
          <w:szCs w:val="24"/>
        </w:rPr>
        <w:t>staff)?</w:t>
      </w:r>
    </w:p>
    <w:p w14:paraId="23F0AAE8" w14:textId="77777777" w:rsidR="009767FC" w:rsidRPr="00A62F65" w:rsidRDefault="009767FC" w:rsidP="009767FC">
      <w:pPr>
        <w:spacing w:after="0" w:line="240" w:lineRule="auto"/>
        <w:ind w:left="720" w:hanging="720"/>
        <w:rPr>
          <w:rFonts w:ascii="Tahoma" w:hAnsi="Tahoma" w:cs="Tahoma"/>
          <w:sz w:val="24"/>
          <w:szCs w:val="24"/>
        </w:rPr>
      </w:pPr>
    </w:p>
    <w:p w14:paraId="62D952EE" w14:textId="65CD9553" w:rsidR="009767FC" w:rsidRDefault="009767FC" w:rsidP="009767FC">
      <w:pPr>
        <w:spacing w:after="0" w:line="240" w:lineRule="auto"/>
        <w:ind w:left="720" w:hanging="720"/>
        <w:rPr>
          <w:rFonts w:ascii="Tahoma" w:hAnsi="Tahoma" w:cs="Tahoma"/>
          <w:sz w:val="24"/>
          <w:szCs w:val="24"/>
        </w:rPr>
      </w:pPr>
      <w:r w:rsidRPr="00A62F65">
        <w:rPr>
          <w:rFonts w:ascii="Tahoma" w:hAnsi="Tahoma" w:cs="Tahoma"/>
          <w:sz w:val="24"/>
          <w:szCs w:val="24"/>
        </w:rPr>
        <w:lastRenderedPageBreak/>
        <w:t>A</w:t>
      </w:r>
      <w:r w:rsidR="007D6E45">
        <w:rPr>
          <w:rFonts w:ascii="Tahoma" w:hAnsi="Tahoma" w:cs="Tahoma"/>
          <w:sz w:val="24"/>
          <w:szCs w:val="24"/>
        </w:rPr>
        <w:t>6</w:t>
      </w:r>
      <w:r>
        <w:rPr>
          <w:rFonts w:ascii="Tahoma" w:hAnsi="Tahoma" w:cs="Tahoma"/>
          <w:sz w:val="24"/>
          <w:szCs w:val="24"/>
        </w:rPr>
        <w:t>.</w:t>
      </w:r>
      <w:r>
        <w:tab/>
      </w:r>
      <w:r w:rsidR="007D6E45">
        <w:rPr>
          <w:rFonts w:ascii="Tahoma" w:hAnsi="Tahoma" w:cs="Tahoma"/>
          <w:sz w:val="24"/>
          <w:szCs w:val="24"/>
        </w:rPr>
        <w:t xml:space="preserve">Yes, </w:t>
      </w:r>
      <w:r w:rsidR="00312B3C">
        <w:rPr>
          <w:rFonts w:ascii="Tahoma" w:hAnsi="Tahoma" w:cs="Tahoma"/>
          <w:sz w:val="24"/>
          <w:szCs w:val="24"/>
        </w:rPr>
        <w:t xml:space="preserve">if </w:t>
      </w:r>
      <w:r w:rsidR="007D6E45">
        <w:rPr>
          <w:rFonts w:ascii="Tahoma" w:hAnsi="Tahoma" w:cs="Tahoma"/>
          <w:sz w:val="24"/>
          <w:szCs w:val="24"/>
        </w:rPr>
        <w:t>reliability engineering staff is necessary to carry out eligible project tasks. Please refer to the Section II.B and Section II.D for more information.</w:t>
      </w:r>
    </w:p>
    <w:p w14:paraId="464F6DB2" w14:textId="77777777" w:rsidR="009767FC" w:rsidRDefault="009767FC" w:rsidP="009767FC">
      <w:pPr>
        <w:spacing w:after="0" w:line="240" w:lineRule="auto"/>
        <w:ind w:left="720" w:hanging="720"/>
        <w:rPr>
          <w:rFonts w:ascii="Tahoma" w:hAnsi="Tahoma" w:cs="Tahoma"/>
          <w:b/>
          <w:sz w:val="24"/>
          <w:szCs w:val="24"/>
        </w:rPr>
      </w:pPr>
    </w:p>
    <w:p w14:paraId="70301B74" w14:textId="77777777" w:rsidR="009767FC" w:rsidRPr="00A62F65" w:rsidRDefault="009767FC" w:rsidP="009767FC">
      <w:pPr>
        <w:spacing w:after="0" w:line="240" w:lineRule="auto"/>
        <w:ind w:left="720" w:hanging="720"/>
        <w:rPr>
          <w:rFonts w:ascii="Tahoma" w:hAnsi="Tahoma" w:cs="Tahoma"/>
          <w:b/>
          <w:sz w:val="24"/>
          <w:szCs w:val="24"/>
        </w:rPr>
      </w:pPr>
      <w:r w:rsidRPr="00A62F65">
        <w:rPr>
          <w:rFonts w:ascii="Tahoma" w:hAnsi="Tahoma" w:cs="Tahoma"/>
          <w:b/>
          <w:sz w:val="24"/>
          <w:szCs w:val="24"/>
        </w:rPr>
        <w:t>Q</w:t>
      </w:r>
      <w:r w:rsidR="007D6E45">
        <w:rPr>
          <w:rFonts w:ascii="Tahoma" w:hAnsi="Tahoma" w:cs="Tahoma"/>
          <w:b/>
          <w:sz w:val="24"/>
          <w:szCs w:val="24"/>
        </w:rPr>
        <w:t>7</w:t>
      </w:r>
      <w:r>
        <w:rPr>
          <w:rFonts w:ascii="Tahoma" w:hAnsi="Tahoma" w:cs="Tahoma"/>
          <w:b/>
          <w:sz w:val="24"/>
          <w:szCs w:val="24"/>
        </w:rPr>
        <w:t>.</w:t>
      </w:r>
      <w:r w:rsidRPr="00A62F65">
        <w:rPr>
          <w:rFonts w:ascii="Tahoma" w:hAnsi="Tahoma" w:cs="Tahoma"/>
          <w:b/>
          <w:sz w:val="24"/>
          <w:szCs w:val="24"/>
        </w:rPr>
        <w:tab/>
      </w:r>
      <w:r w:rsidRPr="009767FC">
        <w:rPr>
          <w:rFonts w:ascii="Tahoma" w:hAnsi="Tahoma" w:cs="Tahoma"/>
          <w:b/>
          <w:sz w:val="24"/>
          <w:szCs w:val="24"/>
        </w:rPr>
        <w:t>Can a “pool” of funds (say, ~$75 K per station) be awarded and set aside which we can draw</w:t>
      </w:r>
      <w:r>
        <w:rPr>
          <w:rFonts w:ascii="Tahoma" w:hAnsi="Tahoma" w:cs="Tahoma"/>
          <w:b/>
          <w:sz w:val="24"/>
          <w:szCs w:val="24"/>
        </w:rPr>
        <w:t xml:space="preserve"> </w:t>
      </w:r>
      <w:r w:rsidRPr="009767FC">
        <w:rPr>
          <w:rFonts w:ascii="Tahoma" w:hAnsi="Tahoma" w:cs="Tahoma"/>
          <w:b/>
          <w:sz w:val="24"/>
          <w:szCs w:val="24"/>
        </w:rPr>
        <w:t>upon as our engineering team develops solutions?</w:t>
      </w:r>
    </w:p>
    <w:p w14:paraId="009A3086" w14:textId="77777777" w:rsidR="009767FC" w:rsidRPr="00A62F65" w:rsidRDefault="009767FC" w:rsidP="009767FC">
      <w:pPr>
        <w:spacing w:after="0" w:line="240" w:lineRule="auto"/>
        <w:ind w:left="720" w:hanging="720"/>
        <w:rPr>
          <w:rFonts w:ascii="Tahoma" w:hAnsi="Tahoma" w:cs="Tahoma"/>
          <w:sz w:val="24"/>
          <w:szCs w:val="24"/>
        </w:rPr>
      </w:pPr>
    </w:p>
    <w:p w14:paraId="36443010" w14:textId="1790DC48" w:rsidR="007D6E45" w:rsidRDefault="009767FC" w:rsidP="009767FC">
      <w:pPr>
        <w:spacing w:after="0" w:line="240" w:lineRule="auto"/>
        <w:ind w:left="720" w:hanging="720"/>
        <w:rPr>
          <w:rFonts w:ascii="Tahoma" w:hAnsi="Tahoma" w:cs="Tahoma"/>
          <w:sz w:val="24"/>
          <w:szCs w:val="24"/>
        </w:rPr>
      </w:pPr>
      <w:r w:rsidRPr="00A62F65">
        <w:rPr>
          <w:rFonts w:ascii="Tahoma" w:hAnsi="Tahoma" w:cs="Tahoma"/>
          <w:sz w:val="24"/>
          <w:szCs w:val="24"/>
        </w:rPr>
        <w:t>A</w:t>
      </w:r>
      <w:r w:rsidR="007D6E45">
        <w:rPr>
          <w:rFonts w:ascii="Tahoma" w:hAnsi="Tahoma" w:cs="Tahoma"/>
          <w:sz w:val="24"/>
          <w:szCs w:val="24"/>
        </w:rPr>
        <w:t>7</w:t>
      </w:r>
      <w:r>
        <w:rPr>
          <w:rFonts w:ascii="Tahoma" w:hAnsi="Tahoma" w:cs="Tahoma"/>
          <w:sz w:val="24"/>
          <w:szCs w:val="24"/>
        </w:rPr>
        <w:t>.</w:t>
      </w:r>
      <w:r>
        <w:tab/>
      </w:r>
      <w:r w:rsidR="52B8E604" w:rsidRPr="509287BB">
        <w:rPr>
          <w:rFonts w:ascii="Tahoma" w:hAnsi="Tahoma" w:cs="Tahoma"/>
          <w:sz w:val="24"/>
          <w:szCs w:val="24"/>
        </w:rPr>
        <w:t xml:space="preserve">It is difficult to provide a response to this question without </w:t>
      </w:r>
      <w:r w:rsidR="0DD801C2" w:rsidRPr="7B411674">
        <w:rPr>
          <w:rFonts w:ascii="Tahoma" w:hAnsi="Tahoma" w:cs="Tahoma"/>
          <w:sz w:val="24"/>
          <w:szCs w:val="24"/>
        </w:rPr>
        <w:t xml:space="preserve">seeing the full scope of what is </w:t>
      </w:r>
      <w:r w:rsidR="0DD801C2" w:rsidRPr="69F2D040">
        <w:rPr>
          <w:rFonts w:ascii="Tahoma" w:hAnsi="Tahoma" w:cs="Tahoma"/>
          <w:sz w:val="24"/>
          <w:szCs w:val="24"/>
        </w:rPr>
        <w:t xml:space="preserve">being </w:t>
      </w:r>
      <w:r w:rsidR="0DD801C2" w:rsidRPr="5594BCC8">
        <w:rPr>
          <w:rFonts w:ascii="Tahoma" w:hAnsi="Tahoma" w:cs="Tahoma"/>
          <w:sz w:val="24"/>
          <w:szCs w:val="24"/>
        </w:rPr>
        <w:t>proposed</w:t>
      </w:r>
      <w:r w:rsidR="52B8E604" w:rsidRPr="5594BCC8">
        <w:rPr>
          <w:rFonts w:ascii="Tahoma" w:hAnsi="Tahoma" w:cs="Tahoma"/>
          <w:sz w:val="24"/>
          <w:szCs w:val="24"/>
        </w:rPr>
        <w:t>.</w:t>
      </w:r>
      <w:r w:rsidR="52B8E604" w:rsidRPr="509287BB">
        <w:rPr>
          <w:rFonts w:ascii="Tahoma" w:hAnsi="Tahoma" w:cs="Tahoma"/>
          <w:sz w:val="24"/>
          <w:szCs w:val="24"/>
        </w:rPr>
        <w:t xml:space="preserve"> However, eligible </w:t>
      </w:r>
      <w:r w:rsidR="52B8E604" w:rsidRPr="37E29ED1">
        <w:rPr>
          <w:rFonts w:ascii="Tahoma" w:hAnsi="Tahoma" w:cs="Tahoma"/>
          <w:sz w:val="24"/>
          <w:szCs w:val="24"/>
        </w:rPr>
        <w:t>project</w:t>
      </w:r>
      <w:r w:rsidR="52B8E604" w:rsidRPr="509287BB">
        <w:rPr>
          <w:rFonts w:ascii="Tahoma" w:hAnsi="Tahoma" w:cs="Tahoma"/>
          <w:sz w:val="24"/>
          <w:szCs w:val="24"/>
        </w:rPr>
        <w:t xml:space="preserve"> </w:t>
      </w:r>
      <w:r w:rsidR="52B8E604" w:rsidRPr="7026374B">
        <w:rPr>
          <w:rFonts w:ascii="Tahoma" w:hAnsi="Tahoma" w:cs="Tahoma"/>
          <w:sz w:val="24"/>
          <w:szCs w:val="24"/>
        </w:rPr>
        <w:t xml:space="preserve">costs </w:t>
      </w:r>
      <w:r w:rsidR="52B8E604" w:rsidRPr="7DBA76C3">
        <w:rPr>
          <w:rFonts w:ascii="Tahoma" w:hAnsi="Tahoma" w:cs="Tahoma"/>
          <w:sz w:val="24"/>
          <w:szCs w:val="24"/>
        </w:rPr>
        <w:t xml:space="preserve">are </w:t>
      </w:r>
      <w:r w:rsidR="3AA7F493" w:rsidRPr="6F29BD84">
        <w:rPr>
          <w:rFonts w:ascii="Tahoma" w:hAnsi="Tahoma" w:cs="Tahoma"/>
          <w:sz w:val="24"/>
          <w:szCs w:val="24"/>
        </w:rPr>
        <w:t>listed</w:t>
      </w:r>
      <w:r w:rsidR="52B8E604" w:rsidRPr="7DBA76C3">
        <w:rPr>
          <w:rFonts w:ascii="Tahoma" w:hAnsi="Tahoma" w:cs="Tahoma"/>
          <w:sz w:val="24"/>
          <w:szCs w:val="24"/>
        </w:rPr>
        <w:t xml:space="preserve"> in</w:t>
      </w:r>
      <w:r w:rsidR="52B8E604" w:rsidRPr="7026374B">
        <w:rPr>
          <w:rFonts w:ascii="Tahoma" w:hAnsi="Tahoma" w:cs="Tahoma"/>
          <w:sz w:val="24"/>
          <w:szCs w:val="24"/>
        </w:rPr>
        <w:t xml:space="preserve"> </w:t>
      </w:r>
      <w:r w:rsidR="52B8E604" w:rsidRPr="09E1124D">
        <w:rPr>
          <w:rFonts w:ascii="Tahoma" w:hAnsi="Tahoma" w:cs="Tahoma"/>
          <w:sz w:val="24"/>
          <w:szCs w:val="24"/>
        </w:rPr>
        <w:t>Section II</w:t>
      </w:r>
      <w:r w:rsidR="52B8E604" w:rsidRPr="4051C44F">
        <w:rPr>
          <w:rFonts w:ascii="Tahoma" w:hAnsi="Tahoma" w:cs="Tahoma"/>
          <w:sz w:val="24"/>
          <w:szCs w:val="24"/>
        </w:rPr>
        <w:t>.</w:t>
      </w:r>
      <w:r w:rsidR="52B8E604" w:rsidRPr="4E48B59F">
        <w:rPr>
          <w:rFonts w:ascii="Tahoma" w:hAnsi="Tahoma" w:cs="Tahoma"/>
          <w:sz w:val="24"/>
          <w:szCs w:val="24"/>
        </w:rPr>
        <w:t>D</w:t>
      </w:r>
      <w:r w:rsidR="52B8E604" w:rsidRPr="4051C44F">
        <w:rPr>
          <w:rFonts w:ascii="Tahoma" w:hAnsi="Tahoma" w:cs="Tahoma"/>
          <w:sz w:val="24"/>
          <w:szCs w:val="24"/>
        </w:rPr>
        <w:t xml:space="preserve"> </w:t>
      </w:r>
      <w:r w:rsidR="2CE0FFE0" w:rsidRPr="73C089E5">
        <w:rPr>
          <w:rFonts w:ascii="Tahoma" w:hAnsi="Tahoma" w:cs="Tahoma"/>
          <w:sz w:val="24"/>
          <w:szCs w:val="24"/>
        </w:rPr>
        <w:t>and</w:t>
      </w:r>
      <w:r w:rsidR="52B8E604" w:rsidRPr="73C089E5">
        <w:rPr>
          <w:rFonts w:ascii="Tahoma" w:hAnsi="Tahoma" w:cs="Tahoma"/>
          <w:sz w:val="24"/>
          <w:szCs w:val="24"/>
        </w:rPr>
        <w:t xml:space="preserve"> </w:t>
      </w:r>
      <w:r w:rsidR="7BCD1724" w:rsidRPr="2072C4DC">
        <w:rPr>
          <w:rFonts w:ascii="Tahoma" w:hAnsi="Tahoma" w:cs="Tahoma"/>
          <w:sz w:val="24"/>
          <w:szCs w:val="24"/>
        </w:rPr>
        <w:t>include “</w:t>
      </w:r>
      <w:r w:rsidR="7BCD1724" w:rsidRPr="43C4DAE3">
        <w:rPr>
          <w:rFonts w:ascii="Tahoma" w:hAnsi="Tahoma" w:cs="Tahoma"/>
          <w:sz w:val="24"/>
          <w:szCs w:val="24"/>
        </w:rPr>
        <w:t>Testing of</w:t>
      </w:r>
      <w:r w:rsidR="52B8E604" w:rsidRPr="69918029">
        <w:rPr>
          <w:rFonts w:ascii="Tahoma" w:hAnsi="Tahoma" w:cs="Tahoma"/>
          <w:sz w:val="24"/>
          <w:szCs w:val="24"/>
        </w:rPr>
        <w:t xml:space="preserve"> </w:t>
      </w:r>
      <w:r w:rsidR="67B94DB3" w:rsidRPr="52751573">
        <w:rPr>
          <w:rFonts w:ascii="Tahoma" w:eastAsia="Arial" w:hAnsi="Tahoma" w:cs="Tahoma"/>
          <w:sz w:val="24"/>
          <w:szCs w:val="24"/>
        </w:rPr>
        <w:t>in-use or prospective components or parts for nozzles, compressors, cryopumps, dispensers, or other station equipment to improve durability, longevity, and/or user-friendliness</w:t>
      </w:r>
      <w:r w:rsidR="0879164C" w:rsidRPr="35B71F16">
        <w:rPr>
          <w:rFonts w:ascii="Tahoma" w:hAnsi="Tahoma" w:cs="Tahoma"/>
          <w:sz w:val="24"/>
          <w:szCs w:val="24"/>
        </w:rPr>
        <w:t xml:space="preserve">” </w:t>
      </w:r>
      <w:r w:rsidR="0879164C" w:rsidRPr="32F0A87C">
        <w:rPr>
          <w:rFonts w:ascii="Tahoma" w:hAnsi="Tahoma" w:cs="Tahoma"/>
          <w:sz w:val="24"/>
          <w:szCs w:val="24"/>
        </w:rPr>
        <w:t>and “Alleviating critical O&amp;M issues negatively affecting customers, including but not limited to replacing failed equipment or reducing the cost of fueling to customers</w:t>
      </w:r>
      <w:r w:rsidR="0879164C" w:rsidRPr="4FB6F106">
        <w:rPr>
          <w:rFonts w:ascii="Tahoma" w:hAnsi="Tahoma" w:cs="Tahoma"/>
          <w:sz w:val="24"/>
          <w:szCs w:val="24"/>
        </w:rPr>
        <w:t xml:space="preserve">” that may </w:t>
      </w:r>
      <w:r w:rsidR="0879164C" w:rsidRPr="787C9913">
        <w:rPr>
          <w:rFonts w:ascii="Tahoma" w:hAnsi="Tahoma" w:cs="Tahoma"/>
          <w:sz w:val="24"/>
          <w:szCs w:val="24"/>
        </w:rPr>
        <w:t xml:space="preserve">be </w:t>
      </w:r>
      <w:r w:rsidR="0879164C" w:rsidRPr="20452FE2">
        <w:rPr>
          <w:rFonts w:ascii="Tahoma" w:hAnsi="Tahoma" w:cs="Tahoma"/>
          <w:sz w:val="24"/>
          <w:szCs w:val="24"/>
        </w:rPr>
        <w:t>applicable</w:t>
      </w:r>
      <w:r w:rsidR="0879164C" w:rsidRPr="5FAC648F">
        <w:rPr>
          <w:rFonts w:ascii="Tahoma" w:hAnsi="Tahoma" w:cs="Tahoma"/>
          <w:sz w:val="24"/>
          <w:szCs w:val="24"/>
        </w:rPr>
        <w:t xml:space="preserve"> </w:t>
      </w:r>
      <w:r w:rsidR="0879164C" w:rsidRPr="02FE7A97">
        <w:rPr>
          <w:rFonts w:ascii="Tahoma" w:hAnsi="Tahoma" w:cs="Tahoma"/>
          <w:sz w:val="24"/>
          <w:szCs w:val="24"/>
        </w:rPr>
        <w:t>to this question.</w:t>
      </w:r>
      <w:r w:rsidR="0879164C" w:rsidRPr="32F0A87C">
        <w:rPr>
          <w:rFonts w:ascii="Tahoma" w:hAnsi="Tahoma" w:cs="Tahoma"/>
          <w:sz w:val="24"/>
          <w:szCs w:val="24"/>
        </w:rPr>
        <w:t xml:space="preserve"> </w:t>
      </w:r>
      <w:r w:rsidR="1421A839" w:rsidRPr="74C982C3">
        <w:rPr>
          <w:rFonts w:ascii="Tahoma" w:hAnsi="Tahoma" w:cs="Tahoma"/>
          <w:sz w:val="24"/>
          <w:szCs w:val="24"/>
        </w:rPr>
        <w:t>In addition, p</w:t>
      </w:r>
      <w:r w:rsidR="007D6E45" w:rsidRPr="74C982C3">
        <w:rPr>
          <w:rFonts w:ascii="Tahoma" w:hAnsi="Tahoma" w:cs="Tahoma"/>
          <w:sz w:val="24"/>
          <w:szCs w:val="24"/>
        </w:rPr>
        <w:t>rojects</w:t>
      </w:r>
      <w:r w:rsidR="007D6E45">
        <w:rPr>
          <w:rFonts w:ascii="Tahoma" w:hAnsi="Tahoma" w:cs="Tahoma"/>
          <w:sz w:val="24"/>
          <w:szCs w:val="24"/>
        </w:rPr>
        <w:t xml:space="preserve"> must propose O&amp;M-related tasks</w:t>
      </w:r>
      <w:r w:rsidR="76DB8ED4" w:rsidRPr="2E6AE51C">
        <w:rPr>
          <w:rFonts w:ascii="Tahoma" w:hAnsi="Tahoma" w:cs="Tahoma"/>
          <w:sz w:val="24"/>
          <w:szCs w:val="24"/>
        </w:rPr>
        <w:t xml:space="preserve"> </w:t>
      </w:r>
      <w:r w:rsidR="76DB8ED4" w:rsidRPr="66AE7D96">
        <w:rPr>
          <w:rFonts w:ascii="Tahoma" w:hAnsi="Tahoma" w:cs="Tahoma"/>
          <w:sz w:val="24"/>
          <w:szCs w:val="24"/>
        </w:rPr>
        <w:t xml:space="preserve">and </w:t>
      </w:r>
      <w:r w:rsidR="007D6E45">
        <w:rPr>
          <w:rFonts w:ascii="Tahoma" w:hAnsi="Tahoma" w:cs="Tahoma"/>
          <w:sz w:val="24"/>
          <w:szCs w:val="24"/>
        </w:rPr>
        <w:t xml:space="preserve">Applicants must propose metric(s) to quantifiably measure and </w:t>
      </w:r>
      <w:r w:rsidR="007D6E45" w:rsidRPr="007D6E45">
        <w:rPr>
          <w:rFonts w:ascii="Tahoma" w:hAnsi="Tahoma" w:cs="Tahoma"/>
          <w:sz w:val="24"/>
          <w:szCs w:val="24"/>
        </w:rPr>
        <w:t>verify the effectiveness of the project’s tasks that correspond to the needed O&amp;M improvements the project aims to address.</w:t>
      </w:r>
    </w:p>
    <w:p w14:paraId="70F4B62B" w14:textId="77777777" w:rsidR="007D6E45" w:rsidRDefault="007D6E45" w:rsidP="009767FC">
      <w:pPr>
        <w:spacing w:after="0" w:line="240" w:lineRule="auto"/>
        <w:ind w:left="720" w:hanging="720"/>
        <w:rPr>
          <w:rFonts w:ascii="Tahoma" w:hAnsi="Tahoma" w:cs="Tahoma"/>
          <w:sz w:val="24"/>
          <w:szCs w:val="24"/>
        </w:rPr>
      </w:pPr>
    </w:p>
    <w:p w14:paraId="76FD8B8D" w14:textId="77777777" w:rsidR="009767FC" w:rsidRPr="003147DF" w:rsidRDefault="009767FC" w:rsidP="00B4351B">
      <w:pPr>
        <w:spacing w:after="0" w:line="240" w:lineRule="auto"/>
        <w:ind w:left="720" w:hanging="720"/>
        <w:rPr>
          <w:rFonts w:ascii="Tahoma" w:hAnsi="Tahoma" w:cs="Tahoma"/>
          <w:b/>
          <w:bCs/>
          <w:i/>
          <w:iCs/>
          <w:sz w:val="24"/>
          <w:szCs w:val="24"/>
          <w:u w:val="single"/>
        </w:rPr>
      </w:pPr>
      <w:r w:rsidRPr="003147DF">
        <w:rPr>
          <w:rFonts w:ascii="Tahoma" w:hAnsi="Tahoma" w:cs="Tahoma"/>
          <w:b/>
          <w:bCs/>
          <w:i/>
          <w:iCs/>
          <w:sz w:val="24"/>
          <w:szCs w:val="24"/>
          <w:u w:val="single"/>
        </w:rPr>
        <w:t>Required Documents</w:t>
      </w:r>
    </w:p>
    <w:p w14:paraId="77DF8AD8" w14:textId="77777777" w:rsidR="009767FC" w:rsidRDefault="009767FC" w:rsidP="00B4351B">
      <w:pPr>
        <w:spacing w:after="0" w:line="240" w:lineRule="auto"/>
        <w:ind w:left="720" w:hanging="720"/>
        <w:rPr>
          <w:rFonts w:ascii="Tahoma" w:hAnsi="Tahoma" w:cs="Tahoma"/>
          <w:b/>
          <w:bCs/>
          <w:sz w:val="24"/>
          <w:szCs w:val="24"/>
        </w:rPr>
      </w:pPr>
    </w:p>
    <w:p w14:paraId="55DE6C97" w14:textId="79F02BAA" w:rsidR="009767FC" w:rsidRPr="00A62F65" w:rsidRDefault="009767FC" w:rsidP="1E7A943D">
      <w:pPr>
        <w:spacing w:after="0" w:line="240" w:lineRule="auto"/>
        <w:ind w:left="720" w:hanging="720"/>
        <w:rPr>
          <w:rFonts w:ascii="Tahoma" w:hAnsi="Tahoma" w:cs="Tahoma"/>
          <w:b/>
          <w:bCs/>
          <w:sz w:val="24"/>
          <w:szCs w:val="24"/>
        </w:rPr>
      </w:pPr>
      <w:r w:rsidRPr="1E7A943D">
        <w:rPr>
          <w:rFonts w:ascii="Tahoma" w:hAnsi="Tahoma" w:cs="Tahoma"/>
          <w:b/>
          <w:bCs/>
          <w:sz w:val="24"/>
          <w:szCs w:val="24"/>
        </w:rPr>
        <w:t>Q</w:t>
      </w:r>
      <w:r w:rsidR="007D6E45" w:rsidRPr="1E7A943D">
        <w:rPr>
          <w:rFonts w:ascii="Tahoma" w:hAnsi="Tahoma" w:cs="Tahoma"/>
          <w:b/>
          <w:bCs/>
          <w:sz w:val="24"/>
          <w:szCs w:val="24"/>
        </w:rPr>
        <w:t>8</w:t>
      </w:r>
      <w:r w:rsidRPr="1E7A943D">
        <w:rPr>
          <w:rFonts w:ascii="Tahoma" w:hAnsi="Tahoma" w:cs="Tahoma"/>
          <w:b/>
          <w:bCs/>
          <w:sz w:val="24"/>
          <w:szCs w:val="24"/>
        </w:rPr>
        <w:t>.</w:t>
      </w:r>
      <w:r>
        <w:tab/>
      </w:r>
      <w:r w:rsidR="3EFEB94E" w:rsidRPr="1E7A943D">
        <w:rPr>
          <w:rFonts w:ascii="Tahoma" w:hAnsi="Tahoma" w:cs="Tahoma"/>
          <w:b/>
          <w:bCs/>
          <w:sz w:val="24"/>
          <w:szCs w:val="24"/>
        </w:rPr>
        <w:t>Does</w:t>
      </w:r>
      <w:r w:rsidRPr="1E7A943D">
        <w:rPr>
          <w:rFonts w:ascii="Tahoma" w:hAnsi="Tahoma" w:cs="Tahoma"/>
          <w:b/>
          <w:bCs/>
          <w:sz w:val="24"/>
          <w:szCs w:val="24"/>
        </w:rPr>
        <w:t xml:space="preserve"> the quote for product/labor from a subcontractor constitute a letter of commitment?</w:t>
      </w:r>
    </w:p>
    <w:p w14:paraId="50F8BAE4" w14:textId="77777777" w:rsidR="009767FC" w:rsidRPr="00A62F65" w:rsidRDefault="009767FC" w:rsidP="009767FC">
      <w:pPr>
        <w:spacing w:after="0" w:line="240" w:lineRule="auto"/>
        <w:ind w:left="720" w:hanging="720"/>
        <w:rPr>
          <w:rFonts w:ascii="Tahoma" w:hAnsi="Tahoma" w:cs="Tahoma"/>
          <w:sz w:val="24"/>
          <w:szCs w:val="24"/>
        </w:rPr>
      </w:pPr>
    </w:p>
    <w:p w14:paraId="71269517" w14:textId="5495A100" w:rsidR="009767FC" w:rsidRPr="00A62F65" w:rsidRDefault="009767FC" w:rsidP="009767FC">
      <w:pPr>
        <w:spacing w:after="0" w:line="240" w:lineRule="auto"/>
        <w:ind w:left="720" w:hanging="720"/>
        <w:rPr>
          <w:rFonts w:ascii="Tahoma" w:hAnsi="Tahoma" w:cs="Tahoma"/>
          <w:sz w:val="24"/>
          <w:szCs w:val="24"/>
        </w:rPr>
      </w:pPr>
      <w:r w:rsidRPr="00A62F65">
        <w:rPr>
          <w:rFonts w:ascii="Tahoma" w:hAnsi="Tahoma" w:cs="Tahoma"/>
          <w:sz w:val="24"/>
          <w:szCs w:val="24"/>
        </w:rPr>
        <w:t>A</w:t>
      </w:r>
      <w:r w:rsidR="007D6E45">
        <w:rPr>
          <w:rFonts w:ascii="Tahoma" w:hAnsi="Tahoma" w:cs="Tahoma"/>
          <w:sz w:val="24"/>
          <w:szCs w:val="24"/>
        </w:rPr>
        <w:t>8</w:t>
      </w:r>
      <w:r>
        <w:rPr>
          <w:rFonts w:ascii="Tahoma" w:hAnsi="Tahoma" w:cs="Tahoma"/>
          <w:sz w:val="24"/>
          <w:szCs w:val="24"/>
        </w:rPr>
        <w:t>.</w:t>
      </w:r>
      <w:r>
        <w:tab/>
      </w:r>
      <w:r w:rsidR="007D6E45">
        <w:rPr>
          <w:rFonts w:ascii="Tahoma" w:hAnsi="Tahoma" w:cs="Tahoma"/>
          <w:sz w:val="24"/>
          <w:szCs w:val="24"/>
        </w:rPr>
        <w:t xml:space="preserve">No. A quote for product/labor would not constitute a letter of commitment. A letter of commitment must demonstrate commitment or support of the proposed project and the entity’s ability to fulfill its identified roles. However, a letter from a subcontractor is not </w:t>
      </w:r>
      <w:r w:rsidR="00524C73">
        <w:rPr>
          <w:rFonts w:ascii="Tahoma" w:hAnsi="Tahoma" w:cs="Tahoma"/>
          <w:sz w:val="24"/>
          <w:szCs w:val="24"/>
        </w:rPr>
        <w:t xml:space="preserve">required for the application </w:t>
      </w:r>
      <w:r w:rsidR="007D6E45">
        <w:rPr>
          <w:rFonts w:ascii="Tahoma" w:hAnsi="Tahoma" w:cs="Tahoma"/>
          <w:sz w:val="24"/>
          <w:szCs w:val="24"/>
        </w:rPr>
        <w:t>unless the subcontractor is identified as a key project partner. Please see the Section III.D for more information.</w:t>
      </w:r>
    </w:p>
    <w:p w14:paraId="70329282" w14:textId="77777777" w:rsidR="009767FC" w:rsidRDefault="009767FC" w:rsidP="00B4351B">
      <w:pPr>
        <w:spacing w:after="0" w:line="240" w:lineRule="auto"/>
        <w:ind w:left="720" w:hanging="720"/>
        <w:rPr>
          <w:rFonts w:ascii="Tahoma" w:hAnsi="Tahoma" w:cs="Tahoma"/>
          <w:b/>
          <w:bCs/>
          <w:sz w:val="24"/>
          <w:szCs w:val="24"/>
        </w:rPr>
      </w:pPr>
    </w:p>
    <w:p w14:paraId="5F2B6881" w14:textId="77777777" w:rsidR="00B4351B" w:rsidRPr="003147DF" w:rsidRDefault="009767FC" w:rsidP="00B4351B">
      <w:pPr>
        <w:spacing w:after="0" w:line="240" w:lineRule="auto"/>
        <w:ind w:left="720" w:hanging="720"/>
        <w:rPr>
          <w:rFonts w:ascii="Tahoma" w:hAnsi="Tahoma" w:cs="Tahoma"/>
          <w:b/>
          <w:bCs/>
          <w:i/>
          <w:iCs/>
          <w:sz w:val="24"/>
          <w:szCs w:val="24"/>
          <w:u w:val="single"/>
        </w:rPr>
      </w:pPr>
      <w:r w:rsidRPr="003147DF">
        <w:rPr>
          <w:rFonts w:ascii="Tahoma" w:hAnsi="Tahoma" w:cs="Tahoma"/>
          <w:b/>
          <w:bCs/>
          <w:i/>
          <w:iCs/>
          <w:sz w:val="24"/>
          <w:szCs w:val="24"/>
          <w:u w:val="single"/>
        </w:rPr>
        <w:t>Evaluation Process and Criteria</w:t>
      </w:r>
    </w:p>
    <w:p w14:paraId="1F5510A1" w14:textId="77777777" w:rsidR="00B4351B" w:rsidRPr="00A62F65" w:rsidRDefault="00B4351B" w:rsidP="00B4351B">
      <w:pPr>
        <w:spacing w:after="0" w:line="240" w:lineRule="auto"/>
        <w:ind w:left="720" w:hanging="720"/>
        <w:rPr>
          <w:rFonts w:ascii="Tahoma" w:hAnsi="Tahoma" w:cs="Tahoma"/>
          <w:b/>
          <w:sz w:val="24"/>
          <w:szCs w:val="24"/>
        </w:rPr>
      </w:pPr>
    </w:p>
    <w:p w14:paraId="1D6BBC51" w14:textId="77777777" w:rsidR="00472D2F" w:rsidRPr="00A62F65" w:rsidRDefault="00472D2F" w:rsidP="00B4351B">
      <w:pPr>
        <w:spacing w:after="0" w:line="240" w:lineRule="auto"/>
        <w:ind w:left="720" w:hanging="720"/>
        <w:rPr>
          <w:rFonts w:ascii="Tahoma" w:hAnsi="Tahoma" w:cs="Tahoma"/>
          <w:b/>
          <w:sz w:val="24"/>
          <w:szCs w:val="24"/>
        </w:rPr>
      </w:pPr>
      <w:r w:rsidRPr="00A62F65">
        <w:rPr>
          <w:rFonts w:ascii="Tahoma" w:hAnsi="Tahoma" w:cs="Tahoma"/>
          <w:b/>
          <w:sz w:val="24"/>
          <w:szCs w:val="24"/>
        </w:rPr>
        <w:t>Q</w:t>
      </w:r>
      <w:r w:rsidR="007D6E45">
        <w:rPr>
          <w:rFonts w:ascii="Tahoma" w:hAnsi="Tahoma" w:cs="Tahoma"/>
          <w:b/>
          <w:sz w:val="24"/>
          <w:szCs w:val="24"/>
        </w:rPr>
        <w:t>9</w:t>
      </w:r>
      <w:r w:rsidR="00A62F65">
        <w:rPr>
          <w:rFonts w:ascii="Tahoma" w:hAnsi="Tahoma" w:cs="Tahoma"/>
          <w:b/>
          <w:sz w:val="24"/>
          <w:szCs w:val="24"/>
        </w:rPr>
        <w:t>.</w:t>
      </w:r>
      <w:r w:rsidRPr="00A62F65">
        <w:rPr>
          <w:rFonts w:ascii="Tahoma" w:hAnsi="Tahoma" w:cs="Tahoma"/>
          <w:b/>
          <w:sz w:val="24"/>
          <w:szCs w:val="24"/>
        </w:rPr>
        <w:tab/>
      </w:r>
      <w:r w:rsidR="009767FC" w:rsidRPr="009767FC">
        <w:rPr>
          <w:rFonts w:ascii="Tahoma" w:hAnsi="Tahoma" w:cs="Tahoma"/>
          <w:b/>
          <w:sz w:val="24"/>
          <w:szCs w:val="24"/>
        </w:rPr>
        <w:t>Please comment further about the "negative performance" criterion for those stations with previous CEC funding.</w:t>
      </w:r>
    </w:p>
    <w:p w14:paraId="4924425F" w14:textId="77777777" w:rsidR="00B4351B" w:rsidRPr="00A62F65" w:rsidRDefault="00B4351B" w:rsidP="00B4351B">
      <w:pPr>
        <w:spacing w:after="0" w:line="240" w:lineRule="auto"/>
        <w:ind w:left="720" w:hanging="720"/>
        <w:rPr>
          <w:rFonts w:ascii="Tahoma" w:hAnsi="Tahoma" w:cs="Tahoma"/>
          <w:sz w:val="24"/>
          <w:szCs w:val="24"/>
        </w:rPr>
      </w:pPr>
    </w:p>
    <w:p w14:paraId="0F131347" w14:textId="51340407" w:rsidR="00472D2F" w:rsidRPr="00A62F65" w:rsidRDefault="00472D2F" w:rsidP="00B4351B">
      <w:pPr>
        <w:spacing w:after="0" w:line="240" w:lineRule="auto"/>
        <w:ind w:left="720" w:hanging="720"/>
        <w:rPr>
          <w:rFonts w:ascii="Tahoma" w:hAnsi="Tahoma" w:cs="Tahoma"/>
          <w:sz w:val="24"/>
          <w:szCs w:val="24"/>
        </w:rPr>
      </w:pPr>
      <w:r w:rsidRPr="00A62F65">
        <w:rPr>
          <w:rFonts w:ascii="Tahoma" w:hAnsi="Tahoma" w:cs="Tahoma"/>
          <w:sz w:val="24"/>
          <w:szCs w:val="24"/>
        </w:rPr>
        <w:t>A</w:t>
      </w:r>
      <w:r w:rsidR="007D6E45">
        <w:rPr>
          <w:rFonts w:ascii="Tahoma" w:hAnsi="Tahoma" w:cs="Tahoma"/>
          <w:sz w:val="24"/>
          <w:szCs w:val="24"/>
        </w:rPr>
        <w:t>9</w:t>
      </w:r>
      <w:r w:rsidR="00A62F65">
        <w:rPr>
          <w:rFonts w:ascii="Tahoma" w:hAnsi="Tahoma" w:cs="Tahoma"/>
          <w:sz w:val="24"/>
          <w:szCs w:val="24"/>
        </w:rPr>
        <w:t>.</w:t>
      </w:r>
      <w:r>
        <w:tab/>
      </w:r>
      <w:r w:rsidR="007D6E45">
        <w:rPr>
          <w:rFonts w:ascii="Tahoma" w:hAnsi="Tahoma" w:cs="Tahoma"/>
          <w:sz w:val="24"/>
          <w:szCs w:val="24"/>
        </w:rPr>
        <w:t xml:space="preserve">Applications will be screened based on Applicants’ past performance using the Past Performance Reference Form(s) (Attachment 8). An Applicant may be disqualified under this solicitation due to severe performance issues under one or more prior or active CEC agreement(s) within the last 10 years. Examples of severe performance issues are listed in the Section IV.A. Applications will also be evaluated on the degree to which the Applicant and team have demonstrated exceptional administrative and technical performance under existing or prior </w:t>
      </w:r>
      <w:r w:rsidR="007D6E45">
        <w:rPr>
          <w:rFonts w:ascii="Tahoma" w:hAnsi="Tahoma" w:cs="Tahoma"/>
          <w:sz w:val="24"/>
          <w:szCs w:val="24"/>
        </w:rPr>
        <w:lastRenderedPageBreak/>
        <w:t>funding agreements (if applicable). Please see the Section III.D and Section IV.E for more information.</w:t>
      </w:r>
    </w:p>
    <w:p w14:paraId="69D73952" w14:textId="77777777" w:rsidR="00B4351B" w:rsidRDefault="00B4351B" w:rsidP="00B4351B">
      <w:pPr>
        <w:spacing w:after="0" w:line="240" w:lineRule="auto"/>
        <w:ind w:left="720" w:hanging="720"/>
      </w:pPr>
    </w:p>
    <w:p w14:paraId="00BEF747" w14:textId="77777777" w:rsidR="009767FC" w:rsidRPr="00A62F65" w:rsidRDefault="009767FC" w:rsidP="009767FC">
      <w:pPr>
        <w:spacing w:after="0" w:line="240" w:lineRule="auto"/>
        <w:ind w:left="720" w:hanging="720"/>
        <w:rPr>
          <w:rFonts w:ascii="Tahoma" w:hAnsi="Tahoma" w:cs="Tahoma"/>
          <w:b/>
          <w:sz w:val="24"/>
          <w:szCs w:val="24"/>
        </w:rPr>
      </w:pPr>
      <w:r w:rsidRPr="00A62F65">
        <w:rPr>
          <w:rFonts w:ascii="Tahoma" w:hAnsi="Tahoma" w:cs="Tahoma"/>
          <w:b/>
          <w:sz w:val="24"/>
          <w:szCs w:val="24"/>
        </w:rPr>
        <w:t>Q</w:t>
      </w:r>
      <w:r w:rsidR="007D6E45">
        <w:rPr>
          <w:rFonts w:ascii="Tahoma" w:hAnsi="Tahoma" w:cs="Tahoma"/>
          <w:b/>
          <w:sz w:val="24"/>
          <w:szCs w:val="24"/>
        </w:rPr>
        <w:t>10</w:t>
      </w:r>
      <w:r>
        <w:rPr>
          <w:rFonts w:ascii="Tahoma" w:hAnsi="Tahoma" w:cs="Tahoma"/>
          <w:b/>
          <w:sz w:val="24"/>
          <w:szCs w:val="24"/>
        </w:rPr>
        <w:t>.</w:t>
      </w:r>
      <w:r w:rsidRPr="00A62F65">
        <w:rPr>
          <w:rFonts w:ascii="Tahoma" w:hAnsi="Tahoma" w:cs="Tahoma"/>
          <w:b/>
          <w:sz w:val="24"/>
          <w:szCs w:val="24"/>
        </w:rPr>
        <w:tab/>
      </w:r>
      <w:r w:rsidRPr="009767FC">
        <w:rPr>
          <w:rFonts w:ascii="Tahoma" w:hAnsi="Tahoma" w:cs="Tahoma"/>
          <w:b/>
          <w:sz w:val="24"/>
          <w:szCs w:val="24"/>
        </w:rPr>
        <w:t>Is enhanced customer security a valid aspect of improved customer experience on which applications would be evaluated?</w:t>
      </w:r>
    </w:p>
    <w:p w14:paraId="39211544" w14:textId="77777777" w:rsidR="009767FC" w:rsidRPr="00A62F65" w:rsidRDefault="009767FC" w:rsidP="009767FC">
      <w:pPr>
        <w:spacing w:after="0" w:line="240" w:lineRule="auto"/>
        <w:ind w:left="720" w:hanging="720"/>
        <w:rPr>
          <w:rFonts w:ascii="Tahoma" w:hAnsi="Tahoma" w:cs="Tahoma"/>
          <w:sz w:val="24"/>
          <w:szCs w:val="24"/>
        </w:rPr>
      </w:pPr>
    </w:p>
    <w:p w14:paraId="4539AD91" w14:textId="78747376" w:rsidR="009767FC" w:rsidRPr="00A62F65" w:rsidRDefault="009767FC" w:rsidP="009767FC">
      <w:pPr>
        <w:spacing w:after="0" w:line="240" w:lineRule="auto"/>
        <w:ind w:left="720" w:hanging="720"/>
        <w:rPr>
          <w:rFonts w:ascii="Tahoma" w:hAnsi="Tahoma" w:cs="Tahoma"/>
          <w:sz w:val="24"/>
          <w:szCs w:val="24"/>
        </w:rPr>
      </w:pPr>
      <w:r w:rsidRPr="57CE2C2C">
        <w:rPr>
          <w:rFonts w:ascii="Tahoma" w:hAnsi="Tahoma" w:cs="Tahoma"/>
          <w:sz w:val="24"/>
          <w:szCs w:val="24"/>
        </w:rPr>
        <w:t>A</w:t>
      </w:r>
      <w:r w:rsidR="007D6E45" w:rsidRPr="57CE2C2C">
        <w:rPr>
          <w:rFonts w:ascii="Tahoma" w:hAnsi="Tahoma" w:cs="Tahoma"/>
          <w:sz w:val="24"/>
          <w:szCs w:val="24"/>
        </w:rPr>
        <w:t>10</w:t>
      </w:r>
      <w:r w:rsidRPr="57CE2C2C">
        <w:rPr>
          <w:rFonts w:ascii="Tahoma" w:hAnsi="Tahoma" w:cs="Tahoma"/>
          <w:sz w:val="24"/>
          <w:szCs w:val="24"/>
        </w:rPr>
        <w:t>.</w:t>
      </w:r>
      <w:r>
        <w:tab/>
      </w:r>
      <w:r w:rsidR="007D6E45" w:rsidRPr="57CE2C2C">
        <w:rPr>
          <w:rFonts w:ascii="Tahoma" w:hAnsi="Tahoma" w:cs="Tahoma"/>
          <w:sz w:val="24"/>
          <w:szCs w:val="24"/>
        </w:rPr>
        <w:t xml:space="preserve">It is </w:t>
      </w:r>
      <w:r w:rsidR="003F57B1" w:rsidRPr="57CE2C2C">
        <w:rPr>
          <w:rFonts w:ascii="Tahoma" w:hAnsi="Tahoma" w:cs="Tahoma"/>
          <w:sz w:val="24"/>
          <w:szCs w:val="24"/>
        </w:rPr>
        <w:t xml:space="preserve">difficult </w:t>
      </w:r>
      <w:r w:rsidR="007D6E45" w:rsidRPr="57CE2C2C">
        <w:rPr>
          <w:rFonts w:ascii="Tahoma" w:hAnsi="Tahoma" w:cs="Tahoma"/>
          <w:sz w:val="24"/>
          <w:szCs w:val="24"/>
        </w:rPr>
        <w:t xml:space="preserve">to provide a response </w:t>
      </w:r>
      <w:r w:rsidR="003F57B1" w:rsidRPr="57CE2C2C">
        <w:rPr>
          <w:rFonts w:ascii="Tahoma" w:hAnsi="Tahoma" w:cs="Tahoma"/>
          <w:sz w:val="24"/>
          <w:szCs w:val="24"/>
        </w:rPr>
        <w:t xml:space="preserve">to this question </w:t>
      </w:r>
      <w:r w:rsidR="007D6E45" w:rsidRPr="57CE2C2C">
        <w:rPr>
          <w:rFonts w:ascii="Tahoma" w:hAnsi="Tahoma" w:cs="Tahoma"/>
          <w:sz w:val="24"/>
          <w:szCs w:val="24"/>
        </w:rPr>
        <w:t xml:space="preserve">without more specific task information. However, examples of eligible projects are listed in the Section II.B. If a proposed project’s task will improve customer experience and the effectiveness of the task can be quantifiably measured and verified, then the proposed project </w:t>
      </w:r>
      <w:r w:rsidR="00DA254A" w:rsidRPr="57CE2C2C">
        <w:rPr>
          <w:rFonts w:ascii="Tahoma" w:hAnsi="Tahoma" w:cs="Tahoma"/>
          <w:sz w:val="24"/>
          <w:szCs w:val="24"/>
        </w:rPr>
        <w:t xml:space="preserve">may </w:t>
      </w:r>
      <w:r w:rsidR="007D6E45" w:rsidRPr="57CE2C2C">
        <w:rPr>
          <w:rFonts w:ascii="Tahoma" w:hAnsi="Tahoma" w:cs="Tahoma"/>
          <w:sz w:val="24"/>
          <w:szCs w:val="24"/>
        </w:rPr>
        <w:t>be considered for funding, provided that all other requirements are met.</w:t>
      </w:r>
      <w:r w:rsidR="00312B3C" w:rsidRPr="57CE2C2C">
        <w:rPr>
          <w:rFonts w:ascii="Tahoma" w:hAnsi="Tahoma" w:cs="Tahoma"/>
          <w:sz w:val="24"/>
          <w:szCs w:val="24"/>
        </w:rPr>
        <w:t xml:space="preserve"> Applicants should present in their project narratives how their projects will improve the customer experience from their perspective. </w:t>
      </w:r>
    </w:p>
    <w:p w14:paraId="50C46D24" w14:textId="77777777" w:rsidR="00B4351B" w:rsidRDefault="00B4351B" w:rsidP="00B4351B">
      <w:pPr>
        <w:spacing w:after="0" w:line="240" w:lineRule="auto"/>
        <w:ind w:left="720" w:hanging="720"/>
        <w:rPr>
          <w:rFonts w:ascii="Tahoma" w:hAnsi="Tahoma" w:cs="Tahoma"/>
          <w:sz w:val="24"/>
          <w:szCs w:val="24"/>
        </w:rPr>
      </w:pPr>
    </w:p>
    <w:p w14:paraId="1A9BD346" w14:textId="77777777" w:rsidR="009767FC" w:rsidRPr="003147DF" w:rsidRDefault="009767FC" w:rsidP="00B4351B">
      <w:pPr>
        <w:spacing w:after="0" w:line="240" w:lineRule="auto"/>
        <w:ind w:left="720" w:hanging="720"/>
        <w:rPr>
          <w:rFonts w:ascii="Tahoma" w:hAnsi="Tahoma" w:cs="Tahoma"/>
          <w:b/>
          <w:bCs/>
          <w:i/>
          <w:iCs/>
          <w:sz w:val="24"/>
          <w:szCs w:val="24"/>
          <w:u w:val="single"/>
        </w:rPr>
      </w:pPr>
      <w:r w:rsidRPr="003147DF">
        <w:rPr>
          <w:rFonts w:ascii="Tahoma" w:hAnsi="Tahoma" w:cs="Tahoma"/>
          <w:b/>
          <w:bCs/>
          <w:i/>
          <w:iCs/>
          <w:sz w:val="24"/>
          <w:szCs w:val="24"/>
          <w:u w:val="single"/>
        </w:rPr>
        <w:t>Miscellaneous</w:t>
      </w:r>
    </w:p>
    <w:p w14:paraId="6704EC0F" w14:textId="77777777" w:rsidR="009767FC" w:rsidRDefault="009767FC" w:rsidP="00B4351B">
      <w:pPr>
        <w:spacing w:after="0" w:line="240" w:lineRule="auto"/>
        <w:ind w:left="720" w:hanging="720"/>
        <w:rPr>
          <w:rFonts w:ascii="Tahoma" w:hAnsi="Tahoma" w:cs="Tahoma"/>
          <w:b/>
          <w:bCs/>
          <w:sz w:val="24"/>
          <w:szCs w:val="24"/>
        </w:rPr>
      </w:pPr>
    </w:p>
    <w:p w14:paraId="42E0EE2A" w14:textId="77777777" w:rsidR="009767FC" w:rsidRPr="00A62F65" w:rsidRDefault="009767FC" w:rsidP="009767FC">
      <w:pPr>
        <w:spacing w:after="0" w:line="240" w:lineRule="auto"/>
        <w:ind w:left="720" w:hanging="720"/>
        <w:rPr>
          <w:rFonts w:ascii="Tahoma" w:hAnsi="Tahoma" w:cs="Tahoma"/>
          <w:b/>
          <w:sz w:val="24"/>
          <w:szCs w:val="24"/>
        </w:rPr>
      </w:pPr>
      <w:r w:rsidRPr="00A62F65">
        <w:rPr>
          <w:rFonts w:ascii="Tahoma" w:hAnsi="Tahoma" w:cs="Tahoma"/>
          <w:b/>
          <w:sz w:val="24"/>
          <w:szCs w:val="24"/>
        </w:rPr>
        <w:t>Q</w:t>
      </w:r>
      <w:r w:rsidR="007D6E45">
        <w:rPr>
          <w:rFonts w:ascii="Tahoma" w:hAnsi="Tahoma" w:cs="Tahoma"/>
          <w:b/>
          <w:sz w:val="24"/>
          <w:szCs w:val="24"/>
        </w:rPr>
        <w:t>11</w:t>
      </w:r>
      <w:r>
        <w:rPr>
          <w:rFonts w:ascii="Tahoma" w:hAnsi="Tahoma" w:cs="Tahoma"/>
          <w:b/>
          <w:sz w:val="24"/>
          <w:szCs w:val="24"/>
        </w:rPr>
        <w:t>.</w:t>
      </w:r>
      <w:r w:rsidRPr="00A62F65">
        <w:rPr>
          <w:rFonts w:ascii="Tahoma" w:hAnsi="Tahoma" w:cs="Tahoma"/>
          <w:b/>
          <w:sz w:val="24"/>
          <w:szCs w:val="24"/>
        </w:rPr>
        <w:tab/>
      </w:r>
      <w:r w:rsidRPr="009767FC">
        <w:rPr>
          <w:rFonts w:ascii="Tahoma" w:hAnsi="Tahoma" w:cs="Tahoma"/>
          <w:b/>
          <w:sz w:val="24"/>
          <w:szCs w:val="24"/>
        </w:rPr>
        <w:t>Is there a possibility to somehow accelerate the award process here so we can get the dollars on the street and kind of mitigate the issues that we’re experiencing within the network?</w:t>
      </w:r>
    </w:p>
    <w:p w14:paraId="4A1D9E9E" w14:textId="77777777" w:rsidR="009767FC" w:rsidRPr="00A62F65" w:rsidRDefault="009767FC" w:rsidP="009767FC">
      <w:pPr>
        <w:spacing w:after="0" w:line="240" w:lineRule="auto"/>
        <w:ind w:left="720" w:hanging="720"/>
        <w:rPr>
          <w:rFonts w:ascii="Tahoma" w:hAnsi="Tahoma" w:cs="Tahoma"/>
          <w:sz w:val="24"/>
          <w:szCs w:val="24"/>
        </w:rPr>
      </w:pPr>
    </w:p>
    <w:p w14:paraId="6D5AF9AC" w14:textId="4E4DEBCB" w:rsidR="009767FC" w:rsidRDefault="009767FC" w:rsidP="009767FC">
      <w:pPr>
        <w:spacing w:after="0" w:line="240" w:lineRule="auto"/>
        <w:ind w:left="720" w:hanging="720"/>
        <w:rPr>
          <w:rFonts w:ascii="Tahoma" w:hAnsi="Tahoma" w:cs="Tahoma"/>
          <w:sz w:val="24"/>
          <w:szCs w:val="24"/>
        </w:rPr>
      </w:pPr>
      <w:r w:rsidRPr="57CE2C2C">
        <w:rPr>
          <w:rFonts w:ascii="Tahoma" w:hAnsi="Tahoma" w:cs="Tahoma"/>
          <w:sz w:val="24"/>
          <w:szCs w:val="24"/>
        </w:rPr>
        <w:t>A</w:t>
      </w:r>
      <w:r w:rsidR="007D6E45" w:rsidRPr="57CE2C2C">
        <w:rPr>
          <w:rFonts w:ascii="Tahoma" w:hAnsi="Tahoma" w:cs="Tahoma"/>
          <w:sz w:val="24"/>
          <w:szCs w:val="24"/>
        </w:rPr>
        <w:t>11</w:t>
      </w:r>
      <w:r w:rsidRPr="57CE2C2C">
        <w:rPr>
          <w:rFonts w:ascii="Tahoma" w:hAnsi="Tahoma" w:cs="Tahoma"/>
          <w:sz w:val="24"/>
          <w:szCs w:val="24"/>
        </w:rPr>
        <w:t>.</w:t>
      </w:r>
      <w:r>
        <w:tab/>
      </w:r>
      <w:r w:rsidR="007D6E45" w:rsidRPr="57CE2C2C">
        <w:rPr>
          <w:rFonts w:ascii="Tahoma" w:hAnsi="Tahoma" w:cs="Tahoma"/>
          <w:sz w:val="24"/>
          <w:szCs w:val="24"/>
        </w:rPr>
        <w:t xml:space="preserve">Staff recognizes the need for the O&amp;M funding support and the proposed timeline for this solicitation as shown in the Section I.D reflects the best effort with the necessary processes in mind. </w:t>
      </w:r>
    </w:p>
    <w:p w14:paraId="5629395D" w14:textId="77777777" w:rsidR="009767FC" w:rsidRDefault="009767FC" w:rsidP="009767FC">
      <w:pPr>
        <w:spacing w:after="0" w:line="240" w:lineRule="auto"/>
        <w:ind w:left="720" w:hanging="720"/>
        <w:rPr>
          <w:rFonts w:ascii="Tahoma" w:hAnsi="Tahoma" w:cs="Tahoma"/>
          <w:b/>
          <w:bCs/>
          <w:sz w:val="24"/>
          <w:szCs w:val="24"/>
        </w:rPr>
      </w:pPr>
    </w:p>
    <w:p w14:paraId="068A849F" w14:textId="77777777" w:rsidR="009767FC" w:rsidRPr="00A62F65" w:rsidRDefault="009767FC" w:rsidP="009767FC">
      <w:pPr>
        <w:spacing w:after="0" w:line="240" w:lineRule="auto"/>
        <w:ind w:left="720" w:hanging="720"/>
        <w:rPr>
          <w:rFonts w:ascii="Tahoma" w:hAnsi="Tahoma" w:cs="Tahoma"/>
          <w:b/>
          <w:sz w:val="24"/>
          <w:szCs w:val="24"/>
        </w:rPr>
      </w:pPr>
      <w:r w:rsidRPr="00A62F65">
        <w:rPr>
          <w:rFonts w:ascii="Tahoma" w:hAnsi="Tahoma" w:cs="Tahoma"/>
          <w:b/>
          <w:sz w:val="24"/>
          <w:szCs w:val="24"/>
        </w:rPr>
        <w:t>Q</w:t>
      </w:r>
      <w:r w:rsidR="007D6E45">
        <w:rPr>
          <w:rFonts w:ascii="Tahoma" w:hAnsi="Tahoma" w:cs="Tahoma"/>
          <w:b/>
          <w:sz w:val="24"/>
          <w:szCs w:val="24"/>
        </w:rPr>
        <w:t>12</w:t>
      </w:r>
      <w:r>
        <w:rPr>
          <w:rFonts w:ascii="Tahoma" w:hAnsi="Tahoma" w:cs="Tahoma"/>
          <w:b/>
          <w:sz w:val="24"/>
          <w:szCs w:val="24"/>
        </w:rPr>
        <w:t>.</w:t>
      </w:r>
      <w:r w:rsidRPr="00A62F65">
        <w:rPr>
          <w:rFonts w:ascii="Tahoma" w:hAnsi="Tahoma" w:cs="Tahoma"/>
          <w:b/>
          <w:sz w:val="24"/>
          <w:szCs w:val="24"/>
        </w:rPr>
        <w:tab/>
      </w:r>
      <w:r w:rsidRPr="009767FC">
        <w:rPr>
          <w:rFonts w:ascii="Tahoma" w:hAnsi="Tahoma" w:cs="Tahoma"/>
          <w:b/>
          <w:sz w:val="24"/>
          <w:szCs w:val="24"/>
        </w:rPr>
        <w:t>If a city plans to be an applicant, does a city council as part of its governing need to approve the project beforehand?</w:t>
      </w:r>
    </w:p>
    <w:p w14:paraId="0B0E8774" w14:textId="77777777" w:rsidR="009767FC" w:rsidRPr="00A62F65" w:rsidRDefault="009767FC" w:rsidP="009767FC">
      <w:pPr>
        <w:spacing w:after="0" w:line="240" w:lineRule="auto"/>
        <w:ind w:left="720" w:hanging="720"/>
        <w:rPr>
          <w:rFonts w:ascii="Tahoma" w:hAnsi="Tahoma" w:cs="Tahoma"/>
          <w:sz w:val="24"/>
          <w:szCs w:val="24"/>
        </w:rPr>
      </w:pPr>
    </w:p>
    <w:p w14:paraId="476F2FC0" w14:textId="78B02D9B" w:rsidR="009767FC" w:rsidRDefault="009767FC" w:rsidP="009767FC">
      <w:pPr>
        <w:spacing w:after="0" w:line="240" w:lineRule="auto"/>
        <w:ind w:left="720" w:hanging="720"/>
        <w:rPr>
          <w:rFonts w:ascii="Tahoma" w:hAnsi="Tahoma" w:cs="Tahoma"/>
          <w:sz w:val="24"/>
          <w:szCs w:val="24"/>
        </w:rPr>
      </w:pPr>
      <w:r w:rsidRPr="57CE2C2C">
        <w:rPr>
          <w:rFonts w:ascii="Tahoma" w:hAnsi="Tahoma" w:cs="Tahoma"/>
          <w:sz w:val="24"/>
          <w:szCs w:val="24"/>
        </w:rPr>
        <w:t>A</w:t>
      </w:r>
      <w:r w:rsidR="007D6E45" w:rsidRPr="57CE2C2C">
        <w:rPr>
          <w:rFonts w:ascii="Tahoma" w:hAnsi="Tahoma" w:cs="Tahoma"/>
          <w:sz w:val="24"/>
          <w:szCs w:val="24"/>
        </w:rPr>
        <w:t>12</w:t>
      </w:r>
      <w:r w:rsidRPr="57CE2C2C">
        <w:rPr>
          <w:rFonts w:ascii="Tahoma" w:hAnsi="Tahoma" w:cs="Tahoma"/>
          <w:sz w:val="24"/>
          <w:szCs w:val="24"/>
        </w:rPr>
        <w:t>.</w:t>
      </w:r>
      <w:r>
        <w:tab/>
      </w:r>
      <w:r w:rsidR="007D6E45" w:rsidRPr="57CE2C2C">
        <w:rPr>
          <w:rFonts w:ascii="Tahoma" w:hAnsi="Tahoma" w:cs="Tahoma"/>
          <w:sz w:val="24"/>
          <w:szCs w:val="24"/>
        </w:rPr>
        <w:t>The solicitation does not have such specific requirement</w:t>
      </w:r>
      <w:r w:rsidR="00D408E7" w:rsidRPr="57CE2C2C">
        <w:rPr>
          <w:rFonts w:ascii="Tahoma" w:hAnsi="Tahoma" w:cs="Tahoma"/>
          <w:sz w:val="24"/>
          <w:szCs w:val="24"/>
        </w:rPr>
        <w:t xml:space="preserve"> – a city would not need to go through or produce a governing resolution unless the city itself requires that. However, </w:t>
      </w:r>
      <w:r w:rsidR="007D6E45" w:rsidRPr="57CE2C2C">
        <w:rPr>
          <w:rFonts w:ascii="Tahoma" w:hAnsi="Tahoma" w:cs="Tahoma"/>
          <w:sz w:val="24"/>
          <w:szCs w:val="24"/>
        </w:rPr>
        <w:t>Applicants are required to provide the required authorizations and certifications listed in the Section III.D.1</w:t>
      </w:r>
      <w:r w:rsidR="00BF66B8" w:rsidRPr="57CE2C2C">
        <w:rPr>
          <w:rFonts w:ascii="Tahoma" w:hAnsi="Tahoma" w:cs="Tahoma"/>
          <w:sz w:val="24"/>
          <w:szCs w:val="24"/>
        </w:rPr>
        <w:t xml:space="preserve"> upon </w:t>
      </w:r>
      <w:r w:rsidR="000365EA" w:rsidRPr="57CE2C2C">
        <w:rPr>
          <w:rFonts w:ascii="Tahoma" w:hAnsi="Tahoma" w:cs="Tahoma"/>
          <w:sz w:val="24"/>
          <w:szCs w:val="24"/>
        </w:rPr>
        <w:t xml:space="preserve">submission of their </w:t>
      </w:r>
      <w:r w:rsidR="00BF66B8" w:rsidRPr="57CE2C2C">
        <w:rPr>
          <w:rFonts w:ascii="Tahoma" w:hAnsi="Tahoma" w:cs="Tahoma"/>
          <w:sz w:val="24"/>
          <w:szCs w:val="24"/>
        </w:rPr>
        <w:t>application</w:t>
      </w:r>
      <w:r w:rsidR="007D6E45" w:rsidRPr="57CE2C2C">
        <w:rPr>
          <w:rFonts w:ascii="Tahoma" w:hAnsi="Tahoma" w:cs="Tahoma"/>
          <w:sz w:val="24"/>
          <w:szCs w:val="24"/>
        </w:rPr>
        <w:t xml:space="preserve">. </w:t>
      </w:r>
      <w:r w:rsidR="00312B3C" w:rsidRPr="57CE2C2C">
        <w:rPr>
          <w:rFonts w:ascii="Tahoma" w:hAnsi="Tahoma" w:cs="Tahoma"/>
          <w:sz w:val="24"/>
          <w:szCs w:val="24"/>
        </w:rPr>
        <w:t>The city will have to go through its own internal approval process to apply for a grant, and to accept an award if offered.</w:t>
      </w:r>
    </w:p>
    <w:p w14:paraId="0F87C4F3" w14:textId="77777777" w:rsidR="00312B3C" w:rsidRDefault="00312B3C" w:rsidP="009767FC">
      <w:pPr>
        <w:spacing w:after="0" w:line="240" w:lineRule="auto"/>
        <w:ind w:left="720" w:hanging="720"/>
        <w:rPr>
          <w:rFonts w:ascii="Tahoma" w:hAnsi="Tahoma" w:cs="Tahoma"/>
          <w:sz w:val="24"/>
          <w:szCs w:val="24"/>
        </w:rPr>
      </w:pPr>
    </w:p>
    <w:p w14:paraId="669B5CD7" w14:textId="1B5B8DD9" w:rsidR="00312B3C" w:rsidRDefault="00312B3C" w:rsidP="009767FC">
      <w:pPr>
        <w:spacing w:after="0" w:line="240" w:lineRule="auto"/>
        <w:ind w:left="720" w:hanging="720"/>
        <w:rPr>
          <w:rFonts w:ascii="Tahoma" w:hAnsi="Tahoma" w:cs="Tahoma"/>
          <w:sz w:val="24"/>
          <w:szCs w:val="24"/>
        </w:rPr>
      </w:pPr>
    </w:p>
    <w:p w14:paraId="714597A4" w14:textId="77777777" w:rsidR="00312B3C" w:rsidRDefault="00312B3C" w:rsidP="009767FC">
      <w:pPr>
        <w:spacing w:after="0" w:line="240" w:lineRule="auto"/>
        <w:ind w:left="720" w:hanging="720"/>
        <w:rPr>
          <w:rFonts w:ascii="Tahoma" w:hAnsi="Tahoma" w:cs="Tahoma"/>
          <w:sz w:val="24"/>
          <w:szCs w:val="24"/>
        </w:rPr>
      </w:pPr>
    </w:p>
    <w:p w14:paraId="15D7723B" w14:textId="77777777" w:rsidR="009767FC" w:rsidRDefault="009767FC" w:rsidP="009767FC">
      <w:pPr>
        <w:spacing w:after="0" w:line="240" w:lineRule="auto"/>
        <w:ind w:left="720" w:hanging="720"/>
        <w:rPr>
          <w:rFonts w:ascii="Tahoma" w:hAnsi="Tahoma" w:cs="Tahoma"/>
          <w:sz w:val="24"/>
          <w:szCs w:val="24"/>
        </w:rPr>
      </w:pPr>
    </w:p>
    <w:sectPr w:rsidR="009767FC" w:rsidSect="001973A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041E" w14:textId="77777777" w:rsidR="000D44DD" w:rsidRDefault="000D44DD" w:rsidP="00B4351B">
      <w:pPr>
        <w:spacing w:after="0" w:line="240" w:lineRule="auto"/>
      </w:pPr>
      <w:r>
        <w:separator/>
      </w:r>
    </w:p>
  </w:endnote>
  <w:endnote w:type="continuationSeparator" w:id="0">
    <w:p w14:paraId="3812B681" w14:textId="77777777" w:rsidR="000D44DD" w:rsidRDefault="000D44DD" w:rsidP="00B4351B">
      <w:pPr>
        <w:spacing w:after="0" w:line="240" w:lineRule="auto"/>
      </w:pPr>
      <w:r>
        <w:continuationSeparator/>
      </w:r>
    </w:p>
  </w:endnote>
  <w:endnote w:type="continuationNotice" w:id="1">
    <w:p w14:paraId="5CB8BE2A" w14:textId="77777777" w:rsidR="000D44DD" w:rsidRDefault="000D4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6075" w14:textId="77777777" w:rsidR="00B4351B" w:rsidRPr="00A62F65" w:rsidRDefault="00F574C9" w:rsidP="00F574C9">
    <w:pPr>
      <w:pStyle w:val="Footer"/>
      <w:spacing w:after="0" w:line="240" w:lineRule="auto"/>
      <w:rPr>
        <w:rFonts w:ascii="Tahoma" w:hAnsi="Tahoma" w:cs="Tahoma"/>
        <w:noProof/>
      </w:rPr>
    </w:pPr>
    <w:r w:rsidRPr="00A62F65">
      <w:rPr>
        <w:rFonts w:ascii="Tahoma" w:hAnsi="Tahoma" w:cs="Tahoma"/>
      </w:rPr>
      <w:t>Questions and Answers</w:t>
    </w:r>
    <w:r w:rsidRPr="00A62F65">
      <w:rPr>
        <w:rFonts w:ascii="Tahoma" w:hAnsi="Tahoma" w:cs="Tahoma"/>
      </w:rPr>
      <w:tab/>
    </w:r>
    <w:r w:rsidRPr="00A62F65">
      <w:rPr>
        <w:rFonts w:ascii="Tahoma" w:hAnsi="Tahoma" w:cs="Tahoma"/>
      </w:rPr>
      <w:fldChar w:fldCharType="begin"/>
    </w:r>
    <w:r w:rsidRPr="00A62F65">
      <w:rPr>
        <w:rFonts w:ascii="Tahoma" w:hAnsi="Tahoma" w:cs="Tahoma"/>
      </w:rPr>
      <w:instrText xml:space="preserve"> PAGE   \* MERGEFORMAT </w:instrText>
    </w:r>
    <w:r w:rsidRPr="00A62F65">
      <w:rPr>
        <w:rFonts w:ascii="Tahoma" w:hAnsi="Tahoma" w:cs="Tahoma"/>
      </w:rPr>
      <w:fldChar w:fldCharType="separate"/>
    </w:r>
    <w:r w:rsidR="00626DE4" w:rsidRPr="00A62F65">
      <w:rPr>
        <w:rFonts w:ascii="Tahoma" w:hAnsi="Tahoma" w:cs="Tahoma"/>
        <w:noProof/>
      </w:rPr>
      <w:t>1</w:t>
    </w:r>
    <w:r w:rsidRPr="00A62F65">
      <w:rPr>
        <w:rFonts w:ascii="Tahoma" w:hAnsi="Tahoma" w:cs="Tahoma"/>
        <w:noProof/>
      </w:rPr>
      <w:fldChar w:fldCharType="end"/>
    </w:r>
    <w:r w:rsidRPr="00A62F65">
      <w:rPr>
        <w:rFonts w:ascii="Tahoma" w:hAnsi="Tahoma" w:cs="Tahoma"/>
        <w:noProof/>
      </w:rPr>
      <w:tab/>
    </w:r>
    <w:r w:rsidR="00FE75C6">
      <w:rPr>
        <w:rFonts w:ascii="Tahoma" w:hAnsi="Tahoma" w:cs="Tahoma"/>
        <w:noProof/>
      </w:rPr>
      <w:t>IMPROVE for H2</w:t>
    </w:r>
  </w:p>
  <w:p w14:paraId="14994857" w14:textId="77777777" w:rsidR="00F574C9" w:rsidRPr="00A62F65" w:rsidRDefault="00FE75C6" w:rsidP="00F574C9">
    <w:pPr>
      <w:pStyle w:val="Footer"/>
      <w:spacing w:after="0" w:line="240" w:lineRule="auto"/>
      <w:rPr>
        <w:rFonts w:ascii="Tahoma" w:hAnsi="Tahoma" w:cs="Tahoma"/>
      </w:rPr>
    </w:pPr>
    <w:r w:rsidRPr="00FE75C6">
      <w:rPr>
        <w:rFonts w:ascii="Tahoma" w:hAnsi="Tahoma" w:cs="Tahoma"/>
        <w:noProof/>
      </w:rPr>
      <w:t>December 2023</w:t>
    </w:r>
    <w:r w:rsidR="00F574C9" w:rsidRPr="00A62F65">
      <w:rPr>
        <w:rFonts w:ascii="Tahoma" w:hAnsi="Tahoma" w:cs="Tahoma"/>
        <w:noProof/>
      </w:rPr>
      <w:tab/>
    </w:r>
    <w:r w:rsidR="00F574C9" w:rsidRPr="00A62F65">
      <w:rPr>
        <w:rFonts w:ascii="Tahoma" w:hAnsi="Tahoma" w:cs="Tahoma"/>
        <w:noProof/>
      </w:rPr>
      <w:tab/>
    </w:r>
    <w:r w:rsidR="00A62F65">
      <w:rPr>
        <w:rFonts w:ascii="Tahoma" w:hAnsi="Tahoma" w:cs="Tahoma"/>
        <w:noProof/>
      </w:rPr>
      <w:t>GFO</w:t>
    </w:r>
    <w:r w:rsidR="00F574C9" w:rsidRPr="00A62F65">
      <w:rPr>
        <w:rFonts w:ascii="Tahoma" w:hAnsi="Tahoma" w:cs="Tahoma"/>
        <w:noProof/>
      </w:rPr>
      <w:t>-</w:t>
    </w:r>
    <w:r>
      <w:rPr>
        <w:rFonts w:ascii="Tahoma" w:hAnsi="Tahoma" w:cs="Tahoma"/>
        <w:noProof/>
      </w:rPr>
      <w:t>23-604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B0EC" w14:textId="77777777" w:rsidR="000D44DD" w:rsidRDefault="000D44DD" w:rsidP="00B4351B">
      <w:pPr>
        <w:spacing w:after="0" w:line="240" w:lineRule="auto"/>
      </w:pPr>
      <w:r>
        <w:separator/>
      </w:r>
    </w:p>
  </w:footnote>
  <w:footnote w:type="continuationSeparator" w:id="0">
    <w:p w14:paraId="7FEB55DC" w14:textId="77777777" w:rsidR="000D44DD" w:rsidRDefault="000D44DD" w:rsidP="00B4351B">
      <w:pPr>
        <w:spacing w:after="0" w:line="240" w:lineRule="auto"/>
      </w:pPr>
      <w:r>
        <w:continuationSeparator/>
      </w:r>
    </w:p>
  </w:footnote>
  <w:footnote w:type="continuationNotice" w:id="1">
    <w:p w14:paraId="68183B67" w14:textId="77777777" w:rsidR="000D44DD" w:rsidRDefault="000D44D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0A31"/>
    <w:rsid w:val="00007918"/>
    <w:rsid w:val="0001332E"/>
    <w:rsid w:val="00013AAC"/>
    <w:rsid w:val="00032CB7"/>
    <w:rsid w:val="000365EA"/>
    <w:rsid w:val="00037579"/>
    <w:rsid w:val="00040FD6"/>
    <w:rsid w:val="00044BDC"/>
    <w:rsid w:val="00056343"/>
    <w:rsid w:val="0006048D"/>
    <w:rsid w:val="00071DC8"/>
    <w:rsid w:val="00072A3F"/>
    <w:rsid w:val="000B2797"/>
    <w:rsid w:val="000C0571"/>
    <w:rsid w:val="000D16E4"/>
    <w:rsid w:val="000D2CF7"/>
    <w:rsid w:val="000D44DD"/>
    <w:rsid w:val="000E000D"/>
    <w:rsid w:val="000E3B1E"/>
    <w:rsid w:val="001149F5"/>
    <w:rsid w:val="001209CF"/>
    <w:rsid w:val="001342B0"/>
    <w:rsid w:val="001478D2"/>
    <w:rsid w:val="001569D1"/>
    <w:rsid w:val="00160A34"/>
    <w:rsid w:val="00164CB7"/>
    <w:rsid w:val="001713F6"/>
    <w:rsid w:val="00194E34"/>
    <w:rsid w:val="001951EB"/>
    <w:rsid w:val="001973A2"/>
    <w:rsid w:val="001B374B"/>
    <w:rsid w:val="001B431A"/>
    <w:rsid w:val="001B48DE"/>
    <w:rsid w:val="001C2CDC"/>
    <w:rsid w:val="001E1E56"/>
    <w:rsid w:val="001E516E"/>
    <w:rsid w:val="001F7199"/>
    <w:rsid w:val="00203D5B"/>
    <w:rsid w:val="002202C3"/>
    <w:rsid w:val="00220BB5"/>
    <w:rsid w:val="00224793"/>
    <w:rsid w:val="0023142D"/>
    <w:rsid w:val="00232CB5"/>
    <w:rsid w:val="002451E2"/>
    <w:rsid w:val="00251C05"/>
    <w:rsid w:val="00252ECC"/>
    <w:rsid w:val="002727AC"/>
    <w:rsid w:val="002735CE"/>
    <w:rsid w:val="002760DA"/>
    <w:rsid w:val="002930AA"/>
    <w:rsid w:val="00295D5D"/>
    <w:rsid w:val="0029695E"/>
    <w:rsid w:val="002A40CC"/>
    <w:rsid w:val="002E3B7B"/>
    <w:rsid w:val="0030769A"/>
    <w:rsid w:val="00312B3C"/>
    <w:rsid w:val="003147DF"/>
    <w:rsid w:val="00320494"/>
    <w:rsid w:val="00340311"/>
    <w:rsid w:val="00345A3A"/>
    <w:rsid w:val="00346ED9"/>
    <w:rsid w:val="00364C40"/>
    <w:rsid w:val="00370C2F"/>
    <w:rsid w:val="003A18E7"/>
    <w:rsid w:val="003A7075"/>
    <w:rsid w:val="003C0B73"/>
    <w:rsid w:val="003C3323"/>
    <w:rsid w:val="003D33CE"/>
    <w:rsid w:val="003D7E9B"/>
    <w:rsid w:val="003F57B1"/>
    <w:rsid w:val="00401C15"/>
    <w:rsid w:val="0040625D"/>
    <w:rsid w:val="00412FC9"/>
    <w:rsid w:val="004244A5"/>
    <w:rsid w:val="00427C5D"/>
    <w:rsid w:val="00451567"/>
    <w:rsid w:val="00454630"/>
    <w:rsid w:val="00460F38"/>
    <w:rsid w:val="00461989"/>
    <w:rsid w:val="00462011"/>
    <w:rsid w:val="0046422D"/>
    <w:rsid w:val="00466FED"/>
    <w:rsid w:val="00472591"/>
    <w:rsid w:val="00472D2F"/>
    <w:rsid w:val="00494873"/>
    <w:rsid w:val="00497BB1"/>
    <w:rsid w:val="004A30BF"/>
    <w:rsid w:val="004B4F79"/>
    <w:rsid w:val="004F2032"/>
    <w:rsid w:val="004F636F"/>
    <w:rsid w:val="00500AF9"/>
    <w:rsid w:val="00501091"/>
    <w:rsid w:val="00506A22"/>
    <w:rsid w:val="00511327"/>
    <w:rsid w:val="00513A56"/>
    <w:rsid w:val="00524C73"/>
    <w:rsid w:val="00527F4C"/>
    <w:rsid w:val="00536A2E"/>
    <w:rsid w:val="0053700D"/>
    <w:rsid w:val="00551135"/>
    <w:rsid w:val="0056457E"/>
    <w:rsid w:val="00575D90"/>
    <w:rsid w:val="0058342B"/>
    <w:rsid w:val="005836DF"/>
    <w:rsid w:val="00597361"/>
    <w:rsid w:val="005A0FD3"/>
    <w:rsid w:val="005A5B89"/>
    <w:rsid w:val="005B3138"/>
    <w:rsid w:val="005B5294"/>
    <w:rsid w:val="005C0642"/>
    <w:rsid w:val="005C56A9"/>
    <w:rsid w:val="005F09D9"/>
    <w:rsid w:val="0060552C"/>
    <w:rsid w:val="0060791F"/>
    <w:rsid w:val="00626DE4"/>
    <w:rsid w:val="00627BD4"/>
    <w:rsid w:val="00654E89"/>
    <w:rsid w:val="00663D51"/>
    <w:rsid w:val="00675624"/>
    <w:rsid w:val="0069197C"/>
    <w:rsid w:val="006A5EEF"/>
    <w:rsid w:val="006B00C2"/>
    <w:rsid w:val="006B2767"/>
    <w:rsid w:val="006B3260"/>
    <w:rsid w:val="006F0930"/>
    <w:rsid w:val="0073174B"/>
    <w:rsid w:val="0073629F"/>
    <w:rsid w:val="0074550B"/>
    <w:rsid w:val="00747EB2"/>
    <w:rsid w:val="00751492"/>
    <w:rsid w:val="00756BD3"/>
    <w:rsid w:val="0076360B"/>
    <w:rsid w:val="00765B5B"/>
    <w:rsid w:val="00785C0E"/>
    <w:rsid w:val="007A20C6"/>
    <w:rsid w:val="007B183D"/>
    <w:rsid w:val="007D6E45"/>
    <w:rsid w:val="007E7A55"/>
    <w:rsid w:val="0081217A"/>
    <w:rsid w:val="00812BD1"/>
    <w:rsid w:val="00821104"/>
    <w:rsid w:val="00823AED"/>
    <w:rsid w:val="00842D08"/>
    <w:rsid w:val="008451B7"/>
    <w:rsid w:val="00847979"/>
    <w:rsid w:val="00855DD0"/>
    <w:rsid w:val="008619D7"/>
    <w:rsid w:val="00873481"/>
    <w:rsid w:val="008862EA"/>
    <w:rsid w:val="008974EE"/>
    <w:rsid w:val="008B0962"/>
    <w:rsid w:val="008D706F"/>
    <w:rsid w:val="008D7CF4"/>
    <w:rsid w:val="008E4203"/>
    <w:rsid w:val="008E5850"/>
    <w:rsid w:val="008F1E24"/>
    <w:rsid w:val="0092276F"/>
    <w:rsid w:val="00935E9F"/>
    <w:rsid w:val="009450C0"/>
    <w:rsid w:val="00960C77"/>
    <w:rsid w:val="009767FC"/>
    <w:rsid w:val="009803F4"/>
    <w:rsid w:val="00986F47"/>
    <w:rsid w:val="009A0634"/>
    <w:rsid w:val="009A1F6C"/>
    <w:rsid w:val="009A5F95"/>
    <w:rsid w:val="009B2818"/>
    <w:rsid w:val="009C3052"/>
    <w:rsid w:val="009D7073"/>
    <w:rsid w:val="009E53A8"/>
    <w:rsid w:val="00A02257"/>
    <w:rsid w:val="00A23A13"/>
    <w:rsid w:val="00A31FA3"/>
    <w:rsid w:val="00A33695"/>
    <w:rsid w:val="00A41F62"/>
    <w:rsid w:val="00A421F9"/>
    <w:rsid w:val="00A610E7"/>
    <w:rsid w:val="00A62E8A"/>
    <w:rsid w:val="00A62F65"/>
    <w:rsid w:val="00A726D0"/>
    <w:rsid w:val="00A85777"/>
    <w:rsid w:val="00A91DAE"/>
    <w:rsid w:val="00A96B56"/>
    <w:rsid w:val="00AA71EF"/>
    <w:rsid w:val="00AC157C"/>
    <w:rsid w:val="00AC5AEC"/>
    <w:rsid w:val="00AD0B25"/>
    <w:rsid w:val="00AD33A6"/>
    <w:rsid w:val="00AD5722"/>
    <w:rsid w:val="00AE55BC"/>
    <w:rsid w:val="00B20FE3"/>
    <w:rsid w:val="00B243CF"/>
    <w:rsid w:val="00B25CDE"/>
    <w:rsid w:val="00B4351B"/>
    <w:rsid w:val="00B46267"/>
    <w:rsid w:val="00B5617C"/>
    <w:rsid w:val="00B60207"/>
    <w:rsid w:val="00B60B89"/>
    <w:rsid w:val="00B61574"/>
    <w:rsid w:val="00B63D26"/>
    <w:rsid w:val="00B74EDD"/>
    <w:rsid w:val="00BA0F53"/>
    <w:rsid w:val="00BA407A"/>
    <w:rsid w:val="00BB1102"/>
    <w:rsid w:val="00BB6EA6"/>
    <w:rsid w:val="00BC16E5"/>
    <w:rsid w:val="00BC7EAD"/>
    <w:rsid w:val="00BE7A3F"/>
    <w:rsid w:val="00BF08E8"/>
    <w:rsid w:val="00BF66B8"/>
    <w:rsid w:val="00C218FC"/>
    <w:rsid w:val="00C33C65"/>
    <w:rsid w:val="00C50F28"/>
    <w:rsid w:val="00C5762E"/>
    <w:rsid w:val="00C65CD4"/>
    <w:rsid w:val="00C811E5"/>
    <w:rsid w:val="00C83B8E"/>
    <w:rsid w:val="00CC7F6A"/>
    <w:rsid w:val="00D062CD"/>
    <w:rsid w:val="00D06B95"/>
    <w:rsid w:val="00D20CA5"/>
    <w:rsid w:val="00D24888"/>
    <w:rsid w:val="00D27CD1"/>
    <w:rsid w:val="00D408E7"/>
    <w:rsid w:val="00D455D6"/>
    <w:rsid w:val="00D462D7"/>
    <w:rsid w:val="00D5514F"/>
    <w:rsid w:val="00D5685F"/>
    <w:rsid w:val="00D67670"/>
    <w:rsid w:val="00D93E4E"/>
    <w:rsid w:val="00DA254A"/>
    <w:rsid w:val="00DB0A52"/>
    <w:rsid w:val="00DB1373"/>
    <w:rsid w:val="00DC0663"/>
    <w:rsid w:val="00DC1B73"/>
    <w:rsid w:val="00DC4CA1"/>
    <w:rsid w:val="00DC6AB2"/>
    <w:rsid w:val="00DD3720"/>
    <w:rsid w:val="00DD3865"/>
    <w:rsid w:val="00DE4FA0"/>
    <w:rsid w:val="00DF46E5"/>
    <w:rsid w:val="00E03924"/>
    <w:rsid w:val="00E2210F"/>
    <w:rsid w:val="00E23124"/>
    <w:rsid w:val="00E4529E"/>
    <w:rsid w:val="00E846CB"/>
    <w:rsid w:val="00E86ADF"/>
    <w:rsid w:val="00ED21CD"/>
    <w:rsid w:val="00EE35CC"/>
    <w:rsid w:val="00EE3665"/>
    <w:rsid w:val="00EF1564"/>
    <w:rsid w:val="00F04F33"/>
    <w:rsid w:val="00F05265"/>
    <w:rsid w:val="00F15537"/>
    <w:rsid w:val="00F4224E"/>
    <w:rsid w:val="00F56536"/>
    <w:rsid w:val="00F574C9"/>
    <w:rsid w:val="00F66A0B"/>
    <w:rsid w:val="00F8170C"/>
    <w:rsid w:val="00F85101"/>
    <w:rsid w:val="00F9791A"/>
    <w:rsid w:val="00F97E1B"/>
    <w:rsid w:val="00FA5665"/>
    <w:rsid w:val="00FC46C0"/>
    <w:rsid w:val="00FE4781"/>
    <w:rsid w:val="00FE6662"/>
    <w:rsid w:val="00FE75C6"/>
    <w:rsid w:val="00FF205B"/>
    <w:rsid w:val="01A1DFA9"/>
    <w:rsid w:val="0245FBA0"/>
    <w:rsid w:val="02FE7A97"/>
    <w:rsid w:val="046C5157"/>
    <w:rsid w:val="06C8F2DC"/>
    <w:rsid w:val="0879164C"/>
    <w:rsid w:val="0986BC75"/>
    <w:rsid w:val="09E1124D"/>
    <w:rsid w:val="0C8A34E8"/>
    <w:rsid w:val="0D14876D"/>
    <w:rsid w:val="0DD801C2"/>
    <w:rsid w:val="0FF90BA4"/>
    <w:rsid w:val="1227CCD5"/>
    <w:rsid w:val="1421A839"/>
    <w:rsid w:val="17B919C4"/>
    <w:rsid w:val="1A2B56D6"/>
    <w:rsid w:val="1CB32F75"/>
    <w:rsid w:val="1CED7657"/>
    <w:rsid w:val="1E7A943D"/>
    <w:rsid w:val="1F4A17DC"/>
    <w:rsid w:val="20452FE2"/>
    <w:rsid w:val="2072C4DC"/>
    <w:rsid w:val="20A8148B"/>
    <w:rsid w:val="20F659C6"/>
    <w:rsid w:val="22812126"/>
    <w:rsid w:val="238CDD86"/>
    <w:rsid w:val="23BAD727"/>
    <w:rsid w:val="23D95C59"/>
    <w:rsid w:val="2459C91A"/>
    <w:rsid w:val="25AAE110"/>
    <w:rsid w:val="2694F015"/>
    <w:rsid w:val="2837283B"/>
    <w:rsid w:val="2A1B08E3"/>
    <w:rsid w:val="2AAB4FB5"/>
    <w:rsid w:val="2CE0FFE0"/>
    <w:rsid w:val="2CE57A91"/>
    <w:rsid w:val="2D8E5248"/>
    <w:rsid w:val="2E6AE51C"/>
    <w:rsid w:val="3131A3AA"/>
    <w:rsid w:val="32F0A87C"/>
    <w:rsid w:val="33BE5E59"/>
    <w:rsid w:val="35B6879E"/>
    <w:rsid w:val="35B71F16"/>
    <w:rsid w:val="36D8DBAA"/>
    <w:rsid w:val="37773625"/>
    <w:rsid w:val="378B6897"/>
    <w:rsid w:val="37E29ED1"/>
    <w:rsid w:val="3AA7F493"/>
    <w:rsid w:val="3D7D6CDD"/>
    <w:rsid w:val="3EFEB94E"/>
    <w:rsid w:val="402C9965"/>
    <w:rsid w:val="4051C44F"/>
    <w:rsid w:val="40525BC7"/>
    <w:rsid w:val="426EA420"/>
    <w:rsid w:val="43C4DAE3"/>
    <w:rsid w:val="4844DCC7"/>
    <w:rsid w:val="4E48B59F"/>
    <w:rsid w:val="4ED20C05"/>
    <w:rsid w:val="4FB6F106"/>
    <w:rsid w:val="4FEA477C"/>
    <w:rsid w:val="5017CD05"/>
    <w:rsid w:val="509287BB"/>
    <w:rsid w:val="50A10EDC"/>
    <w:rsid w:val="5187DE45"/>
    <w:rsid w:val="52751573"/>
    <w:rsid w:val="52B8E604"/>
    <w:rsid w:val="5594BCC8"/>
    <w:rsid w:val="5642BE83"/>
    <w:rsid w:val="57CE2C2C"/>
    <w:rsid w:val="5A6860BC"/>
    <w:rsid w:val="5BD4D5BB"/>
    <w:rsid w:val="5FAC648F"/>
    <w:rsid w:val="5FC2CA65"/>
    <w:rsid w:val="60C30515"/>
    <w:rsid w:val="6668EF2F"/>
    <w:rsid w:val="66AE7D96"/>
    <w:rsid w:val="671F4317"/>
    <w:rsid w:val="67B94DB3"/>
    <w:rsid w:val="6800F6D6"/>
    <w:rsid w:val="682215D2"/>
    <w:rsid w:val="69918029"/>
    <w:rsid w:val="69F2D040"/>
    <w:rsid w:val="6A3CB803"/>
    <w:rsid w:val="6F29BD84"/>
    <w:rsid w:val="7026374B"/>
    <w:rsid w:val="715C6C9C"/>
    <w:rsid w:val="72C1463D"/>
    <w:rsid w:val="73C089E5"/>
    <w:rsid w:val="74C982C3"/>
    <w:rsid w:val="759931D9"/>
    <w:rsid w:val="76DB8ED4"/>
    <w:rsid w:val="787C9913"/>
    <w:rsid w:val="79C4FA35"/>
    <w:rsid w:val="7B411674"/>
    <w:rsid w:val="7BCD1724"/>
    <w:rsid w:val="7DBA76C3"/>
    <w:rsid w:val="7E24E350"/>
    <w:rsid w:val="7EE1F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2E0F"/>
  <w15:chartTrackingRefBased/>
  <w15:docId w15:val="{D0BFF2AC-3C59-4C88-BC7B-84236220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customStyle="1" w:styleId="normaltextrun">
    <w:name w:val="normaltextrun"/>
    <w:basedOn w:val="DefaultParagraphFont"/>
    <w:rsid w:val="009B2818"/>
  </w:style>
  <w:style w:type="character" w:customStyle="1" w:styleId="findhit">
    <w:name w:val="findhit"/>
    <w:basedOn w:val="DefaultParagraphFont"/>
    <w:rsid w:val="009B2818"/>
  </w:style>
  <w:style w:type="character" w:styleId="Hyperlink">
    <w:name w:val="Hyperlink"/>
    <w:uiPriority w:val="99"/>
    <w:unhideWhenUsed/>
    <w:rsid w:val="009B2818"/>
    <w:rPr>
      <w:color w:val="0563C1"/>
      <w:u w:val="single"/>
    </w:rPr>
  </w:style>
  <w:style w:type="character" w:styleId="UnresolvedMention">
    <w:name w:val="Unresolved Mention"/>
    <w:uiPriority w:val="99"/>
    <w:semiHidden/>
    <w:unhideWhenUsed/>
    <w:rsid w:val="009B2818"/>
    <w:rPr>
      <w:color w:val="605E5C"/>
      <w:shd w:val="clear" w:color="auto" w:fill="E1DFDD"/>
    </w:rPr>
  </w:style>
  <w:style w:type="character" w:styleId="FollowedHyperlink">
    <w:name w:val="FollowedHyperlink"/>
    <w:uiPriority w:val="99"/>
    <w:semiHidden/>
    <w:unhideWhenUsed/>
    <w:rsid w:val="00C218FC"/>
    <w:rPr>
      <w:color w:val="954F72"/>
      <w:u w:val="single"/>
    </w:rPr>
  </w:style>
  <w:style w:type="table" w:styleId="TableGrid">
    <w:name w:val="Table Grid"/>
    <w:basedOn w:val="TableNormal"/>
    <w:uiPriority w:val="59"/>
    <w:rsid w:val="0076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5685F"/>
    <w:rPr>
      <w:sz w:val="16"/>
      <w:szCs w:val="16"/>
    </w:rPr>
  </w:style>
  <w:style w:type="paragraph" w:styleId="CommentText">
    <w:name w:val="annotation text"/>
    <w:basedOn w:val="Normal"/>
    <w:link w:val="CommentTextChar"/>
    <w:uiPriority w:val="99"/>
    <w:unhideWhenUsed/>
    <w:rsid w:val="00D5685F"/>
    <w:rPr>
      <w:sz w:val="20"/>
      <w:szCs w:val="20"/>
    </w:rPr>
  </w:style>
  <w:style w:type="character" w:customStyle="1" w:styleId="CommentTextChar">
    <w:name w:val="Comment Text Char"/>
    <w:basedOn w:val="DefaultParagraphFont"/>
    <w:link w:val="CommentText"/>
    <w:uiPriority w:val="99"/>
    <w:rsid w:val="00D5685F"/>
  </w:style>
  <w:style w:type="paragraph" w:styleId="CommentSubject">
    <w:name w:val="annotation subject"/>
    <w:basedOn w:val="CommentText"/>
    <w:next w:val="CommentText"/>
    <w:link w:val="CommentSubjectChar"/>
    <w:uiPriority w:val="99"/>
    <w:semiHidden/>
    <w:unhideWhenUsed/>
    <w:rsid w:val="00D5685F"/>
    <w:rPr>
      <w:b/>
      <w:bCs/>
    </w:rPr>
  </w:style>
  <w:style w:type="character" w:customStyle="1" w:styleId="CommentSubjectChar">
    <w:name w:val="Comment Subject Char"/>
    <w:link w:val="CommentSubject"/>
    <w:uiPriority w:val="99"/>
    <w:semiHidden/>
    <w:rsid w:val="00D5685F"/>
    <w:rPr>
      <w:b/>
      <w:bCs/>
    </w:rPr>
  </w:style>
  <w:style w:type="character" w:styleId="Mention">
    <w:name w:val="Mention"/>
    <w:uiPriority w:val="99"/>
    <w:unhideWhenUsed/>
    <w:rsid w:val="00D5685F"/>
    <w:rPr>
      <w:color w:val="2B579A"/>
      <w:shd w:val="clear" w:color="auto" w:fill="E1DFDD"/>
    </w:rPr>
  </w:style>
  <w:style w:type="paragraph" w:styleId="Revision">
    <w:name w:val="Revision"/>
    <w:hidden/>
    <w:uiPriority w:val="99"/>
    <w:semiHidden/>
    <w:rsid w:val="00E846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sites/default/files/2023-11/CTP_Grant_Ex_C_Standard_General_TCs_revised_11-20-23_ad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ehha.ca.gov/calenviroscreen/report/calenviroscreen-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hha.ca.gov/calenviroscreen/report/calenviroscreen-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2fcp.org/stationma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8824-4FEF-4338-BE68-B2766B2B3312}">
  <ds:schemaRefs>
    <ds:schemaRef ds:uri="http://schemas.microsoft.com/sharepoint/v3/contenttype/forms"/>
  </ds:schemaRefs>
</ds:datastoreItem>
</file>

<file path=customXml/itemProps2.xml><?xml version="1.0" encoding="utf-8"?>
<ds:datastoreItem xmlns:ds="http://schemas.openxmlformats.org/officeDocument/2006/customXml" ds:itemID="{282DB849-8DA3-4F84-BB17-AD7F0D893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9E023-2A4A-43ED-9CD3-DAD0EC0F55B0}">
  <ds:schemaRefs>
    <ds:schemaRef ds:uri="5067c814-4b34-462c-a21d-c185ff6548d2"/>
    <ds:schemaRef ds:uri="785685f2-c2e1-4352-89aa-3faca8eaba52"/>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F368696-49AA-4532-A703-CA98DBE2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7749</Characters>
  <Application>Microsoft Office Word</Application>
  <DocSecurity>0</DocSecurity>
  <Lines>64</Lines>
  <Paragraphs>18</Paragraphs>
  <ScaleCrop>false</ScaleCrop>
  <Company>California Energy Commission</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Miki@Energy</dc:creator>
  <cp:keywords/>
  <cp:lastModifiedBy>Driemeyer, Nicholas@Energy</cp:lastModifiedBy>
  <cp:revision>2</cp:revision>
  <dcterms:created xsi:type="dcterms:W3CDTF">2023-12-15T16:12:00Z</dcterms:created>
  <dcterms:modified xsi:type="dcterms:W3CDTF">2023-12-15T16:12:00Z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