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5318B05B" w:rsidR="00F17A9F" w:rsidRPr="00812EFA" w:rsidRDefault="3C0DBC58" w:rsidP="00812EFA">
      <w:pPr>
        <w:pStyle w:val="Heading9"/>
        <w:keepNext w:val="0"/>
        <w:keepLines/>
        <w:widowControl w:val="0"/>
        <w:suppressAutoHyphens w:val="0"/>
        <w:spacing w:after="120"/>
        <w:jc w:val="center"/>
        <w:rPr>
          <w:rFonts w:ascii="Arial" w:hAnsi="Arial" w:cs="Arial"/>
          <w:sz w:val="28"/>
          <w:szCs w:val="28"/>
        </w:rPr>
      </w:pPr>
      <w:r w:rsidRPr="585FF0F9">
        <w:rPr>
          <w:rFonts w:ascii="Arial" w:hAnsi="Arial" w:cs="Arial"/>
          <w:sz w:val="28"/>
          <w:szCs w:val="28"/>
        </w:rPr>
        <w:t>TRIBAL E</w:t>
      </w:r>
      <w:r w:rsidR="4C31F3CB" w:rsidRPr="585FF0F9">
        <w:rPr>
          <w:rFonts w:ascii="Arial" w:hAnsi="Arial" w:cs="Arial"/>
          <w:sz w:val="28"/>
          <w:szCs w:val="28"/>
        </w:rPr>
        <w:t xml:space="preserve">LECTRIC </w:t>
      </w:r>
      <w:r w:rsidRPr="585FF0F9">
        <w:rPr>
          <w:rFonts w:ascii="Arial" w:hAnsi="Arial" w:cs="Arial"/>
          <w:sz w:val="28"/>
          <w:szCs w:val="28"/>
        </w:rPr>
        <w:t>V</w:t>
      </w:r>
      <w:r w:rsidR="335031A3" w:rsidRPr="585FF0F9">
        <w:rPr>
          <w:rFonts w:ascii="Arial" w:hAnsi="Arial" w:cs="Arial"/>
          <w:sz w:val="28"/>
          <w:szCs w:val="28"/>
        </w:rPr>
        <w:t>EHICLE</w:t>
      </w:r>
      <w:r w:rsidRPr="585FF0F9">
        <w:rPr>
          <w:rFonts w:ascii="Arial" w:hAnsi="Arial" w:cs="Arial"/>
          <w:sz w:val="28"/>
          <w:szCs w:val="28"/>
        </w:rPr>
        <w:t xml:space="preserve"> INFRASTRUCTURE, PLANNING, AND WORKFORCE TRAINING AND DEVELOPMENT</w:t>
      </w:r>
      <w:r w:rsidR="00812EFA" w:rsidRPr="585FF0F9">
        <w:rPr>
          <w:rFonts w:ascii="Arial" w:hAnsi="Arial" w:cs="Arial"/>
          <w:sz w:val="28"/>
          <w:szCs w:val="28"/>
        </w:rPr>
        <w:t xml:space="preserve"> </w:t>
      </w:r>
      <w:r w:rsidR="00F17A9F" w:rsidRPr="585FF0F9">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CF90121" w14:textId="14369712" w:rsidR="0007517D"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8230213"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Grant Agreement</w:t>
        </w:r>
        <w:r w:rsidR="0007517D">
          <w:rPr>
            <w:noProof/>
            <w:webHidden/>
          </w:rPr>
          <w:tab/>
        </w:r>
        <w:r w:rsidR="0007517D">
          <w:rPr>
            <w:noProof/>
            <w:webHidden/>
          </w:rPr>
          <w:fldChar w:fldCharType="begin"/>
        </w:r>
        <w:r w:rsidR="0007517D">
          <w:rPr>
            <w:noProof/>
            <w:webHidden/>
          </w:rPr>
          <w:instrText xml:space="preserve"> PAGEREF _Toc88230213 \h </w:instrText>
        </w:r>
        <w:r w:rsidR="0007517D">
          <w:rPr>
            <w:noProof/>
            <w:webHidden/>
          </w:rPr>
        </w:r>
        <w:r w:rsidR="0007517D">
          <w:rPr>
            <w:noProof/>
            <w:webHidden/>
          </w:rPr>
          <w:fldChar w:fldCharType="separate"/>
        </w:r>
        <w:r w:rsidR="008F307B">
          <w:rPr>
            <w:noProof/>
            <w:webHidden/>
          </w:rPr>
          <w:t>3</w:t>
        </w:r>
        <w:r w:rsidR="0007517D">
          <w:rPr>
            <w:noProof/>
            <w:webHidden/>
          </w:rPr>
          <w:fldChar w:fldCharType="end"/>
        </w:r>
      </w:hyperlink>
    </w:p>
    <w:p w14:paraId="27AD33C5" w14:textId="641CCEDA"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4"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Documents Incorporated by Reference</w:t>
        </w:r>
        <w:r w:rsidR="0007517D">
          <w:rPr>
            <w:noProof/>
            <w:webHidden/>
          </w:rPr>
          <w:tab/>
        </w:r>
        <w:r w:rsidR="0007517D">
          <w:rPr>
            <w:noProof/>
            <w:webHidden/>
          </w:rPr>
          <w:fldChar w:fldCharType="begin"/>
        </w:r>
        <w:r w:rsidR="0007517D">
          <w:rPr>
            <w:noProof/>
            <w:webHidden/>
          </w:rPr>
          <w:instrText xml:space="preserve"> PAGEREF _Toc88230214 \h </w:instrText>
        </w:r>
        <w:r w:rsidR="0007517D">
          <w:rPr>
            <w:noProof/>
            <w:webHidden/>
          </w:rPr>
        </w:r>
        <w:r w:rsidR="0007517D">
          <w:rPr>
            <w:noProof/>
            <w:webHidden/>
          </w:rPr>
          <w:fldChar w:fldCharType="separate"/>
        </w:r>
        <w:r w:rsidR="008F307B">
          <w:rPr>
            <w:noProof/>
            <w:webHidden/>
          </w:rPr>
          <w:t>3</w:t>
        </w:r>
        <w:r w:rsidR="0007517D">
          <w:rPr>
            <w:noProof/>
            <w:webHidden/>
          </w:rPr>
          <w:fldChar w:fldCharType="end"/>
        </w:r>
      </w:hyperlink>
    </w:p>
    <w:p w14:paraId="3AA7CBE2" w14:textId="19DEAA6E"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5"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Funding Limitations</w:t>
        </w:r>
        <w:r w:rsidR="0007517D">
          <w:rPr>
            <w:noProof/>
            <w:webHidden/>
          </w:rPr>
          <w:tab/>
        </w:r>
        <w:r w:rsidR="0007517D">
          <w:rPr>
            <w:noProof/>
            <w:webHidden/>
          </w:rPr>
          <w:fldChar w:fldCharType="begin"/>
        </w:r>
        <w:r w:rsidR="0007517D">
          <w:rPr>
            <w:noProof/>
            <w:webHidden/>
          </w:rPr>
          <w:instrText xml:space="preserve"> PAGEREF _Toc88230215 \h </w:instrText>
        </w:r>
        <w:r w:rsidR="0007517D">
          <w:rPr>
            <w:noProof/>
            <w:webHidden/>
          </w:rPr>
        </w:r>
        <w:r w:rsidR="0007517D">
          <w:rPr>
            <w:noProof/>
            <w:webHidden/>
          </w:rPr>
          <w:fldChar w:fldCharType="separate"/>
        </w:r>
        <w:r w:rsidR="008F307B">
          <w:rPr>
            <w:noProof/>
            <w:webHidden/>
          </w:rPr>
          <w:t>4</w:t>
        </w:r>
        <w:r w:rsidR="0007517D">
          <w:rPr>
            <w:noProof/>
            <w:webHidden/>
          </w:rPr>
          <w:fldChar w:fldCharType="end"/>
        </w:r>
      </w:hyperlink>
    </w:p>
    <w:p w14:paraId="5245633C" w14:textId="5F8B2912"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6"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Due Diligence</w:t>
        </w:r>
        <w:r w:rsidR="0007517D">
          <w:rPr>
            <w:noProof/>
            <w:webHidden/>
          </w:rPr>
          <w:tab/>
        </w:r>
        <w:r w:rsidR="0007517D">
          <w:rPr>
            <w:noProof/>
            <w:webHidden/>
          </w:rPr>
          <w:fldChar w:fldCharType="begin"/>
        </w:r>
        <w:r w:rsidR="0007517D">
          <w:rPr>
            <w:noProof/>
            <w:webHidden/>
          </w:rPr>
          <w:instrText xml:space="preserve"> PAGEREF _Toc88230216 \h </w:instrText>
        </w:r>
        <w:r w:rsidR="0007517D">
          <w:rPr>
            <w:noProof/>
            <w:webHidden/>
          </w:rPr>
        </w:r>
        <w:r w:rsidR="0007517D">
          <w:rPr>
            <w:noProof/>
            <w:webHidden/>
          </w:rPr>
          <w:fldChar w:fldCharType="separate"/>
        </w:r>
        <w:r w:rsidR="008F307B">
          <w:rPr>
            <w:noProof/>
            <w:webHidden/>
          </w:rPr>
          <w:t>4</w:t>
        </w:r>
        <w:r w:rsidR="0007517D">
          <w:rPr>
            <w:noProof/>
            <w:webHidden/>
          </w:rPr>
          <w:fldChar w:fldCharType="end"/>
        </w:r>
      </w:hyperlink>
    </w:p>
    <w:p w14:paraId="4AFCCF3C" w14:textId="125A5C1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7"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Products</w:t>
        </w:r>
        <w:r w:rsidR="0007517D">
          <w:rPr>
            <w:noProof/>
            <w:webHidden/>
          </w:rPr>
          <w:tab/>
        </w:r>
        <w:r w:rsidR="0007517D">
          <w:rPr>
            <w:noProof/>
            <w:webHidden/>
          </w:rPr>
          <w:fldChar w:fldCharType="begin"/>
        </w:r>
        <w:r w:rsidR="0007517D">
          <w:rPr>
            <w:noProof/>
            <w:webHidden/>
          </w:rPr>
          <w:instrText xml:space="preserve"> PAGEREF _Toc88230217 \h </w:instrText>
        </w:r>
        <w:r w:rsidR="0007517D">
          <w:rPr>
            <w:noProof/>
            <w:webHidden/>
          </w:rPr>
        </w:r>
        <w:r w:rsidR="0007517D">
          <w:rPr>
            <w:noProof/>
            <w:webHidden/>
          </w:rPr>
          <w:fldChar w:fldCharType="separate"/>
        </w:r>
        <w:r w:rsidR="008F307B">
          <w:rPr>
            <w:noProof/>
            <w:webHidden/>
          </w:rPr>
          <w:t>4</w:t>
        </w:r>
        <w:r w:rsidR="0007517D">
          <w:rPr>
            <w:noProof/>
            <w:webHidden/>
          </w:rPr>
          <w:fldChar w:fldCharType="end"/>
        </w:r>
      </w:hyperlink>
    </w:p>
    <w:p w14:paraId="5FA713DA" w14:textId="4C38E448"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8"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Reports</w:t>
        </w:r>
        <w:r w:rsidR="0007517D">
          <w:rPr>
            <w:noProof/>
            <w:webHidden/>
          </w:rPr>
          <w:tab/>
        </w:r>
        <w:r w:rsidR="0007517D">
          <w:rPr>
            <w:noProof/>
            <w:webHidden/>
          </w:rPr>
          <w:fldChar w:fldCharType="begin"/>
        </w:r>
        <w:r w:rsidR="0007517D">
          <w:rPr>
            <w:noProof/>
            <w:webHidden/>
          </w:rPr>
          <w:instrText xml:space="preserve"> PAGEREF _Toc88230218 \h </w:instrText>
        </w:r>
        <w:r w:rsidR="0007517D">
          <w:rPr>
            <w:noProof/>
            <w:webHidden/>
          </w:rPr>
        </w:r>
        <w:r w:rsidR="0007517D">
          <w:rPr>
            <w:noProof/>
            <w:webHidden/>
          </w:rPr>
          <w:fldChar w:fldCharType="separate"/>
        </w:r>
        <w:r w:rsidR="008F307B">
          <w:rPr>
            <w:noProof/>
            <w:webHidden/>
          </w:rPr>
          <w:t>4</w:t>
        </w:r>
        <w:r w:rsidR="0007517D">
          <w:rPr>
            <w:noProof/>
            <w:webHidden/>
          </w:rPr>
          <w:fldChar w:fldCharType="end"/>
        </w:r>
      </w:hyperlink>
    </w:p>
    <w:p w14:paraId="27B170FB" w14:textId="5BD7E8B4"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9"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Publications - Legal Statement on Reports and Products</w:t>
        </w:r>
        <w:r w:rsidR="0007517D">
          <w:rPr>
            <w:noProof/>
            <w:webHidden/>
          </w:rPr>
          <w:tab/>
        </w:r>
        <w:r w:rsidR="0007517D">
          <w:rPr>
            <w:noProof/>
            <w:webHidden/>
          </w:rPr>
          <w:fldChar w:fldCharType="begin"/>
        </w:r>
        <w:r w:rsidR="0007517D">
          <w:rPr>
            <w:noProof/>
            <w:webHidden/>
          </w:rPr>
          <w:instrText xml:space="preserve"> PAGEREF _Toc88230219 \h </w:instrText>
        </w:r>
        <w:r w:rsidR="0007517D">
          <w:rPr>
            <w:noProof/>
            <w:webHidden/>
          </w:rPr>
        </w:r>
        <w:r w:rsidR="0007517D">
          <w:rPr>
            <w:noProof/>
            <w:webHidden/>
          </w:rPr>
          <w:fldChar w:fldCharType="separate"/>
        </w:r>
        <w:r w:rsidR="008F307B">
          <w:rPr>
            <w:noProof/>
            <w:webHidden/>
          </w:rPr>
          <w:t>6</w:t>
        </w:r>
        <w:r w:rsidR="0007517D">
          <w:rPr>
            <w:noProof/>
            <w:webHidden/>
          </w:rPr>
          <w:fldChar w:fldCharType="end"/>
        </w:r>
      </w:hyperlink>
    </w:p>
    <w:p w14:paraId="5D481E68" w14:textId="7A9B879F"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0"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Changes to the Agreement</w:t>
        </w:r>
        <w:r w:rsidR="0007517D">
          <w:rPr>
            <w:noProof/>
            <w:webHidden/>
          </w:rPr>
          <w:tab/>
        </w:r>
        <w:r w:rsidR="0007517D">
          <w:rPr>
            <w:noProof/>
            <w:webHidden/>
          </w:rPr>
          <w:fldChar w:fldCharType="begin"/>
        </w:r>
        <w:r w:rsidR="0007517D">
          <w:rPr>
            <w:noProof/>
            <w:webHidden/>
          </w:rPr>
          <w:instrText xml:space="preserve"> PAGEREF _Toc88230220 \h </w:instrText>
        </w:r>
        <w:r w:rsidR="0007517D">
          <w:rPr>
            <w:noProof/>
            <w:webHidden/>
          </w:rPr>
        </w:r>
        <w:r w:rsidR="0007517D">
          <w:rPr>
            <w:noProof/>
            <w:webHidden/>
          </w:rPr>
          <w:fldChar w:fldCharType="separate"/>
        </w:r>
        <w:r w:rsidR="008F307B">
          <w:rPr>
            <w:noProof/>
            <w:webHidden/>
          </w:rPr>
          <w:t>7</w:t>
        </w:r>
        <w:r w:rsidR="0007517D">
          <w:rPr>
            <w:noProof/>
            <w:webHidden/>
          </w:rPr>
          <w:fldChar w:fldCharType="end"/>
        </w:r>
      </w:hyperlink>
    </w:p>
    <w:p w14:paraId="32C351BA" w14:textId="61475D0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1" w:history="1">
        <w:r w:rsidR="0007517D" w:rsidRPr="00E87C54">
          <w:rPr>
            <w:rStyle w:val="Hyperlink"/>
            <w:noProof/>
          </w:rPr>
          <w:t>9.</w:t>
        </w:r>
        <w:r w:rsidR="0007517D">
          <w:rPr>
            <w:rFonts w:asciiTheme="minorHAnsi" w:eastAsiaTheme="minorEastAsia" w:hAnsiTheme="minorHAnsi" w:cstheme="minorBidi"/>
            <w:b w:val="0"/>
            <w:bCs w:val="0"/>
            <w:noProof/>
            <w:sz w:val="22"/>
            <w:szCs w:val="22"/>
          </w:rPr>
          <w:tab/>
        </w:r>
        <w:r w:rsidR="0007517D" w:rsidRPr="00E87C54">
          <w:rPr>
            <w:rStyle w:val="Hyperlink"/>
            <w:noProof/>
          </w:rPr>
          <w:t>Contracting and Procurement Procedures</w:t>
        </w:r>
        <w:r w:rsidR="0007517D">
          <w:rPr>
            <w:noProof/>
            <w:webHidden/>
          </w:rPr>
          <w:tab/>
        </w:r>
        <w:r w:rsidR="0007517D">
          <w:rPr>
            <w:noProof/>
            <w:webHidden/>
          </w:rPr>
          <w:fldChar w:fldCharType="begin"/>
        </w:r>
        <w:r w:rsidR="0007517D">
          <w:rPr>
            <w:noProof/>
            <w:webHidden/>
          </w:rPr>
          <w:instrText xml:space="preserve"> PAGEREF _Toc88230221 \h </w:instrText>
        </w:r>
        <w:r w:rsidR="0007517D">
          <w:rPr>
            <w:noProof/>
            <w:webHidden/>
          </w:rPr>
        </w:r>
        <w:r w:rsidR="0007517D">
          <w:rPr>
            <w:noProof/>
            <w:webHidden/>
          </w:rPr>
          <w:fldChar w:fldCharType="separate"/>
        </w:r>
        <w:r w:rsidR="008F307B">
          <w:rPr>
            <w:noProof/>
            <w:webHidden/>
          </w:rPr>
          <w:t>8</w:t>
        </w:r>
        <w:r w:rsidR="0007517D">
          <w:rPr>
            <w:noProof/>
            <w:webHidden/>
          </w:rPr>
          <w:fldChar w:fldCharType="end"/>
        </w:r>
      </w:hyperlink>
    </w:p>
    <w:p w14:paraId="0A230D2A" w14:textId="36754669"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2" w:history="1">
        <w:r w:rsidR="0007517D" w:rsidRPr="00E87C54">
          <w:rPr>
            <w:rStyle w:val="Hyperlink"/>
            <w:noProof/>
          </w:rPr>
          <w:t>10.</w:t>
        </w:r>
        <w:r w:rsidR="0007517D">
          <w:rPr>
            <w:rFonts w:asciiTheme="minorHAnsi" w:eastAsiaTheme="minorEastAsia" w:hAnsiTheme="minorHAnsi" w:cstheme="minorBidi"/>
            <w:b w:val="0"/>
            <w:bCs w:val="0"/>
            <w:noProof/>
            <w:sz w:val="22"/>
            <w:szCs w:val="22"/>
          </w:rPr>
          <w:tab/>
        </w:r>
        <w:r w:rsidR="0007517D" w:rsidRPr="00E87C54">
          <w:rPr>
            <w:rStyle w:val="Hyperlink"/>
            <w:noProof/>
          </w:rPr>
          <w:t>Bonding and Insurance</w:t>
        </w:r>
        <w:r w:rsidR="0007517D">
          <w:rPr>
            <w:noProof/>
            <w:webHidden/>
          </w:rPr>
          <w:tab/>
        </w:r>
        <w:r w:rsidR="0007517D">
          <w:rPr>
            <w:noProof/>
            <w:webHidden/>
          </w:rPr>
          <w:fldChar w:fldCharType="begin"/>
        </w:r>
        <w:r w:rsidR="0007517D">
          <w:rPr>
            <w:noProof/>
            <w:webHidden/>
          </w:rPr>
          <w:instrText xml:space="preserve"> PAGEREF _Toc88230222 \h </w:instrText>
        </w:r>
        <w:r w:rsidR="0007517D">
          <w:rPr>
            <w:noProof/>
            <w:webHidden/>
          </w:rPr>
        </w:r>
        <w:r w:rsidR="0007517D">
          <w:rPr>
            <w:noProof/>
            <w:webHidden/>
          </w:rPr>
          <w:fldChar w:fldCharType="separate"/>
        </w:r>
        <w:r w:rsidR="008F307B">
          <w:rPr>
            <w:noProof/>
            <w:webHidden/>
          </w:rPr>
          <w:t>10</w:t>
        </w:r>
        <w:r w:rsidR="0007517D">
          <w:rPr>
            <w:noProof/>
            <w:webHidden/>
          </w:rPr>
          <w:fldChar w:fldCharType="end"/>
        </w:r>
      </w:hyperlink>
    </w:p>
    <w:p w14:paraId="7DBCA765" w14:textId="5F1CA5C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3" w:history="1">
        <w:r w:rsidR="0007517D" w:rsidRPr="00E87C54">
          <w:rPr>
            <w:rStyle w:val="Hyperlink"/>
            <w:noProof/>
          </w:rPr>
          <w:t>11.</w:t>
        </w:r>
        <w:r w:rsidR="0007517D">
          <w:rPr>
            <w:rFonts w:asciiTheme="minorHAnsi" w:eastAsiaTheme="minorEastAsia" w:hAnsiTheme="minorHAnsi" w:cstheme="minorBidi"/>
            <w:b w:val="0"/>
            <w:bCs w:val="0"/>
            <w:noProof/>
            <w:sz w:val="22"/>
            <w:szCs w:val="22"/>
          </w:rPr>
          <w:tab/>
        </w:r>
        <w:r w:rsidR="0007517D" w:rsidRPr="00E87C54">
          <w:rPr>
            <w:rStyle w:val="Hyperlink"/>
            <w:noProof/>
          </w:rPr>
          <w:t>Permits and Clearances</w:t>
        </w:r>
        <w:r w:rsidR="0007517D">
          <w:rPr>
            <w:noProof/>
            <w:webHidden/>
          </w:rPr>
          <w:tab/>
        </w:r>
        <w:r w:rsidR="0007517D">
          <w:rPr>
            <w:noProof/>
            <w:webHidden/>
          </w:rPr>
          <w:fldChar w:fldCharType="begin"/>
        </w:r>
        <w:r w:rsidR="0007517D">
          <w:rPr>
            <w:noProof/>
            <w:webHidden/>
          </w:rPr>
          <w:instrText xml:space="preserve"> PAGEREF _Toc88230223 \h </w:instrText>
        </w:r>
        <w:r w:rsidR="0007517D">
          <w:rPr>
            <w:noProof/>
            <w:webHidden/>
          </w:rPr>
        </w:r>
        <w:r w:rsidR="0007517D">
          <w:rPr>
            <w:noProof/>
            <w:webHidden/>
          </w:rPr>
          <w:fldChar w:fldCharType="separate"/>
        </w:r>
        <w:r w:rsidR="008F307B">
          <w:rPr>
            <w:noProof/>
            <w:webHidden/>
          </w:rPr>
          <w:t>10</w:t>
        </w:r>
        <w:r w:rsidR="0007517D">
          <w:rPr>
            <w:noProof/>
            <w:webHidden/>
          </w:rPr>
          <w:fldChar w:fldCharType="end"/>
        </w:r>
      </w:hyperlink>
    </w:p>
    <w:p w14:paraId="496ED529" w14:textId="61C51EEB"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4" w:history="1">
        <w:r w:rsidR="0007517D" w:rsidRPr="00E87C54">
          <w:rPr>
            <w:rStyle w:val="Hyperlink"/>
            <w:noProof/>
          </w:rPr>
          <w:t>12.</w:t>
        </w:r>
        <w:r w:rsidR="0007517D">
          <w:rPr>
            <w:rFonts w:asciiTheme="minorHAnsi" w:eastAsiaTheme="minorEastAsia" w:hAnsiTheme="minorHAnsi" w:cstheme="minorBidi"/>
            <w:b w:val="0"/>
            <w:bCs w:val="0"/>
            <w:noProof/>
            <w:sz w:val="22"/>
            <w:szCs w:val="22"/>
          </w:rPr>
          <w:tab/>
        </w:r>
        <w:r w:rsidR="0007517D" w:rsidRPr="00E87C54">
          <w:rPr>
            <w:rStyle w:val="Hyperlink"/>
            <w:noProof/>
          </w:rPr>
          <w:t>Equipment</w:t>
        </w:r>
        <w:r w:rsidR="0007517D">
          <w:rPr>
            <w:noProof/>
            <w:webHidden/>
          </w:rPr>
          <w:tab/>
        </w:r>
        <w:r w:rsidR="0007517D">
          <w:rPr>
            <w:noProof/>
            <w:webHidden/>
          </w:rPr>
          <w:fldChar w:fldCharType="begin"/>
        </w:r>
        <w:r w:rsidR="0007517D">
          <w:rPr>
            <w:noProof/>
            <w:webHidden/>
          </w:rPr>
          <w:instrText xml:space="preserve"> PAGEREF _Toc88230224 \h </w:instrText>
        </w:r>
        <w:r w:rsidR="0007517D">
          <w:rPr>
            <w:noProof/>
            <w:webHidden/>
          </w:rPr>
        </w:r>
        <w:r w:rsidR="0007517D">
          <w:rPr>
            <w:noProof/>
            <w:webHidden/>
          </w:rPr>
          <w:fldChar w:fldCharType="separate"/>
        </w:r>
        <w:r w:rsidR="008F307B">
          <w:rPr>
            <w:noProof/>
            <w:webHidden/>
          </w:rPr>
          <w:t>10</w:t>
        </w:r>
        <w:r w:rsidR="0007517D">
          <w:rPr>
            <w:noProof/>
            <w:webHidden/>
          </w:rPr>
          <w:fldChar w:fldCharType="end"/>
        </w:r>
      </w:hyperlink>
    </w:p>
    <w:p w14:paraId="3BF46F52" w14:textId="435B6B6A"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5" w:history="1">
        <w:r w:rsidR="0007517D" w:rsidRPr="00E87C54">
          <w:rPr>
            <w:rStyle w:val="Hyperlink"/>
            <w:noProof/>
          </w:rPr>
          <w:t>13.</w:t>
        </w:r>
        <w:r w:rsidR="0007517D">
          <w:rPr>
            <w:rFonts w:asciiTheme="minorHAnsi" w:eastAsiaTheme="minorEastAsia" w:hAnsiTheme="minorHAnsi" w:cstheme="minorBidi"/>
            <w:b w:val="0"/>
            <w:bCs w:val="0"/>
            <w:noProof/>
            <w:sz w:val="22"/>
            <w:szCs w:val="22"/>
          </w:rPr>
          <w:tab/>
        </w:r>
        <w:r w:rsidR="0007517D" w:rsidRPr="00E87C54">
          <w:rPr>
            <w:rStyle w:val="Hyperlink"/>
            <w:noProof/>
          </w:rPr>
          <w:t>Termination</w:t>
        </w:r>
        <w:r w:rsidR="0007517D">
          <w:rPr>
            <w:noProof/>
            <w:webHidden/>
          </w:rPr>
          <w:tab/>
        </w:r>
        <w:r w:rsidR="0007517D">
          <w:rPr>
            <w:noProof/>
            <w:webHidden/>
          </w:rPr>
          <w:fldChar w:fldCharType="begin"/>
        </w:r>
        <w:r w:rsidR="0007517D">
          <w:rPr>
            <w:noProof/>
            <w:webHidden/>
          </w:rPr>
          <w:instrText xml:space="preserve"> PAGEREF _Toc88230225 \h </w:instrText>
        </w:r>
        <w:r w:rsidR="0007517D">
          <w:rPr>
            <w:noProof/>
            <w:webHidden/>
          </w:rPr>
        </w:r>
        <w:r w:rsidR="0007517D">
          <w:rPr>
            <w:noProof/>
            <w:webHidden/>
          </w:rPr>
          <w:fldChar w:fldCharType="separate"/>
        </w:r>
        <w:r w:rsidR="008F307B">
          <w:rPr>
            <w:noProof/>
            <w:webHidden/>
          </w:rPr>
          <w:t>10</w:t>
        </w:r>
        <w:r w:rsidR="0007517D">
          <w:rPr>
            <w:noProof/>
            <w:webHidden/>
          </w:rPr>
          <w:fldChar w:fldCharType="end"/>
        </w:r>
      </w:hyperlink>
    </w:p>
    <w:p w14:paraId="2B5F6612" w14:textId="69064C73"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6" w:history="1">
        <w:r w:rsidR="0007517D" w:rsidRPr="00E87C54">
          <w:rPr>
            <w:rStyle w:val="Hyperlink"/>
            <w:noProof/>
          </w:rPr>
          <w:t>14.</w:t>
        </w:r>
        <w:r w:rsidR="0007517D">
          <w:rPr>
            <w:rFonts w:asciiTheme="minorHAnsi" w:eastAsiaTheme="minorEastAsia" w:hAnsiTheme="minorHAnsi" w:cstheme="minorBidi"/>
            <w:b w:val="0"/>
            <w:bCs w:val="0"/>
            <w:noProof/>
            <w:sz w:val="22"/>
            <w:szCs w:val="22"/>
          </w:rPr>
          <w:tab/>
        </w:r>
        <w:r w:rsidR="0007517D" w:rsidRPr="00E87C54">
          <w:rPr>
            <w:rStyle w:val="Hyperlink"/>
            <w:noProof/>
          </w:rPr>
          <w:t>Stop Work</w:t>
        </w:r>
        <w:r w:rsidR="0007517D">
          <w:rPr>
            <w:noProof/>
            <w:webHidden/>
          </w:rPr>
          <w:tab/>
        </w:r>
        <w:r w:rsidR="0007517D">
          <w:rPr>
            <w:noProof/>
            <w:webHidden/>
          </w:rPr>
          <w:fldChar w:fldCharType="begin"/>
        </w:r>
        <w:r w:rsidR="0007517D">
          <w:rPr>
            <w:noProof/>
            <w:webHidden/>
          </w:rPr>
          <w:instrText xml:space="preserve"> PAGEREF _Toc88230226 \h </w:instrText>
        </w:r>
        <w:r w:rsidR="0007517D">
          <w:rPr>
            <w:noProof/>
            <w:webHidden/>
          </w:rPr>
        </w:r>
        <w:r w:rsidR="0007517D">
          <w:rPr>
            <w:noProof/>
            <w:webHidden/>
          </w:rPr>
          <w:fldChar w:fldCharType="separate"/>
        </w:r>
        <w:r w:rsidR="008F307B">
          <w:rPr>
            <w:noProof/>
            <w:webHidden/>
          </w:rPr>
          <w:t>11</w:t>
        </w:r>
        <w:r w:rsidR="0007517D">
          <w:rPr>
            <w:noProof/>
            <w:webHidden/>
          </w:rPr>
          <w:fldChar w:fldCharType="end"/>
        </w:r>
      </w:hyperlink>
    </w:p>
    <w:p w14:paraId="05DB8CBF" w14:textId="6AFEF3E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7" w:history="1">
        <w:r w:rsidR="0007517D" w:rsidRPr="00E87C54">
          <w:rPr>
            <w:rStyle w:val="Hyperlink"/>
            <w:noProof/>
          </w:rPr>
          <w:t>15.</w:t>
        </w:r>
        <w:r w:rsidR="0007517D">
          <w:rPr>
            <w:rFonts w:asciiTheme="minorHAnsi" w:eastAsiaTheme="minorEastAsia" w:hAnsiTheme="minorHAnsi" w:cstheme="minorBidi"/>
            <w:b w:val="0"/>
            <w:bCs w:val="0"/>
            <w:noProof/>
            <w:sz w:val="22"/>
            <w:szCs w:val="22"/>
          </w:rPr>
          <w:tab/>
        </w:r>
        <w:r w:rsidR="0007517D" w:rsidRPr="00E87C54">
          <w:rPr>
            <w:rStyle w:val="Hyperlink"/>
            <w:noProof/>
          </w:rPr>
          <w:t>Travel and Per Diem</w:t>
        </w:r>
        <w:r w:rsidR="0007517D">
          <w:rPr>
            <w:noProof/>
            <w:webHidden/>
          </w:rPr>
          <w:tab/>
        </w:r>
        <w:r w:rsidR="0007517D">
          <w:rPr>
            <w:noProof/>
            <w:webHidden/>
          </w:rPr>
          <w:fldChar w:fldCharType="begin"/>
        </w:r>
        <w:r w:rsidR="0007517D">
          <w:rPr>
            <w:noProof/>
            <w:webHidden/>
          </w:rPr>
          <w:instrText xml:space="preserve"> PAGEREF _Toc88230227 \h </w:instrText>
        </w:r>
        <w:r w:rsidR="0007517D">
          <w:rPr>
            <w:noProof/>
            <w:webHidden/>
          </w:rPr>
        </w:r>
        <w:r w:rsidR="0007517D">
          <w:rPr>
            <w:noProof/>
            <w:webHidden/>
          </w:rPr>
          <w:fldChar w:fldCharType="separate"/>
        </w:r>
        <w:r w:rsidR="008F307B">
          <w:rPr>
            <w:noProof/>
            <w:webHidden/>
          </w:rPr>
          <w:t>12</w:t>
        </w:r>
        <w:r w:rsidR="0007517D">
          <w:rPr>
            <w:noProof/>
            <w:webHidden/>
          </w:rPr>
          <w:fldChar w:fldCharType="end"/>
        </w:r>
      </w:hyperlink>
    </w:p>
    <w:p w14:paraId="52B32472" w14:textId="3D72BBE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8" w:history="1">
        <w:r w:rsidR="0007517D" w:rsidRPr="00E87C54">
          <w:rPr>
            <w:rStyle w:val="Hyperlink"/>
            <w:noProof/>
          </w:rPr>
          <w:t>16.</w:t>
        </w:r>
        <w:r w:rsidR="0007517D">
          <w:rPr>
            <w:rFonts w:asciiTheme="minorHAnsi" w:eastAsiaTheme="minorEastAsia" w:hAnsiTheme="minorHAnsi" w:cstheme="minorBidi"/>
            <w:b w:val="0"/>
            <w:bCs w:val="0"/>
            <w:noProof/>
            <w:sz w:val="22"/>
            <w:szCs w:val="22"/>
          </w:rPr>
          <w:tab/>
        </w:r>
        <w:r w:rsidR="0007517D" w:rsidRPr="00E87C54">
          <w:rPr>
            <w:rStyle w:val="Hyperlink"/>
            <w:noProof/>
          </w:rPr>
          <w:t>Standard of Performance</w:t>
        </w:r>
        <w:r w:rsidR="0007517D">
          <w:rPr>
            <w:noProof/>
            <w:webHidden/>
          </w:rPr>
          <w:tab/>
        </w:r>
        <w:r w:rsidR="0007517D">
          <w:rPr>
            <w:noProof/>
            <w:webHidden/>
          </w:rPr>
          <w:fldChar w:fldCharType="begin"/>
        </w:r>
        <w:r w:rsidR="0007517D">
          <w:rPr>
            <w:noProof/>
            <w:webHidden/>
          </w:rPr>
          <w:instrText xml:space="preserve"> PAGEREF _Toc88230228 \h </w:instrText>
        </w:r>
        <w:r w:rsidR="0007517D">
          <w:rPr>
            <w:noProof/>
            <w:webHidden/>
          </w:rPr>
        </w:r>
        <w:r w:rsidR="0007517D">
          <w:rPr>
            <w:noProof/>
            <w:webHidden/>
          </w:rPr>
          <w:fldChar w:fldCharType="separate"/>
        </w:r>
        <w:r w:rsidR="008F307B">
          <w:rPr>
            <w:noProof/>
            <w:webHidden/>
          </w:rPr>
          <w:t>12</w:t>
        </w:r>
        <w:r w:rsidR="0007517D">
          <w:rPr>
            <w:noProof/>
            <w:webHidden/>
          </w:rPr>
          <w:fldChar w:fldCharType="end"/>
        </w:r>
      </w:hyperlink>
    </w:p>
    <w:p w14:paraId="3D8A17EF" w14:textId="5499FAD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9" w:history="1">
        <w:r w:rsidR="0007517D" w:rsidRPr="00E87C54">
          <w:rPr>
            <w:rStyle w:val="Hyperlink"/>
            <w:noProof/>
          </w:rPr>
          <w:t>17.</w:t>
        </w:r>
        <w:r w:rsidR="0007517D">
          <w:rPr>
            <w:rFonts w:asciiTheme="minorHAnsi" w:eastAsiaTheme="minorEastAsia" w:hAnsiTheme="minorHAnsi" w:cstheme="minorBidi"/>
            <w:b w:val="0"/>
            <w:bCs w:val="0"/>
            <w:noProof/>
            <w:sz w:val="22"/>
            <w:szCs w:val="22"/>
          </w:rPr>
          <w:tab/>
        </w:r>
        <w:r w:rsidR="0007517D" w:rsidRPr="00E87C54">
          <w:rPr>
            <w:rStyle w:val="Hyperlink"/>
            <w:noProof/>
          </w:rPr>
          <w:t>Payment of Funds</w:t>
        </w:r>
        <w:r w:rsidR="0007517D">
          <w:rPr>
            <w:noProof/>
            <w:webHidden/>
          </w:rPr>
          <w:tab/>
        </w:r>
        <w:r w:rsidR="0007517D">
          <w:rPr>
            <w:noProof/>
            <w:webHidden/>
          </w:rPr>
          <w:fldChar w:fldCharType="begin"/>
        </w:r>
        <w:r w:rsidR="0007517D">
          <w:rPr>
            <w:noProof/>
            <w:webHidden/>
          </w:rPr>
          <w:instrText xml:space="preserve"> PAGEREF _Toc88230229 \h </w:instrText>
        </w:r>
        <w:r w:rsidR="0007517D">
          <w:rPr>
            <w:noProof/>
            <w:webHidden/>
          </w:rPr>
        </w:r>
        <w:r w:rsidR="0007517D">
          <w:rPr>
            <w:noProof/>
            <w:webHidden/>
          </w:rPr>
          <w:fldChar w:fldCharType="separate"/>
        </w:r>
        <w:r w:rsidR="008F307B">
          <w:rPr>
            <w:noProof/>
            <w:webHidden/>
          </w:rPr>
          <w:t>13</w:t>
        </w:r>
        <w:r w:rsidR="0007517D">
          <w:rPr>
            <w:noProof/>
            <w:webHidden/>
          </w:rPr>
          <w:fldChar w:fldCharType="end"/>
        </w:r>
      </w:hyperlink>
    </w:p>
    <w:p w14:paraId="75C50297" w14:textId="410037F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0" w:history="1">
        <w:r w:rsidR="0007517D" w:rsidRPr="00E87C54">
          <w:rPr>
            <w:rStyle w:val="Hyperlink"/>
            <w:noProof/>
          </w:rPr>
          <w:t>18.</w:t>
        </w:r>
        <w:r w:rsidR="0007517D">
          <w:rPr>
            <w:rFonts w:asciiTheme="minorHAnsi" w:eastAsiaTheme="minorEastAsia" w:hAnsiTheme="minorHAnsi" w:cstheme="minorBidi"/>
            <w:b w:val="0"/>
            <w:bCs w:val="0"/>
            <w:noProof/>
            <w:sz w:val="22"/>
            <w:szCs w:val="22"/>
          </w:rPr>
          <w:tab/>
        </w:r>
        <w:r w:rsidR="0007517D" w:rsidRPr="00E87C54">
          <w:rPr>
            <w:rStyle w:val="Hyperlink"/>
            <w:noProof/>
          </w:rPr>
          <w:t>Fiscal Accounting Requirements</w:t>
        </w:r>
        <w:r w:rsidR="0007517D">
          <w:rPr>
            <w:noProof/>
            <w:webHidden/>
          </w:rPr>
          <w:tab/>
        </w:r>
        <w:r w:rsidR="0007517D">
          <w:rPr>
            <w:noProof/>
            <w:webHidden/>
          </w:rPr>
          <w:fldChar w:fldCharType="begin"/>
        </w:r>
        <w:r w:rsidR="0007517D">
          <w:rPr>
            <w:noProof/>
            <w:webHidden/>
          </w:rPr>
          <w:instrText xml:space="preserve"> PAGEREF _Toc88230230 \h </w:instrText>
        </w:r>
        <w:r w:rsidR="0007517D">
          <w:rPr>
            <w:noProof/>
            <w:webHidden/>
          </w:rPr>
        </w:r>
        <w:r w:rsidR="0007517D">
          <w:rPr>
            <w:noProof/>
            <w:webHidden/>
          </w:rPr>
          <w:fldChar w:fldCharType="separate"/>
        </w:r>
        <w:r w:rsidR="008F307B">
          <w:rPr>
            <w:noProof/>
            <w:webHidden/>
          </w:rPr>
          <w:t>16</w:t>
        </w:r>
        <w:r w:rsidR="0007517D">
          <w:rPr>
            <w:noProof/>
            <w:webHidden/>
          </w:rPr>
          <w:fldChar w:fldCharType="end"/>
        </w:r>
      </w:hyperlink>
    </w:p>
    <w:p w14:paraId="220141BC" w14:textId="5B783E29"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1" w:history="1">
        <w:r w:rsidR="0007517D" w:rsidRPr="00E87C54">
          <w:rPr>
            <w:rStyle w:val="Hyperlink"/>
            <w:noProof/>
          </w:rPr>
          <w:t>19.</w:t>
        </w:r>
        <w:r w:rsidR="0007517D">
          <w:rPr>
            <w:rFonts w:asciiTheme="minorHAnsi" w:eastAsiaTheme="minorEastAsia" w:hAnsiTheme="minorHAnsi" w:cstheme="minorBidi"/>
            <w:b w:val="0"/>
            <w:bCs w:val="0"/>
            <w:noProof/>
            <w:sz w:val="22"/>
            <w:szCs w:val="22"/>
          </w:rPr>
          <w:tab/>
        </w:r>
        <w:r w:rsidR="0007517D" w:rsidRPr="00E87C54">
          <w:rPr>
            <w:rStyle w:val="Hyperlink"/>
            <w:noProof/>
          </w:rPr>
          <w:t>Indemnification</w:t>
        </w:r>
        <w:r w:rsidR="0007517D">
          <w:rPr>
            <w:noProof/>
            <w:webHidden/>
          </w:rPr>
          <w:tab/>
        </w:r>
        <w:r w:rsidR="0007517D">
          <w:rPr>
            <w:noProof/>
            <w:webHidden/>
          </w:rPr>
          <w:fldChar w:fldCharType="begin"/>
        </w:r>
        <w:r w:rsidR="0007517D">
          <w:rPr>
            <w:noProof/>
            <w:webHidden/>
          </w:rPr>
          <w:instrText xml:space="preserve"> PAGEREF _Toc88230231 \h </w:instrText>
        </w:r>
        <w:r w:rsidR="0007517D">
          <w:rPr>
            <w:noProof/>
            <w:webHidden/>
          </w:rPr>
        </w:r>
        <w:r w:rsidR="0007517D">
          <w:rPr>
            <w:noProof/>
            <w:webHidden/>
          </w:rPr>
          <w:fldChar w:fldCharType="separate"/>
        </w:r>
        <w:r w:rsidR="008F307B">
          <w:rPr>
            <w:noProof/>
            <w:webHidden/>
          </w:rPr>
          <w:t>18</w:t>
        </w:r>
        <w:r w:rsidR="0007517D">
          <w:rPr>
            <w:noProof/>
            <w:webHidden/>
          </w:rPr>
          <w:fldChar w:fldCharType="end"/>
        </w:r>
      </w:hyperlink>
    </w:p>
    <w:p w14:paraId="25438BE9" w14:textId="38299AA8"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2" w:history="1">
        <w:r w:rsidR="0007517D" w:rsidRPr="00E87C54">
          <w:rPr>
            <w:rStyle w:val="Hyperlink"/>
            <w:noProof/>
          </w:rPr>
          <w:t>20.</w:t>
        </w:r>
        <w:r w:rsidR="0007517D">
          <w:rPr>
            <w:rFonts w:asciiTheme="minorHAnsi" w:eastAsiaTheme="minorEastAsia" w:hAnsiTheme="minorHAnsi" w:cstheme="minorBidi"/>
            <w:b w:val="0"/>
            <w:bCs w:val="0"/>
            <w:noProof/>
            <w:sz w:val="22"/>
            <w:szCs w:val="22"/>
          </w:rPr>
          <w:tab/>
        </w:r>
        <w:r w:rsidR="0007517D" w:rsidRPr="00E87C54">
          <w:rPr>
            <w:rStyle w:val="Hyperlink"/>
            <w:noProof/>
          </w:rPr>
          <w:t>Workers' Compensation Insurance</w:t>
        </w:r>
        <w:r w:rsidR="0007517D">
          <w:rPr>
            <w:noProof/>
            <w:webHidden/>
          </w:rPr>
          <w:tab/>
        </w:r>
        <w:r w:rsidR="0007517D">
          <w:rPr>
            <w:noProof/>
            <w:webHidden/>
          </w:rPr>
          <w:fldChar w:fldCharType="begin"/>
        </w:r>
        <w:r w:rsidR="0007517D">
          <w:rPr>
            <w:noProof/>
            <w:webHidden/>
          </w:rPr>
          <w:instrText xml:space="preserve"> PAGEREF _Toc88230232 \h </w:instrText>
        </w:r>
        <w:r w:rsidR="0007517D">
          <w:rPr>
            <w:noProof/>
            <w:webHidden/>
          </w:rPr>
        </w:r>
        <w:r w:rsidR="0007517D">
          <w:rPr>
            <w:noProof/>
            <w:webHidden/>
          </w:rPr>
          <w:fldChar w:fldCharType="separate"/>
        </w:r>
        <w:r w:rsidR="008F307B">
          <w:rPr>
            <w:noProof/>
            <w:webHidden/>
          </w:rPr>
          <w:t>18</w:t>
        </w:r>
        <w:r w:rsidR="0007517D">
          <w:rPr>
            <w:noProof/>
            <w:webHidden/>
          </w:rPr>
          <w:fldChar w:fldCharType="end"/>
        </w:r>
      </w:hyperlink>
    </w:p>
    <w:p w14:paraId="2B5B2F7B" w14:textId="64874E4B"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3" w:history="1">
        <w:r w:rsidR="0007517D" w:rsidRPr="00E87C54">
          <w:rPr>
            <w:rStyle w:val="Hyperlink"/>
            <w:noProof/>
          </w:rPr>
          <w:t>21.</w:t>
        </w:r>
        <w:r w:rsidR="0007517D">
          <w:rPr>
            <w:rFonts w:asciiTheme="minorHAnsi" w:eastAsiaTheme="minorEastAsia" w:hAnsiTheme="minorHAnsi" w:cstheme="minorBidi"/>
            <w:b w:val="0"/>
            <w:bCs w:val="0"/>
            <w:noProof/>
            <w:sz w:val="22"/>
            <w:szCs w:val="22"/>
          </w:rPr>
          <w:tab/>
        </w:r>
        <w:r w:rsidR="0007517D" w:rsidRPr="00E87C54">
          <w:rPr>
            <w:rStyle w:val="Hyperlink"/>
            <w:noProof/>
          </w:rPr>
          <w:t>General Provisions</w:t>
        </w:r>
        <w:r w:rsidR="0007517D">
          <w:rPr>
            <w:noProof/>
            <w:webHidden/>
          </w:rPr>
          <w:tab/>
        </w:r>
        <w:r w:rsidR="0007517D">
          <w:rPr>
            <w:noProof/>
            <w:webHidden/>
          </w:rPr>
          <w:fldChar w:fldCharType="begin"/>
        </w:r>
        <w:r w:rsidR="0007517D">
          <w:rPr>
            <w:noProof/>
            <w:webHidden/>
          </w:rPr>
          <w:instrText xml:space="preserve"> PAGEREF _Toc88230233 \h </w:instrText>
        </w:r>
        <w:r w:rsidR="0007517D">
          <w:rPr>
            <w:noProof/>
            <w:webHidden/>
          </w:rPr>
        </w:r>
        <w:r w:rsidR="0007517D">
          <w:rPr>
            <w:noProof/>
            <w:webHidden/>
          </w:rPr>
          <w:fldChar w:fldCharType="separate"/>
        </w:r>
        <w:r w:rsidR="008F307B">
          <w:rPr>
            <w:noProof/>
            <w:webHidden/>
          </w:rPr>
          <w:t>18</w:t>
        </w:r>
        <w:r w:rsidR="0007517D">
          <w:rPr>
            <w:noProof/>
            <w:webHidden/>
          </w:rPr>
          <w:fldChar w:fldCharType="end"/>
        </w:r>
      </w:hyperlink>
    </w:p>
    <w:p w14:paraId="6439403F" w14:textId="409D4777"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4" w:history="1">
        <w:r w:rsidR="0007517D" w:rsidRPr="00E87C54">
          <w:rPr>
            <w:rStyle w:val="Hyperlink"/>
            <w:noProof/>
          </w:rPr>
          <w:t>22.</w:t>
        </w:r>
        <w:r w:rsidR="0007517D">
          <w:rPr>
            <w:rFonts w:asciiTheme="minorHAnsi" w:eastAsiaTheme="minorEastAsia" w:hAnsiTheme="minorHAnsi" w:cstheme="minorBidi"/>
            <w:b w:val="0"/>
            <w:bCs w:val="0"/>
            <w:noProof/>
            <w:sz w:val="22"/>
            <w:szCs w:val="22"/>
          </w:rPr>
          <w:tab/>
        </w:r>
        <w:r w:rsidR="0007517D" w:rsidRPr="00E87C54">
          <w:rPr>
            <w:rStyle w:val="Hyperlink"/>
            <w:noProof/>
          </w:rPr>
          <w:t>Certifications and Compliance</w:t>
        </w:r>
        <w:r w:rsidR="0007517D">
          <w:rPr>
            <w:noProof/>
            <w:webHidden/>
          </w:rPr>
          <w:tab/>
        </w:r>
        <w:r w:rsidR="0007517D">
          <w:rPr>
            <w:noProof/>
            <w:webHidden/>
          </w:rPr>
          <w:fldChar w:fldCharType="begin"/>
        </w:r>
        <w:r w:rsidR="0007517D">
          <w:rPr>
            <w:noProof/>
            <w:webHidden/>
          </w:rPr>
          <w:instrText xml:space="preserve"> PAGEREF _Toc88230234 \h </w:instrText>
        </w:r>
        <w:r w:rsidR="0007517D">
          <w:rPr>
            <w:noProof/>
            <w:webHidden/>
          </w:rPr>
        </w:r>
        <w:r w:rsidR="0007517D">
          <w:rPr>
            <w:noProof/>
            <w:webHidden/>
          </w:rPr>
          <w:fldChar w:fldCharType="separate"/>
        </w:r>
        <w:r w:rsidR="008F307B">
          <w:rPr>
            <w:noProof/>
            <w:webHidden/>
          </w:rPr>
          <w:t>20</w:t>
        </w:r>
        <w:r w:rsidR="0007517D">
          <w:rPr>
            <w:noProof/>
            <w:webHidden/>
          </w:rPr>
          <w:fldChar w:fldCharType="end"/>
        </w:r>
      </w:hyperlink>
    </w:p>
    <w:p w14:paraId="0362A46E" w14:textId="59412DEA"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5" w:history="1">
        <w:r w:rsidR="0007517D" w:rsidRPr="00E87C54">
          <w:rPr>
            <w:rStyle w:val="Hyperlink"/>
            <w:noProof/>
          </w:rPr>
          <w:t>23.</w:t>
        </w:r>
        <w:r w:rsidR="0007517D">
          <w:rPr>
            <w:rFonts w:asciiTheme="minorHAnsi" w:eastAsiaTheme="minorEastAsia" w:hAnsiTheme="minorHAnsi" w:cstheme="minorBidi"/>
            <w:b w:val="0"/>
            <w:bCs w:val="0"/>
            <w:noProof/>
            <w:sz w:val="22"/>
            <w:szCs w:val="22"/>
          </w:rPr>
          <w:tab/>
        </w:r>
        <w:r w:rsidR="0007517D" w:rsidRPr="00E87C54">
          <w:rPr>
            <w:rStyle w:val="Hyperlink"/>
            <w:noProof/>
          </w:rPr>
          <w:t>Site Visits</w:t>
        </w:r>
        <w:r w:rsidR="0007517D">
          <w:rPr>
            <w:noProof/>
            <w:webHidden/>
          </w:rPr>
          <w:tab/>
        </w:r>
        <w:r w:rsidR="0007517D">
          <w:rPr>
            <w:noProof/>
            <w:webHidden/>
          </w:rPr>
          <w:fldChar w:fldCharType="begin"/>
        </w:r>
        <w:r w:rsidR="0007517D">
          <w:rPr>
            <w:noProof/>
            <w:webHidden/>
          </w:rPr>
          <w:instrText xml:space="preserve"> PAGEREF _Toc88230235 \h </w:instrText>
        </w:r>
        <w:r w:rsidR="0007517D">
          <w:rPr>
            <w:noProof/>
            <w:webHidden/>
          </w:rPr>
        </w:r>
        <w:r w:rsidR="0007517D">
          <w:rPr>
            <w:noProof/>
            <w:webHidden/>
          </w:rPr>
          <w:fldChar w:fldCharType="separate"/>
        </w:r>
        <w:r w:rsidR="008F307B">
          <w:rPr>
            <w:noProof/>
            <w:webHidden/>
          </w:rPr>
          <w:t>22</w:t>
        </w:r>
        <w:r w:rsidR="0007517D">
          <w:rPr>
            <w:noProof/>
            <w:webHidden/>
          </w:rPr>
          <w:fldChar w:fldCharType="end"/>
        </w:r>
      </w:hyperlink>
    </w:p>
    <w:bookmarkStart w:id="0" w:name="_Hlk124261606"/>
    <w:p w14:paraId="7A4AC6E1" w14:textId="28A00509" w:rsidR="0007517D" w:rsidRDefault="0026687B">
      <w:pPr>
        <w:pStyle w:val="TOC1"/>
        <w:tabs>
          <w:tab w:val="left" w:pos="720"/>
          <w:tab w:val="right" w:leader="dot" w:pos="9350"/>
        </w:tabs>
        <w:rPr>
          <w:noProof/>
        </w:rPr>
      </w:pPr>
      <w:r>
        <w:rPr>
          <w:noProof/>
        </w:rPr>
        <w:fldChar w:fldCharType="begin"/>
      </w:r>
      <w:r>
        <w:rPr>
          <w:noProof/>
        </w:rPr>
        <w:instrText xml:space="preserve"> HYPERLINK \l "_Toc88230236" </w:instrText>
      </w:r>
      <w:r>
        <w:rPr>
          <w:noProof/>
        </w:rPr>
      </w:r>
      <w:r>
        <w:rPr>
          <w:noProof/>
        </w:rPr>
        <w:fldChar w:fldCharType="separate"/>
      </w:r>
      <w:r w:rsidR="0007517D" w:rsidRPr="00E87C54">
        <w:rPr>
          <w:rStyle w:val="Hyperlink"/>
          <w:noProof/>
        </w:rPr>
        <w:t>24.</w:t>
      </w:r>
      <w:r w:rsidR="0007517D">
        <w:rPr>
          <w:rFonts w:asciiTheme="minorHAnsi" w:eastAsiaTheme="minorEastAsia" w:hAnsiTheme="minorHAnsi" w:cstheme="minorBidi"/>
          <w:b w:val="0"/>
          <w:bCs w:val="0"/>
          <w:noProof/>
          <w:sz w:val="22"/>
          <w:szCs w:val="22"/>
        </w:rPr>
        <w:tab/>
      </w:r>
      <w:r w:rsidR="0007517D" w:rsidRPr="00E87C54">
        <w:rPr>
          <w:rStyle w:val="Hyperlink"/>
          <w:noProof/>
        </w:rPr>
        <w:t>Confidential</w:t>
      </w:r>
      <w:r w:rsidR="0038157A">
        <w:rPr>
          <w:rStyle w:val="Hyperlink"/>
          <w:noProof/>
        </w:rPr>
        <w:t xml:space="preserve"> Recipient Information</w:t>
      </w:r>
      <w:r w:rsidR="0007517D">
        <w:rPr>
          <w:noProof/>
          <w:webHidden/>
        </w:rPr>
        <w:tab/>
      </w:r>
      <w:r w:rsidR="0007517D">
        <w:rPr>
          <w:noProof/>
          <w:webHidden/>
        </w:rPr>
        <w:fldChar w:fldCharType="begin"/>
      </w:r>
      <w:r w:rsidR="0007517D">
        <w:rPr>
          <w:noProof/>
          <w:webHidden/>
        </w:rPr>
        <w:instrText xml:space="preserve"> PAGEREF _Toc88230236 \h </w:instrText>
      </w:r>
      <w:r w:rsidR="0007517D">
        <w:rPr>
          <w:noProof/>
          <w:webHidden/>
        </w:rPr>
      </w:r>
      <w:r w:rsidR="0007517D">
        <w:rPr>
          <w:noProof/>
          <w:webHidden/>
        </w:rPr>
        <w:fldChar w:fldCharType="separate"/>
      </w:r>
      <w:r w:rsidR="008F307B">
        <w:rPr>
          <w:noProof/>
          <w:webHidden/>
        </w:rPr>
        <w:t>23</w:t>
      </w:r>
      <w:r w:rsidR="0007517D">
        <w:rPr>
          <w:noProof/>
          <w:webHidden/>
        </w:rPr>
        <w:fldChar w:fldCharType="end"/>
      </w:r>
      <w:r>
        <w:rPr>
          <w:noProof/>
        </w:rPr>
        <w:fldChar w:fldCharType="end"/>
      </w:r>
      <w:bookmarkEnd w:id="0"/>
    </w:p>
    <w:p w14:paraId="3BAB5D46" w14:textId="20D3B4C0" w:rsidR="0038157A" w:rsidRPr="0038157A" w:rsidRDefault="00000000" w:rsidP="0038157A">
      <w:pPr>
        <w:rPr>
          <w:rFonts w:eastAsiaTheme="minorEastAsia"/>
          <w:noProof/>
        </w:rPr>
      </w:pPr>
      <w:hyperlink w:anchor="_Toc88230236" w:history="1">
        <w:r w:rsidR="0038157A" w:rsidRPr="00E87C54">
          <w:rPr>
            <w:rStyle w:val="Hyperlink"/>
            <w:noProof/>
          </w:rPr>
          <w:t>24.</w:t>
        </w:r>
        <w:r w:rsidR="0038157A">
          <w:rPr>
            <w:rFonts w:asciiTheme="minorHAnsi" w:eastAsiaTheme="minorEastAsia" w:hAnsiTheme="minorHAnsi" w:cstheme="minorBidi"/>
            <w:noProof/>
            <w:sz w:val="22"/>
            <w:szCs w:val="22"/>
          </w:rPr>
          <w:tab/>
        </w:r>
        <w:r w:rsidR="0038157A">
          <w:rPr>
            <w:rStyle w:val="Hyperlink"/>
            <w:b/>
            <w:bCs/>
            <w:noProof/>
          </w:rPr>
          <w:t>Receipt of Confidential Information and Personal Information ................... 2</w:t>
        </w:r>
        <w:r w:rsidR="00DB2FFE">
          <w:rPr>
            <w:rStyle w:val="Hyperlink"/>
            <w:b/>
            <w:bCs/>
            <w:noProof/>
          </w:rPr>
          <w:t>3</w:t>
        </w:r>
      </w:hyperlink>
    </w:p>
    <w:p w14:paraId="21BCAB6A" w14:textId="000AA24E"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7" w:history="1">
        <w:r w:rsidR="0007517D" w:rsidRPr="00E87C54">
          <w:rPr>
            <w:rStyle w:val="Hyperlink"/>
            <w:noProof/>
          </w:rPr>
          <w:t>25.</w:t>
        </w:r>
        <w:r w:rsidR="0007517D">
          <w:rPr>
            <w:rFonts w:asciiTheme="minorHAnsi" w:eastAsiaTheme="minorEastAsia" w:hAnsiTheme="minorHAnsi" w:cstheme="minorBidi"/>
            <w:b w:val="0"/>
            <w:bCs w:val="0"/>
            <w:noProof/>
            <w:sz w:val="22"/>
            <w:szCs w:val="22"/>
          </w:rPr>
          <w:tab/>
        </w:r>
        <w:r w:rsidR="0007517D" w:rsidRPr="00E87C54">
          <w:rPr>
            <w:rStyle w:val="Hyperlink"/>
            <w:noProof/>
          </w:rPr>
          <w:t>Budget Contingency Clause</w:t>
        </w:r>
        <w:r w:rsidR="0007517D">
          <w:rPr>
            <w:noProof/>
            <w:webHidden/>
          </w:rPr>
          <w:tab/>
        </w:r>
        <w:r w:rsidR="0007517D">
          <w:rPr>
            <w:noProof/>
            <w:webHidden/>
          </w:rPr>
          <w:fldChar w:fldCharType="begin"/>
        </w:r>
        <w:r w:rsidR="0007517D">
          <w:rPr>
            <w:noProof/>
            <w:webHidden/>
          </w:rPr>
          <w:instrText xml:space="preserve"> PAGEREF _Toc88230237 \h </w:instrText>
        </w:r>
        <w:r w:rsidR="0007517D">
          <w:rPr>
            <w:noProof/>
            <w:webHidden/>
          </w:rPr>
        </w:r>
        <w:r w:rsidR="0007517D">
          <w:rPr>
            <w:noProof/>
            <w:webHidden/>
          </w:rPr>
          <w:fldChar w:fldCharType="separate"/>
        </w:r>
        <w:r w:rsidR="008F307B">
          <w:rPr>
            <w:noProof/>
            <w:webHidden/>
          </w:rPr>
          <w:t>2</w:t>
        </w:r>
        <w:r w:rsidR="00DB2FFE">
          <w:rPr>
            <w:noProof/>
            <w:webHidden/>
          </w:rPr>
          <w:t>5</w:t>
        </w:r>
        <w:r w:rsidR="0007517D">
          <w:rPr>
            <w:noProof/>
            <w:webHidden/>
          </w:rPr>
          <w:fldChar w:fldCharType="end"/>
        </w:r>
      </w:hyperlink>
    </w:p>
    <w:p w14:paraId="5E08B6C8" w14:textId="051C4649"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8" w:history="1">
        <w:r w:rsidR="0007517D" w:rsidRPr="00E87C54">
          <w:rPr>
            <w:rStyle w:val="Hyperlink"/>
            <w:noProof/>
          </w:rPr>
          <w:t>26.</w:t>
        </w:r>
        <w:r w:rsidR="0007517D">
          <w:rPr>
            <w:rFonts w:asciiTheme="minorHAnsi" w:eastAsiaTheme="minorEastAsia" w:hAnsiTheme="minorHAnsi" w:cstheme="minorBidi"/>
            <w:b w:val="0"/>
            <w:bCs w:val="0"/>
            <w:noProof/>
            <w:sz w:val="22"/>
            <w:szCs w:val="22"/>
          </w:rPr>
          <w:tab/>
        </w:r>
        <w:r w:rsidR="0007517D" w:rsidRPr="00E87C54">
          <w:rPr>
            <w:rStyle w:val="Hyperlink"/>
            <w:noProof/>
          </w:rPr>
          <w:t>Public Works -- Payment of Prevailing Wages</w:t>
        </w:r>
        <w:r w:rsidR="0007517D">
          <w:rPr>
            <w:noProof/>
            <w:webHidden/>
          </w:rPr>
          <w:tab/>
        </w:r>
        <w:r w:rsidR="0007517D">
          <w:rPr>
            <w:noProof/>
            <w:webHidden/>
          </w:rPr>
          <w:fldChar w:fldCharType="begin"/>
        </w:r>
        <w:r w:rsidR="0007517D">
          <w:rPr>
            <w:noProof/>
            <w:webHidden/>
          </w:rPr>
          <w:instrText xml:space="preserve"> PAGEREF _Toc88230238 \h </w:instrText>
        </w:r>
        <w:r w:rsidR="0007517D">
          <w:rPr>
            <w:noProof/>
            <w:webHidden/>
          </w:rPr>
        </w:r>
        <w:r w:rsidR="0007517D">
          <w:rPr>
            <w:noProof/>
            <w:webHidden/>
          </w:rPr>
          <w:fldChar w:fldCharType="separate"/>
        </w:r>
        <w:r w:rsidR="008F307B">
          <w:rPr>
            <w:noProof/>
            <w:webHidden/>
          </w:rPr>
          <w:t>25</w:t>
        </w:r>
        <w:r w:rsidR="0007517D">
          <w:rPr>
            <w:noProof/>
            <w:webHidden/>
          </w:rPr>
          <w:fldChar w:fldCharType="end"/>
        </w:r>
      </w:hyperlink>
    </w:p>
    <w:p w14:paraId="0F58F61E" w14:textId="4907DDCD"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9" w:history="1">
        <w:r w:rsidR="0007517D" w:rsidRPr="00E87C54">
          <w:rPr>
            <w:rStyle w:val="Hyperlink"/>
            <w:noProof/>
          </w:rPr>
          <w:t>27.</w:t>
        </w:r>
        <w:r w:rsidR="0007517D">
          <w:rPr>
            <w:rFonts w:asciiTheme="minorHAnsi" w:eastAsiaTheme="minorEastAsia" w:hAnsiTheme="minorHAnsi" w:cstheme="minorBidi"/>
            <w:b w:val="0"/>
            <w:bCs w:val="0"/>
            <w:noProof/>
            <w:sz w:val="22"/>
            <w:szCs w:val="22"/>
          </w:rPr>
          <w:tab/>
        </w:r>
        <w:r w:rsidR="0007517D" w:rsidRPr="00E87C54">
          <w:rPr>
            <w:rStyle w:val="Hyperlink"/>
            <w:noProof/>
          </w:rPr>
          <w:t>Intellectual Property</w:t>
        </w:r>
        <w:r w:rsidR="0007517D">
          <w:rPr>
            <w:noProof/>
            <w:webHidden/>
          </w:rPr>
          <w:tab/>
        </w:r>
        <w:r w:rsidR="0007517D">
          <w:rPr>
            <w:noProof/>
            <w:webHidden/>
          </w:rPr>
          <w:fldChar w:fldCharType="begin"/>
        </w:r>
        <w:r w:rsidR="0007517D">
          <w:rPr>
            <w:noProof/>
            <w:webHidden/>
          </w:rPr>
          <w:instrText xml:space="preserve"> PAGEREF _Toc88230239 \h </w:instrText>
        </w:r>
        <w:r w:rsidR="0007517D">
          <w:rPr>
            <w:noProof/>
            <w:webHidden/>
          </w:rPr>
        </w:r>
        <w:r w:rsidR="0007517D">
          <w:rPr>
            <w:noProof/>
            <w:webHidden/>
          </w:rPr>
          <w:fldChar w:fldCharType="separate"/>
        </w:r>
        <w:r w:rsidR="008F307B">
          <w:rPr>
            <w:noProof/>
            <w:webHidden/>
          </w:rPr>
          <w:t>28</w:t>
        </w:r>
        <w:r w:rsidR="0007517D">
          <w:rPr>
            <w:noProof/>
            <w:webHidden/>
          </w:rPr>
          <w:fldChar w:fldCharType="end"/>
        </w:r>
      </w:hyperlink>
    </w:p>
    <w:p w14:paraId="62E6A01B" w14:textId="11BA624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40" w:history="1">
        <w:r w:rsidR="0007517D" w:rsidRPr="00E87C54">
          <w:rPr>
            <w:rStyle w:val="Hyperlink"/>
            <w:noProof/>
          </w:rPr>
          <w:t>28.</w:t>
        </w:r>
        <w:r w:rsidR="0007517D">
          <w:rPr>
            <w:rFonts w:asciiTheme="minorHAnsi" w:eastAsiaTheme="minorEastAsia" w:hAnsiTheme="minorHAnsi" w:cstheme="minorBidi"/>
            <w:b w:val="0"/>
            <w:bCs w:val="0"/>
            <w:noProof/>
            <w:sz w:val="22"/>
            <w:szCs w:val="22"/>
          </w:rPr>
          <w:tab/>
        </w:r>
        <w:r w:rsidR="0007517D" w:rsidRPr="00E87C54">
          <w:rPr>
            <w:rStyle w:val="Hyperlink"/>
            <w:noProof/>
          </w:rPr>
          <w:t>Commission Remedies for Recipient’s Non-Compliance</w:t>
        </w:r>
        <w:r w:rsidR="0007517D">
          <w:rPr>
            <w:noProof/>
            <w:webHidden/>
          </w:rPr>
          <w:tab/>
        </w:r>
        <w:r w:rsidR="0007517D">
          <w:rPr>
            <w:noProof/>
            <w:webHidden/>
          </w:rPr>
          <w:fldChar w:fldCharType="begin"/>
        </w:r>
        <w:r w:rsidR="0007517D">
          <w:rPr>
            <w:noProof/>
            <w:webHidden/>
          </w:rPr>
          <w:instrText xml:space="preserve"> PAGEREF _Toc88230240 \h </w:instrText>
        </w:r>
        <w:r w:rsidR="0007517D">
          <w:rPr>
            <w:noProof/>
            <w:webHidden/>
          </w:rPr>
        </w:r>
        <w:r w:rsidR="0007517D">
          <w:rPr>
            <w:noProof/>
            <w:webHidden/>
          </w:rPr>
          <w:fldChar w:fldCharType="separate"/>
        </w:r>
        <w:r w:rsidR="008F307B">
          <w:rPr>
            <w:noProof/>
            <w:webHidden/>
          </w:rPr>
          <w:t>28</w:t>
        </w:r>
        <w:r w:rsidR="0007517D">
          <w:rPr>
            <w:noProof/>
            <w:webHidden/>
          </w:rPr>
          <w:fldChar w:fldCharType="end"/>
        </w:r>
      </w:hyperlink>
    </w:p>
    <w:p w14:paraId="44992963" w14:textId="4FC4AAF5" w:rsidR="0007517D" w:rsidRDefault="00000000">
      <w:pPr>
        <w:pStyle w:val="TOC1"/>
        <w:tabs>
          <w:tab w:val="left" w:pos="720"/>
          <w:tab w:val="right" w:leader="dot" w:pos="9350"/>
        </w:tabs>
        <w:rPr>
          <w:rStyle w:val="Hyperlink"/>
          <w:noProof/>
        </w:rPr>
      </w:pPr>
      <w:hyperlink w:anchor="_Toc88230241" w:history="1">
        <w:r w:rsidR="0007517D" w:rsidRPr="00E87C54">
          <w:rPr>
            <w:rStyle w:val="Hyperlink"/>
            <w:noProof/>
          </w:rPr>
          <w:t>29.</w:t>
        </w:r>
        <w:r w:rsidR="0007517D">
          <w:rPr>
            <w:rFonts w:asciiTheme="minorHAnsi" w:eastAsiaTheme="minorEastAsia" w:hAnsiTheme="minorHAnsi" w:cstheme="minorBidi"/>
            <w:b w:val="0"/>
            <w:bCs w:val="0"/>
            <w:noProof/>
            <w:sz w:val="22"/>
            <w:szCs w:val="22"/>
          </w:rPr>
          <w:tab/>
        </w:r>
        <w:r w:rsidR="0007517D" w:rsidRPr="00E87C54">
          <w:rPr>
            <w:rStyle w:val="Hyperlink"/>
            <w:noProof/>
          </w:rPr>
          <w:t>Assembly Bill 841 (2020)</w:t>
        </w:r>
        <w:r w:rsidR="0007517D">
          <w:rPr>
            <w:noProof/>
            <w:webHidden/>
          </w:rPr>
          <w:tab/>
        </w:r>
        <w:r w:rsidR="0007517D">
          <w:rPr>
            <w:noProof/>
            <w:webHidden/>
          </w:rPr>
          <w:fldChar w:fldCharType="begin"/>
        </w:r>
        <w:r w:rsidR="0007517D">
          <w:rPr>
            <w:noProof/>
            <w:webHidden/>
          </w:rPr>
          <w:instrText xml:space="preserve"> PAGEREF _Toc88230241 \h </w:instrText>
        </w:r>
        <w:r w:rsidR="0007517D">
          <w:rPr>
            <w:noProof/>
            <w:webHidden/>
          </w:rPr>
        </w:r>
        <w:r w:rsidR="0007517D">
          <w:rPr>
            <w:noProof/>
            <w:webHidden/>
          </w:rPr>
          <w:fldChar w:fldCharType="separate"/>
        </w:r>
        <w:r w:rsidR="008F307B">
          <w:rPr>
            <w:noProof/>
            <w:webHidden/>
          </w:rPr>
          <w:t>28</w:t>
        </w:r>
        <w:r w:rsidR="0007517D">
          <w:rPr>
            <w:noProof/>
            <w:webHidden/>
          </w:rPr>
          <w:fldChar w:fldCharType="end"/>
        </w:r>
      </w:hyperlink>
    </w:p>
    <w:p w14:paraId="61AE7FAA" w14:textId="7E64874D" w:rsidR="008A0669" w:rsidRDefault="008A0669" w:rsidP="008A0669">
      <w:pPr>
        <w:rPr>
          <w:rFonts w:eastAsiaTheme="minorEastAsia"/>
          <w:noProof/>
        </w:rPr>
      </w:pPr>
    </w:p>
    <w:p w14:paraId="1A3531D5" w14:textId="77777777" w:rsidR="00177E87" w:rsidRDefault="00177E87">
      <w:pPr>
        <w:rPr>
          <w:b/>
          <w:bCs/>
          <w:noProof/>
          <w:sz w:val="28"/>
          <w:szCs w:val="28"/>
        </w:rPr>
      </w:pPr>
      <w:r>
        <w:rPr>
          <w:b/>
          <w:bCs/>
          <w:noProof/>
          <w:sz w:val="28"/>
          <w:szCs w:val="28"/>
        </w:rPr>
        <w:br w:type="page"/>
      </w:r>
    </w:p>
    <w:p w14:paraId="0B70A670" w14:textId="6ADE0101" w:rsidR="00BE7671" w:rsidRDefault="00BE7671" w:rsidP="008A0669">
      <w:pPr>
        <w:jc w:val="center"/>
        <w:rPr>
          <w:b/>
          <w:bCs/>
          <w:noProof/>
          <w:sz w:val="28"/>
          <w:szCs w:val="28"/>
        </w:rPr>
      </w:pPr>
      <w:r>
        <w:rPr>
          <w:b/>
          <w:bCs/>
          <w:noProof/>
          <w:sz w:val="28"/>
          <w:szCs w:val="28"/>
        </w:rPr>
        <w:lastRenderedPageBreak/>
        <w:t>EXHIBIT C - APPENDIX 1</w:t>
      </w:r>
    </w:p>
    <w:p w14:paraId="46C1DDB2" w14:textId="4F47AACF" w:rsidR="008A0669" w:rsidRPr="008A0669" w:rsidRDefault="008A0669" w:rsidP="008A0669">
      <w:pPr>
        <w:jc w:val="center"/>
        <w:rPr>
          <w:b/>
          <w:bCs/>
          <w:noProof/>
          <w:sz w:val="28"/>
          <w:szCs w:val="28"/>
        </w:rPr>
      </w:pPr>
      <w:r w:rsidRPr="008A0669">
        <w:rPr>
          <w:b/>
          <w:bCs/>
          <w:noProof/>
          <w:sz w:val="28"/>
          <w:szCs w:val="28"/>
        </w:rPr>
        <w:t>STREAMLINING GRANT TERMS AND CONDITIONS</w:t>
      </w:r>
    </w:p>
    <w:p w14:paraId="71A7A069" w14:textId="77777777" w:rsidR="008A0669" w:rsidRPr="008A0669" w:rsidRDefault="008A0669" w:rsidP="008A0669">
      <w:pPr>
        <w:rPr>
          <w:rFonts w:eastAsiaTheme="minorEastAsia"/>
          <w:noProof/>
        </w:rPr>
      </w:pPr>
    </w:p>
    <w:p w14:paraId="42D5A54A" w14:textId="63E55ED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2"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Decoupling Products from Invoices</w:t>
        </w:r>
        <w:r w:rsidR="0007517D">
          <w:rPr>
            <w:noProof/>
            <w:webHidden/>
          </w:rPr>
          <w:tab/>
        </w:r>
        <w:r w:rsidR="0007517D">
          <w:rPr>
            <w:noProof/>
            <w:webHidden/>
          </w:rPr>
          <w:fldChar w:fldCharType="begin"/>
        </w:r>
        <w:r w:rsidR="0007517D">
          <w:rPr>
            <w:noProof/>
            <w:webHidden/>
          </w:rPr>
          <w:instrText xml:space="preserve"> PAGEREF _Toc88230242 \h </w:instrText>
        </w:r>
        <w:r w:rsidR="0007517D">
          <w:rPr>
            <w:noProof/>
            <w:webHidden/>
          </w:rPr>
        </w:r>
        <w:r w:rsidR="0007517D">
          <w:rPr>
            <w:noProof/>
            <w:webHidden/>
          </w:rPr>
          <w:fldChar w:fldCharType="separate"/>
        </w:r>
        <w:r w:rsidR="008F307B">
          <w:rPr>
            <w:noProof/>
            <w:webHidden/>
          </w:rPr>
          <w:t>31</w:t>
        </w:r>
        <w:r w:rsidR="0007517D">
          <w:rPr>
            <w:noProof/>
            <w:webHidden/>
          </w:rPr>
          <w:fldChar w:fldCharType="end"/>
        </w:r>
      </w:hyperlink>
    </w:p>
    <w:p w14:paraId="1932D80F" w14:textId="05B9090B"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3"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Quarterly Instead of Monthly Reports</w:t>
        </w:r>
        <w:r w:rsidR="0007517D">
          <w:rPr>
            <w:noProof/>
            <w:webHidden/>
          </w:rPr>
          <w:tab/>
        </w:r>
        <w:r w:rsidR="0007517D">
          <w:rPr>
            <w:noProof/>
            <w:webHidden/>
          </w:rPr>
          <w:fldChar w:fldCharType="begin"/>
        </w:r>
        <w:r w:rsidR="0007517D">
          <w:rPr>
            <w:noProof/>
            <w:webHidden/>
          </w:rPr>
          <w:instrText xml:space="preserve"> PAGEREF _Toc88230243 \h </w:instrText>
        </w:r>
        <w:r w:rsidR="0007517D">
          <w:rPr>
            <w:noProof/>
            <w:webHidden/>
          </w:rPr>
        </w:r>
        <w:r w:rsidR="0007517D">
          <w:rPr>
            <w:noProof/>
            <w:webHidden/>
          </w:rPr>
          <w:fldChar w:fldCharType="separate"/>
        </w:r>
        <w:r w:rsidR="008F307B">
          <w:rPr>
            <w:noProof/>
            <w:webHidden/>
          </w:rPr>
          <w:t>31</w:t>
        </w:r>
        <w:r w:rsidR="0007517D">
          <w:rPr>
            <w:noProof/>
            <w:webHidden/>
          </w:rPr>
          <w:fldChar w:fldCharType="end"/>
        </w:r>
      </w:hyperlink>
    </w:p>
    <w:p w14:paraId="4E977890" w14:textId="121101FE"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4"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New Requirement for Monthly Calls with the CAM</w:t>
        </w:r>
        <w:r w:rsidR="0007517D">
          <w:rPr>
            <w:noProof/>
            <w:webHidden/>
          </w:rPr>
          <w:tab/>
        </w:r>
        <w:r w:rsidR="0007517D">
          <w:rPr>
            <w:noProof/>
            <w:webHidden/>
          </w:rPr>
          <w:fldChar w:fldCharType="begin"/>
        </w:r>
        <w:r w:rsidR="0007517D">
          <w:rPr>
            <w:noProof/>
            <w:webHidden/>
          </w:rPr>
          <w:instrText xml:space="preserve"> PAGEREF _Toc88230244 \h </w:instrText>
        </w:r>
        <w:r w:rsidR="0007517D">
          <w:rPr>
            <w:noProof/>
            <w:webHidden/>
          </w:rPr>
        </w:r>
        <w:r w:rsidR="0007517D">
          <w:rPr>
            <w:noProof/>
            <w:webHidden/>
          </w:rPr>
          <w:fldChar w:fldCharType="separate"/>
        </w:r>
        <w:r w:rsidR="008F307B">
          <w:rPr>
            <w:noProof/>
            <w:webHidden/>
          </w:rPr>
          <w:t>31</w:t>
        </w:r>
        <w:r w:rsidR="0007517D">
          <w:rPr>
            <w:noProof/>
            <w:webHidden/>
          </w:rPr>
          <w:fldChar w:fldCharType="end"/>
        </w:r>
      </w:hyperlink>
    </w:p>
    <w:p w14:paraId="23F9003C" w14:textId="4583B14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5"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Amendments and Other Changes</w:t>
        </w:r>
        <w:r w:rsidR="0007517D">
          <w:rPr>
            <w:noProof/>
            <w:webHidden/>
          </w:rPr>
          <w:tab/>
        </w:r>
        <w:r w:rsidR="0007517D">
          <w:rPr>
            <w:noProof/>
            <w:webHidden/>
          </w:rPr>
          <w:fldChar w:fldCharType="begin"/>
        </w:r>
        <w:r w:rsidR="0007517D">
          <w:rPr>
            <w:noProof/>
            <w:webHidden/>
          </w:rPr>
          <w:instrText xml:space="preserve"> PAGEREF _Toc88230245 \h </w:instrText>
        </w:r>
        <w:r w:rsidR="0007517D">
          <w:rPr>
            <w:noProof/>
            <w:webHidden/>
          </w:rPr>
        </w:r>
        <w:r w:rsidR="0007517D">
          <w:rPr>
            <w:noProof/>
            <w:webHidden/>
          </w:rPr>
          <w:fldChar w:fldCharType="separate"/>
        </w:r>
        <w:r w:rsidR="008F307B">
          <w:rPr>
            <w:noProof/>
            <w:webHidden/>
          </w:rPr>
          <w:t>31</w:t>
        </w:r>
        <w:r w:rsidR="0007517D">
          <w:rPr>
            <w:noProof/>
            <w:webHidden/>
          </w:rPr>
          <w:fldChar w:fldCharType="end"/>
        </w:r>
      </w:hyperlink>
    </w:p>
    <w:p w14:paraId="228AC20F" w14:textId="3C3EF55E"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6"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Budgets and Payment of Funds</w:t>
        </w:r>
        <w:r w:rsidR="0007517D">
          <w:rPr>
            <w:noProof/>
            <w:webHidden/>
          </w:rPr>
          <w:tab/>
        </w:r>
        <w:r w:rsidR="0007517D">
          <w:rPr>
            <w:noProof/>
            <w:webHidden/>
          </w:rPr>
          <w:fldChar w:fldCharType="begin"/>
        </w:r>
        <w:r w:rsidR="0007517D">
          <w:rPr>
            <w:noProof/>
            <w:webHidden/>
          </w:rPr>
          <w:instrText xml:space="preserve"> PAGEREF _Toc88230246 \h </w:instrText>
        </w:r>
        <w:r w:rsidR="0007517D">
          <w:rPr>
            <w:noProof/>
            <w:webHidden/>
          </w:rPr>
        </w:r>
        <w:r w:rsidR="0007517D">
          <w:rPr>
            <w:noProof/>
            <w:webHidden/>
          </w:rPr>
          <w:fldChar w:fldCharType="separate"/>
        </w:r>
        <w:r w:rsidR="008F307B">
          <w:rPr>
            <w:noProof/>
            <w:webHidden/>
          </w:rPr>
          <w:t>34</w:t>
        </w:r>
        <w:r w:rsidR="0007517D">
          <w:rPr>
            <w:noProof/>
            <w:webHidden/>
          </w:rPr>
          <w:fldChar w:fldCharType="end"/>
        </w:r>
      </w:hyperlink>
    </w:p>
    <w:p w14:paraId="40437F22" w14:textId="3018F823"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7"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Incurred Costs</w:t>
        </w:r>
        <w:r w:rsidR="0007517D">
          <w:rPr>
            <w:noProof/>
            <w:webHidden/>
          </w:rPr>
          <w:tab/>
        </w:r>
        <w:r w:rsidR="0007517D">
          <w:rPr>
            <w:noProof/>
            <w:webHidden/>
          </w:rPr>
          <w:fldChar w:fldCharType="begin"/>
        </w:r>
        <w:r w:rsidR="0007517D">
          <w:rPr>
            <w:noProof/>
            <w:webHidden/>
          </w:rPr>
          <w:instrText xml:space="preserve"> PAGEREF _Toc88230247 \h </w:instrText>
        </w:r>
        <w:r w:rsidR="0007517D">
          <w:rPr>
            <w:noProof/>
            <w:webHidden/>
          </w:rPr>
        </w:r>
        <w:r w:rsidR="0007517D">
          <w:rPr>
            <w:noProof/>
            <w:webHidden/>
          </w:rPr>
          <w:fldChar w:fldCharType="separate"/>
        </w:r>
        <w:r w:rsidR="008F307B">
          <w:rPr>
            <w:noProof/>
            <w:webHidden/>
          </w:rPr>
          <w:t>38</w:t>
        </w:r>
        <w:r w:rsidR="0007517D">
          <w:rPr>
            <w:noProof/>
            <w:webHidden/>
          </w:rPr>
          <w:fldChar w:fldCharType="end"/>
        </w:r>
      </w:hyperlink>
    </w:p>
    <w:p w14:paraId="78711257" w14:textId="067E4BB9"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8"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Subrecipients and Vendors</w:t>
        </w:r>
        <w:r w:rsidR="0007517D">
          <w:rPr>
            <w:noProof/>
            <w:webHidden/>
          </w:rPr>
          <w:tab/>
        </w:r>
        <w:r w:rsidR="0007517D">
          <w:rPr>
            <w:noProof/>
            <w:webHidden/>
          </w:rPr>
          <w:fldChar w:fldCharType="begin"/>
        </w:r>
        <w:r w:rsidR="0007517D">
          <w:rPr>
            <w:noProof/>
            <w:webHidden/>
          </w:rPr>
          <w:instrText xml:space="preserve"> PAGEREF _Toc88230248 \h </w:instrText>
        </w:r>
        <w:r w:rsidR="0007517D">
          <w:rPr>
            <w:noProof/>
            <w:webHidden/>
          </w:rPr>
        </w:r>
        <w:r w:rsidR="0007517D">
          <w:rPr>
            <w:noProof/>
            <w:webHidden/>
          </w:rPr>
          <w:fldChar w:fldCharType="separate"/>
        </w:r>
        <w:r w:rsidR="008F307B">
          <w:rPr>
            <w:noProof/>
            <w:webHidden/>
          </w:rPr>
          <w:t>39</w:t>
        </w:r>
        <w:r w:rsidR="0007517D">
          <w:rPr>
            <w:noProof/>
            <w:webHidden/>
          </w:rPr>
          <w:fldChar w:fldCharType="end"/>
        </w:r>
      </w:hyperlink>
    </w:p>
    <w:p w14:paraId="24D98F64" w14:textId="3C51D62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9"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Match Fund Timing</w:t>
        </w:r>
        <w:r w:rsidR="0007517D">
          <w:rPr>
            <w:noProof/>
            <w:webHidden/>
          </w:rPr>
          <w:tab/>
        </w:r>
        <w:r w:rsidR="0007517D">
          <w:rPr>
            <w:noProof/>
            <w:webHidden/>
          </w:rPr>
          <w:fldChar w:fldCharType="begin"/>
        </w:r>
        <w:r w:rsidR="0007517D">
          <w:rPr>
            <w:noProof/>
            <w:webHidden/>
          </w:rPr>
          <w:instrText xml:space="preserve"> PAGEREF _Toc88230249 \h </w:instrText>
        </w:r>
        <w:r w:rsidR="0007517D">
          <w:rPr>
            <w:noProof/>
            <w:webHidden/>
          </w:rPr>
        </w:r>
        <w:r w:rsidR="0007517D">
          <w:rPr>
            <w:noProof/>
            <w:webHidden/>
          </w:rPr>
          <w:fldChar w:fldCharType="separate"/>
        </w:r>
        <w:r w:rsidR="008F307B">
          <w:rPr>
            <w:noProof/>
            <w:webHidden/>
          </w:rPr>
          <w:t>41</w:t>
        </w:r>
        <w:r w:rsidR="0007517D">
          <w:rPr>
            <w:noProof/>
            <w:webHidden/>
          </w:rPr>
          <w:fldChar w:fldCharType="end"/>
        </w:r>
      </w:hyperlink>
    </w:p>
    <w:p w14:paraId="39DCFFA7" w14:textId="45A39EA5"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DD7FF0">
          <w:headerReference w:type="default" r:id="rId11"/>
          <w:footerReference w:type="even" r:id="rId12"/>
          <w:footerReference w:type="default" r:id="rId13"/>
          <w:endnotePr>
            <w:numFmt w:val="decimal"/>
          </w:endnotePr>
          <w:pgSz w:w="12240" w:h="15840"/>
          <w:pgMar w:top="1440" w:right="1440" w:bottom="1440" w:left="1440" w:header="864" w:footer="720" w:gutter="0"/>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1D1755">
      <w:pPr>
        <w:pStyle w:val="Heading1"/>
      </w:pPr>
      <w:r w:rsidRPr="006C07B6">
        <w:tab/>
      </w:r>
      <w:bookmarkStart w:id="1" w:name="_Toc266800574"/>
      <w:bookmarkStart w:id="2" w:name="_Toc88229803"/>
      <w:bookmarkStart w:id="3" w:name="_Toc88230213"/>
      <w:r w:rsidRPr="006C07B6">
        <w:t>Grant Agreement</w:t>
      </w:r>
      <w:bookmarkEnd w:id="1"/>
      <w:bookmarkEnd w:id="2"/>
      <w:bookmarkEnd w:id="3"/>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1D1755">
      <w:pPr>
        <w:pStyle w:val="Heading1"/>
      </w:pPr>
      <w:r w:rsidRPr="006C07B6">
        <w:tab/>
      </w:r>
      <w:bookmarkStart w:id="4" w:name="_Toc88229804"/>
      <w:bookmarkStart w:id="5" w:name="_Toc88230214"/>
      <w:r w:rsidR="00B7185B" w:rsidRPr="00B7185B">
        <w:t>Documents Incorporated by Reference</w:t>
      </w:r>
      <w:bookmarkEnd w:id="4"/>
      <w:bookmarkEnd w:id="5"/>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115F52A2" w:rsid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10F1D0C5" w14:textId="27E2C6B9" w:rsidR="00C06425" w:rsidRPr="00C06425" w:rsidRDefault="00C06425" w:rsidP="00C06425">
      <w:pPr>
        <w:tabs>
          <w:tab w:val="left" w:pos="6133"/>
        </w:tabs>
        <w:rPr>
          <w:rFonts w:cs="Arial"/>
        </w:rPr>
      </w:pPr>
      <w:r>
        <w:rPr>
          <w:rFonts w:cs="Arial"/>
        </w:rPr>
        <w:tab/>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1D1755">
      <w:pPr>
        <w:pStyle w:val="Heading1"/>
      </w:pPr>
      <w:r w:rsidRPr="006C07B6">
        <w:rPr>
          <w:spacing w:val="-3"/>
        </w:rPr>
        <w:tab/>
      </w:r>
      <w:bookmarkStart w:id="6" w:name="_Toc266800576"/>
      <w:bookmarkStart w:id="7" w:name="_Toc88229805"/>
      <w:bookmarkStart w:id="8" w:name="_Toc88230215"/>
      <w:r w:rsidRPr="006C07B6">
        <w:t>Funding Limitations</w:t>
      </w:r>
      <w:bookmarkEnd w:id="6"/>
      <w:bookmarkEnd w:id="7"/>
      <w:bookmarkEnd w:id="8"/>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1D1755">
      <w:pPr>
        <w:pStyle w:val="Heading1"/>
      </w:pPr>
      <w:r w:rsidRPr="006C07B6">
        <w:tab/>
      </w:r>
      <w:bookmarkStart w:id="9" w:name="_Toc266800577"/>
      <w:bookmarkStart w:id="10" w:name="_Toc88229806"/>
      <w:bookmarkStart w:id="11" w:name="_Toc88230216"/>
      <w:r w:rsidRPr="006C07B6">
        <w:t>Due Diligence</w:t>
      </w:r>
      <w:bookmarkEnd w:id="9"/>
      <w:bookmarkEnd w:id="10"/>
      <w:bookmarkEnd w:id="11"/>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1D1755">
      <w:pPr>
        <w:pStyle w:val="Heading1"/>
      </w:pPr>
      <w:r w:rsidRPr="006C07B6">
        <w:tab/>
      </w:r>
      <w:bookmarkStart w:id="12" w:name="_Toc266800578"/>
      <w:bookmarkStart w:id="13" w:name="_Toc88229807"/>
      <w:bookmarkStart w:id="14" w:name="_Toc88230217"/>
      <w:r w:rsidRPr="006C07B6">
        <w:t>Products</w:t>
      </w:r>
      <w:bookmarkEnd w:id="12"/>
      <w:bookmarkEnd w:id="13"/>
      <w:bookmarkEnd w:id="14"/>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1D1755">
      <w:pPr>
        <w:pStyle w:val="Heading1"/>
      </w:pPr>
      <w:r w:rsidRPr="006C07B6">
        <w:tab/>
      </w:r>
      <w:bookmarkStart w:id="15" w:name="_Toc266800579"/>
      <w:bookmarkStart w:id="16" w:name="_Toc88229808"/>
      <w:bookmarkStart w:id="17" w:name="_Toc88230218"/>
      <w:r w:rsidRPr="006C07B6">
        <w:t>Reports</w:t>
      </w:r>
      <w:bookmarkEnd w:id="15"/>
      <w:bookmarkEnd w:id="16"/>
      <w:bookmarkEnd w:id="17"/>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6AF3BC1"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w:t>
      </w:r>
      <w:r w:rsidR="009574BB">
        <w:rPr>
          <w:rFonts w:cs="Arial"/>
          <w:spacing w:val="-3"/>
        </w:rPr>
        <w:t>in accordance with the currently approved Schedule of Products and Due Dates</w:t>
      </w:r>
      <w:r w:rsidRPr="006C07B6">
        <w:rPr>
          <w:rFonts w:cs="Arial"/>
          <w:spacing w:val="-3"/>
        </w:rPr>
        <w:t>.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68D10702" w14:textId="506A4979" w:rsidR="00C96EFD" w:rsidRPr="00ED5CA1" w:rsidRDefault="00F17A9F" w:rsidP="00ED5CA1">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62A7B7CC" w14:textId="77777777" w:rsidR="00430CD1" w:rsidRPr="00430CD1" w:rsidRDefault="00F17A9F" w:rsidP="00590433">
      <w:pPr>
        <w:pStyle w:val="xxparagraph"/>
        <w:spacing w:after="240"/>
        <w:ind w:left="720"/>
        <w:jc w:val="both"/>
        <w:rPr>
          <w:rFonts w:ascii="Arial" w:hAnsi="Arial" w:cs="Arial"/>
          <w:sz w:val="24"/>
          <w:szCs w:val="24"/>
        </w:rPr>
      </w:pPr>
      <w:r w:rsidRPr="00430CD1">
        <w:rPr>
          <w:rFonts w:ascii="Arial" w:hAnsi="Arial" w:cs="Arial"/>
          <w:spacing w:val="-3"/>
          <w:sz w:val="24"/>
          <w:szCs w:val="24"/>
        </w:rPr>
        <w:t>c.</w:t>
      </w:r>
      <w:r w:rsidRPr="00430CD1">
        <w:rPr>
          <w:rFonts w:ascii="Arial" w:hAnsi="Arial" w:cs="Arial"/>
          <w:spacing w:val="-3"/>
          <w:sz w:val="24"/>
          <w:szCs w:val="24"/>
        </w:rPr>
        <w:tab/>
      </w:r>
      <w:r w:rsidR="00430CD1" w:rsidRPr="00430CD1">
        <w:rPr>
          <w:rStyle w:val="xxcontentpasted0"/>
          <w:rFonts w:ascii="Arial" w:hAnsi="Arial" w:cs="Arial"/>
          <w:color w:val="000000"/>
          <w:sz w:val="24"/>
          <w:szCs w:val="24"/>
        </w:rPr>
        <w:t>Electric Vehicle Charger Inventory Report </w:t>
      </w:r>
    </w:p>
    <w:p w14:paraId="574308D1" w14:textId="77777777" w:rsidR="00430CD1" w:rsidRPr="00430CD1" w:rsidRDefault="00430CD1" w:rsidP="00430CD1">
      <w:pPr>
        <w:pStyle w:val="xxparagraph"/>
        <w:ind w:left="1440"/>
        <w:jc w:val="both"/>
        <w:rPr>
          <w:rFonts w:ascii="Arial" w:hAnsi="Arial" w:cs="Arial"/>
          <w:sz w:val="24"/>
          <w:szCs w:val="24"/>
        </w:rPr>
      </w:pPr>
      <w:r w:rsidRPr="00430CD1">
        <w:rPr>
          <w:rStyle w:val="xxcontentpasted0"/>
          <w:rFonts w:ascii="Arial" w:hAnsi="Arial" w:cs="Arial"/>
          <w:color w:val="000000"/>
          <w:sz w:val="24"/>
          <w:szCs w:val="24"/>
        </w:rPr>
        <w:t>The Recipient shall submit Electric Vehicle Charger Inventory Reports as indicated in the Special Conditions or Work Statement.  </w:t>
      </w:r>
    </w:p>
    <w:p w14:paraId="41B60F7E" w14:textId="77777777" w:rsidR="00430CD1" w:rsidRPr="00430CD1" w:rsidRDefault="00430CD1" w:rsidP="00430CD1">
      <w:pPr>
        <w:pStyle w:val="xxparagraph"/>
        <w:ind w:left="1440"/>
        <w:jc w:val="both"/>
        <w:rPr>
          <w:rFonts w:ascii="Arial" w:hAnsi="Arial" w:cs="Arial"/>
          <w:sz w:val="24"/>
          <w:szCs w:val="24"/>
        </w:rPr>
      </w:pPr>
      <w:r w:rsidRPr="00430CD1">
        <w:rPr>
          <w:rStyle w:val="xxeop"/>
          <w:rFonts w:ascii="Arial" w:hAnsi="Arial" w:cs="Arial"/>
          <w:color w:val="000000"/>
          <w:sz w:val="24"/>
          <w:szCs w:val="24"/>
        </w:rPr>
        <w:t> </w:t>
      </w:r>
    </w:p>
    <w:p w14:paraId="007D3F40" w14:textId="77777777" w:rsidR="00430CD1" w:rsidRPr="00430CD1" w:rsidRDefault="00430CD1" w:rsidP="00430CD1">
      <w:pPr>
        <w:pStyle w:val="xxparagraph"/>
        <w:ind w:left="1440"/>
        <w:jc w:val="both"/>
        <w:rPr>
          <w:rFonts w:ascii="Arial" w:hAnsi="Arial" w:cs="Arial"/>
          <w:sz w:val="24"/>
          <w:szCs w:val="24"/>
        </w:rPr>
      </w:pPr>
      <w:r w:rsidRPr="00430CD1">
        <w:rPr>
          <w:rStyle w:val="xxcontentpasted0"/>
          <w:rFonts w:ascii="Arial" w:hAnsi="Arial" w:cs="Arial"/>
          <w:color w:val="000000"/>
          <w:sz w:val="24"/>
          <w:szCs w:val="24"/>
        </w:rPr>
        <w:t xml:space="preserve">If the Recipient is a charging network provider, each Electric Vehicle Charger Inventory Report shall include counts of all the chargers in the </w:t>
      </w:r>
      <w:r w:rsidRPr="00430CD1">
        <w:rPr>
          <w:rStyle w:val="xxcontentpasted0"/>
          <w:rFonts w:ascii="Arial" w:hAnsi="Arial" w:cs="Arial"/>
          <w:color w:val="000000"/>
          <w:sz w:val="24"/>
          <w:szCs w:val="24"/>
        </w:rPr>
        <w:lastRenderedPageBreak/>
        <w:t>electric vehicle charging network in California. If the Recipient is not a charging network provider, each electric vehicle charger inventory report shall include all the chargers the Recipient operates in California. </w:t>
      </w:r>
    </w:p>
    <w:p w14:paraId="5FF031FF" w14:textId="77777777" w:rsidR="00430CD1" w:rsidRPr="00430CD1" w:rsidRDefault="00430CD1" w:rsidP="00430CD1">
      <w:pPr>
        <w:pStyle w:val="xxparagraph"/>
        <w:ind w:left="1440"/>
        <w:jc w:val="both"/>
        <w:rPr>
          <w:rFonts w:ascii="Arial" w:hAnsi="Arial" w:cs="Arial"/>
          <w:sz w:val="24"/>
          <w:szCs w:val="24"/>
        </w:rPr>
      </w:pPr>
      <w:r w:rsidRPr="00430CD1">
        <w:rPr>
          <w:rStyle w:val="xxeop"/>
          <w:rFonts w:ascii="Arial" w:hAnsi="Arial" w:cs="Arial"/>
          <w:color w:val="000000"/>
          <w:sz w:val="24"/>
          <w:szCs w:val="24"/>
        </w:rPr>
        <w:t> </w:t>
      </w:r>
    </w:p>
    <w:p w14:paraId="1CBAE2E0" w14:textId="77777777" w:rsidR="00430CD1" w:rsidRPr="00430CD1" w:rsidRDefault="00430CD1" w:rsidP="005D6967">
      <w:pPr>
        <w:pStyle w:val="xxmsolistparagraph"/>
        <w:spacing w:line="300" w:lineRule="atLeast"/>
        <w:ind w:left="1440"/>
        <w:rPr>
          <w:rFonts w:ascii="Arial" w:hAnsi="Arial" w:cs="Arial"/>
          <w:sz w:val="24"/>
          <w:szCs w:val="24"/>
        </w:rPr>
      </w:pPr>
      <w:r w:rsidRPr="00430CD1">
        <w:rPr>
          <w:rStyle w:val="xxcontentpasted0"/>
          <w:rFonts w:ascii="Arial" w:hAnsi="Arial" w:cs="Arial"/>
          <w:color w:val="000000"/>
          <w:sz w:val="24"/>
          <w:szCs w:val="24"/>
        </w:rPr>
        <w:t>“Charging network provider” is defined as the entity that operates the digital communication network that remotely manages one or more chargers. Charging network providers may also serve as charging station operators and/or manufacture chargers. </w:t>
      </w:r>
    </w:p>
    <w:p w14:paraId="489E6525" w14:textId="77777777" w:rsidR="00430CD1" w:rsidRPr="00430CD1" w:rsidRDefault="00430CD1" w:rsidP="00430CD1">
      <w:pPr>
        <w:pStyle w:val="xxparagraph"/>
        <w:jc w:val="both"/>
        <w:rPr>
          <w:rFonts w:ascii="Arial" w:hAnsi="Arial" w:cs="Arial"/>
          <w:sz w:val="24"/>
          <w:szCs w:val="24"/>
        </w:rPr>
      </w:pPr>
      <w:r w:rsidRPr="00430CD1">
        <w:rPr>
          <w:rStyle w:val="xxeop"/>
          <w:rFonts w:ascii="Arial" w:hAnsi="Arial" w:cs="Arial"/>
          <w:color w:val="000000"/>
          <w:sz w:val="24"/>
          <w:szCs w:val="24"/>
        </w:rPr>
        <w:t> </w:t>
      </w:r>
    </w:p>
    <w:p w14:paraId="7F9B1800" w14:textId="77777777" w:rsidR="00430CD1" w:rsidRDefault="00430CD1" w:rsidP="00430CD1">
      <w:pPr>
        <w:pStyle w:val="xxparagraph"/>
        <w:ind w:left="1440"/>
        <w:jc w:val="both"/>
      </w:pPr>
      <w:r w:rsidRPr="00430CD1">
        <w:rPr>
          <w:rStyle w:val="xxcontentpasted0"/>
          <w:rFonts w:ascii="Arial" w:hAnsi="Arial" w:cs="Arial"/>
          <w:color w:val="000000"/>
          <w:sz w:val="24"/>
          <w:szCs w:val="24"/>
        </w:rPr>
        <w:t>Submission of a report in compliance with a regulation promulgated by the CEC that contains substantially similar reporting requirements shall be considered to satisfy this requirement. </w:t>
      </w:r>
    </w:p>
    <w:p w14:paraId="419842D0" w14:textId="77777777" w:rsidR="00C36FA7" w:rsidRDefault="00C36FA7" w:rsidP="00E31545">
      <w:pPr>
        <w:keepLines/>
        <w:widowControl w:val="0"/>
        <w:tabs>
          <w:tab w:val="left" w:pos="-720"/>
        </w:tabs>
        <w:jc w:val="both"/>
        <w:rPr>
          <w:rFonts w:cs="Arial"/>
          <w:spacing w:val="-3"/>
        </w:rPr>
      </w:pPr>
    </w:p>
    <w:p w14:paraId="24317F50" w14:textId="02DB4989" w:rsidR="00ED5CA1" w:rsidRPr="006C07B6" w:rsidRDefault="000B79BE" w:rsidP="00ED5CA1">
      <w:pPr>
        <w:keepLines/>
        <w:widowControl w:val="0"/>
        <w:tabs>
          <w:tab w:val="left" w:pos="-720"/>
        </w:tabs>
        <w:spacing w:after="120"/>
        <w:ind w:left="1440" w:hanging="720"/>
        <w:jc w:val="both"/>
        <w:rPr>
          <w:rFonts w:cs="Arial"/>
          <w:spacing w:val="-3"/>
        </w:rPr>
      </w:pPr>
      <w:r>
        <w:rPr>
          <w:rFonts w:cs="Arial"/>
          <w:spacing w:val="-3"/>
        </w:rPr>
        <w:t xml:space="preserve">d. </w:t>
      </w:r>
      <w:r>
        <w:rPr>
          <w:rFonts w:cs="Arial"/>
          <w:spacing w:val="-3"/>
        </w:rPr>
        <w:tab/>
      </w:r>
      <w:r w:rsidR="00F17A9F" w:rsidRPr="006C07B6">
        <w:rPr>
          <w:rFonts w:cs="Arial"/>
          <w:spacing w:val="-3"/>
        </w:rPr>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8" w:name="_Toc88229809"/>
      <w:r w:rsidRPr="00C06425">
        <w:t xml:space="preserve">The </w:t>
      </w:r>
      <w:r w:rsidR="00806278" w:rsidRPr="00C06425">
        <w:t>Energy Commission</w:t>
      </w:r>
      <w:r w:rsidRPr="00C06425">
        <w:t xml:space="preserve"> reserves the right to use and reproduce all reports and data produced and delivered pursuant to this Agreement, and reserves the right to authorize others to use or reproduce such materials. Each report becomes the property of the </w:t>
      </w:r>
      <w:r w:rsidR="00806278" w:rsidRPr="00C06425">
        <w:t>Energy Commission</w:t>
      </w:r>
      <w:r w:rsidRPr="006C07B6">
        <w:rPr>
          <w:rFonts w:cs="Arial"/>
          <w:spacing w:val="-3"/>
        </w:rPr>
        <w:t>.</w:t>
      </w:r>
      <w:bookmarkEnd w:id="18"/>
    </w:p>
    <w:p w14:paraId="4AD07E36" w14:textId="0A04A286" w:rsidR="00F17A9F" w:rsidRPr="006C07B6" w:rsidRDefault="00503E9A" w:rsidP="00023981">
      <w:pPr>
        <w:keepNext/>
        <w:keepLines/>
        <w:widowControl w:val="0"/>
        <w:tabs>
          <w:tab w:val="left" w:pos="-720"/>
        </w:tabs>
        <w:spacing w:after="120"/>
        <w:ind w:left="1440" w:hanging="720"/>
        <w:jc w:val="both"/>
        <w:rPr>
          <w:rFonts w:cs="Arial"/>
          <w:spacing w:val="-3"/>
        </w:rPr>
      </w:pPr>
      <w:r>
        <w:rPr>
          <w:rFonts w:cs="Arial"/>
          <w:spacing w:val="-3"/>
        </w:rPr>
        <w:t>e</w:t>
      </w:r>
      <w:r w:rsidR="00F17A9F" w:rsidRPr="006C07B6">
        <w:rPr>
          <w:rFonts w:cs="Arial"/>
          <w:spacing w:val="-3"/>
        </w:rPr>
        <w:t>.</w:t>
      </w:r>
      <w:r w:rsidR="00F17A9F"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1D1755">
      <w:pPr>
        <w:pStyle w:val="Heading1"/>
      </w:pPr>
      <w:r w:rsidRPr="006C07B6">
        <w:tab/>
      </w:r>
      <w:bookmarkStart w:id="19" w:name="_Toc266800580"/>
      <w:bookmarkStart w:id="20" w:name="_Toc88229810"/>
      <w:bookmarkStart w:id="21" w:name="_Toc88230219"/>
      <w:r w:rsidR="00F34704">
        <w:t xml:space="preserve">Publications - </w:t>
      </w:r>
      <w:r w:rsidRPr="006C07B6">
        <w:t>Legal Statement on Reports and Products</w:t>
      </w:r>
      <w:bookmarkEnd w:id="19"/>
      <w:bookmarkEnd w:id="20"/>
      <w:bookmarkEnd w:id="21"/>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2"/>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3"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3"/>
    </w:p>
    <w:p w14:paraId="0460DFAD" w14:textId="77777777" w:rsidR="00E40987" w:rsidRPr="00563187" w:rsidRDefault="00E40987" w:rsidP="00023981">
      <w:pPr>
        <w:keepNext/>
        <w:keepLines/>
        <w:widowControl w:val="0"/>
        <w:tabs>
          <w:tab w:val="center" w:pos="4680"/>
        </w:tabs>
        <w:spacing w:after="120"/>
        <w:jc w:val="center"/>
        <w:rPr>
          <w:rFonts w:cs="Arial"/>
          <w:spacing w:val="-3"/>
          <w:szCs w:val="24"/>
        </w:rPr>
      </w:pPr>
      <w:r w:rsidRPr="00563187">
        <w:rPr>
          <w:rFonts w:cs="Arial"/>
          <w:b/>
          <w:smallCaps/>
          <w:spacing w:val="-3"/>
          <w:szCs w:val="24"/>
        </w:rPr>
        <w:t>legal notice</w:t>
      </w:r>
    </w:p>
    <w:p w14:paraId="1371B502" w14:textId="77777777" w:rsidR="00E40987" w:rsidRPr="0056318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4"/>
          <w:szCs w:val="24"/>
        </w:rPr>
      </w:pPr>
      <w:r w:rsidRPr="00563187">
        <w:rPr>
          <w:rFonts w:ascii="Arial" w:hAnsi="Arial" w:cs="Arial"/>
          <w:sz w:val="24"/>
          <w:szCs w:val="24"/>
        </w:rPr>
        <w:t xml:space="preserve">This document was prepared as a result of work sponsored by the California Energy Commission. It does not necessarily represent the views of the Energy Commission, its employees, or the State of California. The </w:t>
      </w:r>
      <w:r w:rsidR="00806278" w:rsidRPr="00563187">
        <w:rPr>
          <w:rFonts w:ascii="Arial" w:hAnsi="Arial" w:cs="Arial"/>
          <w:sz w:val="24"/>
          <w:szCs w:val="24"/>
        </w:rPr>
        <w:t>Energy Commission</w:t>
      </w:r>
      <w:r w:rsidRPr="00563187">
        <w:rPr>
          <w:rFonts w:ascii="Arial" w:hAnsi="Arial" w:cs="Arial"/>
          <w:sz w:val="24"/>
          <w:szCs w:val="24"/>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1D1755">
      <w:pPr>
        <w:pStyle w:val="Heading1"/>
      </w:pPr>
      <w:r w:rsidRPr="006C07B6">
        <w:lastRenderedPageBreak/>
        <w:tab/>
      </w:r>
      <w:bookmarkStart w:id="24" w:name="_Toc266800581"/>
      <w:bookmarkStart w:id="25" w:name="_Toc88229813"/>
      <w:bookmarkStart w:id="26" w:name="_Toc88230220"/>
      <w:r w:rsidR="00782A47">
        <w:t>Changes to the Agreement</w:t>
      </w:r>
      <w:bookmarkEnd w:id="24"/>
      <w:bookmarkEnd w:id="25"/>
      <w:bookmarkEnd w:id="26"/>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t xml:space="preserve">Approval of Changes </w:t>
      </w:r>
    </w:p>
    <w:p w14:paraId="3205DC67" w14:textId="41149904" w:rsidR="007949A3" w:rsidRPr="007D04A7" w:rsidRDefault="007949A3" w:rsidP="007949A3">
      <w:pPr>
        <w:pStyle w:val="Default"/>
        <w:keepNext/>
        <w:keepLines/>
        <w:spacing w:after="120"/>
        <w:ind w:left="1440"/>
        <w:jc w:val="both"/>
        <w:rPr>
          <w:rFonts w:ascii="Arial" w:hAnsi="Arial" w:cs="Arial"/>
        </w:rPr>
      </w:pPr>
      <w:r w:rsidRPr="1F609894">
        <w:rPr>
          <w:rFonts w:ascii="Arial" w:hAnsi="Arial" w:cs="Arial"/>
        </w:rPr>
        <w:t>No amendment or variation of this Agreement shall be valid unless made in writing and signed by both of the parties except for the Commission’s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lastRenderedPageBreak/>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1D1755">
      <w:pPr>
        <w:pStyle w:val="Heading1"/>
      </w:pPr>
      <w:r w:rsidRPr="006C07B6">
        <w:tab/>
      </w:r>
      <w:bookmarkStart w:id="27" w:name="_Toc266800582"/>
      <w:bookmarkStart w:id="28" w:name="_Toc88229814"/>
      <w:bookmarkStart w:id="29" w:name="_Toc88230221"/>
      <w:r w:rsidRPr="00FD3351">
        <w:t>Contracting and Procurement Procedures</w:t>
      </w:r>
      <w:bookmarkEnd w:id="27"/>
      <w:bookmarkEnd w:id="28"/>
      <w:bookmarkEnd w:id="29"/>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00062AB7">
      <w:pPr>
        <w:keepLines/>
        <w:widowControl w:val="0"/>
        <w:spacing w:after="120"/>
        <w:ind w:left="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40D67242" w:rsidR="00F17A9F" w:rsidRPr="00E151D0" w:rsidRDefault="00F17A9F" w:rsidP="00E151D0">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lastRenderedPageBreak/>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r w:rsidR="00E151D0">
        <w:rPr>
          <w:rFonts w:cs="Arial"/>
          <w:spacing w:val="-3"/>
        </w:rPr>
        <w:t>, and l</w:t>
      </w:r>
      <w:r w:rsidR="00E151D0" w:rsidRPr="002A45F6">
        <w:rPr>
          <w:rFonts w:cs="Arial"/>
          <w:spacing w:val="-3"/>
        </w:rPr>
        <w:t>anguage confor</w:t>
      </w:r>
      <w:r w:rsidR="00E151D0">
        <w:rPr>
          <w:rFonts w:cs="Arial"/>
          <w:spacing w:val="-3"/>
        </w:rPr>
        <w:t>ming to the</w:t>
      </w:r>
      <w:r w:rsidR="00E151D0" w:rsidRPr="002A45F6">
        <w:rPr>
          <w:rFonts w:cs="Arial"/>
          <w:spacing w:val="-3"/>
        </w:rPr>
        <w:t xml:space="preserve"> “Termination” </w:t>
      </w:r>
      <w:r w:rsidR="00E151D0">
        <w:rPr>
          <w:rFonts w:cs="Arial"/>
          <w:spacing w:val="-3"/>
        </w:rPr>
        <w:t>provision</w:t>
      </w:r>
      <w:r w:rsidR="00E151D0" w:rsidRPr="002A45F6">
        <w:rPr>
          <w:rFonts w:cs="Arial"/>
          <w:spacing w:val="-3"/>
        </w:rPr>
        <w:t xml:space="preserve"> related to</w:t>
      </w:r>
      <w:r w:rsidR="00E151D0">
        <w:tab/>
      </w:r>
      <w:r w:rsidR="00E151D0" w:rsidRPr="009C66C3">
        <w:rPr>
          <w:rFonts w:eastAsia="Arial" w:cs="Arial"/>
          <w:szCs w:val="24"/>
        </w:rPr>
        <w:t>Executive Order N-6-22 – Russia Sanctions.</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56876AD6" w14:textId="77777777" w:rsidR="00470175" w:rsidRDefault="00470175" w:rsidP="00470175">
      <w:pPr>
        <w:keepLines/>
        <w:widowControl w:val="0"/>
        <w:numPr>
          <w:ilvl w:val="0"/>
          <w:numId w:val="33"/>
        </w:numPr>
        <w:tabs>
          <w:tab w:val="left" w:pos="720"/>
        </w:tabs>
        <w:spacing w:after="120"/>
        <w:ind w:left="1440" w:hanging="720"/>
        <w:jc w:val="both"/>
        <w:rPr>
          <w:rFonts w:cs="Arial"/>
          <w:spacing w:val="-3"/>
        </w:rPr>
      </w:pPr>
      <w:r w:rsidRPr="1B661AD0">
        <w:rPr>
          <w:rFonts w:cs="Arial"/>
        </w:rPr>
        <w:t>“Publications- Legal Statements on Reports and Products” provisions specified in this Agreement</w:t>
      </w:r>
    </w:p>
    <w:p w14:paraId="241A84BC" w14:textId="77777777" w:rsidR="00470175" w:rsidRDefault="00470175" w:rsidP="00470175">
      <w:pPr>
        <w:keepLines/>
        <w:widowControl w:val="0"/>
        <w:numPr>
          <w:ilvl w:val="0"/>
          <w:numId w:val="33"/>
        </w:numPr>
        <w:tabs>
          <w:tab w:val="left" w:pos="720"/>
        </w:tabs>
        <w:spacing w:after="120"/>
        <w:ind w:left="1440" w:hanging="720"/>
        <w:jc w:val="both"/>
        <w:rPr>
          <w:rFonts w:cs="Arial"/>
          <w:spacing w:val="-3"/>
        </w:rPr>
      </w:pPr>
      <w:r w:rsidRPr="1B661AD0">
        <w:rPr>
          <w:rFonts w:cs="Arial"/>
        </w:rPr>
        <w:t>Language conforming to the “Travel and Per Diem” provision in this Agreement</w:t>
      </w:r>
    </w:p>
    <w:p w14:paraId="45A017E8" w14:textId="0486F44C" w:rsidR="00470175" w:rsidRPr="00470175" w:rsidRDefault="00470175" w:rsidP="00470175">
      <w:pPr>
        <w:keepLines/>
        <w:widowControl w:val="0"/>
        <w:numPr>
          <w:ilvl w:val="0"/>
          <w:numId w:val="33"/>
        </w:numPr>
        <w:tabs>
          <w:tab w:val="left" w:pos="720"/>
        </w:tabs>
        <w:spacing w:after="120"/>
        <w:ind w:left="1440" w:hanging="720"/>
        <w:jc w:val="both"/>
        <w:rPr>
          <w:rFonts w:cs="Arial"/>
          <w:spacing w:val="-3"/>
        </w:rPr>
      </w:pPr>
      <w:r w:rsidRPr="1B661AD0">
        <w:rPr>
          <w:rFonts w:cs="Arial"/>
        </w:rPr>
        <w:t>Language conforming to the “Equipment” provision in this Agreement.</w:t>
      </w:r>
    </w:p>
    <w:p w14:paraId="69AB5784" w14:textId="463C9C90" w:rsidR="00AE18AA" w:rsidRPr="002A45F6" w:rsidRDefault="00F17A9F" w:rsidP="002A45F6">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44BFACD2" w14:textId="68AFF86E" w:rsidR="00D42A62" w:rsidRPr="009C66C3" w:rsidRDefault="00D42A6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Language conforming to </w:t>
      </w:r>
      <w:r w:rsidRPr="009C66C3">
        <w:rPr>
          <w:rFonts w:cs="Arial"/>
          <w:spacing w:val="-3"/>
        </w:rPr>
        <w:t>the “Receipt of Confidential Information and Personal Information” provision in this Agreement.</w:t>
      </w:r>
    </w:p>
    <w:p w14:paraId="161D36F2" w14:textId="42FF52B3" w:rsidR="009C2E32" w:rsidRPr="009C66C3"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66C3">
        <w:rPr>
          <w:rFonts w:cs="Arial"/>
          <w:bCs/>
          <w:spacing w:val="-3"/>
        </w:rPr>
        <w:t>Public Work -- Payment of Prevailing Wages Generally Required by Law provisions in this Agreement</w:t>
      </w:r>
      <w:r w:rsidR="006E667B" w:rsidRPr="009C66C3">
        <w:rPr>
          <w:rFonts w:cs="Arial"/>
          <w:bCs/>
          <w:spacing w:val="-3"/>
        </w:rPr>
        <w:t>.</w:t>
      </w:r>
      <w:r w:rsidR="009C66C3" w:rsidRPr="009C66C3">
        <w:rPr>
          <w:rFonts w:cs="Arial"/>
          <w:bCs/>
          <w:spacing w:val="-3"/>
        </w:rPr>
        <w:t xml:space="preserve"> (if applicable)</w:t>
      </w:r>
    </w:p>
    <w:p w14:paraId="74EF3E83" w14:textId="71A53680" w:rsidR="00AB4AC1" w:rsidRPr="009C66C3"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66C3">
        <w:rPr>
          <w:rFonts w:cs="Arial"/>
          <w:bCs/>
          <w:spacing w:val="-3"/>
        </w:rPr>
        <w:t xml:space="preserve">Assembly Bill 841 </w:t>
      </w:r>
      <w:r w:rsidR="003D7CEE" w:rsidRPr="009C66C3">
        <w:rPr>
          <w:rFonts w:cs="Arial"/>
          <w:bCs/>
          <w:spacing w:val="-3"/>
        </w:rPr>
        <w:t xml:space="preserve">(2020) </w:t>
      </w:r>
      <w:r w:rsidRPr="009C66C3">
        <w:rPr>
          <w:rFonts w:cs="Arial"/>
          <w:bCs/>
          <w:spacing w:val="-3"/>
        </w:rPr>
        <w:t xml:space="preserve">provision </w:t>
      </w:r>
      <w:r w:rsidR="004F6DE5" w:rsidRPr="009C66C3">
        <w:rPr>
          <w:rFonts w:cs="Arial"/>
          <w:bCs/>
          <w:spacing w:val="-3"/>
        </w:rPr>
        <w:t>specified in this Agreement</w:t>
      </w:r>
      <w:r w:rsidR="006E667B" w:rsidRPr="009C66C3">
        <w:rPr>
          <w:rFonts w:cs="Arial"/>
          <w:bCs/>
          <w:spacing w:val="-3"/>
        </w:rPr>
        <w:t>.</w:t>
      </w:r>
    </w:p>
    <w:p w14:paraId="7AB6B533" w14:textId="77777777" w:rsidR="008D20D7" w:rsidRPr="002C1DD9" w:rsidRDefault="008D20D7" w:rsidP="008D20D7">
      <w:pPr>
        <w:keepLines/>
        <w:widowControl w:val="0"/>
        <w:numPr>
          <w:ilvl w:val="0"/>
          <w:numId w:val="33"/>
        </w:numPr>
        <w:tabs>
          <w:tab w:val="left" w:pos="720"/>
        </w:tabs>
        <w:spacing w:after="120"/>
        <w:ind w:left="1440" w:hanging="720"/>
        <w:jc w:val="both"/>
        <w:rPr>
          <w:rFonts w:cs="Arial"/>
          <w:spacing w:val="-3"/>
        </w:rPr>
      </w:pPr>
      <w:r w:rsidRPr="1B661AD0">
        <w:rPr>
          <w:rFonts w:cs="Arial"/>
        </w:rPr>
        <w:t>Survival of the following provisions:</w:t>
      </w:r>
    </w:p>
    <w:p w14:paraId="4E525D56" w14:textId="77777777" w:rsidR="008D20D7" w:rsidRPr="00E50EAA" w:rsidRDefault="008D20D7" w:rsidP="008D20D7">
      <w:pPr>
        <w:keepLines/>
        <w:widowControl w:val="0"/>
        <w:numPr>
          <w:ilvl w:val="0"/>
          <w:numId w:val="33"/>
        </w:numPr>
        <w:tabs>
          <w:tab w:val="left" w:pos="720"/>
        </w:tabs>
        <w:spacing w:after="120"/>
        <w:ind w:left="2160" w:hanging="720"/>
        <w:jc w:val="both"/>
        <w:rPr>
          <w:rFonts w:cs="Arial"/>
          <w:spacing w:val="-3"/>
        </w:rPr>
      </w:pPr>
      <w:r w:rsidRPr="1B661AD0">
        <w:rPr>
          <w:rFonts w:cs="Arial"/>
        </w:rPr>
        <w:t>Retention of Records provisions specified in this Agreement.</w:t>
      </w:r>
    </w:p>
    <w:p w14:paraId="48D3972A" w14:textId="77777777" w:rsidR="008D20D7" w:rsidRDefault="008D20D7" w:rsidP="008D20D7">
      <w:pPr>
        <w:keepLines/>
        <w:widowControl w:val="0"/>
        <w:numPr>
          <w:ilvl w:val="0"/>
          <w:numId w:val="33"/>
        </w:numPr>
        <w:tabs>
          <w:tab w:val="left" w:pos="720"/>
        </w:tabs>
        <w:spacing w:after="120"/>
        <w:ind w:left="2160" w:hanging="720"/>
        <w:jc w:val="both"/>
        <w:rPr>
          <w:rFonts w:cs="Arial"/>
          <w:spacing w:val="-3"/>
        </w:rPr>
      </w:pPr>
      <w:r w:rsidRPr="1B661AD0">
        <w:rPr>
          <w:rFonts w:cs="Arial"/>
        </w:rPr>
        <w:t>Audits provisions specified in this Agreement.</w:t>
      </w:r>
    </w:p>
    <w:p w14:paraId="785B07D0" w14:textId="77777777" w:rsidR="008D20D7" w:rsidRPr="00C62166" w:rsidRDefault="008D20D7" w:rsidP="008D20D7">
      <w:pPr>
        <w:keepLines/>
        <w:widowControl w:val="0"/>
        <w:numPr>
          <w:ilvl w:val="0"/>
          <w:numId w:val="33"/>
        </w:numPr>
        <w:tabs>
          <w:tab w:val="left" w:pos="720"/>
        </w:tabs>
        <w:spacing w:after="120"/>
        <w:ind w:left="2160" w:hanging="720"/>
        <w:jc w:val="both"/>
        <w:rPr>
          <w:rFonts w:cs="Arial"/>
          <w:spacing w:val="-3"/>
        </w:rPr>
      </w:pPr>
      <w:r w:rsidRPr="1B661AD0">
        <w:rPr>
          <w:rFonts w:cs="Arial"/>
        </w:rPr>
        <w:t>Language conforming to the “Equipment” provision in this Agreement.</w:t>
      </w:r>
    </w:p>
    <w:p w14:paraId="5747A36F" w14:textId="77777777" w:rsidR="008D20D7" w:rsidRPr="00E50EAA" w:rsidRDefault="008D20D7" w:rsidP="008D20D7">
      <w:pPr>
        <w:keepLines/>
        <w:widowControl w:val="0"/>
        <w:numPr>
          <w:ilvl w:val="0"/>
          <w:numId w:val="33"/>
        </w:numPr>
        <w:tabs>
          <w:tab w:val="left" w:pos="720"/>
        </w:tabs>
        <w:spacing w:after="120"/>
        <w:ind w:left="2160" w:hanging="720"/>
        <w:jc w:val="both"/>
        <w:rPr>
          <w:rFonts w:cs="Arial"/>
          <w:spacing w:val="-3"/>
        </w:rPr>
      </w:pPr>
      <w:r w:rsidRPr="1B661AD0">
        <w:rPr>
          <w:rFonts w:cs="Arial"/>
        </w:rPr>
        <w:t>Language conforming to the “Indemnification” provision in this Agreement.</w:t>
      </w:r>
    </w:p>
    <w:p w14:paraId="2E93C0D1" w14:textId="47B5BCD1" w:rsidR="008D20D7" w:rsidRPr="008D20D7" w:rsidRDefault="008D20D7" w:rsidP="008D20D7">
      <w:pPr>
        <w:keepLines/>
        <w:widowControl w:val="0"/>
        <w:numPr>
          <w:ilvl w:val="0"/>
          <w:numId w:val="33"/>
        </w:numPr>
        <w:tabs>
          <w:tab w:val="left" w:pos="720"/>
        </w:tabs>
        <w:spacing w:after="120"/>
        <w:ind w:left="2160" w:hanging="720"/>
        <w:jc w:val="both"/>
        <w:rPr>
          <w:rFonts w:cs="Arial"/>
          <w:spacing w:val="-3"/>
        </w:rPr>
      </w:pPr>
      <w:r w:rsidRPr="1B661AD0">
        <w:rPr>
          <w:rFonts w:cs="Arial"/>
        </w:rPr>
        <w:t>Language conforming to the “Receipt of Confidential Information and Personal Information” provision in this Agreement.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1D1755">
      <w:pPr>
        <w:pStyle w:val="Heading1"/>
      </w:pPr>
      <w:r w:rsidRPr="006C07B6">
        <w:lastRenderedPageBreak/>
        <w:tab/>
      </w:r>
      <w:bookmarkStart w:id="30" w:name="_Toc266800583"/>
      <w:bookmarkStart w:id="31" w:name="_Toc88229815"/>
      <w:bookmarkStart w:id="32" w:name="_Toc88230222"/>
      <w:r w:rsidRPr="006C07B6">
        <w:t>Bonding and Insurance</w:t>
      </w:r>
      <w:bookmarkEnd w:id="30"/>
      <w:bookmarkEnd w:id="31"/>
      <w:bookmarkEnd w:id="32"/>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1D1755">
      <w:pPr>
        <w:pStyle w:val="Heading1"/>
      </w:pPr>
      <w:r w:rsidRPr="006C07B6">
        <w:tab/>
      </w:r>
      <w:bookmarkStart w:id="33" w:name="_Toc266800584"/>
      <w:bookmarkStart w:id="34" w:name="_Toc88229816"/>
      <w:bookmarkStart w:id="35" w:name="_Toc88230223"/>
      <w:r w:rsidRPr="006C07B6">
        <w:t>Permits</w:t>
      </w:r>
      <w:r w:rsidR="00305DD9">
        <w:t xml:space="preserve"> and</w:t>
      </w:r>
      <w:r w:rsidRPr="006C07B6">
        <w:t xml:space="preserve"> Clearances</w:t>
      </w:r>
      <w:bookmarkEnd w:id="33"/>
      <w:bookmarkEnd w:id="34"/>
      <w:bookmarkEnd w:id="35"/>
    </w:p>
    <w:p w14:paraId="50CE8D6D" w14:textId="3D859C6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r w:rsidR="00544734">
        <w:rPr>
          <w:rFonts w:cs="Arial"/>
          <w:spacing w:val="-3"/>
        </w:rPr>
        <w:t xml:space="preserve"> in accordance with</w:t>
      </w:r>
      <w:r w:rsidR="00401259">
        <w:rPr>
          <w:rFonts w:cs="Arial"/>
          <w:spacing w:val="-3"/>
        </w:rPr>
        <w:t xml:space="preserve"> all</w:t>
      </w:r>
      <w:r w:rsidR="00544734">
        <w:rPr>
          <w:rFonts w:cs="Arial"/>
          <w:spacing w:val="-3"/>
        </w:rPr>
        <w:t xml:space="preserve"> applicable</w:t>
      </w:r>
      <w:r w:rsidR="00401259">
        <w:rPr>
          <w:rFonts w:cs="Arial"/>
          <w:spacing w:val="-3"/>
        </w:rPr>
        <w:t xml:space="preserve"> federal, state, tribal</w:t>
      </w:r>
      <w:r w:rsidR="0028467B">
        <w:rPr>
          <w:rFonts w:cs="Arial"/>
          <w:spacing w:val="-3"/>
        </w:rPr>
        <w:t>, and local</w:t>
      </w:r>
      <w:r w:rsidR="00401259">
        <w:rPr>
          <w:rFonts w:cs="Arial"/>
          <w:spacing w:val="-3"/>
        </w:rPr>
        <w:t xml:space="preserve"> </w:t>
      </w:r>
      <w:r w:rsidR="00544734">
        <w:rPr>
          <w:rFonts w:cs="Arial"/>
          <w:spacing w:val="-3"/>
        </w:rPr>
        <w:t xml:space="preserve"> laws</w:t>
      </w:r>
      <w:r w:rsidRPr="0077452E">
        <w:rPr>
          <w:rFonts w:cs="Arial"/>
          <w:spacing w:val="-3"/>
        </w:rPr>
        <w:t>.</w:t>
      </w:r>
    </w:p>
    <w:p w14:paraId="1F147B52" w14:textId="77777777" w:rsidR="00FD5140" w:rsidRPr="00FD3351" w:rsidRDefault="00FD5140" w:rsidP="001D1755">
      <w:pPr>
        <w:pStyle w:val="Heading1"/>
      </w:pPr>
      <w:r w:rsidRPr="006C07B6">
        <w:tab/>
      </w:r>
      <w:bookmarkStart w:id="36" w:name="_Toc266800585"/>
      <w:bookmarkStart w:id="37" w:name="_Toc88229817"/>
      <w:bookmarkStart w:id="38" w:name="_Toc88230224"/>
      <w:r w:rsidRPr="00FD3351">
        <w:t>Equipment</w:t>
      </w:r>
      <w:bookmarkEnd w:id="36"/>
      <w:bookmarkEnd w:id="37"/>
      <w:bookmarkEnd w:id="38"/>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290A366E"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 xml:space="preserve">Title to equipment acquired by the Recipient with grant funds shall vest in the </w:t>
      </w:r>
      <w:proofErr w:type="gramStart"/>
      <w:r w:rsidRPr="006C07B6">
        <w:rPr>
          <w:rFonts w:ascii="Arial" w:hAnsi="Arial" w:cs="Arial"/>
          <w:spacing w:val="-3"/>
        </w:rPr>
        <w:t>Recipient</w:t>
      </w:r>
      <w:r w:rsidR="002D0429">
        <w:rPr>
          <w:rFonts w:ascii="Arial" w:hAnsi="Arial" w:cs="Arial"/>
          <w:spacing w:val="-3"/>
        </w:rPr>
        <w:t>, unless</w:t>
      </w:r>
      <w:proofErr w:type="gramEnd"/>
      <w:r w:rsidR="002D0429">
        <w:rPr>
          <w:rFonts w:ascii="Arial" w:hAnsi="Arial" w:cs="Arial"/>
          <w:spacing w:val="-3"/>
        </w:rPr>
        <w:t xml:space="preserve"> Recipient receives CAM written approval for title to vest </w:t>
      </w:r>
      <w:r w:rsidR="00D54FF6">
        <w:rPr>
          <w:rFonts w:ascii="Arial" w:hAnsi="Arial" w:cs="Arial"/>
          <w:spacing w:val="-3"/>
        </w:rPr>
        <w:t>in another entity</w:t>
      </w:r>
      <w:r w:rsidRPr="006C07B6">
        <w:rPr>
          <w:rFonts w:ascii="Arial" w:hAnsi="Arial" w:cs="Arial"/>
          <w:spacing w:val="-3"/>
        </w:rPr>
        <w:t xml:space="preserve">. The </w:t>
      </w:r>
      <w:r w:rsidR="00D54FF6">
        <w:rPr>
          <w:rFonts w:ascii="Arial" w:hAnsi="Arial" w:cs="Arial"/>
          <w:spacing w:val="-3"/>
        </w:rPr>
        <w:t>title holder</w:t>
      </w:r>
      <w:r w:rsidRPr="006C07B6">
        <w:rPr>
          <w:rFonts w:ascii="Arial" w:hAnsi="Arial" w:cs="Arial"/>
          <w:spacing w:val="-3"/>
        </w:rPr>
        <w:t xml:space="preserve">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w:t>
      </w:r>
      <w:r w:rsidR="00D54FF6">
        <w:rPr>
          <w:rFonts w:ascii="Arial" w:hAnsi="Arial" w:cs="Arial"/>
          <w:spacing w:val="-3"/>
        </w:rPr>
        <w:t>title holder</w:t>
      </w:r>
      <w:r w:rsidR="00FF3233" w:rsidRPr="006C07B6">
        <w:rPr>
          <w:rFonts w:ascii="Arial" w:hAnsi="Arial" w:cs="Arial"/>
          <w:spacing w:val="-3"/>
        </w:rPr>
        <w:t xml:space="preserve">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1D1755">
      <w:pPr>
        <w:pStyle w:val="Heading1"/>
      </w:pPr>
      <w:r w:rsidRPr="006C07B6">
        <w:tab/>
      </w:r>
      <w:bookmarkStart w:id="39" w:name="_Toc266800586"/>
      <w:bookmarkStart w:id="40" w:name="_Toc88229818"/>
      <w:bookmarkStart w:id="41" w:name="_Toc88230225"/>
      <w:r w:rsidRPr="006C07B6">
        <w:t>Termination</w:t>
      </w:r>
      <w:bookmarkEnd w:id="39"/>
      <w:bookmarkEnd w:id="40"/>
      <w:bookmarkEnd w:id="41"/>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19"/>
      <w:r w:rsidRPr="00FD3351">
        <w:rPr>
          <w:rFonts w:cs="Arial"/>
          <w:spacing w:val="-3"/>
        </w:rPr>
        <w:t>With Cause</w:t>
      </w:r>
      <w:bookmarkEnd w:id="42"/>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466BE225"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Partial or complete loss of match funds</w:t>
      </w:r>
      <w:r w:rsidR="00E32C66">
        <w:rPr>
          <w:rFonts w:cs="Arial"/>
          <w:spacing w:val="-2"/>
        </w:rPr>
        <w:t xml:space="preserve"> (if applicable)</w:t>
      </w:r>
      <w:r w:rsidRPr="1F609894">
        <w:rPr>
          <w:rFonts w:cs="Arial"/>
          <w:spacing w:val="-2"/>
        </w:rPr>
        <w:t>;</w:t>
      </w:r>
    </w:p>
    <w:p w14:paraId="0ED1F209" w14:textId="555359B0"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Reorganization to a business entity unsatisfactory to the Energy Commission</w:t>
      </w:r>
      <w:r w:rsidR="006A0071">
        <w:rPr>
          <w:rFonts w:cs="Arial"/>
          <w:spacing w:val="-2"/>
        </w:rPr>
        <w:t xml:space="preserve"> (if applicable)</w:t>
      </w:r>
      <w:r w:rsidRPr="1F609894">
        <w:rPr>
          <w:rFonts w:cs="Arial"/>
          <w:spacing w:val="-2"/>
        </w:rPr>
        <w:t>;</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lastRenderedPageBreak/>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1F609894">
        <w:rPr>
          <w:rFonts w:cs="Arial"/>
          <w:spacing w:val="-2"/>
        </w:rPr>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3" w:name="_Toc88229820"/>
      <w:r w:rsidRPr="006C07B6">
        <w:rPr>
          <w:rFonts w:cs="Arial"/>
          <w:spacing w:val="-3"/>
        </w:rPr>
        <w:t>Without Cause</w:t>
      </w:r>
      <w:bookmarkEnd w:id="43"/>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1F609894">
        <w:rPr>
          <w:rFonts w:cs="Arial"/>
          <w:spacing w:val="-2"/>
        </w:rPr>
        <w:t>The Energy Commission may terminate this Agreement without cause upon giving thirty (30) days advance written notice to the Recipient. In this event, the Recipient will use all reasonable efforts to mitigate its expenses and obligations.</w:t>
      </w:r>
    </w:p>
    <w:p w14:paraId="15598D37" w14:textId="361CDA51" w:rsidR="436B3FBA" w:rsidRDefault="436B3FBA" w:rsidP="1F609894">
      <w:pPr>
        <w:widowControl w:val="0"/>
        <w:tabs>
          <w:tab w:val="left" w:pos="720"/>
        </w:tabs>
        <w:spacing w:after="120"/>
        <w:ind w:left="720"/>
        <w:jc w:val="both"/>
        <w:rPr>
          <w:rFonts w:cs="Arial"/>
        </w:rPr>
      </w:pPr>
      <w:r w:rsidRPr="1F609894">
        <w:rPr>
          <w:rFonts w:cs="Arial"/>
        </w:rPr>
        <w:t>c.</w:t>
      </w:r>
      <w:r>
        <w:tab/>
      </w:r>
      <w:r w:rsidRPr="1F609894">
        <w:rPr>
          <w:rFonts w:eastAsia="Arial" w:cs="Arial"/>
          <w:szCs w:val="24"/>
        </w:rPr>
        <w:t xml:space="preserve">Executive Order N-6-22 – Russia Sanctions </w:t>
      </w:r>
    </w:p>
    <w:p w14:paraId="1622AF81" w14:textId="43AE7EAD" w:rsidR="436B3FBA" w:rsidRDefault="436B3FBA" w:rsidP="00907CDE">
      <w:pPr>
        <w:widowControl w:val="0"/>
        <w:tabs>
          <w:tab w:val="left" w:pos="720"/>
        </w:tabs>
        <w:spacing w:after="120"/>
        <w:ind w:left="1440"/>
        <w:jc w:val="both"/>
        <w:rPr>
          <w:rFonts w:cs="Arial"/>
        </w:rPr>
      </w:pPr>
      <w:r w:rsidRPr="591FBCC0">
        <w:rPr>
          <w:rFonts w:eastAsia="Arial" w:cs="Arial"/>
        </w:rPr>
        <w:t xml:space="preserve">On March 4, 2022, Governor Gavin Newsom issued Executive Order N-6-22 (the EO) regarding Economic Sanctions against Russia and Russian entities and individuals. “Economic Sanctions” refers to sanctions </w:t>
      </w:r>
      <w:r w:rsidRPr="591FBCC0">
        <w:rPr>
          <w:rFonts w:eastAsia="Arial" w:cs="Arial"/>
          <w:b/>
          <w:bCs/>
        </w:rPr>
        <w:t>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Accordingly, should</w:t>
      </w:r>
      <w:r w:rsidR="31F2E5D0" w:rsidRPr="591FBCC0">
        <w:rPr>
          <w:rFonts w:eastAsia="Arial" w:cs="Arial"/>
          <w:b/>
          <w:bCs/>
        </w:rPr>
        <w:t xml:space="preserve"> </w:t>
      </w:r>
      <w:r w:rsidRPr="591FBCC0">
        <w:rPr>
          <w:rFonts w:eastAsia="Arial" w:cs="Arial"/>
          <w:b/>
          <w:bCs/>
        </w:rPr>
        <w:t xml:space="preserve">the State determine </w:t>
      </w:r>
      <w:r w:rsidR="162D78A5" w:rsidRPr="591FBCC0">
        <w:rPr>
          <w:rFonts w:eastAsia="Arial" w:cs="Arial"/>
          <w:b/>
          <w:bCs/>
        </w:rPr>
        <w:t xml:space="preserve">Recipient </w:t>
      </w:r>
      <w:r w:rsidRPr="591FBCC0">
        <w:rPr>
          <w:rFonts w:eastAsia="Arial" w:cs="Arial"/>
          <w:b/>
          <w:bCs/>
        </w:rPr>
        <w:t>is a target of Economic Sanctions or is</w:t>
      </w:r>
      <w:r w:rsidR="021024EC" w:rsidRPr="591FBCC0">
        <w:rPr>
          <w:rFonts w:eastAsia="Arial" w:cs="Arial"/>
          <w:b/>
          <w:bCs/>
        </w:rPr>
        <w:t xml:space="preserve"> </w:t>
      </w:r>
      <w:r w:rsidRPr="591FBCC0">
        <w:rPr>
          <w:rFonts w:eastAsia="Arial" w:cs="Arial"/>
          <w:b/>
          <w:bCs/>
        </w:rPr>
        <w:t xml:space="preserve">conducting </w:t>
      </w:r>
      <w:r w:rsidRPr="591FBCC0">
        <w:rPr>
          <w:rFonts w:eastAsia="Arial" w:cs="Arial"/>
        </w:rPr>
        <w:t>prohibited</w:t>
      </w:r>
      <w:r w:rsidR="00C96C6F">
        <w:t xml:space="preserve"> </w:t>
      </w:r>
      <w:r w:rsidRPr="591FBCC0">
        <w:rPr>
          <w:rFonts w:eastAsia="Arial" w:cs="Arial"/>
        </w:rPr>
        <w:t>transactions with sanctioned individuals or entities, that</w:t>
      </w:r>
      <w:r w:rsidR="29FF7DDB" w:rsidRPr="591FBCC0">
        <w:rPr>
          <w:rFonts w:eastAsia="Arial" w:cs="Arial"/>
        </w:rPr>
        <w:t xml:space="preserve"> </w:t>
      </w:r>
      <w:r w:rsidRPr="591FBCC0">
        <w:rPr>
          <w:rFonts w:eastAsia="Arial" w:cs="Arial"/>
        </w:rPr>
        <w:t>shall be grounds for termination of this</w:t>
      </w:r>
      <w:r w:rsidR="00C96C6F" w:rsidRPr="591FBCC0">
        <w:rPr>
          <w:rFonts w:eastAsia="Arial" w:cs="Arial"/>
        </w:rPr>
        <w:t xml:space="preserve"> </w:t>
      </w:r>
      <w:r w:rsidRPr="591FBCC0">
        <w:rPr>
          <w:rFonts w:eastAsia="Arial" w:cs="Arial"/>
        </w:rPr>
        <w:t>agreement.</w:t>
      </w:r>
      <w:r w:rsidR="00C96C6F" w:rsidRPr="591FBCC0">
        <w:rPr>
          <w:rFonts w:eastAsia="Arial" w:cs="Arial"/>
        </w:rPr>
        <w:t xml:space="preserve"> </w:t>
      </w:r>
      <w:r w:rsidRPr="591FBCC0">
        <w:rPr>
          <w:rFonts w:eastAsia="Arial" w:cs="Arial"/>
        </w:rPr>
        <w:t>The State shall provide</w:t>
      </w:r>
      <w:r>
        <w:br/>
      </w:r>
      <w:r w:rsidR="6A09B4FC" w:rsidRPr="591FBCC0">
        <w:rPr>
          <w:rFonts w:eastAsia="Arial" w:cs="Arial"/>
        </w:rPr>
        <w:t>Recipient</w:t>
      </w:r>
      <w:r w:rsidRPr="591FBCC0">
        <w:rPr>
          <w:rFonts w:eastAsia="Arial" w:cs="Arial"/>
        </w:rPr>
        <w:t xml:space="preserve"> advance written notice of such termination, allowing </w:t>
      </w:r>
      <w:r w:rsidR="14BFB5F6" w:rsidRPr="591FBCC0">
        <w:rPr>
          <w:rFonts w:eastAsia="Arial" w:cs="Arial"/>
        </w:rPr>
        <w:t>Recipient</w:t>
      </w:r>
      <w:r>
        <w:tab/>
      </w:r>
      <w:r w:rsidR="00C96C6F" w:rsidRPr="591FBCC0">
        <w:rPr>
          <w:rFonts w:eastAsia="Arial" w:cs="Arial"/>
        </w:rPr>
        <w:t xml:space="preserve"> </w:t>
      </w:r>
      <w:r w:rsidRPr="591FBCC0">
        <w:rPr>
          <w:rFonts w:eastAsia="Arial" w:cs="Arial"/>
        </w:rPr>
        <w:t>at</w:t>
      </w:r>
      <w:r w:rsidR="575B098A" w:rsidRPr="591FBCC0">
        <w:rPr>
          <w:rFonts w:eastAsia="Arial" w:cs="Arial"/>
        </w:rPr>
        <w:t xml:space="preserve"> </w:t>
      </w:r>
      <w:r w:rsidRPr="591FBCC0">
        <w:rPr>
          <w:rFonts w:eastAsia="Arial" w:cs="Arial"/>
        </w:rPr>
        <w:t xml:space="preserve">least 30 calendar days to provide a written response. Termination shall </w:t>
      </w:r>
      <w:r>
        <w:tab/>
      </w:r>
      <w:r w:rsidR="3862A7C4" w:rsidRPr="591FBCC0">
        <w:rPr>
          <w:rFonts w:eastAsia="Arial" w:cs="Arial"/>
        </w:rPr>
        <w:t xml:space="preserve">    </w:t>
      </w:r>
      <w:r w:rsidRPr="591FBCC0">
        <w:rPr>
          <w:rFonts w:eastAsia="Arial" w:cs="Arial"/>
        </w:rPr>
        <w:t>be at the</w:t>
      </w:r>
      <w:r w:rsidR="15029C23" w:rsidRPr="591FBCC0">
        <w:rPr>
          <w:rFonts w:eastAsia="Arial" w:cs="Arial"/>
        </w:rPr>
        <w:t xml:space="preserve"> </w:t>
      </w:r>
      <w:r w:rsidRPr="591FBCC0">
        <w:rPr>
          <w:rFonts w:eastAsia="Arial" w:cs="Arial"/>
        </w:rPr>
        <w:t>sole discretion of the State.</w:t>
      </w:r>
    </w:p>
    <w:p w14:paraId="2E591C8E" w14:textId="77777777" w:rsidR="0015730C" w:rsidRDefault="00F52728" w:rsidP="001D1755">
      <w:pPr>
        <w:pStyle w:val="Heading1"/>
      </w:pPr>
      <w:bookmarkStart w:id="44" w:name="_Toc248742896"/>
      <w:bookmarkStart w:id="45" w:name="_Toc248802865"/>
      <w:r>
        <w:tab/>
      </w:r>
      <w:bookmarkStart w:id="46" w:name="_Toc266800587"/>
      <w:bookmarkStart w:id="47" w:name="_Toc88229821"/>
      <w:bookmarkStart w:id="48" w:name="_Toc88230226"/>
      <w:r w:rsidR="0015730C">
        <w:t>Stop Work</w:t>
      </w:r>
      <w:bookmarkEnd w:id="44"/>
      <w:bookmarkEnd w:id="45"/>
      <w:bookmarkEnd w:id="46"/>
      <w:bookmarkEnd w:id="47"/>
      <w:bookmarkEnd w:id="48"/>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1D1755">
      <w:pPr>
        <w:pStyle w:val="Heading1"/>
      </w:pPr>
      <w:r w:rsidRPr="006C07B6">
        <w:lastRenderedPageBreak/>
        <w:tab/>
      </w:r>
      <w:bookmarkStart w:id="49" w:name="_Toc266800588"/>
      <w:bookmarkStart w:id="50" w:name="_Toc88229822"/>
      <w:bookmarkStart w:id="51" w:name="_Toc88230227"/>
      <w:r w:rsidRPr="006C07B6">
        <w:t>Travel and Per Diem</w:t>
      </w:r>
      <w:bookmarkEnd w:id="49"/>
      <w:bookmarkEnd w:id="50"/>
      <w:bookmarkEnd w:id="51"/>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4"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1D1755">
      <w:pPr>
        <w:pStyle w:val="Heading1"/>
      </w:pPr>
      <w:r w:rsidRPr="006C07B6">
        <w:tab/>
      </w:r>
      <w:bookmarkStart w:id="52" w:name="_Toc519062931"/>
      <w:bookmarkStart w:id="53" w:name="_Toc266800590"/>
      <w:bookmarkStart w:id="54" w:name="_Toc88229823"/>
      <w:bookmarkStart w:id="55" w:name="_Toc88230228"/>
      <w:r w:rsidRPr="00FD3351">
        <w:t>Standard of Performance</w:t>
      </w:r>
      <w:bookmarkEnd w:id="52"/>
      <w:bookmarkEnd w:id="53"/>
      <w:bookmarkEnd w:id="54"/>
      <w:bookmarkEnd w:id="55"/>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55F4AEE9" w:rsidR="00F17A9F" w:rsidRPr="009574BB" w:rsidRDefault="00F17A9F" w:rsidP="009574BB">
      <w:pPr>
        <w:keepLines/>
        <w:widowControl w:val="0"/>
        <w:numPr>
          <w:ilvl w:val="0"/>
          <w:numId w:val="3"/>
        </w:numPr>
        <w:tabs>
          <w:tab w:val="left" w:pos="-720"/>
          <w:tab w:val="left" w:pos="0"/>
          <w:tab w:val="left" w:pos="720"/>
        </w:tabs>
        <w:spacing w:after="120"/>
        <w:ind w:left="1440" w:hanging="720"/>
        <w:jc w:val="both"/>
        <w:rPr>
          <w:rFonts w:cs="Arial"/>
          <w:spacing w:val="-3"/>
        </w:rPr>
      </w:pPr>
      <w:r w:rsidRPr="009574BB">
        <w:rPr>
          <w:rFonts w:cs="Arial"/>
          <w:spacing w:val="-3"/>
        </w:rPr>
        <w:t xml:space="preserve">Recipient/subcontractor will re-perform, at its own expense, any task which was not performed to the reasonable satisfaction of the </w:t>
      </w:r>
      <w:r w:rsidR="006874EE" w:rsidRPr="009574BB">
        <w:rPr>
          <w:rFonts w:cs="Arial"/>
          <w:spacing w:val="-3"/>
        </w:rPr>
        <w:t>CAM</w:t>
      </w:r>
      <w:r w:rsidRPr="009574BB">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sidRPr="009574BB">
        <w:rPr>
          <w:rFonts w:cs="Arial"/>
          <w:spacing w:val="-3"/>
        </w:rPr>
        <w:t>Energy Commission</w:t>
      </w:r>
      <w:r w:rsidRPr="009574BB">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3E1C37A"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9574BB">
        <w:rPr>
          <w:rFonts w:cs="Arial"/>
          <w:spacing w:val="-3"/>
        </w:rPr>
        <w:t>a</w:t>
      </w:r>
      <w:r w:rsidRPr="006C07B6">
        <w:rPr>
          <w:rFonts w:cs="Arial"/>
          <w:spacing w:val="-3"/>
        </w:rPr>
        <w:t>) and (</w:t>
      </w:r>
      <w:r w:rsidR="009574BB">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1D1755">
      <w:pPr>
        <w:pStyle w:val="Heading1"/>
      </w:pPr>
      <w:r w:rsidRPr="006C07B6">
        <w:tab/>
      </w:r>
      <w:bookmarkStart w:id="56" w:name="_Toc519062932"/>
      <w:bookmarkStart w:id="57" w:name="_Toc266800591"/>
      <w:bookmarkStart w:id="58" w:name="_Toc88229824"/>
      <w:bookmarkStart w:id="59" w:name="_Toc88230229"/>
      <w:r w:rsidRPr="006C07B6">
        <w:t>Payment of Funds</w:t>
      </w:r>
      <w:bookmarkEnd w:id="56"/>
      <w:bookmarkEnd w:id="57"/>
      <w:bookmarkEnd w:id="58"/>
      <w:bookmarkEnd w:id="59"/>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5B287821"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w:t>
      </w:r>
      <w:r w:rsidR="009574BB">
        <w:rPr>
          <w:rFonts w:cs="Arial"/>
          <w:spacing w:val="-3"/>
        </w:rPr>
        <w:t xml:space="preserve">either (1) </w:t>
      </w:r>
      <w:r w:rsidR="0090348D" w:rsidRPr="006C07B6">
        <w:rPr>
          <w:rFonts w:cs="Arial"/>
          <w:spacing w:val="-3"/>
        </w:rPr>
        <w:t>the</w:t>
      </w:r>
      <w:r w:rsidR="009574BB">
        <w:rPr>
          <w:rFonts w:cs="Arial"/>
          <w:spacing w:val="-3"/>
        </w:rPr>
        <w:t xml:space="preserve"> approved</w:t>
      </w:r>
      <w:r w:rsidR="00E27061">
        <w:rPr>
          <w:rFonts w:cs="Arial"/>
          <w:spacing w:val="-3"/>
        </w:rPr>
        <w:t xml:space="preserve"> Agreement </w:t>
      </w:r>
      <w:r w:rsidR="009574BB">
        <w:rPr>
          <w:rFonts w:cs="Arial"/>
          <w:spacing w:val="-3"/>
        </w:rPr>
        <w:t xml:space="preserve">end </w:t>
      </w:r>
      <w:r w:rsidR="00E27061">
        <w:rPr>
          <w:rFonts w:cs="Arial"/>
          <w:spacing w:val="-3"/>
        </w:rPr>
        <w:t>term</w:t>
      </w:r>
      <w:r w:rsidR="009574BB">
        <w:rPr>
          <w:rFonts w:cs="Arial"/>
          <w:spacing w:val="-3"/>
        </w:rPr>
        <w:t xml:space="preserve"> date, or (2)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xml:space="preserve">, including backup documentation for actual expenditures, such as </w:t>
      </w:r>
      <w:proofErr w:type="gramStart"/>
      <w:r w:rsidR="00BA4FB5">
        <w:rPr>
          <w:rFonts w:cs="Arial"/>
          <w:spacing w:val="-3"/>
        </w:rPr>
        <w:t>time cards</w:t>
      </w:r>
      <w:proofErr w:type="gramEnd"/>
      <w:r w:rsidR="00BA4FB5">
        <w:rPr>
          <w:rFonts w:cs="Arial"/>
          <w:spacing w:val="-3"/>
        </w:rPr>
        <w:t>,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42CACE3F"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 xml:space="preserve">mmunity college; </w:t>
      </w:r>
      <w:r w:rsidR="00E66480">
        <w:rPr>
          <w:rFonts w:cs="Arial"/>
          <w:spacing w:val="-3"/>
        </w:rPr>
        <w:t xml:space="preserve">a </w:t>
      </w:r>
      <w:r w:rsidR="00622C1A">
        <w:rPr>
          <w:rFonts w:cs="Arial"/>
          <w:spacing w:val="-3"/>
        </w:rPr>
        <w:t xml:space="preserve">California </w:t>
      </w:r>
      <w:r w:rsidR="00E66480">
        <w:rPr>
          <w:rFonts w:cs="Arial"/>
          <w:spacing w:val="-3"/>
        </w:rPr>
        <w:t xml:space="preserve">Native American </w:t>
      </w:r>
      <w:r w:rsidR="00622C1A">
        <w:rPr>
          <w:rFonts w:cs="Arial"/>
          <w:spacing w:val="-3"/>
        </w:rPr>
        <w:t>t</w:t>
      </w:r>
      <w:r w:rsidR="00E66480">
        <w:rPr>
          <w:rFonts w:cs="Arial"/>
          <w:spacing w:val="-3"/>
        </w:rPr>
        <w:t>ribal government</w:t>
      </w:r>
      <w:r w:rsidR="00FA131E">
        <w:rPr>
          <w:rFonts w:cs="Arial"/>
          <w:spacing w:val="-3"/>
        </w:rPr>
        <w:t xml:space="preserve"> or unit of </w:t>
      </w:r>
      <w:r w:rsidR="00622C1A">
        <w:rPr>
          <w:rFonts w:cs="Arial"/>
          <w:spacing w:val="-3"/>
        </w:rPr>
        <w:t xml:space="preserve">California </w:t>
      </w:r>
      <w:r w:rsidR="00FA131E">
        <w:rPr>
          <w:rFonts w:cs="Arial"/>
          <w:spacing w:val="-3"/>
        </w:rPr>
        <w:t xml:space="preserve">Native American </w:t>
      </w:r>
      <w:r w:rsidR="00622C1A">
        <w:rPr>
          <w:rFonts w:cs="Arial"/>
          <w:spacing w:val="-3"/>
        </w:rPr>
        <w:t>t</w:t>
      </w:r>
      <w:r w:rsidR="00FA131E">
        <w:rPr>
          <w:rFonts w:cs="Arial"/>
          <w:spacing w:val="-3"/>
        </w:rPr>
        <w:t>ribal government</w:t>
      </w:r>
      <w:r w:rsidR="007B060D">
        <w:rPr>
          <w:rFonts w:cs="Arial"/>
          <w:spacing w:val="-3"/>
        </w:rPr>
        <w:t>;</w:t>
      </w:r>
      <w:r w:rsidR="00E66480">
        <w:rPr>
          <w:rFonts w:cs="Arial"/>
          <w:spacing w:val="-3"/>
        </w:rPr>
        <w:t xml:space="preserve"> </w:t>
      </w:r>
      <w:r w:rsidR="00A23D3D">
        <w:rPr>
          <w:rFonts w:cs="Arial"/>
          <w:spacing w:val="-3"/>
        </w:rPr>
        <w:t>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lastRenderedPageBreak/>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1D1755">
      <w:pPr>
        <w:pStyle w:val="Heading1"/>
      </w:pPr>
      <w:r w:rsidRPr="006C07B6">
        <w:lastRenderedPageBreak/>
        <w:tab/>
      </w:r>
      <w:bookmarkStart w:id="60" w:name="_Toc519062933"/>
      <w:bookmarkStart w:id="61" w:name="_Toc266800592"/>
      <w:bookmarkStart w:id="62" w:name="_Toc88229825"/>
      <w:bookmarkStart w:id="63" w:name="_Toc88230230"/>
      <w:r w:rsidRPr="00FD3351">
        <w:t>Fiscal Accounting Requirements</w:t>
      </w:r>
      <w:bookmarkEnd w:id="60"/>
      <w:bookmarkEnd w:id="61"/>
      <w:bookmarkEnd w:id="62"/>
      <w:bookmarkEnd w:id="63"/>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3D3767D9" w:rsidR="00F17A9F" w:rsidRPr="006C07B6" w:rsidRDefault="00062AB7" w:rsidP="2D5654FF">
      <w:pPr>
        <w:keepLines/>
        <w:widowControl w:val="0"/>
        <w:tabs>
          <w:tab w:val="left" w:pos="720"/>
        </w:tabs>
        <w:spacing w:after="120"/>
        <w:ind w:left="1440" w:hanging="1440"/>
        <w:jc w:val="both"/>
        <w:rPr>
          <w:rFonts w:cs="Arial"/>
          <w:spacing w:val="-3"/>
        </w:rPr>
      </w:pPr>
      <w:r>
        <w:rPr>
          <w:rFonts w:cs="Arial"/>
          <w:spacing w:val="-3"/>
        </w:rPr>
        <w:tab/>
      </w:r>
      <w:r>
        <w:rPr>
          <w:rFonts w:cs="Arial"/>
          <w:spacing w:val="-3"/>
        </w:rPr>
        <w:tab/>
      </w:r>
      <w:r w:rsidR="00F17A9F" w:rsidRPr="006C07B6">
        <w:rPr>
          <w:rFonts w:cs="Arial"/>
          <w:spacing w:val="-3"/>
        </w:rPr>
        <w:t xml:space="preserve">Upon written request from the </w:t>
      </w:r>
      <w:r w:rsidR="00806278">
        <w:rPr>
          <w:rFonts w:cs="Arial"/>
          <w:spacing w:val="-3"/>
        </w:rPr>
        <w:t>Energy Commission</w:t>
      </w:r>
      <w:r w:rsidR="00F17A9F" w:rsidRPr="006C07B6">
        <w:rPr>
          <w:rFonts w:cs="Arial"/>
          <w:spacing w:val="-3"/>
        </w:rPr>
        <w:t xml:space="preserve">, the Recipient shall provide detailed documentation of all </w:t>
      </w:r>
      <w:r w:rsidR="00FE6C9F">
        <w:rPr>
          <w:rFonts w:cs="Arial"/>
          <w:spacing w:val="-3"/>
        </w:rPr>
        <w:t xml:space="preserve">project </w:t>
      </w:r>
      <w:r w:rsidR="00F17A9F" w:rsidRPr="006C07B6">
        <w:rPr>
          <w:rFonts w:cs="Arial"/>
          <w:spacing w:val="-3"/>
        </w:rPr>
        <w:t xml:space="preserve">expenses at any time throughout the project. In addition, the Recipient agrees to allow the </w:t>
      </w:r>
      <w:r w:rsidR="00806278">
        <w:rPr>
          <w:rFonts w:cs="Arial"/>
          <w:spacing w:val="-3"/>
        </w:rPr>
        <w:t>Energy Commission</w:t>
      </w:r>
      <w:r w:rsidR="00F17A9F" w:rsidRPr="006C07B6">
        <w:rPr>
          <w:rFonts w:cs="Arial"/>
          <w:spacing w:val="-3"/>
        </w:rPr>
        <w:t xml:space="preserve"> or any other agency </w:t>
      </w:r>
      <w:r w:rsidR="00420A26">
        <w:rPr>
          <w:rFonts w:cs="Arial"/>
          <w:spacing w:val="-3"/>
        </w:rPr>
        <w:t>of the S</w:t>
      </w:r>
      <w:r w:rsidR="00F17A9F" w:rsidRPr="006C07B6">
        <w:rPr>
          <w:rFonts w:cs="Arial"/>
          <w:spacing w:val="-3"/>
        </w:rPr>
        <w:t>tate</w:t>
      </w:r>
      <w:r w:rsidR="00F81D27">
        <w:rPr>
          <w:rFonts w:cs="Arial"/>
          <w:spacing w:val="-3"/>
        </w:rPr>
        <w:t>, or their designated representative</w:t>
      </w:r>
      <w:r w:rsidR="00F17A9F"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00F17A9F"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00F17A9F"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Match Share means </w:t>
      </w:r>
      <w:proofErr w:type="gramStart"/>
      <w:r w:rsidRPr="008E2368">
        <w:rPr>
          <w:rFonts w:cs="Arial"/>
          <w:spacing w:val="-3"/>
        </w:rPr>
        <w:t>cash</w:t>
      </w:r>
      <w:proofErr w:type="gramEnd"/>
      <w:r w:rsidRPr="008E2368">
        <w:rPr>
          <w:rFonts w:cs="Arial"/>
          <w:spacing w:val="-3"/>
        </w:rPr>
        <w:t xml:space="preserve">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w:t>
      </w:r>
      <w:r w:rsidRPr="008E2368">
        <w:rPr>
          <w:rFonts w:cs="Arial"/>
          <w:spacing w:val="-3"/>
        </w:rPr>
        <w:lastRenderedPageBreak/>
        <w:t>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maximum amount to be reimbursed by the Energy Commission under this Agreement is the Reimbursable Amount specified on the CEC-146. The Energy Commission award amount is fixed and will not be augmented. If </w:t>
      </w:r>
      <w:r w:rsidRPr="008E2368">
        <w:rPr>
          <w:rFonts w:cs="Arial"/>
          <w:spacing w:val="-3"/>
        </w:rPr>
        <w:lastRenderedPageBreak/>
        <w:t>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1D1755">
      <w:pPr>
        <w:pStyle w:val="Heading1"/>
      </w:pPr>
      <w:r w:rsidRPr="006C07B6">
        <w:tab/>
      </w:r>
      <w:bookmarkStart w:id="64" w:name="_Toc519062934"/>
      <w:bookmarkStart w:id="65" w:name="_Toc266800593"/>
      <w:bookmarkStart w:id="66" w:name="_Toc88229826"/>
      <w:bookmarkStart w:id="67" w:name="_Toc88230231"/>
      <w:r w:rsidRPr="00FD3351">
        <w:t>Indemnification</w:t>
      </w:r>
      <w:bookmarkEnd w:id="64"/>
      <w:bookmarkEnd w:id="65"/>
      <w:bookmarkEnd w:id="66"/>
      <w:bookmarkEnd w:id="67"/>
    </w:p>
    <w:p w14:paraId="68EC0D38" w14:textId="07D6D815"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r>
      <w:r w:rsidR="006B1845">
        <w:rPr>
          <w:rFonts w:cs="Arial"/>
          <w:spacing w:val="-3"/>
        </w:rPr>
        <w:t xml:space="preserve">To the extent allowed under </w:t>
      </w:r>
      <w:r w:rsidR="00EF08CC">
        <w:rPr>
          <w:rFonts w:cs="Arial"/>
          <w:spacing w:val="-3"/>
        </w:rPr>
        <w:t>applicable</w:t>
      </w:r>
      <w:r w:rsidR="006B1845">
        <w:rPr>
          <w:rFonts w:cs="Arial"/>
          <w:spacing w:val="-3"/>
        </w:rPr>
        <w:t xml:space="preserve"> law, </w:t>
      </w:r>
      <w:r w:rsidR="0041608B">
        <w:rPr>
          <w:rFonts w:cs="Arial"/>
          <w:spacing w:val="-3"/>
        </w:rPr>
        <w:t>t</w:t>
      </w:r>
      <w:r w:rsidRPr="006C07B6">
        <w:rPr>
          <w:rFonts w:cs="Arial"/>
          <w:spacing w:val="-3"/>
        </w:rPr>
        <w: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1D1755">
      <w:pPr>
        <w:pStyle w:val="Heading1"/>
      </w:pPr>
      <w:r w:rsidRPr="006C07B6">
        <w:tab/>
      </w:r>
      <w:bookmarkStart w:id="68" w:name="_Toc519062936"/>
      <w:bookmarkStart w:id="69" w:name="_Toc266800595"/>
      <w:bookmarkStart w:id="70" w:name="_Toc88229827"/>
      <w:bookmarkStart w:id="71" w:name="_Toc88230232"/>
      <w:r w:rsidRPr="006C07B6">
        <w:t>Workers' Compensation Insurance</w:t>
      </w:r>
      <w:bookmarkEnd w:id="68"/>
      <w:bookmarkEnd w:id="69"/>
      <w:bookmarkEnd w:id="70"/>
      <w:bookmarkEnd w:id="71"/>
    </w:p>
    <w:p w14:paraId="78F9122A" w14:textId="726F0E74"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1D1755">
      <w:pPr>
        <w:pStyle w:val="Heading1"/>
      </w:pPr>
      <w:r w:rsidRPr="006C07B6">
        <w:tab/>
      </w:r>
      <w:bookmarkStart w:id="72" w:name="_Toc519062937"/>
      <w:bookmarkStart w:id="73" w:name="_Toc266800596"/>
      <w:bookmarkStart w:id="74" w:name="_Toc88229828"/>
      <w:bookmarkStart w:id="75" w:name="_Toc88230233"/>
      <w:r w:rsidRPr="006C07B6">
        <w:t>General Provisions</w:t>
      </w:r>
      <w:bookmarkEnd w:id="72"/>
      <w:bookmarkEnd w:id="73"/>
      <w:bookmarkEnd w:id="74"/>
      <w:bookmarkEnd w:id="75"/>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6"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6"/>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lastRenderedPageBreak/>
        <w:tab/>
      </w:r>
      <w:bookmarkStart w:id="77" w:name="_Toc88229830"/>
      <w:r w:rsidRPr="006C07B6">
        <w:rPr>
          <w:rFonts w:cs="Arial"/>
          <w:spacing w:val="-3"/>
        </w:rPr>
        <w:t>c.</w:t>
      </w:r>
      <w:r w:rsidRPr="006C07B6">
        <w:rPr>
          <w:rFonts w:cs="Arial"/>
          <w:spacing w:val="-3"/>
        </w:rPr>
        <w:tab/>
        <w:t>Assignment</w:t>
      </w:r>
      <w:bookmarkEnd w:id="77"/>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8"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8"/>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9" w:name="_Toc88229832"/>
      <w:r w:rsidRPr="006C07B6">
        <w:rPr>
          <w:rFonts w:cs="Arial"/>
          <w:spacing w:val="-3"/>
        </w:rPr>
        <w:t>d.</w:t>
      </w:r>
      <w:r w:rsidRPr="006C07B6">
        <w:rPr>
          <w:rFonts w:cs="Arial"/>
          <w:spacing w:val="-3"/>
        </w:rPr>
        <w:tab/>
      </w:r>
      <w:r w:rsidRPr="00FD3351">
        <w:rPr>
          <w:rFonts w:cs="Arial"/>
          <w:spacing w:val="-3"/>
        </w:rPr>
        <w:t>Timeliness</w:t>
      </w:r>
      <w:bookmarkEnd w:id="79"/>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80" w:name="_Toc88229833"/>
      <w:r w:rsidRPr="006C07B6">
        <w:rPr>
          <w:rFonts w:cs="Arial"/>
          <w:spacing w:val="-3"/>
        </w:rPr>
        <w:t>Time is of the essence in this Agreement.</w:t>
      </w:r>
      <w:bookmarkEnd w:id="80"/>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lastRenderedPageBreak/>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1" w:name="_Toc88229834"/>
      <w:r w:rsidRPr="006C07B6">
        <w:rPr>
          <w:rFonts w:cs="Arial"/>
        </w:rPr>
        <w:t>i.</w:t>
      </w:r>
      <w:r w:rsidRPr="006C07B6">
        <w:rPr>
          <w:rFonts w:cs="Arial"/>
        </w:rPr>
        <w:tab/>
        <w:t>Survival of Terms</w:t>
      </w:r>
      <w:bookmarkEnd w:id="81"/>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224E47FF" w:rsidR="00F17A9F"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302CD4E2" w14:textId="51123121" w:rsidR="00D42A62" w:rsidRPr="006C07B6" w:rsidRDefault="00D42A62" w:rsidP="00177E87">
      <w:pPr>
        <w:keepLines/>
        <w:widowControl w:val="0"/>
        <w:numPr>
          <w:ilvl w:val="0"/>
          <w:numId w:val="12"/>
        </w:numPr>
        <w:tabs>
          <w:tab w:val="clear" w:pos="360"/>
          <w:tab w:val="left" w:pos="-720"/>
          <w:tab w:val="num" w:pos="2160"/>
        </w:tabs>
        <w:spacing w:after="120"/>
        <w:ind w:left="2160" w:hanging="720"/>
        <w:jc w:val="both"/>
        <w:rPr>
          <w:rFonts w:cs="Arial"/>
          <w:spacing w:val="-3"/>
        </w:rPr>
      </w:pPr>
      <w:bookmarkStart w:id="82" w:name="_Hlk124078418"/>
      <w:r>
        <w:rPr>
          <w:rFonts w:cs="Arial"/>
          <w:spacing w:val="-3"/>
        </w:rPr>
        <w:t>“</w:t>
      </w:r>
      <w:r>
        <w:t xml:space="preserve">Receipt of </w:t>
      </w:r>
      <w:r w:rsidRPr="00554A6A">
        <w:t>Confidentia</w:t>
      </w:r>
      <w:r>
        <w:t>l Information and Personal Information”</w:t>
      </w:r>
      <w:bookmarkEnd w:id="82"/>
    </w:p>
    <w:p w14:paraId="06DC2A1E" w14:textId="77777777" w:rsidR="00F17A9F" w:rsidRPr="006C07B6" w:rsidRDefault="00F17A9F" w:rsidP="001D1755">
      <w:pPr>
        <w:pStyle w:val="Heading1"/>
      </w:pPr>
      <w:r w:rsidRPr="006C07B6">
        <w:tab/>
      </w:r>
      <w:bookmarkStart w:id="83" w:name="_Toc266800597"/>
      <w:bookmarkStart w:id="84" w:name="_Toc88229835"/>
      <w:bookmarkStart w:id="85" w:name="_Toc88230234"/>
      <w:r w:rsidRPr="006C07B6">
        <w:t xml:space="preserve">Certifications </w:t>
      </w:r>
      <w:r w:rsidR="00EB1531" w:rsidRPr="006C07B6">
        <w:t>and</w:t>
      </w:r>
      <w:r w:rsidRPr="006C07B6">
        <w:t xml:space="preserve"> Compliance</w:t>
      </w:r>
      <w:bookmarkEnd w:id="83"/>
      <w:bookmarkEnd w:id="84"/>
      <w:bookmarkEnd w:id="85"/>
    </w:p>
    <w:p w14:paraId="47486E74" w14:textId="55C0AAE1"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Federal, State</w:t>
      </w:r>
      <w:r w:rsidR="009E0CE5">
        <w:rPr>
          <w:rFonts w:cs="Arial"/>
          <w:spacing w:val="-3"/>
        </w:rPr>
        <w:t>, Tribal</w:t>
      </w:r>
      <w:r w:rsidRPr="006C07B6">
        <w:rPr>
          <w:rFonts w:cs="Arial"/>
          <w:spacing w:val="-3"/>
        </w:rPr>
        <w:t xml:space="preserv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6CBD28B4"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w:t>
      </w:r>
      <w:r w:rsidR="00E30E14">
        <w:rPr>
          <w:rFonts w:cs="Arial"/>
          <w:spacing w:val="-3"/>
        </w:rPr>
        <w:t xml:space="preserve">Tribal, </w:t>
      </w:r>
      <w:r w:rsidRPr="006C07B6">
        <w:rPr>
          <w:rFonts w:cs="Arial"/>
          <w:spacing w:val="-3"/>
        </w:rPr>
        <w:t xml:space="preserve">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6" w:name="_Toc88229836"/>
      <w:r w:rsidRPr="006C07B6">
        <w:rPr>
          <w:rFonts w:cs="Arial"/>
          <w:spacing w:val="-3"/>
        </w:rPr>
        <w:lastRenderedPageBreak/>
        <w:t>b.</w:t>
      </w:r>
      <w:r w:rsidRPr="006C07B6">
        <w:rPr>
          <w:rFonts w:cs="Arial"/>
          <w:spacing w:val="-3"/>
        </w:rPr>
        <w:tab/>
        <w:t>Nondiscrimination Statement of Compliance</w:t>
      </w:r>
      <w:bookmarkEnd w:id="86"/>
    </w:p>
    <w:p w14:paraId="3C15C175" w14:textId="5302D4DA"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w:t>
      </w:r>
      <w:r w:rsidR="00945832">
        <w:rPr>
          <w:rFonts w:ascii="Arial" w:hAnsi="Arial" w:cs="Arial"/>
        </w:rPr>
        <w:t xml:space="preserve">If applicable, the </w:t>
      </w:r>
      <w:r w:rsidRPr="006C07B6">
        <w:rPr>
          <w:rFonts w:ascii="Arial" w:hAnsi="Arial" w:cs="Arial"/>
        </w:rPr>
        <w:t xml:space="preserve">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w:t>
      </w:r>
      <w:r w:rsidR="00274067">
        <w:rPr>
          <w:rFonts w:ascii="Arial" w:hAnsi="Arial" w:cs="Arial"/>
        </w:rPr>
        <w:t>, if applicable,</w:t>
      </w:r>
      <w:r w:rsidRPr="006C07B6">
        <w:rPr>
          <w:rFonts w:ascii="Arial" w:hAnsi="Arial" w:cs="Arial"/>
        </w:rPr>
        <w:t xml:space="preserve">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3FE55F31"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 xml:space="preserve">Publish a statement notifying employees </w:t>
      </w:r>
      <w:r w:rsidR="0086517E">
        <w:rPr>
          <w:rFonts w:cs="Arial"/>
        </w:rPr>
        <w:t xml:space="preserve">directly </w:t>
      </w:r>
      <w:r w:rsidR="0083234E">
        <w:rPr>
          <w:rFonts w:cs="Arial"/>
        </w:rPr>
        <w:t>engaged in the performance of t</w:t>
      </w:r>
      <w:r w:rsidR="005441D8">
        <w:rPr>
          <w:rFonts w:cs="Arial"/>
        </w:rPr>
        <w:t xml:space="preserve">his </w:t>
      </w:r>
      <w:r w:rsidR="0052544E">
        <w:rPr>
          <w:rFonts w:cs="Arial"/>
        </w:rPr>
        <w:t>project</w:t>
      </w:r>
      <w:r w:rsidR="0083234E">
        <w:rPr>
          <w:rFonts w:cs="Arial"/>
        </w:rPr>
        <w:t xml:space="preserve"> </w:t>
      </w:r>
      <w:r w:rsidRPr="006C07B6">
        <w:rPr>
          <w:rFonts w:cs="Arial"/>
        </w:rPr>
        <w:t>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62E269A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w:t>
      </w:r>
      <w:r w:rsidR="005441D8">
        <w:rPr>
          <w:rFonts w:cs="Arial"/>
          <w:spacing w:val="-3"/>
        </w:rPr>
        <w:t xml:space="preserve"> directly engaged in the performance of this </w:t>
      </w:r>
      <w:r w:rsidR="0052544E">
        <w:rPr>
          <w:rFonts w:cs="Arial"/>
          <w:spacing w:val="-3"/>
        </w:rPr>
        <w:t>project</w:t>
      </w:r>
      <w:r w:rsidRPr="006C07B6">
        <w:rPr>
          <w:rFonts w:cs="Arial"/>
          <w:spacing w:val="-3"/>
        </w:rPr>
        <w:t xml:space="preserve">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lastRenderedPageBreak/>
        <w:t>Penalties that may be imposed upon employees for drug abuse violations.</w:t>
      </w:r>
    </w:p>
    <w:p w14:paraId="576096A4" w14:textId="35833B95"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w:t>
      </w:r>
      <w:r w:rsidR="0052544E">
        <w:rPr>
          <w:rFonts w:cs="Arial"/>
          <w:spacing w:val="-3"/>
        </w:rPr>
        <w:t>is</w:t>
      </w:r>
      <w:r w:rsidRPr="006C07B6">
        <w:rPr>
          <w:rFonts w:cs="Arial"/>
          <w:spacing w:val="-3"/>
        </w:rPr>
        <w:t xml:space="preserve">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1D1755">
      <w:pPr>
        <w:pStyle w:val="Heading1"/>
      </w:pPr>
      <w:r>
        <w:tab/>
      </w:r>
      <w:bookmarkStart w:id="87" w:name="_Toc266800598"/>
      <w:bookmarkStart w:id="88" w:name="_Toc88229837"/>
      <w:bookmarkStart w:id="89" w:name="_Toc88230235"/>
      <w:r w:rsidRPr="00FD3351">
        <w:t>Site Visits</w:t>
      </w:r>
      <w:bookmarkEnd w:id="87"/>
      <w:bookmarkEnd w:id="88"/>
      <w:bookmarkEnd w:id="89"/>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6BD99D43" w:rsidR="001456C8" w:rsidRPr="00716722" w:rsidRDefault="006A675D" w:rsidP="001D1755">
      <w:pPr>
        <w:pStyle w:val="Heading1"/>
      </w:pPr>
      <w:r>
        <w:lastRenderedPageBreak/>
        <w:tab/>
      </w:r>
      <w:bookmarkStart w:id="90" w:name="_Toc266800599"/>
      <w:bookmarkStart w:id="91" w:name="_Toc88229838"/>
      <w:bookmarkStart w:id="92" w:name="_Toc88230236"/>
      <w:r w:rsidR="001B71D0" w:rsidRPr="00716722">
        <w:t>Confidential</w:t>
      </w:r>
      <w:bookmarkEnd w:id="90"/>
      <w:bookmarkEnd w:id="91"/>
      <w:bookmarkEnd w:id="92"/>
      <w:r w:rsidR="00D42A62">
        <w:t xml:space="preserve"> Recipient Information</w:t>
      </w:r>
    </w:p>
    <w:p w14:paraId="0642177D" w14:textId="7F1CC759"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D42A62" w:rsidRPr="00722317">
        <w:rPr>
          <w:rFonts w:cs="Arial"/>
          <w:spacing w:val="-3"/>
        </w:rPr>
        <w:t xml:space="preserve">Identification of Confidential Recipient </w:t>
      </w:r>
      <w:r w:rsidR="001456C8" w:rsidRPr="001427F5">
        <w:rPr>
          <w:rFonts w:cs="Arial"/>
          <w:spacing w:val="-3"/>
        </w:rPr>
        <w:t>Information</w:t>
      </w:r>
    </w:p>
    <w:p w14:paraId="308BD4E7" w14:textId="3DF442A9" w:rsidR="001456C8" w:rsidRPr="001427F5" w:rsidRDefault="00D42A62" w:rsidP="00172FFD">
      <w:pPr>
        <w:keepLines/>
        <w:widowControl w:val="0"/>
        <w:tabs>
          <w:tab w:val="left" w:pos="-1440"/>
          <w:tab w:val="left" w:pos="-720"/>
        </w:tabs>
        <w:spacing w:after="120"/>
        <w:ind w:left="1440"/>
        <w:jc w:val="both"/>
        <w:rPr>
          <w:rFonts w:cs="Arial"/>
          <w:spacing w:val="-3"/>
        </w:rPr>
      </w:pPr>
      <w:r w:rsidRPr="00722317">
        <w:rPr>
          <w:rFonts w:cs="Arial"/>
          <w:spacing w:val="-3"/>
        </w:rPr>
        <w:t>For the purposes of this Section, “Confidential Recipient Information”</w:t>
      </w:r>
      <w:r w:rsidRPr="00722317">
        <w:t xml:space="preserve"> </w:t>
      </w:r>
      <w:r>
        <w:rPr>
          <w:rFonts w:cs="Arial"/>
          <w:spacing w:val="-3"/>
        </w:rPr>
        <w:t>refers to</w:t>
      </w:r>
      <w:r w:rsidRPr="00722317">
        <w:rPr>
          <w:rFonts w:cs="Arial"/>
          <w:spacing w:val="-3"/>
        </w:rPr>
        <w:t xml:space="preserve"> information </w:t>
      </w:r>
      <w:r w:rsidR="00DB1DE7">
        <w:rPr>
          <w:rFonts w:cs="Arial"/>
          <w:spacing w:val="-3"/>
        </w:rPr>
        <w:t xml:space="preserve">related to the project and </w:t>
      </w:r>
      <w:r>
        <w:rPr>
          <w:rFonts w:cs="Arial"/>
          <w:spacing w:val="-3"/>
        </w:rPr>
        <w:t>belonging to the</w:t>
      </w:r>
      <w:r w:rsidRPr="00722317">
        <w:rPr>
          <w:rFonts w:cs="Arial"/>
          <w:spacing w:val="-3"/>
        </w:rPr>
        <w:t xml:space="preserve"> Recipient </w:t>
      </w:r>
      <w:r>
        <w:rPr>
          <w:rFonts w:cs="Arial"/>
          <w:spacing w:val="-3"/>
        </w:rPr>
        <w:t xml:space="preserve">that the Recipient </w:t>
      </w:r>
      <w:r w:rsidRPr="00722317">
        <w:rPr>
          <w:rFonts w:cs="Arial"/>
          <w:spacing w:val="-3"/>
        </w:rPr>
        <w:t xml:space="preserve">has satisfactorily identified as confidential and the </w:t>
      </w:r>
      <w:r>
        <w:rPr>
          <w:rFonts w:cs="Arial"/>
          <w:spacing w:val="-3"/>
        </w:rPr>
        <w:t>Energy Commission</w:t>
      </w:r>
      <w:r w:rsidRPr="00722317">
        <w:rPr>
          <w:rFonts w:cs="Arial"/>
          <w:spacing w:val="-3"/>
        </w:rPr>
        <w:t xml:space="preserve"> has agreed to designate as confidential under Title 20 California Code of Regulations Section </w:t>
      </w:r>
      <w:r w:rsidR="006A717C">
        <w:rPr>
          <w:rFonts w:cs="Arial"/>
          <w:spacing w:val="-3"/>
        </w:rPr>
        <w:t xml:space="preserve">2505. </w:t>
      </w:r>
      <w:r w:rsidR="001456C8" w:rsidRPr="001427F5">
        <w:rPr>
          <w:rFonts w:cs="Arial"/>
          <w:spacing w:val="-3"/>
        </w:rPr>
        <w:t xml:space="preserve">If applicable, all Recipient information considered confidential at the commencement of this Agreement is designated in </w:t>
      </w:r>
      <w:r>
        <w:rPr>
          <w:rFonts w:cs="Arial"/>
          <w:spacing w:val="-3"/>
        </w:rPr>
        <w:t>an</w:t>
      </w:r>
      <w:r w:rsidRPr="001427F5">
        <w:rPr>
          <w:rFonts w:cs="Arial"/>
          <w:spacing w:val="-3"/>
        </w:rPr>
        <w:t xml:space="preserve"> </w:t>
      </w:r>
      <w:r w:rsidR="001456C8" w:rsidRPr="001427F5">
        <w:rPr>
          <w:rFonts w:cs="Arial"/>
          <w:spacing w:val="-3"/>
        </w:rPr>
        <w:t>Attachment to this Exhibit.</w:t>
      </w:r>
    </w:p>
    <w:p w14:paraId="7F73681F" w14:textId="06918D89"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Confidential </w:t>
      </w:r>
      <w:r w:rsidR="00815531">
        <w:rPr>
          <w:rFonts w:cs="Arial"/>
          <w:spacing w:val="-3"/>
        </w:rPr>
        <w:t>Products</w:t>
      </w:r>
      <w:r w:rsidRPr="001427F5">
        <w:rPr>
          <w:rFonts w:cs="Arial"/>
          <w:spacing w:val="-3"/>
        </w:rPr>
        <w:t>: Labeling and Submitting Confidential</w:t>
      </w:r>
      <w:r w:rsidR="00D42A62">
        <w:rPr>
          <w:rFonts w:cs="Arial"/>
          <w:spacing w:val="-3"/>
        </w:rPr>
        <w:t xml:space="preserve"> </w:t>
      </w:r>
      <w:bookmarkStart w:id="93" w:name="_Hlk124255068"/>
      <w:r w:rsidR="00D42A62">
        <w:rPr>
          <w:rFonts w:cs="Arial"/>
          <w:spacing w:val="-3"/>
        </w:rPr>
        <w:t>Recipient</w:t>
      </w:r>
      <w:r w:rsidRPr="001427F5">
        <w:rPr>
          <w:rFonts w:cs="Arial"/>
          <w:spacing w:val="-3"/>
        </w:rPr>
        <w:t xml:space="preserve"> </w:t>
      </w:r>
      <w:bookmarkEnd w:id="93"/>
      <w:r w:rsidRPr="001427F5">
        <w:rPr>
          <w:rFonts w:cs="Arial"/>
          <w:spacing w:val="-3"/>
        </w:rPr>
        <w:t>Information</w:t>
      </w:r>
    </w:p>
    <w:p w14:paraId="096E7509" w14:textId="12A682AD" w:rsidR="001456C8" w:rsidRPr="001427F5" w:rsidRDefault="00815531" w:rsidP="00172FFD">
      <w:pPr>
        <w:keepLines/>
        <w:widowControl w:val="0"/>
        <w:tabs>
          <w:tab w:val="left" w:pos="-1440"/>
          <w:tab w:val="left" w:pos="-720"/>
        </w:tabs>
        <w:spacing w:after="120"/>
        <w:ind w:left="1440"/>
        <w:jc w:val="both"/>
        <w:rPr>
          <w:rFonts w:cs="Arial"/>
          <w:spacing w:val="-3"/>
        </w:rPr>
      </w:pPr>
      <w:r w:rsidRPr="00815531">
        <w:rPr>
          <w:rFonts w:cs="Arial"/>
          <w:spacing w:val="-3"/>
        </w:rPr>
        <w:t>Products are defined as any tangible item specified in the Statement of Work</w:t>
      </w:r>
      <w:r>
        <w:rPr>
          <w:rFonts w:cs="Arial"/>
          <w:spacing w:val="-3"/>
        </w:rPr>
        <w:t>.</w:t>
      </w:r>
      <w:r w:rsidRPr="00815531">
        <w:rPr>
          <w:rFonts w:cs="Arial"/>
          <w:spacing w:val="-3"/>
        </w:rPr>
        <w:t xml:space="preserve"> </w:t>
      </w:r>
      <w:r w:rsidR="001456C8" w:rsidRPr="001427F5">
        <w:rPr>
          <w:rFonts w:cs="Arial"/>
          <w:spacing w:val="-3"/>
        </w:rPr>
        <w:t>Prior to the commencement of this Agreement, if applicable, the parties have identified in the Attachment to this Exhibit, specific Confidential</w:t>
      </w:r>
      <w:r w:rsidR="00D42A62" w:rsidRPr="00D42A62">
        <w:rPr>
          <w:rFonts w:cs="Arial"/>
          <w:spacing w:val="-3"/>
        </w:rPr>
        <w:t xml:space="preserve"> </w:t>
      </w:r>
      <w:r w:rsidR="00D42A62">
        <w:rPr>
          <w:rFonts w:cs="Arial"/>
          <w:spacing w:val="-3"/>
        </w:rPr>
        <w:t>Recipient</w:t>
      </w:r>
      <w:r w:rsidR="001456C8" w:rsidRPr="001427F5">
        <w:rPr>
          <w:rFonts w:cs="Arial"/>
          <w:spacing w:val="-3"/>
        </w:rPr>
        <w:t xml:space="preserve"> Information to be provided as a </w:t>
      </w:r>
      <w:r>
        <w:rPr>
          <w:rFonts w:cs="Arial"/>
          <w:spacing w:val="-3"/>
        </w:rPr>
        <w:t>product</w:t>
      </w:r>
      <w:r w:rsidR="003E00FB">
        <w:rPr>
          <w:rFonts w:cs="Arial"/>
          <w:spacing w:val="-3"/>
        </w:rPr>
        <w:t xml:space="preserve"> or included </w:t>
      </w:r>
      <w:r w:rsidR="001E62F8">
        <w:rPr>
          <w:rFonts w:cs="Arial"/>
          <w:spacing w:val="-3"/>
        </w:rPr>
        <w:t>within</w:t>
      </w:r>
      <w:r w:rsidR="003E00FB">
        <w:rPr>
          <w:rFonts w:cs="Arial"/>
          <w:spacing w:val="-3"/>
        </w:rPr>
        <w:t xml:space="preserve"> a product</w:t>
      </w:r>
      <w:r w:rsidR="001456C8" w:rsidRPr="001427F5">
        <w:rPr>
          <w:rFonts w:cs="Arial"/>
          <w:spacing w:val="-3"/>
        </w:rPr>
        <w:t xml:space="preserve">. All such confidential </w:t>
      </w:r>
      <w:r>
        <w:rPr>
          <w:rFonts w:cs="Arial"/>
          <w:spacing w:val="-3"/>
        </w:rPr>
        <w:t>products</w:t>
      </w:r>
      <w:r w:rsidR="001456C8" w:rsidRPr="001427F5">
        <w:rPr>
          <w:rFonts w:cs="Arial"/>
          <w:spacing w:val="-3"/>
        </w:rPr>
        <w:t xml:space="preserve"> shall be marked, by the Recipient, as “Confidential” on each page of the document containing the Confidential </w:t>
      </w:r>
      <w:r w:rsidR="00D42A62">
        <w:rPr>
          <w:rFonts w:cs="Arial"/>
          <w:spacing w:val="-3"/>
        </w:rPr>
        <w:t>Recipient</w:t>
      </w:r>
      <w:r w:rsidR="00D42A62" w:rsidRPr="001427F5">
        <w:rPr>
          <w:rFonts w:cs="Arial"/>
          <w:spacing w:val="-3"/>
        </w:rPr>
        <w:t xml:space="preserve"> </w:t>
      </w:r>
      <w:r w:rsidR="001456C8" w:rsidRPr="001427F5">
        <w:rPr>
          <w:rFonts w:cs="Arial"/>
          <w:spacing w:val="-3"/>
        </w:rPr>
        <w:t xml:space="preserve">Information and presented in a sealed package to the </w:t>
      </w:r>
      <w:r w:rsidR="00806278">
        <w:rPr>
          <w:rFonts w:cs="Arial"/>
          <w:spacing w:val="-3"/>
        </w:rPr>
        <w:t>Commission</w:t>
      </w:r>
      <w:r w:rsidR="001456C8" w:rsidRPr="001427F5">
        <w:rPr>
          <w:rFonts w:cs="Arial"/>
          <w:spacing w:val="-3"/>
        </w:rPr>
        <w:t xml:space="preserve"> </w:t>
      </w:r>
      <w:r w:rsidR="00090607">
        <w:rPr>
          <w:rFonts w:cs="Arial"/>
          <w:spacing w:val="-3"/>
        </w:rPr>
        <w:t>Agreement</w:t>
      </w:r>
      <w:r w:rsidR="00090607" w:rsidRPr="001427F5">
        <w:rPr>
          <w:rFonts w:cs="Arial"/>
          <w:spacing w:val="-3"/>
        </w:rPr>
        <w:t xml:space="preserve"> </w:t>
      </w:r>
      <w:r w:rsidR="001456C8" w:rsidRPr="001427F5">
        <w:rPr>
          <w:rFonts w:cs="Arial"/>
          <w:spacing w:val="-3"/>
        </w:rPr>
        <w:t xml:space="preserve">Officer. (Non-confidential </w:t>
      </w:r>
      <w:r>
        <w:rPr>
          <w:rFonts w:cs="Arial"/>
          <w:spacing w:val="-3"/>
        </w:rPr>
        <w:t>products</w:t>
      </w:r>
      <w:r w:rsidR="001456C8" w:rsidRPr="001427F5">
        <w:rPr>
          <w:rFonts w:cs="Arial"/>
          <w:spacing w:val="-3"/>
        </w:rPr>
        <w:t xml:space="preserve"> are submitted to the Accounting Office.) All Confidential </w:t>
      </w:r>
      <w:r w:rsidR="00D42A62">
        <w:rPr>
          <w:rFonts w:cs="Arial"/>
          <w:spacing w:val="-3"/>
        </w:rPr>
        <w:t>Recipient</w:t>
      </w:r>
      <w:r w:rsidR="00D42A62" w:rsidRPr="001427F5">
        <w:rPr>
          <w:rFonts w:cs="Arial"/>
          <w:spacing w:val="-3"/>
        </w:rPr>
        <w:t xml:space="preserve"> </w:t>
      </w:r>
      <w:r w:rsidR="001456C8" w:rsidRPr="001427F5">
        <w:rPr>
          <w:rFonts w:cs="Arial"/>
          <w:spacing w:val="-3"/>
        </w:rPr>
        <w:t xml:space="preserve">Information will be contained in the “confidential” volume: no Confidential </w:t>
      </w:r>
      <w:r w:rsidR="00D42A62">
        <w:rPr>
          <w:rFonts w:cs="Arial"/>
          <w:spacing w:val="-3"/>
        </w:rPr>
        <w:t>Recipient</w:t>
      </w:r>
      <w:r w:rsidR="00D42A62" w:rsidRPr="001427F5">
        <w:rPr>
          <w:rFonts w:cs="Arial"/>
          <w:spacing w:val="-3"/>
        </w:rPr>
        <w:t xml:space="preserve"> </w:t>
      </w:r>
      <w:r w:rsidR="001456C8" w:rsidRPr="001427F5">
        <w:rPr>
          <w:rFonts w:cs="Arial"/>
          <w:spacing w:val="-3"/>
        </w:rPr>
        <w:t>Information will be in the “public” volume.</w:t>
      </w:r>
    </w:p>
    <w:p w14:paraId="6D8C92D7" w14:textId="18EFEF28"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Submittal of Unanticipated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as a </w:t>
      </w:r>
      <w:r w:rsidR="00815531">
        <w:rPr>
          <w:rFonts w:cs="Arial"/>
          <w:spacing w:val="-3"/>
        </w:rPr>
        <w:t>Product</w:t>
      </w:r>
    </w:p>
    <w:p w14:paraId="44EA2144" w14:textId="41BA3CA5"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The Recipient and the Energy Commission agree that during this Agreement, it is possible that the Recipient may </w:t>
      </w:r>
      <w:r w:rsidR="00D42A62">
        <w:rPr>
          <w:rFonts w:cs="Arial"/>
          <w:spacing w:val="-3"/>
        </w:rPr>
        <w:t xml:space="preserve">obtain or </w:t>
      </w:r>
      <w:r w:rsidRPr="001427F5">
        <w:rPr>
          <w:rFonts w:cs="Arial"/>
          <w:spacing w:val="-3"/>
        </w:rPr>
        <w:t xml:space="preserve">develop additional data or information not originally </w:t>
      </w:r>
      <w:r w:rsidR="00D42A62">
        <w:rPr>
          <w:rFonts w:cs="Arial"/>
          <w:spacing w:val="-3"/>
        </w:rPr>
        <w:t>identified</w:t>
      </w:r>
      <w:r w:rsidR="00D42A62" w:rsidRPr="001427F5">
        <w:rPr>
          <w:rFonts w:cs="Arial"/>
          <w:spacing w:val="-3"/>
        </w:rPr>
        <w:t xml:space="preserve"> </w:t>
      </w:r>
      <w:r w:rsidRPr="001427F5">
        <w:rPr>
          <w:rFonts w:cs="Arial"/>
          <w:spacing w:val="-3"/>
        </w:rPr>
        <w:t xml:space="preserve">as a confidential </w:t>
      </w:r>
      <w:r w:rsidR="00815531">
        <w:rPr>
          <w:rFonts w:cs="Arial"/>
          <w:spacing w:val="-3"/>
        </w:rPr>
        <w:t>product</w:t>
      </w:r>
      <w:r w:rsidRPr="001427F5">
        <w:rPr>
          <w:rFonts w:cs="Arial"/>
          <w:spacing w:val="-3"/>
        </w:rPr>
        <w:t>.</w:t>
      </w:r>
      <w:r w:rsidR="000B6626">
        <w:rPr>
          <w:rFonts w:cs="Arial"/>
          <w:spacing w:val="-3"/>
        </w:rPr>
        <w:t xml:space="preserve"> </w:t>
      </w:r>
      <w:r w:rsidRPr="001427F5">
        <w:rPr>
          <w:rFonts w:cs="Arial"/>
          <w:spacing w:val="-3"/>
        </w:rPr>
        <w:t xml:space="preserve">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w:t>
      </w:r>
      <w:r w:rsidR="001E62F8">
        <w:rPr>
          <w:rFonts w:cs="Arial"/>
          <w:spacing w:val="-3"/>
        </w:rPr>
        <w:t>products</w:t>
      </w:r>
      <w:r w:rsidRPr="001427F5">
        <w:rPr>
          <w:rFonts w:cs="Arial"/>
          <w:spacing w:val="-3"/>
        </w:rPr>
        <w:t xml:space="preserve"> in </w:t>
      </w:r>
      <w:r w:rsidR="00D42A62">
        <w:rPr>
          <w:rFonts w:cs="Arial"/>
          <w:spacing w:val="-3"/>
        </w:rPr>
        <w:t>an</w:t>
      </w:r>
      <w:r w:rsidR="00D42A62" w:rsidRPr="001427F5">
        <w:rPr>
          <w:rFonts w:cs="Arial"/>
          <w:spacing w:val="-3"/>
        </w:rPr>
        <w:t xml:space="preserve"> </w:t>
      </w:r>
      <w:r w:rsidRPr="001427F5">
        <w:rPr>
          <w:rFonts w:cs="Arial"/>
          <w:spacing w:val="-3"/>
        </w:rPr>
        <w:t>Attachment to this Exhibit.</w:t>
      </w:r>
    </w:p>
    <w:p w14:paraId="650AFB8D" w14:textId="24B41A0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w:t>
      </w:r>
      <w:r w:rsidR="00D42A62">
        <w:rPr>
          <w:rFonts w:cs="Arial"/>
          <w:spacing w:val="-3"/>
        </w:rPr>
        <w:t xml:space="preserve"> Recipient</w:t>
      </w:r>
      <w:r w:rsidRPr="001427F5">
        <w:rPr>
          <w:rFonts w:cs="Arial"/>
          <w:spacing w:val="-3"/>
        </w:rPr>
        <w:t xml:space="preserve"> Information</w:t>
      </w:r>
    </w:p>
    <w:p w14:paraId="716145DB" w14:textId="20B56F98"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Disclosure of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by the Energy Commission may only be made pursuant to 20 CCR 2506 and 2507. All confidential data, records or </w:t>
      </w:r>
      <w:r w:rsidR="001E62F8">
        <w:rPr>
          <w:rFonts w:cs="Arial"/>
          <w:spacing w:val="-3"/>
        </w:rPr>
        <w:t>products</w:t>
      </w:r>
      <w:r w:rsidRPr="001427F5">
        <w:rPr>
          <w:rFonts w:cs="Arial"/>
          <w:spacing w:val="-3"/>
        </w:rPr>
        <w:t xml:space="preserve"> that are legally disclosed by the Recipient or any other entity become public records and are no longer subject to the above confidentiality designation.</w:t>
      </w:r>
    </w:p>
    <w:p w14:paraId="51C2A8B1" w14:textId="66ED059B" w:rsidR="00D42A62" w:rsidRDefault="00716722" w:rsidP="001D1755">
      <w:pPr>
        <w:pStyle w:val="Heading1"/>
      </w:pPr>
      <w:bookmarkStart w:id="94" w:name="_Hlk124260910"/>
      <w:r>
        <w:t xml:space="preserve"> </w:t>
      </w:r>
      <w:r w:rsidR="006A675D">
        <w:tab/>
      </w:r>
      <w:bookmarkStart w:id="95" w:name="_Toc266800600"/>
      <w:bookmarkStart w:id="96" w:name="_Toc88229839"/>
      <w:bookmarkStart w:id="97" w:name="_Toc88230237"/>
      <w:r w:rsidR="00D42A62">
        <w:t xml:space="preserve">Receipt of </w:t>
      </w:r>
      <w:r w:rsidR="00D42A62" w:rsidRPr="00D42A62">
        <w:t>Confidential Information and Personal Information</w:t>
      </w:r>
    </w:p>
    <w:bookmarkEnd w:id="94"/>
    <w:p w14:paraId="65A5E2A3" w14:textId="77777777" w:rsidR="00D42A62" w:rsidRPr="00722317" w:rsidRDefault="00D42A62" w:rsidP="00D42A62">
      <w:pPr>
        <w:pStyle w:val="Heading2"/>
        <w:numPr>
          <w:ilvl w:val="1"/>
          <w:numId w:val="31"/>
        </w:numPr>
        <w:spacing w:after="120"/>
        <w:ind w:hanging="720"/>
        <w:rPr>
          <w:rFonts w:cs="Arial"/>
        </w:rPr>
      </w:pPr>
      <w:r w:rsidRPr="00722317">
        <w:rPr>
          <w:rFonts w:cs="Arial"/>
        </w:rPr>
        <w:t xml:space="preserve">For the purposes of this Section, “confidential information” </w:t>
      </w:r>
      <w:r>
        <w:rPr>
          <w:rFonts w:cs="Arial"/>
        </w:rPr>
        <w:t>refers to</w:t>
      </w:r>
      <w:r w:rsidRPr="00722317">
        <w:rPr>
          <w:rFonts w:cs="Arial"/>
        </w:rPr>
        <w:t xml:space="preserve"> information </w:t>
      </w:r>
      <w:r>
        <w:rPr>
          <w:rFonts w:cs="Arial"/>
        </w:rPr>
        <w:t>the Energy Commission</w:t>
      </w:r>
      <w:r w:rsidRPr="00722317">
        <w:rPr>
          <w:rFonts w:cs="Arial"/>
        </w:rPr>
        <w:t xml:space="preserve"> has designated as confidential pursuant to Title 20 CCR Section 2505 et seq., information </w:t>
      </w:r>
      <w:r>
        <w:rPr>
          <w:rFonts w:cs="Arial"/>
        </w:rPr>
        <w:t>the Energy Commission</w:t>
      </w:r>
      <w:r w:rsidRPr="00242B6C">
        <w:rPr>
          <w:rFonts w:cs="Arial"/>
        </w:rPr>
        <w:t xml:space="preserve"> </w:t>
      </w:r>
      <w:r w:rsidRPr="00722317">
        <w:rPr>
          <w:rFonts w:cs="Arial"/>
        </w:rPr>
        <w:t xml:space="preserve">has otherwise deemed or stated to be confidential, and other </w:t>
      </w:r>
      <w:r w:rsidRPr="00722317">
        <w:rPr>
          <w:rFonts w:cs="Arial"/>
        </w:rPr>
        <w:lastRenderedPageBreak/>
        <w:t>information exempt from public disclosure under the provisions of the California Public Records Act or other applicable state or federal laws.</w:t>
      </w:r>
    </w:p>
    <w:p w14:paraId="27F46BB2" w14:textId="77777777" w:rsidR="00D42A62" w:rsidRPr="00722317" w:rsidRDefault="00D42A62" w:rsidP="00D42A62">
      <w:pPr>
        <w:pStyle w:val="Heading2"/>
        <w:numPr>
          <w:ilvl w:val="1"/>
          <w:numId w:val="31"/>
        </w:numPr>
        <w:spacing w:after="120"/>
        <w:ind w:hanging="720"/>
        <w:rPr>
          <w:rFonts w:cs="Arial"/>
        </w:rPr>
      </w:pPr>
      <w:r w:rsidRPr="00722317">
        <w:rPr>
          <w:rFonts w:cs="Arial"/>
        </w:rPr>
        <w:t xml:space="preserve">For the purposes of this Section, “personal information” </w:t>
      </w:r>
      <w:r>
        <w:rPr>
          <w:rFonts w:cs="Arial"/>
        </w:rPr>
        <w:t>refers to</w:t>
      </w:r>
      <w:r w:rsidRPr="00722317">
        <w:rPr>
          <w:rFonts w:cs="Arial"/>
        </w:rPr>
        <w:t xml:space="preserve"> information that meets the definition of “personal information” in California Civil Code section 1798.3(a) or one of the data elements set forth in California Civil Code section 1798.29(g)(1) or (g)(2). </w:t>
      </w:r>
      <w:r w:rsidRPr="00722317">
        <w:rPr>
          <w:rFonts w:cs="Arial"/>
          <w:b/>
          <w:bCs/>
          <w:u w:val="single"/>
        </w:rPr>
        <w:t xml:space="preserve">Personal information is a type of confidential information and is therefore subject to all requirements for </w:t>
      </w:r>
      <w:r>
        <w:rPr>
          <w:rFonts w:cs="Arial"/>
          <w:b/>
          <w:bCs/>
          <w:u w:val="single"/>
        </w:rPr>
        <w:t>c</w:t>
      </w:r>
      <w:r w:rsidRPr="00722317">
        <w:rPr>
          <w:rFonts w:cs="Arial"/>
          <w:b/>
          <w:bCs/>
          <w:u w:val="single"/>
        </w:rPr>
        <w:t xml:space="preserve">onfidential </w:t>
      </w:r>
      <w:r>
        <w:rPr>
          <w:rFonts w:cs="Arial"/>
          <w:b/>
          <w:bCs/>
          <w:u w:val="single"/>
        </w:rPr>
        <w:t>i</w:t>
      </w:r>
      <w:r w:rsidRPr="00722317">
        <w:rPr>
          <w:rFonts w:cs="Arial"/>
          <w:b/>
          <w:bCs/>
          <w:u w:val="single"/>
        </w:rPr>
        <w:t>nformation provided in this Agreement and applicable law. However, there are additional requirements specific to personal information.</w:t>
      </w:r>
    </w:p>
    <w:p w14:paraId="66D45564" w14:textId="330E1163" w:rsidR="00D42A62" w:rsidRDefault="00D42A62" w:rsidP="00D42A62">
      <w:pPr>
        <w:pStyle w:val="Heading2"/>
        <w:numPr>
          <w:ilvl w:val="1"/>
          <w:numId w:val="31"/>
        </w:numPr>
        <w:spacing w:after="120"/>
        <w:ind w:hanging="720"/>
        <w:rPr>
          <w:rFonts w:cs="Arial"/>
        </w:rPr>
      </w:pPr>
      <w:r>
        <w:rPr>
          <w:rFonts w:cs="Arial"/>
        </w:rPr>
        <w:t xml:space="preserve">For the </w:t>
      </w:r>
      <w:r w:rsidRPr="00722317">
        <w:rPr>
          <w:rFonts w:cs="Arial"/>
        </w:rPr>
        <w:t>purposes of this Section,</w:t>
      </w:r>
      <w:r>
        <w:rPr>
          <w:rFonts w:cs="Arial"/>
        </w:rPr>
        <w:t xml:space="preserve"> “special </w:t>
      </w:r>
      <w:r w:rsidR="00DF2A86">
        <w:rPr>
          <w:rFonts w:cs="Arial"/>
        </w:rPr>
        <w:t xml:space="preserve">terms for </w:t>
      </w:r>
      <w:r>
        <w:rPr>
          <w:rFonts w:cs="Arial"/>
        </w:rPr>
        <w:t>confidential information” refers to the Energy Commission</w:t>
      </w:r>
      <w:r w:rsidRPr="00722317">
        <w:rPr>
          <w:rFonts w:cs="Arial"/>
        </w:rPr>
        <w:t>’s special terms and conditions for the receipt of confidential information and personal informatio</w:t>
      </w:r>
      <w:r>
        <w:rPr>
          <w:rFonts w:cs="Arial"/>
        </w:rPr>
        <w:t>n.</w:t>
      </w:r>
      <w:r w:rsidRPr="00D42A62">
        <w:rPr>
          <w:rFonts w:cs="Arial"/>
        </w:rPr>
        <w:t xml:space="preserve"> </w:t>
      </w:r>
      <w:r>
        <w:rPr>
          <w:rFonts w:cs="Arial"/>
        </w:rPr>
        <w:t>The Energy Commission</w:t>
      </w:r>
      <w:r w:rsidRPr="00722317">
        <w:rPr>
          <w:rFonts w:cs="Arial"/>
        </w:rPr>
        <w:t xml:space="preserve">’s </w:t>
      </w:r>
      <w:r w:rsidR="009F1101">
        <w:rPr>
          <w:rFonts w:cs="Arial"/>
        </w:rPr>
        <w:t>special terms for confidential information</w:t>
      </w:r>
      <w:r w:rsidRPr="00722317">
        <w:rPr>
          <w:rFonts w:cs="Arial"/>
        </w:rPr>
        <w:t xml:space="preserve"> include, but are not limited to, having in place an Information Security Program Plan and obtaining nondisclosure agreements from all individuals who will be provided access to confidential information</w:t>
      </w:r>
      <w:r>
        <w:rPr>
          <w:rFonts w:cs="Arial"/>
        </w:rPr>
        <w:t xml:space="preserve"> or personal information</w:t>
      </w:r>
      <w:r w:rsidRPr="00722317">
        <w:rPr>
          <w:rFonts w:cs="Arial"/>
        </w:rPr>
        <w:t>.</w:t>
      </w:r>
    </w:p>
    <w:p w14:paraId="3CCC1796" w14:textId="3565782F" w:rsidR="00512F11" w:rsidRDefault="00D42A62" w:rsidP="00D42A62">
      <w:pPr>
        <w:pStyle w:val="Heading2"/>
        <w:numPr>
          <w:ilvl w:val="1"/>
          <w:numId w:val="31"/>
        </w:numPr>
        <w:spacing w:after="120"/>
        <w:ind w:hanging="720"/>
        <w:rPr>
          <w:rFonts w:cs="Arial"/>
        </w:rPr>
      </w:pPr>
      <w:bookmarkStart w:id="98" w:name="_Hlk124260898"/>
      <w:r w:rsidRPr="0038157A">
        <w:rPr>
          <w:rFonts w:cs="Arial"/>
        </w:rPr>
        <w:t xml:space="preserve">If the Recipient will receive confidential information or personal information from the Energy Commission or a third-party for the performance of this Agreement, the Recipient must first agree to and comply with the Energy Commission’s </w:t>
      </w:r>
      <w:r w:rsidR="009F1101">
        <w:rPr>
          <w:rFonts w:cs="Arial"/>
        </w:rPr>
        <w:t>special terms for confidential information</w:t>
      </w:r>
      <w:r w:rsidRPr="0038157A">
        <w:rPr>
          <w:rFonts w:cs="Arial"/>
        </w:rPr>
        <w:t>.</w:t>
      </w:r>
    </w:p>
    <w:p w14:paraId="6E12B771" w14:textId="7754868D" w:rsidR="00D42A62" w:rsidRPr="00A64803" w:rsidRDefault="00F7173A" w:rsidP="00A64803">
      <w:pPr>
        <w:pStyle w:val="Heading2"/>
        <w:numPr>
          <w:ilvl w:val="1"/>
          <w:numId w:val="31"/>
        </w:numPr>
        <w:spacing w:after="120"/>
        <w:ind w:hanging="720"/>
        <w:rPr>
          <w:rFonts w:cs="Arial"/>
        </w:rPr>
      </w:pPr>
      <w:r w:rsidRPr="00F7173A">
        <w:rPr>
          <w:rFonts w:cs="Arial"/>
        </w:rPr>
        <w:t>If any other individual or entity participating in any way with this Agreement, including but not limited to subcontractors, subawardees, vendors, and other project partners, will receive confidential information or personal information from the CEC or a third-party for the performance of this Agreement, that individual or entity must first agree to and comply with the CEC’s special terms for confidential information. The Recipient must flow-down the CEC’s special terms for confidential information into each subcontract, subaward, vendor agreement, or other project partner agreement that will be provided access to confidential information or personal information before the individual or entity has access to any such information. Recipient must also require all individuals and entities to flow-down this Section to any lower tier subcontractors, subawardees, vendors, project partners, and other individual or entity participating in any way with this Agreement that will be provided access to Confidential Information or Personal Information before the individual or entity has access to any such information.</w:t>
      </w:r>
    </w:p>
    <w:bookmarkEnd w:id="98"/>
    <w:p w14:paraId="04A48DAC" w14:textId="28C75F11" w:rsidR="00D42A62" w:rsidRPr="00722317" w:rsidRDefault="00D42A62" w:rsidP="00D42A62">
      <w:pPr>
        <w:pStyle w:val="Heading2"/>
        <w:numPr>
          <w:ilvl w:val="1"/>
          <w:numId w:val="31"/>
        </w:numPr>
        <w:spacing w:after="120"/>
        <w:ind w:hanging="720"/>
        <w:rPr>
          <w:rFonts w:cs="Arial"/>
        </w:rPr>
      </w:pPr>
      <w:r w:rsidRPr="00722317">
        <w:rPr>
          <w:rFonts w:cs="Arial"/>
        </w:rPr>
        <w:t xml:space="preserve">If this Agreement does not include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 xml:space="preserve">confidential information </w:t>
      </w:r>
      <w:r w:rsidRPr="00722317">
        <w:rPr>
          <w:rFonts w:cs="Arial"/>
        </w:rPr>
        <w:t xml:space="preserve">and </w:t>
      </w:r>
      <w:r w:rsidR="007334E3">
        <w:rPr>
          <w:rFonts w:cs="Arial"/>
        </w:rPr>
        <w:t>the Energy Commission</w:t>
      </w:r>
      <w:r w:rsidRPr="00722317">
        <w:rPr>
          <w:rFonts w:cs="Arial"/>
        </w:rPr>
        <w:t xml:space="preserve"> determines the Recipient</w:t>
      </w:r>
      <w:r w:rsidR="0038157A">
        <w:rPr>
          <w:rFonts w:cs="Arial"/>
        </w:rPr>
        <w:t xml:space="preserve"> </w:t>
      </w:r>
      <w:r w:rsidR="0038157A" w:rsidRPr="0038157A">
        <w:rPr>
          <w:rFonts w:cs="Arial"/>
        </w:rPr>
        <w:t xml:space="preserve">or any other </w:t>
      </w:r>
      <w:r w:rsidR="0038157A" w:rsidRPr="0038157A">
        <w:t>individual or entity participating in any way with this Agreement</w:t>
      </w:r>
      <w:r w:rsidR="0038157A" w:rsidRPr="0038157A">
        <w:rPr>
          <w:rFonts w:cs="Arial"/>
        </w:rPr>
        <w:t xml:space="preserve"> </w:t>
      </w:r>
      <w:r w:rsidRPr="00722317">
        <w:rPr>
          <w:rFonts w:cs="Arial"/>
        </w:rPr>
        <w:t xml:space="preserve">will receive confidential information or personal information from </w:t>
      </w:r>
      <w:r>
        <w:rPr>
          <w:rFonts w:cs="Arial"/>
        </w:rPr>
        <w:t>the Energy Commission</w:t>
      </w:r>
      <w:r w:rsidRPr="00242B6C">
        <w:rPr>
          <w:rFonts w:cs="Arial"/>
        </w:rPr>
        <w:t xml:space="preserve"> </w:t>
      </w:r>
      <w:r w:rsidRPr="00722317">
        <w:rPr>
          <w:rFonts w:cs="Arial"/>
        </w:rPr>
        <w:t xml:space="preserve">or a third-party for the performance of this </w:t>
      </w:r>
      <w:r w:rsidRPr="00722317">
        <w:rPr>
          <w:rFonts w:cs="Arial"/>
        </w:rPr>
        <w:lastRenderedPageBreak/>
        <w:t xml:space="preserve">Agreement, </w:t>
      </w:r>
      <w:r>
        <w:rPr>
          <w:rFonts w:cs="Arial"/>
        </w:rPr>
        <w:t>the Energy Commission</w:t>
      </w:r>
      <w:r w:rsidRPr="00242B6C">
        <w:rPr>
          <w:rFonts w:cs="Arial"/>
        </w:rPr>
        <w:t xml:space="preserve"> </w:t>
      </w:r>
      <w:r w:rsidRPr="00722317">
        <w:rPr>
          <w:rFonts w:cs="Arial"/>
        </w:rPr>
        <w:t xml:space="preserve">reserves the option to amend this Agreement to add its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w:t>
      </w:r>
    </w:p>
    <w:p w14:paraId="37DBA3AD" w14:textId="3D82B7B1" w:rsidR="00D42A62" w:rsidRDefault="00D42A62" w:rsidP="00D42A62">
      <w:pPr>
        <w:pStyle w:val="Heading2"/>
        <w:numPr>
          <w:ilvl w:val="1"/>
          <w:numId w:val="31"/>
        </w:numPr>
        <w:spacing w:after="120"/>
        <w:ind w:hanging="720"/>
        <w:rPr>
          <w:rFonts w:cs="Arial"/>
        </w:rPr>
      </w:pPr>
      <w:r w:rsidRPr="00722317">
        <w:rPr>
          <w:rFonts w:cs="Arial"/>
        </w:rPr>
        <w:t xml:space="preserve">Except as provided in Title 20 CCR Sections 2506, 2507, and 2508, and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Recipient </w:t>
      </w:r>
      <w:r w:rsidRPr="00D42A62">
        <w:rPr>
          <w:rFonts w:cs="Arial"/>
        </w:rPr>
        <w:t xml:space="preserve">or any other </w:t>
      </w:r>
      <w:r>
        <w:t xml:space="preserve">individual or entity </w:t>
      </w:r>
      <w:r w:rsidRPr="00722317">
        <w:t>participating in any way with this Agreement</w:t>
      </w:r>
      <w:r w:rsidRPr="00722317">
        <w:rPr>
          <w:rFonts w:cs="Arial"/>
        </w:rPr>
        <w:t xml:space="preserve"> may not disclose any information provided to it by </w:t>
      </w:r>
      <w:r>
        <w:rPr>
          <w:rFonts w:cs="Arial"/>
        </w:rPr>
        <w:t>the Energy Commission</w:t>
      </w:r>
      <w:r w:rsidRPr="00242B6C">
        <w:rPr>
          <w:rFonts w:cs="Arial"/>
        </w:rPr>
        <w:t xml:space="preserve"> </w:t>
      </w:r>
      <w:r>
        <w:rPr>
          <w:rFonts w:cs="Arial"/>
        </w:rPr>
        <w:t xml:space="preserve">or a third party </w:t>
      </w:r>
      <w:r w:rsidRPr="00722317">
        <w:rPr>
          <w:rFonts w:cs="Arial"/>
        </w:rPr>
        <w:t>for the performance of this Agreement if the information has been designated as confidential or is the subject of a pending application for confidential designation.</w:t>
      </w:r>
    </w:p>
    <w:p w14:paraId="3BC1E981" w14:textId="29F2A6CC" w:rsidR="005C68B4" w:rsidRPr="001427F5" w:rsidRDefault="00716722" w:rsidP="001D1755">
      <w:pPr>
        <w:pStyle w:val="Heading1"/>
      </w:pPr>
      <w:r w:rsidRPr="001427F5">
        <w:t>Budget Contingency Clause</w:t>
      </w:r>
      <w:bookmarkEnd w:id="95"/>
      <w:bookmarkEnd w:id="96"/>
      <w:bookmarkEnd w:id="97"/>
    </w:p>
    <w:p w14:paraId="1927D8F3" w14:textId="369D65C3" w:rsidR="005C68B4" w:rsidRPr="008412D9" w:rsidRDefault="005C68B4" w:rsidP="0093605F">
      <w:pPr>
        <w:keepLines/>
        <w:widowControl w:val="0"/>
        <w:spacing w:after="120"/>
        <w:ind w:left="720"/>
        <w:jc w:val="both"/>
        <w:rPr>
          <w:rFonts w:cs="Arial"/>
        </w:rPr>
      </w:pPr>
      <w:bookmarkStart w:id="99"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9"/>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100"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100"/>
    </w:p>
    <w:p w14:paraId="1BF29D8D" w14:textId="77777777" w:rsidR="00807492" w:rsidRDefault="00807492" w:rsidP="001D1755">
      <w:pPr>
        <w:pStyle w:val="Heading1"/>
      </w:pPr>
      <w:r>
        <w:tab/>
      </w:r>
      <w:bookmarkStart w:id="101" w:name="_Toc88229840"/>
      <w:bookmarkStart w:id="102" w:name="_Toc88230238"/>
      <w:r w:rsidR="0009647C" w:rsidRPr="0009647C">
        <w:t>Public Work</w:t>
      </w:r>
      <w:r>
        <w:t>s</w:t>
      </w:r>
      <w:r w:rsidR="0009647C" w:rsidRPr="0009647C">
        <w:t xml:space="preserve"> -- Payment of Prevailing Wages</w:t>
      </w:r>
      <w:bookmarkEnd w:id="101"/>
      <w:bookmarkEnd w:id="102"/>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268E9AFC"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lastRenderedPageBreak/>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 xml:space="preserve">greement shall be fully responsible for complying with all </w:t>
      </w:r>
      <w:r w:rsidR="007C6346">
        <w:rPr>
          <w:rFonts w:eastAsia="Calibri" w:cs="Arial"/>
          <w:szCs w:val="24"/>
        </w:rPr>
        <w:t xml:space="preserve">applicable </w:t>
      </w:r>
      <w:r>
        <w:rPr>
          <w:rFonts w:eastAsia="Calibri" w:cs="Arial"/>
          <w:szCs w:val="24"/>
        </w:rPr>
        <w:t xml:space="preserve">California public works requirements including but not limited to payment of prevailing wage. Therefore, </w:t>
      </w:r>
      <w:r w:rsidR="00457DAF">
        <w:rPr>
          <w:rFonts w:eastAsia="Calibri" w:cs="Arial"/>
          <w:szCs w:val="24"/>
        </w:rPr>
        <w:t xml:space="preserve">if California public works requirements apply to </w:t>
      </w:r>
      <w:r w:rsidR="0028554F">
        <w:rPr>
          <w:rFonts w:eastAsia="Calibri" w:cs="Arial"/>
          <w:szCs w:val="24"/>
        </w:rPr>
        <w:t xml:space="preserve">the project, </w:t>
      </w:r>
      <w:r w:rsidR="00840217">
        <w:rPr>
          <w:rFonts w:eastAsia="Calibri" w:cs="Arial"/>
          <w:szCs w:val="24"/>
        </w:rPr>
        <w:t xml:space="preserve">and </w:t>
      </w:r>
      <w:r>
        <w:rPr>
          <w:rFonts w:eastAsia="Calibri" w:cs="Arial"/>
          <w:szCs w:val="24"/>
        </w:rPr>
        <w:t>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7C861025" w:rsidR="0009647C" w:rsidRPr="00602F5C" w:rsidRDefault="0009647C" w:rsidP="0029252C">
      <w:pPr>
        <w:keepNext/>
        <w:keepLines/>
        <w:widowControl w:val="0"/>
        <w:autoSpaceDE w:val="0"/>
        <w:autoSpaceDN w:val="0"/>
        <w:adjustRightInd w:val="0"/>
        <w:spacing w:after="120"/>
        <w:ind w:left="720"/>
        <w:jc w:val="both"/>
        <w:rPr>
          <w:rFonts w:eastAsia="Calibri" w:cs="Arial"/>
          <w:szCs w:val="24"/>
        </w:rPr>
      </w:pPr>
      <w:r w:rsidRPr="00602F5C">
        <w:rPr>
          <w:rFonts w:eastAsia="Calibri" w:cs="Arial"/>
          <w:szCs w:val="24"/>
        </w:rPr>
        <w:t>(a) Proceed on the assumption that the project is a public work and ensure that: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4E58E4D0"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 xml:space="preserve">If </w:t>
      </w:r>
      <w:r w:rsidR="00602F5C">
        <w:rPr>
          <w:rFonts w:ascii="ArialMT" w:eastAsia="Calibri" w:hAnsi="ArialMT" w:cs="ArialMT"/>
          <w:szCs w:val="24"/>
        </w:rPr>
        <w:t>California public works requirements apply to the project</w:t>
      </w:r>
      <w:r w:rsidR="008849BE">
        <w:rPr>
          <w:rFonts w:ascii="ArialMT" w:eastAsia="Calibri" w:hAnsi="ArialMT" w:cs="ArialMT"/>
          <w:szCs w:val="24"/>
        </w:rPr>
        <w:t xml:space="preserve"> and </w:t>
      </w:r>
      <w:r>
        <w:rPr>
          <w:rFonts w:ascii="ArialMT" w:eastAsia="Calibri" w:hAnsi="ArialMT" w:cs="ArialMT"/>
          <w:szCs w:val="24"/>
        </w:rPr>
        <w:t>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78A22830"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w:t>
      </w:r>
      <w:r w:rsidR="002D289A">
        <w:rPr>
          <w:rFonts w:cs="Arial"/>
          <w:color w:val="000000"/>
          <w:szCs w:val="24"/>
        </w:rPr>
        <w:t>, if applicable</w:t>
      </w:r>
      <w:r>
        <w:rPr>
          <w:rFonts w:cs="Arial"/>
          <w:color w:val="000000"/>
          <w:szCs w:val="24"/>
        </w:rPr>
        <w:t xml:space="preserve">. Recipient shall be responsible for any failure of Recipient’s subcontractors to comply with </w:t>
      </w:r>
      <w:r w:rsidR="00BD2719">
        <w:rPr>
          <w:rFonts w:cs="Arial"/>
          <w:color w:val="000000"/>
          <w:szCs w:val="24"/>
        </w:rPr>
        <w:t xml:space="preserve">applicable </w:t>
      </w:r>
      <w:r>
        <w:rPr>
          <w:rFonts w:cs="Arial"/>
          <w:color w:val="000000"/>
          <w:szCs w:val="24"/>
        </w:rPr>
        <w:t>California prevailing wage and public works laws.</w:t>
      </w:r>
    </w:p>
    <w:p w14:paraId="0E006F55" w14:textId="24B49D11"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w:t>
      </w:r>
      <w:r w:rsidR="00DA7B4B">
        <w:rPr>
          <w:rFonts w:ascii="ArialMT" w:eastAsia="Calibri" w:hAnsi="ArialMT" w:cs="ArialMT"/>
          <w:szCs w:val="24"/>
        </w:rPr>
        <w:t xml:space="preserve"> </w:t>
      </w:r>
      <w:r>
        <w:rPr>
          <w:rFonts w:cs="Arial"/>
          <w:szCs w:val="24"/>
        </w:rPr>
        <w:t xml:space="preserve">as a material term of this </w:t>
      </w:r>
      <w:r w:rsidR="00DA7B4B">
        <w:rPr>
          <w:rFonts w:cs="Arial"/>
          <w:szCs w:val="24"/>
        </w:rPr>
        <w:t>A</w:t>
      </w:r>
      <w:r>
        <w:rPr>
          <w:rFonts w:cs="Arial"/>
          <w:szCs w:val="24"/>
        </w:rPr>
        <w:t xml:space="preserve">greement, </w:t>
      </w:r>
      <w:r w:rsidR="000453ED">
        <w:rPr>
          <w:rFonts w:cs="Arial"/>
          <w:szCs w:val="24"/>
        </w:rPr>
        <w:t xml:space="preserve">and to the extent allowed under applicable law,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6B86D20A"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proofErr w:type="gramStart"/>
      <w:r>
        <w:rPr>
          <w:rFonts w:cs="Arial"/>
          <w:color w:val="000000"/>
          <w:szCs w:val="24"/>
        </w:rPr>
        <w:t>Recipient</w:t>
      </w:r>
      <w:proofErr w:type="gramEnd"/>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xml:space="preserve">) that the project is not a public work requiring the payment of prevailing wages. </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lastRenderedPageBreak/>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1D1755">
      <w:pPr>
        <w:pStyle w:val="Heading1"/>
      </w:pPr>
      <w:r>
        <w:rPr>
          <w:color w:val="000000"/>
          <w:szCs w:val="24"/>
        </w:rPr>
        <w:tab/>
      </w:r>
      <w:bookmarkStart w:id="103" w:name="_Toc88229841"/>
      <w:bookmarkStart w:id="104" w:name="_Toc88230239"/>
      <w:r w:rsidRPr="00582A0C">
        <w:rPr>
          <w:color w:val="000000"/>
          <w:szCs w:val="24"/>
        </w:rPr>
        <w:t>I</w:t>
      </w:r>
      <w:r w:rsidRPr="00582A0C">
        <w:t>ntellectual Property</w:t>
      </w:r>
      <w:bookmarkEnd w:id="103"/>
      <w:bookmarkEnd w:id="104"/>
    </w:p>
    <w:p w14:paraId="31B04242" w14:textId="4749619B"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w:t>
      </w:r>
      <w:r w:rsidR="00741474">
        <w:rPr>
          <w:rFonts w:ascii="Arial" w:hAnsi="Arial" w:cs="Arial"/>
        </w:rPr>
        <w:t xml:space="preserve"> to the Energy Commission</w:t>
      </w:r>
      <w:r w:rsidRPr="0009647C">
        <w:rPr>
          <w:rFonts w:ascii="Arial" w:hAnsi="Arial" w:cs="Arial"/>
        </w:rPr>
        <w:t>, except as expressly provided herein.</w:t>
      </w:r>
    </w:p>
    <w:p w14:paraId="2D21D323" w14:textId="26B273EF" w:rsidR="00796152" w:rsidRDefault="00796152" w:rsidP="001D1755">
      <w:pPr>
        <w:pStyle w:val="Heading1"/>
      </w:pPr>
      <w:r>
        <w:tab/>
      </w:r>
      <w:bookmarkStart w:id="105" w:name="_Toc88229842"/>
      <w:bookmarkStart w:id="106" w:name="_Toc88230240"/>
      <w:r>
        <w:t>Commission Remedies for Recipient’s Non-Compliance</w:t>
      </w:r>
      <w:bookmarkEnd w:id="105"/>
      <w:bookmarkEnd w:id="106"/>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1CE3EA64" w:rsidR="00E1626C" w:rsidRDefault="00E1626C" w:rsidP="001D1755">
      <w:pPr>
        <w:pStyle w:val="Heading1"/>
      </w:pPr>
      <w:r>
        <w:t xml:space="preserve">      </w:t>
      </w:r>
      <w:bookmarkStart w:id="107" w:name="_Toc60758953"/>
      <w:bookmarkStart w:id="108" w:name="_Toc88229843"/>
      <w:bookmarkStart w:id="109" w:name="_Toc88230241"/>
      <w:r w:rsidRPr="006E667B">
        <w:t>Assembly Bill 841</w:t>
      </w:r>
      <w:bookmarkEnd w:id="107"/>
      <w:r w:rsidR="00B32820" w:rsidRPr="006E667B">
        <w:t xml:space="preserve"> (2020)</w:t>
      </w:r>
      <w:bookmarkEnd w:id="108"/>
      <w:bookmarkEnd w:id="109"/>
    </w:p>
    <w:p w14:paraId="15CCE79C" w14:textId="1DFE7BD2" w:rsidR="0034705F" w:rsidRPr="006E667B" w:rsidRDefault="00A53853" w:rsidP="00433724">
      <w:pPr>
        <w:spacing w:after="160" w:line="252" w:lineRule="auto"/>
        <w:ind w:left="720"/>
        <w:jc w:val="both"/>
        <w:rPr>
          <w:rFonts w:cs="Arial"/>
        </w:rPr>
      </w:pPr>
      <w:bookmarkStart w:id="110"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10"/>
      <w:r w:rsidR="0034705F" w:rsidRPr="006E667B">
        <w:rPr>
          <w:rFonts w:cs="Arial"/>
        </w:rPr>
        <w:t xml:space="preserve">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w:t>
      </w:r>
    </w:p>
    <w:p w14:paraId="70DE133A" w14:textId="278DCF11" w:rsidR="0034705F" w:rsidRPr="006E667B" w:rsidRDefault="0034705F" w:rsidP="00433724">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lastRenderedPageBreak/>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1ED605F7" w14:textId="539D845C" w:rsidR="00E1626C" w:rsidRDefault="0034705F" w:rsidP="007D299C">
      <w:pPr>
        <w:spacing w:after="160" w:line="252" w:lineRule="auto"/>
        <w:ind w:left="720"/>
        <w:jc w:val="both"/>
        <w:rPr>
          <w:rFonts w:cs="Arial"/>
        </w:rPr>
      </w:pPr>
      <w:r w:rsidRPr="006E667B">
        <w:rPr>
          <w:rFonts w:cs="Arial"/>
        </w:rPr>
        <w:t>(3) Single-family home residential electric vehicle chargers that can use an existing 208/240-volt outlet.</w:t>
      </w:r>
    </w:p>
    <w:p w14:paraId="5CEB9DA1" w14:textId="18584F7A" w:rsidR="000F2955" w:rsidRDefault="000F2955" w:rsidP="007D299C">
      <w:pPr>
        <w:spacing w:after="160" w:line="252" w:lineRule="auto"/>
        <w:ind w:left="720"/>
        <w:jc w:val="both"/>
        <w:rPr>
          <w:rFonts w:cs="Arial"/>
        </w:rPr>
      </w:pP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lastRenderedPageBreak/>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pPr>
              <w:rPr>
                <w:szCs w:val="24"/>
              </w:rPr>
            </w:pPr>
            <w:r w:rsidRPr="4C792F2F">
              <w:rPr>
                <w:szCs w:val="24"/>
              </w:rPr>
              <w:t xml:space="preserve">Agreement </w:t>
            </w:r>
          </w:p>
        </w:tc>
        <w:tc>
          <w:tcPr>
            <w:tcW w:w="7920" w:type="dxa"/>
          </w:tcPr>
          <w:p w14:paraId="686442F2" w14:textId="77777777" w:rsidR="00E850BB" w:rsidRDefault="00E850BB">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pPr>
              <w:rPr>
                <w:szCs w:val="24"/>
              </w:rPr>
            </w:pPr>
            <w:r w:rsidRPr="4C792F2F">
              <w:rPr>
                <w:szCs w:val="24"/>
              </w:rPr>
              <w:t xml:space="preserve">Budget Categories </w:t>
            </w:r>
          </w:p>
        </w:tc>
        <w:tc>
          <w:tcPr>
            <w:tcW w:w="7920" w:type="dxa"/>
          </w:tcPr>
          <w:p w14:paraId="3AF2B2A5" w14:textId="77777777" w:rsidR="00E850BB" w:rsidRDefault="00E850B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pPr>
              <w:rPr>
                <w:szCs w:val="24"/>
              </w:rPr>
            </w:pPr>
            <w:r w:rsidRPr="4C792F2F">
              <w:rPr>
                <w:szCs w:val="24"/>
              </w:rPr>
              <w:t>CAM</w:t>
            </w:r>
          </w:p>
        </w:tc>
        <w:tc>
          <w:tcPr>
            <w:tcW w:w="7920" w:type="dxa"/>
          </w:tcPr>
          <w:p w14:paraId="4FDE84F1" w14:textId="77777777" w:rsidR="00E850BB" w:rsidRDefault="00E850BB">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pPr>
              <w:rPr>
                <w:szCs w:val="24"/>
              </w:rPr>
            </w:pPr>
            <w:r w:rsidRPr="4C792F2F">
              <w:rPr>
                <w:szCs w:val="24"/>
              </w:rPr>
              <w:t xml:space="preserve">CEC </w:t>
            </w:r>
          </w:p>
        </w:tc>
        <w:tc>
          <w:tcPr>
            <w:tcW w:w="7920" w:type="dxa"/>
          </w:tcPr>
          <w:p w14:paraId="60E57392" w14:textId="2A1FA452" w:rsidR="00E850BB" w:rsidRDefault="00E850BB">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pPr>
              <w:rPr>
                <w:szCs w:val="24"/>
              </w:rPr>
            </w:pPr>
            <w:r w:rsidRPr="4C792F2F">
              <w:rPr>
                <w:szCs w:val="24"/>
              </w:rPr>
              <w:t>Existing Terms</w:t>
            </w:r>
          </w:p>
        </w:tc>
        <w:tc>
          <w:tcPr>
            <w:tcW w:w="7920" w:type="dxa"/>
          </w:tcPr>
          <w:p w14:paraId="73C35C70" w14:textId="77777777" w:rsidR="00E850BB" w:rsidRDefault="00E850B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pPr>
              <w:rPr>
                <w:szCs w:val="24"/>
              </w:rPr>
            </w:pPr>
            <w:r w:rsidRPr="4C792F2F">
              <w:rPr>
                <w:szCs w:val="24"/>
              </w:rPr>
              <w:t xml:space="preserve">Incurred Costs </w:t>
            </w:r>
          </w:p>
        </w:tc>
        <w:tc>
          <w:tcPr>
            <w:tcW w:w="7920" w:type="dxa"/>
          </w:tcPr>
          <w:p w14:paraId="41E4A72B" w14:textId="77777777" w:rsidR="00E850BB" w:rsidRDefault="00E850B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pPr>
              <w:rPr>
                <w:szCs w:val="24"/>
              </w:rPr>
            </w:pPr>
            <w:r w:rsidRPr="4C792F2F">
              <w:rPr>
                <w:szCs w:val="24"/>
              </w:rPr>
              <w:t>MTDC</w:t>
            </w:r>
          </w:p>
        </w:tc>
        <w:tc>
          <w:tcPr>
            <w:tcW w:w="7920" w:type="dxa"/>
          </w:tcPr>
          <w:p w14:paraId="02AA2DAD" w14:textId="43E02E17" w:rsidR="00E850BB" w:rsidRDefault="00E850B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pPr>
              <w:rPr>
                <w:szCs w:val="24"/>
              </w:rPr>
            </w:pPr>
            <w:r w:rsidRPr="4C792F2F">
              <w:rPr>
                <w:szCs w:val="24"/>
              </w:rPr>
              <w:t xml:space="preserve">Paid Costs </w:t>
            </w:r>
          </w:p>
        </w:tc>
        <w:tc>
          <w:tcPr>
            <w:tcW w:w="7920" w:type="dxa"/>
          </w:tcPr>
          <w:p w14:paraId="48BAE98C" w14:textId="77777777" w:rsidR="00E850BB" w:rsidRDefault="00E850BB">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pPr>
              <w:rPr>
                <w:szCs w:val="24"/>
              </w:rPr>
            </w:pPr>
            <w:r w:rsidRPr="4C792F2F">
              <w:rPr>
                <w:szCs w:val="24"/>
              </w:rPr>
              <w:t xml:space="preserve">Recipient </w:t>
            </w:r>
          </w:p>
        </w:tc>
        <w:tc>
          <w:tcPr>
            <w:tcW w:w="7920" w:type="dxa"/>
          </w:tcPr>
          <w:p w14:paraId="5632BE65" w14:textId="77777777" w:rsidR="00E850BB" w:rsidRDefault="00E850BB">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pPr>
              <w:rPr>
                <w:szCs w:val="24"/>
              </w:rPr>
            </w:pPr>
            <w:r w:rsidRPr="4C792F2F">
              <w:rPr>
                <w:szCs w:val="24"/>
              </w:rPr>
              <w:t xml:space="preserve">Subaward </w:t>
            </w:r>
          </w:p>
        </w:tc>
        <w:tc>
          <w:tcPr>
            <w:tcW w:w="7920" w:type="dxa"/>
          </w:tcPr>
          <w:p w14:paraId="01A80902" w14:textId="1D56E86F" w:rsidR="00E850BB" w:rsidRDefault="00E850B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pPr>
              <w:rPr>
                <w:szCs w:val="24"/>
              </w:rPr>
            </w:pPr>
            <w:r w:rsidRPr="4C792F2F">
              <w:rPr>
                <w:szCs w:val="24"/>
              </w:rPr>
              <w:lastRenderedPageBreak/>
              <w:t xml:space="preserve">Sub-Subrecipient </w:t>
            </w:r>
          </w:p>
        </w:tc>
        <w:tc>
          <w:tcPr>
            <w:tcW w:w="7920" w:type="dxa"/>
          </w:tcPr>
          <w:p w14:paraId="310233AF" w14:textId="10DE5AEE" w:rsidR="00E850BB" w:rsidRDefault="00E850B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pPr>
              <w:rPr>
                <w:szCs w:val="24"/>
              </w:rPr>
            </w:pPr>
            <w:r w:rsidRPr="4C792F2F">
              <w:rPr>
                <w:szCs w:val="24"/>
              </w:rPr>
              <w:t xml:space="preserve">Vendor </w:t>
            </w:r>
          </w:p>
        </w:tc>
        <w:tc>
          <w:tcPr>
            <w:tcW w:w="7920" w:type="dxa"/>
          </w:tcPr>
          <w:p w14:paraId="64767030" w14:textId="77777777" w:rsidR="00E850BB" w:rsidRDefault="00E850B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pPr>
              <w:rPr>
                <w:szCs w:val="24"/>
              </w:rPr>
            </w:pPr>
            <w:r w:rsidRPr="4C792F2F">
              <w:rPr>
                <w:szCs w:val="24"/>
              </w:rPr>
              <w:t xml:space="preserve">These Terms </w:t>
            </w:r>
          </w:p>
        </w:tc>
        <w:tc>
          <w:tcPr>
            <w:tcW w:w="7920" w:type="dxa"/>
          </w:tcPr>
          <w:p w14:paraId="6134D3F3" w14:textId="2E950720" w:rsidR="00E850BB" w:rsidRDefault="00E850B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1D1755">
      <w:pPr>
        <w:pStyle w:val="Heading1"/>
        <w:numPr>
          <w:ilvl w:val="0"/>
          <w:numId w:val="30"/>
        </w:numPr>
      </w:pPr>
      <w:bookmarkStart w:id="111" w:name="_Toc88230242"/>
      <w:r>
        <w:t xml:space="preserve">  </w:t>
      </w:r>
      <w:r w:rsidR="00E850BB" w:rsidRPr="0007517D">
        <w:t>Decoupling Products from Invoices</w:t>
      </w:r>
      <w:bookmarkEnd w:id="111"/>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1D1755">
      <w:pPr>
        <w:pStyle w:val="Heading1"/>
      </w:pPr>
      <w:r w:rsidRPr="00282A78">
        <w:t xml:space="preserve">  </w:t>
      </w:r>
      <w:bookmarkStart w:id="112" w:name="_Toc88230243"/>
      <w:r w:rsidRPr="00282A78">
        <w:t>Quarterly Instead of Monthly Reports</w:t>
      </w:r>
      <w:bookmarkEnd w:id="112"/>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1D1755">
      <w:pPr>
        <w:pStyle w:val="Heading1"/>
      </w:pPr>
      <w:r>
        <w:t xml:space="preserve">  </w:t>
      </w:r>
      <w:bookmarkStart w:id="113" w:name="_Toc88230244"/>
      <w:r w:rsidR="00E850BB" w:rsidRPr="00282A78">
        <w:t>New Requirement for Monthly Calls with the CAM</w:t>
      </w:r>
      <w:bookmarkEnd w:id="113"/>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1D1755">
      <w:pPr>
        <w:pStyle w:val="newheading1"/>
      </w:pPr>
      <w:r w:rsidRPr="4C792F2F">
        <w:t xml:space="preserve">  </w:t>
      </w:r>
      <w:bookmarkStart w:id="114" w:name="_Toc88230245"/>
      <w:r w:rsidRPr="4C792F2F">
        <w:t>Amendments and Other Changes</w:t>
      </w:r>
      <w:bookmarkEnd w:id="114"/>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916CB26" w:rsidR="0038602D" w:rsidRDefault="0038602D">
      <w:pPr>
        <w:rPr>
          <w:szCs w:val="24"/>
        </w:rPr>
      </w:pPr>
    </w:p>
    <w:p w14:paraId="467A84D5" w14:textId="580AD597" w:rsidR="00E850BB" w:rsidRDefault="00E850BB" w:rsidP="00E850BB">
      <w:pPr>
        <w:rPr>
          <w:szCs w:val="24"/>
        </w:rPr>
      </w:pPr>
      <w:r w:rsidRPr="4C792F2F">
        <w:rPr>
          <w:szCs w:val="24"/>
        </w:rPr>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5"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lastRenderedPageBreak/>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08427889" w:rsidR="0038602D" w:rsidRDefault="0038602D">
      <w:pPr>
        <w:rPr>
          <w:rFonts w:eastAsiaTheme="minorEastAsia"/>
          <w:szCs w:val="24"/>
        </w:rPr>
      </w:pPr>
    </w:p>
    <w:p w14:paraId="67067ECB" w14:textId="1CA9CEE2" w:rsidR="00E850BB" w:rsidRDefault="00E850BB" w:rsidP="00E850BB">
      <w:pPr>
        <w:rPr>
          <w:rFonts w:eastAsiaTheme="minorEastAsia"/>
          <w:szCs w:val="24"/>
        </w:rPr>
      </w:pPr>
      <w:r w:rsidRPr="4C792F2F">
        <w:rPr>
          <w:rFonts w:eastAsiaTheme="minorEastAsia"/>
          <w:szCs w:val="24"/>
        </w:rPr>
        <w:lastRenderedPageBreak/>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1D1755">
      <w:pPr>
        <w:pStyle w:val="newheading1"/>
      </w:pPr>
      <w:r w:rsidRPr="4C792F2F">
        <w:t xml:space="preserve">  </w:t>
      </w:r>
      <w:bookmarkStart w:id="115" w:name="_Toc88230246"/>
      <w:r w:rsidRPr="4C792F2F">
        <w:t>Budgets and Payment of Funds</w:t>
      </w:r>
      <w:bookmarkEnd w:id="115"/>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lastRenderedPageBreak/>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6"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2C8A3B1D" w:rsidR="00C979E6" w:rsidRDefault="00C979E6">
      <w:pPr>
        <w:rPr>
          <w:rFonts w:eastAsiaTheme="minorEastAsia"/>
          <w:szCs w:val="24"/>
        </w:rPr>
      </w:pPr>
    </w:p>
    <w:p w14:paraId="4E0A9D54" w14:textId="77777777" w:rsidR="00D42A62" w:rsidRDefault="00D42A62">
      <w:pPr>
        <w:rPr>
          <w:rFonts w:eastAsiaTheme="minorEastAsia"/>
          <w:szCs w:val="24"/>
        </w:rPr>
      </w:pP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lastRenderedPageBreak/>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lastRenderedPageBreak/>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1D1755">
      <w:pPr>
        <w:pStyle w:val="newheading1"/>
      </w:pPr>
      <w:r w:rsidRPr="4C792F2F">
        <w:t xml:space="preserve">  </w:t>
      </w:r>
      <w:bookmarkStart w:id="116" w:name="_Toc88230247"/>
      <w:r w:rsidRPr="4C792F2F">
        <w:t>Incurred Costs</w:t>
      </w:r>
      <w:bookmarkEnd w:id="116"/>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 xml:space="preserve">This repayment requirement of the Recipient is in addition to any other rights the CEC can enforce relative to this Agreement. Recipient agrees and acknowledges that time is of the essence in paying Incurred Costs and submitting repayments, and the CEC can </w:t>
      </w:r>
      <w:r w:rsidRPr="4C792F2F">
        <w:rPr>
          <w:rFonts w:eastAsiaTheme="minorEastAsia"/>
          <w:szCs w:val="24"/>
        </w:rPr>
        <w:lastRenderedPageBreak/>
        <w:t>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1D1755">
      <w:pPr>
        <w:pStyle w:val="newheading1"/>
      </w:pPr>
      <w:r w:rsidRPr="4C792F2F">
        <w:t xml:space="preserve">  </w:t>
      </w:r>
      <w:bookmarkStart w:id="117" w:name="_Toc88230248"/>
      <w:r w:rsidRPr="4C792F2F">
        <w:t>Subrecipients and Vendors</w:t>
      </w:r>
      <w:bookmarkEnd w:id="117"/>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2E34AFD6"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 xml:space="preserve">The </w:t>
      </w:r>
      <w:r w:rsidR="00EB33E8">
        <w:rPr>
          <w:rFonts w:eastAsiaTheme="minorEastAsia"/>
          <w:szCs w:val="24"/>
        </w:rPr>
        <w:t>Publications-</w:t>
      </w:r>
      <w:r w:rsidR="00D051B9">
        <w:rPr>
          <w:rFonts w:eastAsiaTheme="minorEastAsia"/>
          <w:szCs w:val="24"/>
        </w:rPr>
        <w:t xml:space="preserve"> Legal Statements on Reports and Products</w:t>
      </w:r>
      <w:r w:rsidRPr="4C792F2F">
        <w:rPr>
          <w:rFonts w:eastAsiaTheme="minorEastAsia"/>
          <w:szCs w:val="24"/>
        </w:rPr>
        <w:t xml:space="preserve">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505E435E"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 xml:space="preserve">The </w:t>
      </w:r>
      <w:r w:rsidR="000279B3">
        <w:rPr>
          <w:rFonts w:eastAsiaTheme="minorEastAsia"/>
          <w:szCs w:val="24"/>
        </w:rPr>
        <w:t>Receipt of Confidential and Personal Information</w:t>
      </w:r>
      <w:r w:rsidRPr="4C792F2F">
        <w:rPr>
          <w:rFonts w:eastAsiaTheme="minorEastAsia"/>
          <w:szCs w:val="24"/>
        </w:rPr>
        <w:t xml:space="preserve"> term does not have to be included if the Subrecipient will not </w:t>
      </w:r>
      <w:r w:rsidR="00345849">
        <w:rPr>
          <w:rFonts w:eastAsiaTheme="minorEastAsia"/>
          <w:szCs w:val="24"/>
        </w:rPr>
        <w:t xml:space="preserve">have access to or </w:t>
      </w:r>
      <w:r w:rsidRPr="4C792F2F">
        <w:rPr>
          <w:rFonts w:eastAsiaTheme="minorEastAsia"/>
          <w:szCs w:val="24"/>
        </w:rPr>
        <w:t xml:space="preserve">generate </w:t>
      </w:r>
      <w:r w:rsidR="00D42A62">
        <w:rPr>
          <w:rFonts w:eastAsiaTheme="minorEastAsia"/>
          <w:szCs w:val="24"/>
        </w:rPr>
        <w:t>C</w:t>
      </w:r>
      <w:r w:rsidRPr="4C792F2F">
        <w:rPr>
          <w:rFonts w:eastAsiaTheme="minorEastAsia"/>
          <w:szCs w:val="24"/>
        </w:rPr>
        <w:t xml:space="preserve">onfidential </w:t>
      </w:r>
      <w:r w:rsidR="00DE23CD">
        <w:rPr>
          <w:rFonts w:eastAsiaTheme="minorEastAsia"/>
          <w:szCs w:val="24"/>
        </w:rPr>
        <w:t>or Personal</w:t>
      </w:r>
      <w:r w:rsidR="00D42A62">
        <w:rPr>
          <w:rFonts w:eastAsiaTheme="minorEastAsia"/>
          <w:szCs w:val="24"/>
        </w:rPr>
        <w:t xml:space="preserve"> I</w:t>
      </w:r>
      <w:r w:rsidRPr="4C792F2F">
        <w:rPr>
          <w:rFonts w:eastAsiaTheme="minorEastAsia"/>
          <w:szCs w:val="24"/>
        </w:rPr>
        <w:t>nformation</w:t>
      </w:r>
      <w:r w:rsidR="00D42A62">
        <w:rPr>
          <w:rFonts w:eastAsiaTheme="minorEastAsia"/>
          <w:szCs w:val="24"/>
        </w:rPr>
        <w:t xml:space="preserve"> as defined in Section 2</w:t>
      </w:r>
      <w:r w:rsidR="002979DD">
        <w:rPr>
          <w:rFonts w:eastAsiaTheme="minorEastAsia"/>
          <w:szCs w:val="24"/>
        </w:rPr>
        <w:t>5</w:t>
      </w:r>
      <w:r w:rsidRPr="4C792F2F">
        <w:rPr>
          <w:rFonts w:eastAsiaTheme="minorEastAsia"/>
          <w:szCs w:val="24"/>
        </w:rPr>
        <w:t>.</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bookmarkStart w:id="118" w:name="_Hlk124260844"/>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080851EC"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bookmarkEnd w:id="118"/>
    <w:p w14:paraId="04A723C0" w14:textId="77777777" w:rsidR="00E850BB" w:rsidRDefault="00E850BB" w:rsidP="00E850BB">
      <w:pPr>
        <w:rPr>
          <w:rFonts w:eastAsiaTheme="minorEastAsia"/>
          <w:szCs w:val="24"/>
        </w:rPr>
      </w:pPr>
    </w:p>
    <w:p w14:paraId="1B13365F" w14:textId="1D53605E" w:rsidR="00E850BB" w:rsidRDefault="00E850BB" w:rsidP="00E850BB">
      <w:pPr>
        <w:rPr>
          <w:rFonts w:eastAsiaTheme="minorEastAsia"/>
          <w:szCs w:val="24"/>
        </w:rPr>
      </w:pPr>
      <w:bookmarkStart w:id="119" w:name="_Hlk124260817"/>
      <w:r w:rsidRPr="0038157A">
        <w:rPr>
          <w:rFonts w:eastAsiaTheme="minorEastAsia"/>
          <w:szCs w:val="24"/>
        </w:rPr>
        <w:t>The Recipient does not have to include in its Vendor agreements CEC-created terms, such as Equipment, Confidential</w:t>
      </w:r>
      <w:r w:rsidR="00D42A62" w:rsidRPr="0038157A">
        <w:rPr>
          <w:rFonts w:eastAsiaTheme="minorEastAsia"/>
          <w:szCs w:val="24"/>
        </w:rPr>
        <w:t xml:space="preserve"> Recipient Information</w:t>
      </w:r>
      <w:r w:rsidRPr="0038157A">
        <w:rPr>
          <w:rFonts w:eastAsiaTheme="minorEastAsia"/>
          <w:szCs w:val="24"/>
        </w:rPr>
        <w:t xml:space="preserve">,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w:t>
      </w:r>
      <w:r w:rsidRPr="0038157A">
        <w:rPr>
          <w:rFonts w:eastAsiaTheme="minorEastAsia"/>
          <w:szCs w:val="24"/>
        </w:rPr>
        <w:lastRenderedPageBreak/>
        <w:t>intellectual property that the Recipient provides to the CEC as part of the Agreement, the Recipient shall ensure its Vendor agreement secures the appropriate rights.</w:t>
      </w:r>
      <w:r w:rsidR="00D42A62" w:rsidRPr="0038157A">
        <w:rPr>
          <w:rFonts w:eastAsiaTheme="minorEastAsia"/>
          <w:szCs w:val="24"/>
        </w:rPr>
        <w:t xml:space="preserve"> Another example is the receipt of confidential information of personal information. If a vendor will have access to confidential information of personal information provided by the </w:t>
      </w:r>
      <w:r w:rsidR="00D42A62" w:rsidRPr="0038157A">
        <w:rPr>
          <w:rFonts w:cs="Arial"/>
        </w:rPr>
        <w:t>Energy Commission or a third-party for the performance of this Agreement</w:t>
      </w:r>
      <w:r w:rsidR="00D42A62" w:rsidRPr="0038157A">
        <w:rPr>
          <w:rFonts w:eastAsiaTheme="minorEastAsia"/>
          <w:szCs w:val="24"/>
        </w:rPr>
        <w:t xml:space="preserve">, the Recipient must ensure its agreement with the vendor </w:t>
      </w:r>
      <w:r w:rsidR="003711EB">
        <w:rPr>
          <w:rFonts w:eastAsiaTheme="minorEastAsia"/>
          <w:szCs w:val="24"/>
        </w:rPr>
        <w:t>includes</w:t>
      </w:r>
      <w:r w:rsidR="00D42A62" w:rsidRPr="0038157A">
        <w:rPr>
          <w:rFonts w:eastAsiaTheme="minorEastAsia"/>
          <w:szCs w:val="24"/>
        </w:rPr>
        <w:t xml:space="preserve"> the Energy Commission’s </w:t>
      </w:r>
      <w:r w:rsidR="00D42A62" w:rsidRPr="0038157A">
        <w:rPr>
          <w:rFonts w:cs="Arial"/>
        </w:rPr>
        <w:t>special terms and conditions for the receipt of confidential information and personal information before the vendor has access to any such information.</w:t>
      </w:r>
    </w:p>
    <w:bookmarkEnd w:id="119"/>
    <w:p w14:paraId="6710EAE1" w14:textId="34F8667B" w:rsidR="00C979E6" w:rsidRDefault="00C979E6">
      <w:pPr>
        <w:rPr>
          <w:rFonts w:eastAsiaTheme="minorEastAsia"/>
          <w:szCs w:val="24"/>
        </w:rPr>
      </w:pPr>
    </w:p>
    <w:p w14:paraId="32542773" w14:textId="30CDED2F" w:rsidR="00E850BB" w:rsidRPr="00FB2E78" w:rsidRDefault="00E850BB" w:rsidP="00E850BB">
      <w:pPr>
        <w:rPr>
          <w:rFonts w:eastAsiaTheme="minorEastAsia"/>
          <w:szCs w:val="24"/>
        </w:rPr>
      </w:pPr>
      <w:r w:rsidRPr="4C792F2F">
        <w:rPr>
          <w:rFonts w:eastAsiaTheme="minorEastAsia"/>
          <w:szCs w:val="24"/>
        </w:rPr>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1D1755">
      <w:pPr>
        <w:pStyle w:val="newheading1"/>
      </w:pPr>
      <w:r w:rsidRPr="4C792F2F">
        <w:t xml:space="preserve">  </w:t>
      </w:r>
      <w:bookmarkStart w:id="120" w:name="_Toc88230249"/>
      <w:r w:rsidRPr="4C792F2F">
        <w:t>Match Fund Timing</w:t>
      </w:r>
      <w:bookmarkEnd w:id="120"/>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7"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734992">
      <w:headerReference w:type="default" r:id="rId18"/>
      <w:footerReference w:type="default" r:id="rId19"/>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525F" w14:textId="77777777" w:rsidR="00FC58C2" w:rsidRDefault="00FC58C2">
      <w:pPr>
        <w:spacing w:line="20" w:lineRule="exact"/>
      </w:pPr>
    </w:p>
  </w:endnote>
  <w:endnote w:type="continuationSeparator" w:id="0">
    <w:p w14:paraId="681685F5" w14:textId="77777777" w:rsidR="00FC58C2" w:rsidRDefault="00FC58C2">
      <w:r>
        <w:t xml:space="preserve"> </w:t>
      </w:r>
    </w:p>
  </w:endnote>
  <w:endnote w:type="continuationNotice" w:id="1">
    <w:p w14:paraId="72364A89" w14:textId="77777777" w:rsidR="00FC58C2" w:rsidRDefault="00FC58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C021" w14:textId="7B478E1B" w:rsidR="00C06425" w:rsidRPr="00151112" w:rsidRDefault="008A50F5" w:rsidP="00C06425">
    <w:pPr>
      <w:pStyle w:val="Footer"/>
      <w:tabs>
        <w:tab w:val="clear" w:pos="4032"/>
        <w:tab w:val="clear" w:pos="8352"/>
        <w:tab w:val="clear" w:pos="9072"/>
        <w:tab w:val="left" w:pos="0"/>
        <w:tab w:val="center" w:pos="4680"/>
        <w:tab w:val="right" w:pos="9360"/>
      </w:tabs>
      <w:rPr>
        <w:rFonts w:cs="Arial"/>
        <w:sz w:val="20"/>
      </w:rPr>
    </w:pPr>
    <w:r>
      <w:rPr>
        <w:rFonts w:cs="Arial"/>
        <w:sz w:val="20"/>
      </w:rPr>
      <w:t>J</w:t>
    </w:r>
    <w:r w:rsidR="00F61076">
      <w:rPr>
        <w:rFonts w:cs="Arial"/>
        <w:sz w:val="20"/>
      </w:rPr>
      <w:t>anuary 2024</w:t>
    </w:r>
    <w:r w:rsidR="00C06425">
      <w:rPr>
        <w:rFonts w:cs="Arial"/>
        <w:sz w:val="20"/>
      </w:rPr>
      <w:tab/>
      <w:t>Exhibit C</w:t>
    </w:r>
    <w:r w:rsidR="00C06425">
      <w:rPr>
        <w:rFonts w:cs="Arial"/>
        <w:sz w:val="20"/>
      </w:rPr>
      <w:tab/>
    </w:r>
    <w:r w:rsidR="00584C76">
      <w:rPr>
        <w:rFonts w:cs="Arial"/>
        <w:sz w:val="20"/>
      </w:rPr>
      <w:t>GFO-23-607</w:t>
    </w:r>
  </w:p>
  <w:p w14:paraId="758D3C2A" w14:textId="548F91A3" w:rsidR="00284FC1" w:rsidRPr="00284FC1" w:rsidRDefault="009F72C1" w:rsidP="00284FC1">
    <w:pPr>
      <w:tabs>
        <w:tab w:val="left" w:pos="0"/>
        <w:tab w:val="center" w:pos="4680"/>
        <w:tab w:val="right" w:pos="9360"/>
      </w:tabs>
      <w:rPr>
        <w:rFonts w:cs="Arial"/>
        <w:sz w:val="20"/>
      </w:rPr>
    </w:pPr>
    <w:r>
      <w:rPr>
        <w:rFonts w:cs="Arial"/>
        <w:sz w:val="20"/>
      </w:rPr>
      <w:t>Tribal EV Infrastructure</w:t>
    </w:r>
    <w:r w:rsidR="00C06425" w:rsidRPr="00ED25E4">
      <w:rPr>
        <w:rFonts w:cs="Arial"/>
        <w:sz w:val="20"/>
      </w:rPr>
      <w:tab/>
      <w:t xml:space="preserve">Page </w:t>
    </w:r>
    <w:r w:rsidR="00C06425" w:rsidRPr="00ED25E4">
      <w:rPr>
        <w:rFonts w:cs="Arial"/>
        <w:sz w:val="20"/>
      </w:rPr>
      <w:fldChar w:fldCharType="begin"/>
    </w:r>
    <w:r w:rsidR="00C06425" w:rsidRPr="00ED25E4">
      <w:rPr>
        <w:rFonts w:cs="Arial"/>
        <w:sz w:val="20"/>
      </w:rPr>
      <w:instrText xml:space="preserve"> PAGE </w:instrText>
    </w:r>
    <w:r w:rsidR="00C06425" w:rsidRPr="00ED25E4">
      <w:rPr>
        <w:rFonts w:cs="Arial"/>
        <w:sz w:val="20"/>
      </w:rPr>
      <w:fldChar w:fldCharType="separate"/>
    </w:r>
    <w:r w:rsidR="00C06425">
      <w:rPr>
        <w:rFonts w:cs="Arial"/>
        <w:sz w:val="20"/>
      </w:rPr>
      <w:t>3</w:t>
    </w:r>
    <w:r w:rsidR="00C06425" w:rsidRPr="00ED25E4">
      <w:rPr>
        <w:rFonts w:cs="Arial"/>
        <w:sz w:val="20"/>
      </w:rPr>
      <w:fldChar w:fldCharType="end"/>
    </w:r>
    <w:r w:rsidR="00C06425" w:rsidRPr="00ED25E4">
      <w:rPr>
        <w:rFonts w:cs="Arial"/>
        <w:sz w:val="20"/>
      </w:rPr>
      <w:t xml:space="preserve"> of </w:t>
    </w:r>
    <w:r w:rsidR="00C06425" w:rsidRPr="00ED25E4">
      <w:rPr>
        <w:rFonts w:cs="Arial"/>
        <w:sz w:val="20"/>
      </w:rPr>
      <w:fldChar w:fldCharType="begin"/>
    </w:r>
    <w:r w:rsidR="00C06425" w:rsidRPr="00ED25E4">
      <w:rPr>
        <w:rFonts w:cs="Arial"/>
        <w:sz w:val="20"/>
      </w:rPr>
      <w:instrText xml:space="preserve"> NUMPAGES  </w:instrText>
    </w:r>
    <w:r w:rsidR="00C06425" w:rsidRPr="00ED25E4">
      <w:rPr>
        <w:rFonts w:cs="Arial"/>
        <w:sz w:val="20"/>
      </w:rPr>
      <w:fldChar w:fldCharType="separate"/>
    </w:r>
    <w:r w:rsidR="00C06425">
      <w:rPr>
        <w:rFonts w:cs="Arial"/>
        <w:sz w:val="20"/>
      </w:rPr>
      <w:t>40</w:t>
    </w:r>
    <w:r w:rsidR="00C06425" w:rsidRPr="00ED25E4">
      <w:rPr>
        <w:rFonts w:cs="Arial"/>
        <w:sz w:val="20"/>
      </w:rPr>
      <w:fldChar w:fldCharType="end"/>
    </w:r>
    <w:r w:rsidR="00C06425">
      <w:rPr>
        <w:rFonts w:cs="Arial"/>
        <w:sz w:val="20"/>
      </w:rPr>
      <w:tab/>
    </w:r>
    <w:r w:rsidR="00284FC1" w:rsidRPr="00284FC1">
      <w:rPr>
        <w:rFonts w:cs="Arial"/>
        <w:sz w:val="20"/>
      </w:rPr>
      <w:t>Tribal Electric Vehicle Infrastructure,</w:t>
    </w:r>
  </w:p>
  <w:p w14:paraId="0A49792E" w14:textId="77777777" w:rsidR="00284FC1" w:rsidRPr="00284FC1" w:rsidRDefault="00284FC1" w:rsidP="00284FC1">
    <w:pPr>
      <w:tabs>
        <w:tab w:val="left" w:pos="0"/>
        <w:tab w:val="center" w:pos="4680"/>
        <w:tab w:val="right" w:pos="9360"/>
      </w:tabs>
      <w:rPr>
        <w:rFonts w:cs="Arial"/>
        <w:sz w:val="20"/>
      </w:rPr>
    </w:pPr>
    <w:r w:rsidRPr="00284FC1">
      <w:rPr>
        <w:rFonts w:cs="Arial"/>
        <w:sz w:val="20"/>
      </w:rPr>
      <w:tab/>
    </w:r>
    <w:r w:rsidRPr="00284FC1">
      <w:rPr>
        <w:rFonts w:cs="Arial"/>
        <w:sz w:val="20"/>
      </w:rPr>
      <w:tab/>
      <w:t xml:space="preserve">Planning, and Workforce </w:t>
    </w:r>
  </w:p>
  <w:p w14:paraId="42CF15A8" w14:textId="2834F736" w:rsidR="32F4D2CA" w:rsidRDefault="00284FC1" w:rsidP="00284FC1">
    <w:pPr>
      <w:tabs>
        <w:tab w:val="left" w:pos="0"/>
        <w:tab w:val="center" w:pos="4680"/>
        <w:tab w:val="right" w:pos="9360"/>
      </w:tabs>
      <w:rPr>
        <w:szCs w:val="24"/>
      </w:rPr>
    </w:pPr>
    <w:r w:rsidRPr="00284FC1">
      <w:rPr>
        <w:rFonts w:cs="Arial"/>
        <w:sz w:val="20"/>
      </w:rPr>
      <w:tab/>
    </w:r>
    <w:r w:rsidRPr="00284FC1">
      <w:rPr>
        <w:rFonts w:cs="Arial"/>
        <w:sz w:val="20"/>
      </w:rPr>
      <w:tab/>
      <w:t>Training 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B93D" w14:textId="77777777" w:rsidR="002C24DD" w:rsidRPr="002C24DD" w:rsidRDefault="002C24DD" w:rsidP="002C24DD">
    <w:pPr>
      <w:tabs>
        <w:tab w:val="left" w:pos="-288"/>
        <w:tab w:val="left" w:pos="0"/>
        <w:tab w:val="center" w:pos="4680"/>
        <w:tab w:val="right" w:pos="9360"/>
      </w:tabs>
      <w:suppressAutoHyphens/>
      <w:rPr>
        <w:rFonts w:cs="Arial"/>
        <w:sz w:val="20"/>
      </w:rPr>
    </w:pPr>
    <w:r w:rsidRPr="002C24DD">
      <w:rPr>
        <w:rFonts w:cs="Arial"/>
        <w:sz w:val="20"/>
      </w:rPr>
      <w:t>January 2024</w:t>
    </w:r>
    <w:r w:rsidRPr="002C24DD">
      <w:rPr>
        <w:rFonts w:cs="Arial"/>
        <w:sz w:val="20"/>
      </w:rPr>
      <w:tab/>
      <w:t>Exhibit C</w:t>
    </w:r>
    <w:r w:rsidRPr="002C24DD">
      <w:rPr>
        <w:rFonts w:cs="Arial"/>
        <w:sz w:val="20"/>
      </w:rPr>
      <w:tab/>
      <w:t>GFO-23-607</w:t>
    </w:r>
  </w:p>
  <w:p w14:paraId="32570D9C" w14:textId="77777777" w:rsidR="002C24DD" w:rsidRPr="002C24DD" w:rsidRDefault="002C24DD" w:rsidP="002C24DD">
    <w:pPr>
      <w:tabs>
        <w:tab w:val="left" w:pos="0"/>
        <w:tab w:val="center" w:pos="4680"/>
        <w:tab w:val="right" w:pos="9360"/>
      </w:tabs>
      <w:rPr>
        <w:rFonts w:cs="Arial"/>
        <w:sz w:val="20"/>
      </w:rPr>
    </w:pPr>
    <w:r w:rsidRPr="002C24DD">
      <w:rPr>
        <w:rFonts w:cs="Arial"/>
        <w:sz w:val="20"/>
      </w:rPr>
      <w:t>Tribal EV Infrastructure</w:t>
    </w:r>
    <w:r w:rsidRPr="002C24DD">
      <w:rPr>
        <w:rFonts w:cs="Arial"/>
        <w:sz w:val="20"/>
      </w:rPr>
      <w:tab/>
      <w:t xml:space="preserve">Page </w:t>
    </w:r>
    <w:r w:rsidRPr="002C24DD">
      <w:rPr>
        <w:rFonts w:cs="Arial"/>
        <w:sz w:val="20"/>
      </w:rPr>
      <w:fldChar w:fldCharType="begin"/>
    </w:r>
    <w:r w:rsidRPr="002C24DD">
      <w:rPr>
        <w:rFonts w:cs="Arial"/>
        <w:sz w:val="20"/>
      </w:rPr>
      <w:instrText xml:space="preserve"> PAGE </w:instrText>
    </w:r>
    <w:r w:rsidRPr="002C24DD">
      <w:rPr>
        <w:rFonts w:cs="Arial"/>
        <w:sz w:val="20"/>
      </w:rPr>
      <w:fldChar w:fldCharType="separate"/>
    </w:r>
    <w:r w:rsidRPr="002C24DD">
      <w:rPr>
        <w:rFonts w:cs="Arial"/>
        <w:sz w:val="20"/>
      </w:rPr>
      <w:t>2</w:t>
    </w:r>
    <w:r w:rsidRPr="002C24DD">
      <w:rPr>
        <w:rFonts w:cs="Arial"/>
        <w:sz w:val="20"/>
      </w:rPr>
      <w:fldChar w:fldCharType="end"/>
    </w:r>
    <w:r w:rsidRPr="002C24DD">
      <w:rPr>
        <w:rFonts w:cs="Arial"/>
        <w:sz w:val="20"/>
      </w:rPr>
      <w:t xml:space="preserve"> of </w:t>
    </w:r>
    <w:r w:rsidRPr="002C24DD">
      <w:rPr>
        <w:rFonts w:cs="Arial"/>
        <w:sz w:val="20"/>
      </w:rPr>
      <w:fldChar w:fldCharType="begin"/>
    </w:r>
    <w:r w:rsidRPr="002C24DD">
      <w:rPr>
        <w:rFonts w:cs="Arial"/>
        <w:sz w:val="20"/>
      </w:rPr>
      <w:instrText xml:space="preserve"> NUMPAGES  </w:instrText>
    </w:r>
    <w:r w:rsidRPr="002C24DD">
      <w:rPr>
        <w:rFonts w:cs="Arial"/>
        <w:sz w:val="20"/>
      </w:rPr>
      <w:fldChar w:fldCharType="separate"/>
    </w:r>
    <w:r w:rsidRPr="002C24DD">
      <w:rPr>
        <w:rFonts w:cs="Arial"/>
        <w:sz w:val="20"/>
      </w:rPr>
      <w:t>41</w:t>
    </w:r>
    <w:r w:rsidRPr="002C24DD">
      <w:rPr>
        <w:rFonts w:cs="Arial"/>
        <w:sz w:val="20"/>
      </w:rPr>
      <w:fldChar w:fldCharType="end"/>
    </w:r>
    <w:r w:rsidRPr="002C24DD">
      <w:rPr>
        <w:rFonts w:cs="Arial"/>
        <w:sz w:val="20"/>
      </w:rPr>
      <w:tab/>
      <w:t>Tribal Electric Vehicle Infrastructure,</w:t>
    </w:r>
  </w:p>
  <w:p w14:paraId="50B1F934" w14:textId="77777777" w:rsidR="002C24DD" w:rsidRPr="002C24DD" w:rsidRDefault="002C24DD" w:rsidP="002C24DD">
    <w:pPr>
      <w:tabs>
        <w:tab w:val="left" w:pos="0"/>
        <w:tab w:val="center" w:pos="4680"/>
        <w:tab w:val="right" w:pos="9360"/>
      </w:tabs>
      <w:rPr>
        <w:rFonts w:cs="Arial"/>
        <w:sz w:val="20"/>
      </w:rPr>
    </w:pPr>
    <w:r w:rsidRPr="002C24DD">
      <w:rPr>
        <w:rFonts w:cs="Arial"/>
        <w:sz w:val="20"/>
      </w:rPr>
      <w:tab/>
    </w:r>
    <w:r w:rsidRPr="002C24DD">
      <w:rPr>
        <w:rFonts w:cs="Arial"/>
        <w:sz w:val="20"/>
      </w:rPr>
      <w:tab/>
      <w:t xml:space="preserve">Planning, and Workforce </w:t>
    </w:r>
  </w:p>
  <w:p w14:paraId="56B2306F" w14:textId="77777777" w:rsidR="002C24DD" w:rsidRPr="002C24DD" w:rsidRDefault="002C24DD" w:rsidP="002C24DD">
    <w:pPr>
      <w:tabs>
        <w:tab w:val="left" w:pos="0"/>
        <w:tab w:val="center" w:pos="4680"/>
        <w:tab w:val="right" w:pos="9360"/>
      </w:tabs>
      <w:rPr>
        <w:szCs w:val="24"/>
      </w:rPr>
    </w:pPr>
    <w:r w:rsidRPr="002C24DD">
      <w:rPr>
        <w:rFonts w:cs="Arial"/>
        <w:sz w:val="20"/>
      </w:rPr>
      <w:tab/>
    </w:r>
    <w:r w:rsidRPr="002C24DD">
      <w:rPr>
        <w:rFonts w:cs="Arial"/>
        <w:sz w:val="20"/>
      </w:rPr>
      <w:tab/>
      <w:t>Training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145A" w14:textId="77777777" w:rsidR="00FC58C2" w:rsidRDefault="00FC58C2">
      <w:r>
        <w:separator/>
      </w:r>
    </w:p>
  </w:footnote>
  <w:footnote w:type="continuationSeparator" w:id="0">
    <w:p w14:paraId="4354BE91" w14:textId="77777777" w:rsidR="00FC58C2" w:rsidRDefault="00FC58C2">
      <w:r>
        <w:continuationSeparator/>
      </w:r>
    </w:p>
  </w:footnote>
  <w:footnote w:type="continuationNotice" w:id="1">
    <w:p w14:paraId="46D0FEA3" w14:textId="77777777" w:rsidR="00FC58C2" w:rsidRDefault="00FC5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85D0F90" w:rsidR="32F4D2CA" w:rsidRDefault="32F4D2CA" w:rsidP="32F4D2CA">
          <w:pPr>
            <w:pStyle w:val="Header"/>
            <w:jc w:val="center"/>
            <w:rPr>
              <w:szCs w:val="24"/>
            </w:rPr>
          </w:pP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B4E17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1F483B9E"/>
    <w:multiLevelType w:val="hybridMultilevel"/>
    <w:tmpl w:val="AF6C4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9"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20" w15:restartNumberingAfterBreak="0">
    <w:nsid w:val="4AEE3E1E"/>
    <w:multiLevelType w:val="singleLevel"/>
    <w:tmpl w:val="FE967FC0"/>
    <w:lvl w:ilvl="0">
      <w:start w:val="1"/>
      <w:numFmt w:val="lowerLetter"/>
      <w:lvlText w:val="%1."/>
      <w:lvlJc w:val="left"/>
      <w:pPr>
        <w:ind w:left="1080" w:hanging="360"/>
      </w:pPr>
      <w:rPr>
        <w:rFonts w:ascii="Arial" w:eastAsia="Times New Roman" w:hAnsi="Arial" w:cs="Arial"/>
      </w:rPr>
    </w:lvl>
  </w:abstractNum>
  <w:abstractNum w:abstractNumId="21"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2BFF21"/>
    <w:multiLevelType w:val="hybridMultilevel"/>
    <w:tmpl w:val="FFFFFFFF"/>
    <w:lvl w:ilvl="0" w:tplc="34B8C68E">
      <w:start w:val="1"/>
      <w:numFmt w:val="bullet"/>
      <w:lvlText w:val=""/>
      <w:lvlJc w:val="left"/>
      <w:pPr>
        <w:ind w:left="720" w:hanging="360"/>
      </w:pPr>
      <w:rPr>
        <w:rFonts w:ascii="Symbol" w:hAnsi="Symbol" w:hint="default"/>
      </w:rPr>
    </w:lvl>
    <w:lvl w:ilvl="1" w:tplc="DC0C4680">
      <w:start w:val="1"/>
      <w:numFmt w:val="bullet"/>
      <w:lvlText w:val="o"/>
      <w:lvlJc w:val="left"/>
      <w:pPr>
        <w:ind w:left="1440" w:hanging="360"/>
      </w:pPr>
      <w:rPr>
        <w:rFonts w:ascii="Courier New" w:hAnsi="Courier New" w:hint="default"/>
      </w:rPr>
    </w:lvl>
    <w:lvl w:ilvl="2" w:tplc="EECEF378">
      <w:start w:val="1"/>
      <w:numFmt w:val="bullet"/>
      <w:lvlText w:val=""/>
      <w:lvlJc w:val="left"/>
      <w:pPr>
        <w:ind w:left="2160" w:hanging="360"/>
      </w:pPr>
      <w:rPr>
        <w:rFonts w:ascii="Wingdings" w:hAnsi="Wingdings" w:hint="default"/>
      </w:rPr>
    </w:lvl>
    <w:lvl w:ilvl="3" w:tplc="0BDA0F26">
      <w:start w:val="1"/>
      <w:numFmt w:val="bullet"/>
      <w:lvlText w:val=""/>
      <w:lvlJc w:val="left"/>
      <w:pPr>
        <w:ind w:left="2880" w:hanging="360"/>
      </w:pPr>
      <w:rPr>
        <w:rFonts w:ascii="Symbol" w:hAnsi="Symbol" w:hint="default"/>
      </w:rPr>
    </w:lvl>
    <w:lvl w:ilvl="4" w:tplc="917A7F24">
      <w:start w:val="1"/>
      <w:numFmt w:val="bullet"/>
      <w:lvlText w:val="o"/>
      <w:lvlJc w:val="left"/>
      <w:pPr>
        <w:ind w:left="3600" w:hanging="360"/>
      </w:pPr>
      <w:rPr>
        <w:rFonts w:ascii="Courier New" w:hAnsi="Courier New" w:hint="default"/>
      </w:rPr>
    </w:lvl>
    <w:lvl w:ilvl="5" w:tplc="F9CCC3E8">
      <w:start w:val="1"/>
      <w:numFmt w:val="bullet"/>
      <w:lvlText w:val=""/>
      <w:lvlJc w:val="left"/>
      <w:pPr>
        <w:ind w:left="4320" w:hanging="360"/>
      </w:pPr>
      <w:rPr>
        <w:rFonts w:ascii="Wingdings" w:hAnsi="Wingdings" w:hint="default"/>
      </w:rPr>
    </w:lvl>
    <w:lvl w:ilvl="6" w:tplc="3BD483B0">
      <w:start w:val="1"/>
      <w:numFmt w:val="bullet"/>
      <w:lvlText w:val=""/>
      <w:lvlJc w:val="left"/>
      <w:pPr>
        <w:ind w:left="5040" w:hanging="360"/>
      </w:pPr>
      <w:rPr>
        <w:rFonts w:ascii="Symbol" w:hAnsi="Symbol" w:hint="default"/>
      </w:rPr>
    </w:lvl>
    <w:lvl w:ilvl="7" w:tplc="6E5AFC18">
      <w:start w:val="1"/>
      <w:numFmt w:val="bullet"/>
      <w:lvlText w:val="o"/>
      <w:lvlJc w:val="left"/>
      <w:pPr>
        <w:ind w:left="5760" w:hanging="360"/>
      </w:pPr>
      <w:rPr>
        <w:rFonts w:ascii="Courier New" w:hAnsi="Courier New" w:hint="default"/>
      </w:rPr>
    </w:lvl>
    <w:lvl w:ilvl="8" w:tplc="DACAFDCE">
      <w:start w:val="1"/>
      <w:numFmt w:val="bullet"/>
      <w:lvlText w:val=""/>
      <w:lvlJc w:val="left"/>
      <w:pPr>
        <w:ind w:left="6480" w:hanging="360"/>
      </w:pPr>
      <w:rPr>
        <w:rFonts w:ascii="Wingdings" w:hAnsi="Wingdings" w:hint="default"/>
      </w:rPr>
    </w:lvl>
  </w:abstractNum>
  <w:abstractNum w:abstractNumId="25"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0" w15:restartNumberingAfterBreak="0">
    <w:nsid w:val="79754902"/>
    <w:multiLevelType w:val="hybridMultilevel"/>
    <w:tmpl w:val="F364DC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B8EF04">
      <w:start w:val="2"/>
      <w:numFmt w:val="lowerLetter"/>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438493">
    <w:abstractNumId w:val="0"/>
  </w:num>
  <w:num w:numId="2" w16cid:durableId="1950233474">
    <w:abstractNumId w:val="9"/>
  </w:num>
  <w:num w:numId="3" w16cid:durableId="429278951">
    <w:abstractNumId w:val="20"/>
  </w:num>
  <w:num w:numId="4" w16cid:durableId="1657757744">
    <w:abstractNumId w:val="21"/>
  </w:num>
  <w:num w:numId="5" w16cid:durableId="1354108255">
    <w:abstractNumId w:val="23"/>
  </w:num>
  <w:num w:numId="6" w16cid:durableId="1259289182">
    <w:abstractNumId w:val="11"/>
  </w:num>
  <w:num w:numId="7" w16cid:durableId="1369988384">
    <w:abstractNumId w:val="28"/>
  </w:num>
  <w:num w:numId="8" w16cid:durableId="391847969">
    <w:abstractNumId w:val="14"/>
  </w:num>
  <w:num w:numId="9" w16cid:durableId="1967155254">
    <w:abstractNumId w:val="25"/>
  </w:num>
  <w:num w:numId="10" w16cid:durableId="907038317">
    <w:abstractNumId w:val="29"/>
  </w:num>
  <w:num w:numId="11" w16cid:durableId="1163467401">
    <w:abstractNumId w:val="6"/>
  </w:num>
  <w:num w:numId="12" w16cid:durableId="750929934">
    <w:abstractNumId w:val="22"/>
  </w:num>
  <w:num w:numId="13" w16cid:durableId="225145184">
    <w:abstractNumId w:val="26"/>
  </w:num>
  <w:num w:numId="14" w16cid:durableId="1216507570">
    <w:abstractNumId w:val="3"/>
  </w:num>
  <w:num w:numId="15" w16cid:durableId="9107719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2126098">
    <w:abstractNumId w:val="15"/>
  </w:num>
  <w:num w:numId="17" w16cid:durableId="669521910">
    <w:abstractNumId w:val="5"/>
  </w:num>
  <w:num w:numId="18" w16cid:durableId="124393878">
    <w:abstractNumId w:val="2"/>
  </w:num>
  <w:num w:numId="19" w16cid:durableId="485780446">
    <w:abstractNumId w:val="13"/>
  </w:num>
  <w:num w:numId="20" w16cid:durableId="1183787929">
    <w:abstractNumId w:val="10"/>
  </w:num>
  <w:num w:numId="21" w16cid:durableId="193378016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769591063">
    <w:abstractNumId w:val="12"/>
  </w:num>
  <w:num w:numId="23" w16cid:durableId="1468628457">
    <w:abstractNumId w:val="7"/>
  </w:num>
  <w:num w:numId="24" w16cid:durableId="1445611579">
    <w:abstractNumId w:val="19"/>
  </w:num>
  <w:num w:numId="25" w16cid:durableId="742525426">
    <w:abstractNumId w:val="18"/>
  </w:num>
  <w:num w:numId="26" w16cid:durableId="618030339">
    <w:abstractNumId w:val="4"/>
  </w:num>
  <w:num w:numId="27" w16cid:durableId="1160268372">
    <w:abstractNumId w:val="27"/>
  </w:num>
  <w:num w:numId="28" w16cid:durableId="1830562229">
    <w:abstractNumId w:val="16"/>
  </w:num>
  <w:num w:numId="29" w16cid:durableId="636492599">
    <w:abstractNumId w:val="0"/>
  </w:num>
  <w:num w:numId="30" w16cid:durableId="1164051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1613366185">
    <w:abstractNumId w:val="30"/>
  </w:num>
  <w:num w:numId="32" w16cid:durableId="703556579">
    <w:abstractNumId w:val="8"/>
  </w:num>
  <w:num w:numId="33" w16cid:durableId="100685752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0F62"/>
    <w:rsid w:val="00002228"/>
    <w:rsid w:val="00002F1F"/>
    <w:rsid w:val="0000324E"/>
    <w:rsid w:val="00003897"/>
    <w:rsid w:val="00005BC7"/>
    <w:rsid w:val="00005C4C"/>
    <w:rsid w:val="00005FB1"/>
    <w:rsid w:val="00006752"/>
    <w:rsid w:val="00006A87"/>
    <w:rsid w:val="00006D20"/>
    <w:rsid w:val="000071A0"/>
    <w:rsid w:val="00007FBA"/>
    <w:rsid w:val="00010B08"/>
    <w:rsid w:val="00017793"/>
    <w:rsid w:val="00020C35"/>
    <w:rsid w:val="00021A59"/>
    <w:rsid w:val="00023981"/>
    <w:rsid w:val="00027494"/>
    <w:rsid w:val="000279B3"/>
    <w:rsid w:val="00030893"/>
    <w:rsid w:val="00030B78"/>
    <w:rsid w:val="000327A2"/>
    <w:rsid w:val="00036162"/>
    <w:rsid w:val="00036236"/>
    <w:rsid w:val="00036CDA"/>
    <w:rsid w:val="000407A3"/>
    <w:rsid w:val="00042620"/>
    <w:rsid w:val="0004371E"/>
    <w:rsid w:val="00043E09"/>
    <w:rsid w:val="00044C91"/>
    <w:rsid w:val="00044EBB"/>
    <w:rsid w:val="000453ED"/>
    <w:rsid w:val="00046535"/>
    <w:rsid w:val="00050D37"/>
    <w:rsid w:val="00050D6F"/>
    <w:rsid w:val="00053F28"/>
    <w:rsid w:val="0006000E"/>
    <w:rsid w:val="00061160"/>
    <w:rsid w:val="00062094"/>
    <w:rsid w:val="00062AB7"/>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B797E"/>
    <w:rsid w:val="000B79BE"/>
    <w:rsid w:val="000C21E1"/>
    <w:rsid w:val="000C2453"/>
    <w:rsid w:val="000C293C"/>
    <w:rsid w:val="000C5262"/>
    <w:rsid w:val="000C64B6"/>
    <w:rsid w:val="000D0975"/>
    <w:rsid w:val="000D2BE8"/>
    <w:rsid w:val="000D309A"/>
    <w:rsid w:val="000D6F60"/>
    <w:rsid w:val="000E349E"/>
    <w:rsid w:val="000E4507"/>
    <w:rsid w:val="000E5F10"/>
    <w:rsid w:val="000E6448"/>
    <w:rsid w:val="000E67EF"/>
    <w:rsid w:val="000F087D"/>
    <w:rsid w:val="000F090D"/>
    <w:rsid w:val="000F11A2"/>
    <w:rsid w:val="000F259C"/>
    <w:rsid w:val="000F2955"/>
    <w:rsid w:val="000F2E57"/>
    <w:rsid w:val="000F4825"/>
    <w:rsid w:val="000F56D4"/>
    <w:rsid w:val="000F7208"/>
    <w:rsid w:val="001015DC"/>
    <w:rsid w:val="001016C4"/>
    <w:rsid w:val="001038F5"/>
    <w:rsid w:val="00105244"/>
    <w:rsid w:val="00106D81"/>
    <w:rsid w:val="00111FB0"/>
    <w:rsid w:val="00112B18"/>
    <w:rsid w:val="0011390E"/>
    <w:rsid w:val="001150F4"/>
    <w:rsid w:val="00116B3E"/>
    <w:rsid w:val="0012043E"/>
    <w:rsid w:val="00122500"/>
    <w:rsid w:val="0012269B"/>
    <w:rsid w:val="00125268"/>
    <w:rsid w:val="00130BFE"/>
    <w:rsid w:val="001317F5"/>
    <w:rsid w:val="00131A01"/>
    <w:rsid w:val="00131A11"/>
    <w:rsid w:val="0013296A"/>
    <w:rsid w:val="00135872"/>
    <w:rsid w:val="00135DF6"/>
    <w:rsid w:val="001367A0"/>
    <w:rsid w:val="001427F5"/>
    <w:rsid w:val="001440CE"/>
    <w:rsid w:val="00144D51"/>
    <w:rsid w:val="001456C8"/>
    <w:rsid w:val="00145D84"/>
    <w:rsid w:val="00145F76"/>
    <w:rsid w:val="00150372"/>
    <w:rsid w:val="00151112"/>
    <w:rsid w:val="00154385"/>
    <w:rsid w:val="00155774"/>
    <w:rsid w:val="00155D5E"/>
    <w:rsid w:val="0015730C"/>
    <w:rsid w:val="00163A46"/>
    <w:rsid w:val="001663AD"/>
    <w:rsid w:val="001673BD"/>
    <w:rsid w:val="00167674"/>
    <w:rsid w:val="00170789"/>
    <w:rsid w:val="00171C6C"/>
    <w:rsid w:val="00172375"/>
    <w:rsid w:val="00172CFD"/>
    <w:rsid w:val="00172FFD"/>
    <w:rsid w:val="001758C5"/>
    <w:rsid w:val="00175D53"/>
    <w:rsid w:val="00177E87"/>
    <w:rsid w:val="00177EE9"/>
    <w:rsid w:val="0018006F"/>
    <w:rsid w:val="00183CF4"/>
    <w:rsid w:val="00185715"/>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755"/>
    <w:rsid w:val="001D18EC"/>
    <w:rsid w:val="001D2FE2"/>
    <w:rsid w:val="001D3284"/>
    <w:rsid w:val="001D5E1F"/>
    <w:rsid w:val="001D694E"/>
    <w:rsid w:val="001D6961"/>
    <w:rsid w:val="001E16E4"/>
    <w:rsid w:val="001E236B"/>
    <w:rsid w:val="001E2C06"/>
    <w:rsid w:val="001E3C7F"/>
    <w:rsid w:val="001E48DF"/>
    <w:rsid w:val="001E62F8"/>
    <w:rsid w:val="001E7216"/>
    <w:rsid w:val="001E782B"/>
    <w:rsid w:val="001F142F"/>
    <w:rsid w:val="001F1432"/>
    <w:rsid w:val="001F347D"/>
    <w:rsid w:val="001F5874"/>
    <w:rsid w:val="001F58E0"/>
    <w:rsid w:val="00204C29"/>
    <w:rsid w:val="00205157"/>
    <w:rsid w:val="0020786F"/>
    <w:rsid w:val="00207AAA"/>
    <w:rsid w:val="00207B36"/>
    <w:rsid w:val="00207B91"/>
    <w:rsid w:val="0021251B"/>
    <w:rsid w:val="00221E9D"/>
    <w:rsid w:val="00227485"/>
    <w:rsid w:val="002309A9"/>
    <w:rsid w:val="0023525C"/>
    <w:rsid w:val="00235DA0"/>
    <w:rsid w:val="00235DD7"/>
    <w:rsid w:val="00236D95"/>
    <w:rsid w:val="0023756A"/>
    <w:rsid w:val="002417FD"/>
    <w:rsid w:val="00243495"/>
    <w:rsid w:val="0024374D"/>
    <w:rsid w:val="002463FF"/>
    <w:rsid w:val="002475D0"/>
    <w:rsid w:val="002518BF"/>
    <w:rsid w:val="0025775F"/>
    <w:rsid w:val="00257B7C"/>
    <w:rsid w:val="00261D6D"/>
    <w:rsid w:val="00262617"/>
    <w:rsid w:val="00262750"/>
    <w:rsid w:val="00262FA6"/>
    <w:rsid w:val="00263451"/>
    <w:rsid w:val="0026687B"/>
    <w:rsid w:val="0026704A"/>
    <w:rsid w:val="00267220"/>
    <w:rsid w:val="00270786"/>
    <w:rsid w:val="00274067"/>
    <w:rsid w:val="00277D98"/>
    <w:rsid w:val="0028126D"/>
    <w:rsid w:val="00282477"/>
    <w:rsid w:val="002824FF"/>
    <w:rsid w:val="00282A78"/>
    <w:rsid w:val="00282C3E"/>
    <w:rsid w:val="0028467B"/>
    <w:rsid w:val="00284B3D"/>
    <w:rsid w:val="00284FC1"/>
    <w:rsid w:val="0028554F"/>
    <w:rsid w:val="00290B0C"/>
    <w:rsid w:val="00291684"/>
    <w:rsid w:val="0029252C"/>
    <w:rsid w:val="002946D4"/>
    <w:rsid w:val="002953A1"/>
    <w:rsid w:val="002979DD"/>
    <w:rsid w:val="002A07E7"/>
    <w:rsid w:val="002A0DFA"/>
    <w:rsid w:val="002A0F34"/>
    <w:rsid w:val="002A13C0"/>
    <w:rsid w:val="002A45F6"/>
    <w:rsid w:val="002A4D23"/>
    <w:rsid w:val="002A5258"/>
    <w:rsid w:val="002A619B"/>
    <w:rsid w:val="002A6B99"/>
    <w:rsid w:val="002A6C99"/>
    <w:rsid w:val="002B2688"/>
    <w:rsid w:val="002B299C"/>
    <w:rsid w:val="002B2D2E"/>
    <w:rsid w:val="002C24DD"/>
    <w:rsid w:val="002C3994"/>
    <w:rsid w:val="002C497D"/>
    <w:rsid w:val="002D0429"/>
    <w:rsid w:val="002D0581"/>
    <w:rsid w:val="002D289A"/>
    <w:rsid w:val="002D28EA"/>
    <w:rsid w:val="002D2D4E"/>
    <w:rsid w:val="002D394B"/>
    <w:rsid w:val="002D3DB6"/>
    <w:rsid w:val="002D6547"/>
    <w:rsid w:val="002D780C"/>
    <w:rsid w:val="002E086D"/>
    <w:rsid w:val="002E08A5"/>
    <w:rsid w:val="002E1501"/>
    <w:rsid w:val="002E2133"/>
    <w:rsid w:val="002E5835"/>
    <w:rsid w:val="002E58AC"/>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5849"/>
    <w:rsid w:val="0034705F"/>
    <w:rsid w:val="00352728"/>
    <w:rsid w:val="00353B70"/>
    <w:rsid w:val="00356200"/>
    <w:rsid w:val="00357F78"/>
    <w:rsid w:val="00363495"/>
    <w:rsid w:val="003635D8"/>
    <w:rsid w:val="00363745"/>
    <w:rsid w:val="00370298"/>
    <w:rsid w:val="003711EB"/>
    <w:rsid w:val="00372C13"/>
    <w:rsid w:val="00373EE5"/>
    <w:rsid w:val="00376431"/>
    <w:rsid w:val="003769B9"/>
    <w:rsid w:val="0038157A"/>
    <w:rsid w:val="00382D93"/>
    <w:rsid w:val="00385D19"/>
    <w:rsid w:val="0038602D"/>
    <w:rsid w:val="00390272"/>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0FB"/>
    <w:rsid w:val="003E0551"/>
    <w:rsid w:val="003E1006"/>
    <w:rsid w:val="003E24C9"/>
    <w:rsid w:val="003E2F3B"/>
    <w:rsid w:val="003E59D5"/>
    <w:rsid w:val="003E6947"/>
    <w:rsid w:val="003E7A65"/>
    <w:rsid w:val="003F060F"/>
    <w:rsid w:val="003F19BB"/>
    <w:rsid w:val="003F2355"/>
    <w:rsid w:val="00401259"/>
    <w:rsid w:val="00407B9E"/>
    <w:rsid w:val="00410058"/>
    <w:rsid w:val="00410ED3"/>
    <w:rsid w:val="00411A00"/>
    <w:rsid w:val="00411FB9"/>
    <w:rsid w:val="00413279"/>
    <w:rsid w:val="00413B61"/>
    <w:rsid w:val="0041434C"/>
    <w:rsid w:val="00414816"/>
    <w:rsid w:val="00415008"/>
    <w:rsid w:val="00415015"/>
    <w:rsid w:val="00415663"/>
    <w:rsid w:val="004156BF"/>
    <w:rsid w:val="0041608B"/>
    <w:rsid w:val="00416B45"/>
    <w:rsid w:val="00417A36"/>
    <w:rsid w:val="00420444"/>
    <w:rsid w:val="00420A26"/>
    <w:rsid w:val="004216FA"/>
    <w:rsid w:val="004229D4"/>
    <w:rsid w:val="00422ED0"/>
    <w:rsid w:val="00426203"/>
    <w:rsid w:val="00430CD1"/>
    <w:rsid w:val="004319C6"/>
    <w:rsid w:val="00433604"/>
    <w:rsid w:val="00433724"/>
    <w:rsid w:val="00433836"/>
    <w:rsid w:val="00434410"/>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DAF"/>
    <w:rsid w:val="00457E1A"/>
    <w:rsid w:val="00461077"/>
    <w:rsid w:val="00461DFD"/>
    <w:rsid w:val="00470175"/>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F18"/>
    <w:rsid w:val="004B01E6"/>
    <w:rsid w:val="004B255A"/>
    <w:rsid w:val="004B5C8F"/>
    <w:rsid w:val="004C0ADD"/>
    <w:rsid w:val="004C0E20"/>
    <w:rsid w:val="004C147D"/>
    <w:rsid w:val="004C36C1"/>
    <w:rsid w:val="004C3CF2"/>
    <w:rsid w:val="004C769C"/>
    <w:rsid w:val="004C7BB3"/>
    <w:rsid w:val="004D404D"/>
    <w:rsid w:val="004D5915"/>
    <w:rsid w:val="004E081B"/>
    <w:rsid w:val="004E0F7E"/>
    <w:rsid w:val="004E15EC"/>
    <w:rsid w:val="004E240B"/>
    <w:rsid w:val="004E3127"/>
    <w:rsid w:val="004E5897"/>
    <w:rsid w:val="004F1FA1"/>
    <w:rsid w:val="004F2520"/>
    <w:rsid w:val="004F2CB7"/>
    <w:rsid w:val="004F41F4"/>
    <w:rsid w:val="004F5572"/>
    <w:rsid w:val="004F6DE5"/>
    <w:rsid w:val="004F73CA"/>
    <w:rsid w:val="004F7B92"/>
    <w:rsid w:val="00501A79"/>
    <w:rsid w:val="00502831"/>
    <w:rsid w:val="00503E9A"/>
    <w:rsid w:val="0050459E"/>
    <w:rsid w:val="0051215B"/>
    <w:rsid w:val="005123AE"/>
    <w:rsid w:val="00512F11"/>
    <w:rsid w:val="005137E9"/>
    <w:rsid w:val="0051463F"/>
    <w:rsid w:val="00515460"/>
    <w:rsid w:val="00516808"/>
    <w:rsid w:val="00520CB0"/>
    <w:rsid w:val="00521705"/>
    <w:rsid w:val="00521898"/>
    <w:rsid w:val="00521BFA"/>
    <w:rsid w:val="005235EF"/>
    <w:rsid w:val="0052544E"/>
    <w:rsid w:val="00526425"/>
    <w:rsid w:val="00527D12"/>
    <w:rsid w:val="005300A0"/>
    <w:rsid w:val="00530F8E"/>
    <w:rsid w:val="00532724"/>
    <w:rsid w:val="00532B89"/>
    <w:rsid w:val="00533B9D"/>
    <w:rsid w:val="0054001F"/>
    <w:rsid w:val="005400CF"/>
    <w:rsid w:val="00542BEC"/>
    <w:rsid w:val="00542C5E"/>
    <w:rsid w:val="00542CAB"/>
    <w:rsid w:val="00542D15"/>
    <w:rsid w:val="005441D8"/>
    <w:rsid w:val="00544433"/>
    <w:rsid w:val="00544734"/>
    <w:rsid w:val="0054546B"/>
    <w:rsid w:val="00545A6E"/>
    <w:rsid w:val="00546EAF"/>
    <w:rsid w:val="00547383"/>
    <w:rsid w:val="00551B00"/>
    <w:rsid w:val="00552137"/>
    <w:rsid w:val="00562177"/>
    <w:rsid w:val="00563187"/>
    <w:rsid w:val="0056466B"/>
    <w:rsid w:val="00564942"/>
    <w:rsid w:val="00564AD5"/>
    <w:rsid w:val="00570E13"/>
    <w:rsid w:val="00575234"/>
    <w:rsid w:val="0058023E"/>
    <w:rsid w:val="005812F6"/>
    <w:rsid w:val="00581F05"/>
    <w:rsid w:val="00582A0C"/>
    <w:rsid w:val="00583DCE"/>
    <w:rsid w:val="00584C76"/>
    <w:rsid w:val="00584E27"/>
    <w:rsid w:val="005852D0"/>
    <w:rsid w:val="005864D7"/>
    <w:rsid w:val="005876AB"/>
    <w:rsid w:val="00590355"/>
    <w:rsid w:val="00590433"/>
    <w:rsid w:val="00592CE2"/>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593D"/>
    <w:rsid w:val="005C64FF"/>
    <w:rsid w:val="005C687C"/>
    <w:rsid w:val="005C68B4"/>
    <w:rsid w:val="005D0556"/>
    <w:rsid w:val="005D3E50"/>
    <w:rsid w:val="005D691E"/>
    <w:rsid w:val="005D6967"/>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2F5C"/>
    <w:rsid w:val="00603CE5"/>
    <w:rsid w:val="0060475F"/>
    <w:rsid w:val="00604B63"/>
    <w:rsid w:val="006053A6"/>
    <w:rsid w:val="006056B6"/>
    <w:rsid w:val="00610AD3"/>
    <w:rsid w:val="006113EC"/>
    <w:rsid w:val="00611DA9"/>
    <w:rsid w:val="00612D7B"/>
    <w:rsid w:val="00613A43"/>
    <w:rsid w:val="006151B2"/>
    <w:rsid w:val="00615E03"/>
    <w:rsid w:val="0061726E"/>
    <w:rsid w:val="006175CC"/>
    <w:rsid w:val="00617C6F"/>
    <w:rsid w:val="00622C1A"/>
    <w:rsid w:val="006232BE"/>
    <w:rsid w:val="00624FC4"/>
    <w:rsid w:val="00630FA0"/>
    <w:rsid w:val="0063104E"/>
    <w:rsid w:val="006310AF"/>
    <w:rsid w:val="0063217B"/>
    <w:rsid w:val="006324F0"/>
    <w:rsid w:val="00632A60"/>
    <w:rsid w:val="00634078"/>
    <w:rsid w:val="00634D7C"/>
    <w:rsid w:val="00637687"/>
    <w:rsid w:val="00641BDE"/>
    <w:rsid w:val="006428ED"/>
    <w:rsid w:val="00642BD5"/>
    <w:rsid w:val="00643BAB"/>
    <w:rsid w:val="0064489C"/>
    <w:rsid w:val="00645640"/>
    <w:rsid w:val="00646DD6"/>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0071"/>
    <w:rsid w:val="006A138D"/>
    <w:rsid w:val="006A1CC7"/>
    <w:rsid w:val="006A4805"/>
    <w:rsid w:val="006A5328"/>
    <w:rsid w:val="006A675D"/>
    <w:rsid w:val="006A6815"/>
    <w:rsid w:val="006A717C"/>
    <w:rsid w:val="006A7E9F"/>
    <w:rsid w:val="006B09AB"/>
    <w:rsid w:val="006B1845"/>
    <w:rsid w:val="006B32CD"/>
    <w:rsid w:val="006B3EEA"/>
    <w:rsid w:val="006B4F0B"/>
    <w:rsid w:val="006B544E"/>
    <w:rsid w:val="006C07B6"/>
    <w:rsid w:val="006C4848"/>
    <w:rsid w:val="006C532E"/>
    <w:rsid w:val="006C72F6"/>
    <w:rsid w:val="006D15B5"/>
    <w:rsid w:val="006D2597"/>
    <w:rsid w:val="006D2D57"/>
    <w:rsid w:val="006D3633"/>
    <w:rsid w:val="006D3D3A"/>
    <w:rsid w:val="006D688A"/>
    <w:rsid w:val="006E080D"/>
    <w:rsid w:val="006E0B61"/>
    <w:rsid w:val="006E0E03"/>
    <w:rsid w:val="006E11E3"/>
    <w:rsid w:val="006E2292"/>
    <w:rsid w:val="006E4129"/>
    <w:rsid w:val="006E5D22"/>
    <w:rsid w:val="006E667B"/>
    <w:rsid w:val="006F1900"/>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2B4D"/>
    <w:rsid w:val="00722E5E"/>
    <w:rsid w:val="0072385A"/>
    <w:rsid w:val="007238C3"/>
    <w:rsid w:val="0072420E"/>
    <w:rsid w:val="00727360"/>
    <w:rsid w:val="00731FBA"/>
    <w:rsid w:val="007334E3"/>
    <w:rsid w:val="00734992"/>
    <w:rsid w:val="00740016"/>
    <w:rsid w:val="00741474"/>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060D"/>
    <w:rsid w:val="007B5817"/>
    <w:rsid w:val="007B7CE7"/>
    <w:rsid w:val="007C2A92"/>
    <w:rsid w:val="007C40B8"/>
    <w:rsid w:val="007C6346"/>
    <w:rsid w:val="007C6750"/>
    <w:rsid w:val="007C6EAD"/>
    <w:rsid w:val="007D04A7"/>
    <w:rsid w:val="007D1DA0"/>
    <w:rsid w:val="007D299C"/>
    <w:rsid w:val="007D369C"/>
    <w:rsid w:val="007D65D6"/>
    <w:rsid w:val="007E0532"/>
    <w:rsid w:val="007E1022"/>
    <w:rsid w:val="007E1455"/>
    <w:rsid w:val="007E2B62"/>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531"/>
    <w:rsid w:val="00815FE9"/>
    <w:rsid w:val="00822AA8"/>
    <w:rsid w:val="008246B6"/>
    <w:rsid w:val="00830038"/>
    <w:rsid w:val="008309DB"/>
    <w:rsid w:val="00830AD3"/>
    <w:rsid w:val="00830D9E"/>
    <w:rsid w:val="0083234E"/>
    <w:rsid w:val="008348B1"/>
    <w:rsid w:val="00834A58"/>
    <w:rsid w:val="00836E28"/>
    <w:rsid w:val="00840217"/>
    <w:rsid w:val="008412D9"/>
    <w:rsid w:val="008423DC"/>
    <w:rsid w:val="0084516A"/>
    <w:rsid w:val="008460B2"/>
    <w:rsid w:val="00846D32"/>
    <w:rsid w:val="00851B2E"/>
    <w:rsid w:val="00851FD2"/>
    <w:rsid w:val="008544C2"/>
    <w:rsid w:val="00855CE4"/>
    <w:rsid w:val="008577A2"/>
    <w:rsid w:val="008604B7"/>
    <w:rsid w:val="00860DE6"/>
    <w:rsid w:val="0086126F"/>
    <w:rsid w:val="0086517E"/>
    <w:rsid w:val="008657D4"/>
    <w:rsid w:val="00871C4F"/>
    <w:rsid w:val="008732CE"/>
    <w:rsid w:val="008741B2"/>
    <w:rsid w:val="0087715B"/>
    <w:rsid w:val="00880B12"/>
    <w:rsid w:val="008820A2"/>
    <w:rsid w:val="008849BE"/>
    <w:rsid w:val="008852D8"/>
    <w:rsid w:val="00886858"/>
    <w:rsid w:val="00893884"/>
    <w:rsid w:val="008944FB"/>
    <w:rsid w:val="00894CFC"/>
    <w:rsid w:val="008A0669"/>
    <w:rsid w:val="008A1575"/>
    <w:rsid w:val="008A2424"/>
    <w:rsid w:val="008A50F5"/>
    <w:rsid w:val="008B275A"/>
    <w:rsid w:val="008B7889"/>
    <w:rsid w:val="008C0AE7"/>
    <w:rsid w:val="008C0B00"/>
    <w:rsid w:val="008C206C"/>
    <w:rsid w:val="008C3108"/>
    <w:rsid w:val="008C432D"/>
    <w:rsid w:val="008C5E37"/>
    <w:rsid w:val="008C7E1C"/>
    <w:rsid w:val="008C7E1E"/>
    <w:rsid w:val="008C7E44"/>
    <w:rsid w:val="008D027F"/>
    <w:rsid w:val="008D0288"/>
    <w:rsid w:val="008D078F"/>
    <w:rsid w:val="008D1E13"/>
    <w:rsid w:val="008D20D7"/>
    <w:rsid w:val="008D2ED0"/>
    <w:rsid w:val="008D3F2A"/>
    <w:rsid w:val="008D45D1"/>
    <w:rsid w:val="008D4E82"/>
    <w:rsid w:val="008D523C"/>
    <w:rsid w:val="008D554C"/>
    <w:rsid w:val="008E19E9"/>
    <w:rsid w:val="008E2368"/>
    <w:rsid w:val="008E30AA"/>
    <w:rsid w:val="008E31B8"/>
    <w:rsid w:val="008E3A84"/>
    <w:rsid w:val="008E3D19"/>
    <w:rsid w:val="008F06C2"/>
    <w:rsid w:val="008F2286"/>
    <w:rsid w:val="008F307B"/>
    <w:rsid w:val="008F3D95"/>
    <w:rsid w:val="009008FD"/>
    <w:rsid w:val="009015FF"/>
    <w:rsid w:val="0090348D"/>
    <w:rsid w:val="009036C7"/>
    <w:rsid w:val="00903B1D"/>
    <w:rsid w:val="00904108"/>
    <w:rsid w:val="00904164"/>
    <w:rsid w:val="00906AAF"/>
    <w:rsid w:val="00906DD7"/>
    <w:rsid w:val="00907CDE"/>
    <w:rsid w:val="00910670"/>
    <w:rsid w:val="0091186D"/>
    <w:rsid w:val="00911F05"/>
    <w:rsid w:val="00912C0E"/>
    <w:rsid w:val="009148B4"/>
    <w:rsid w:val="00914B8A"/>
    <w:rsid w:val="0091687E"/>
    <w:rsid w:val="00925134"/>
    <w:rsid w:val="009270EF"/>
    <w:rsid w:val="0092787B"/>
    <w:rsid w:val="009345C3"/>
    <w:rsid w:val="00934E8E"/>
    <w:rsid w:val="0093605F"/>
    <w:rsid w:val="009368F4"/>
    <w:rsid w:val="00936B97"/>
    <w:rsid w:val="00936EB6"/>
    <w:rsid w:val="009407CF"/>
    <w:rsid w:val="009411B4"/>
    <w:rsid w:val="00941E57"/>
    <w:rsid w:val="00942B36"/>
    <w:rsid w:val="00945832"/>
    <w:rsid w:val="009465AA"/>
    <w:rsid w:val="00951106"/>
    <w:rsid w:val="009546EE"/>
    <w:rsid w:val="00956A8C"/>
    <w:rsid w:val="009574BB"/>
    <w:rsid w:val="00957DBD"/>
    <w:rsid w:val="00964C17"/>
    <w:rsid w:val="009657C8"/>
    <w:rsid w:val="00970A04"/>
    <w:rsid w:val="0097176D"/>
    <w:rsid w:val="00973B9F"/>
    <w:rsid w:val="00974503"/>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0DB4"/>
    <w:rsid w:val="009C20B4"/>
    <w:rsid w:val="009C27E7"/>
    <w:rsid w:val="009C2E32"/>
    <w:rsid w:val="009C30E3"/>
    <w:rsid w:val="009C6232"/>
    <w:rsid w:val="009C66C3"/>
    <w:rsid w:val="009C6799"/>
    <w:rsid w:val="009C79D0"/>
    <w:rsid w:val="009D063D"/>
    <w:rsid w:val="009D0F02"/>
    <w:rsid w:val="009D3CC5"/>
    <w:rsid w:val="009E081D"/>
    <w:rsid w:val="009E0CE5"/>
    <w:rsid w:val="009E2533"/>
    <w:rsid w:val="009E5683"/>
    <w:rsid w:val="009E73C2"/>
    <w:rsid w:val="009F1101"/>
    <w:rsid w:val="009F214A"/>
    <w:rsid w:val="009F217B"/>
    <w:rsid w:val="009F619A"/>
    <w:rsid w:val="009F72C1"/>
    <w:rsid w:val="009F7A34"/>
    <w:rsid w:val="009F7BFB"/>
    <w:rsid w:val="00A01453"/>
    <w:rsid w:val="00A01E54"/>
    <w:rsid w:val="00A01E86"/>
    <w:rsid w:val="00A05C3B"/>
    <w:rsid w:val="00A06DB5"/>
    <w:rsid w:val="00A07615"/>
    <w:rsid w:val="00A10B38"/>
    <w:rsid w:val="00A127E1"/>
    <w:rsid w:val="00A12C02"/>
    <w:rsid w:val="00A1301F"/>
    <w:rsid w:val="00A138D8"/>
    <w:rsid w:val="00A13F0C"/>
    <w:rsid w:val="00A142F0"/>
    <w:rsid w:val="00A17B1E"/>
    <w:rsid w:val="00A20D36"/>
    <w:rsid w:val="00A2195B"/>
    <w:rsid w:val="00A23D3D"/>
    <w:rsid w:val="00A24AFB"/>
    <w:rsid w:val="00A24D8C"/>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803"/>
    <w:rsid w:val="00A64C39"/>
    <w:rsid w:val="00A65A0A"/>
    <w:rsid w:val="00A67B87"/>
    <w:rsid w:val="00A70012"/>
    <w:rsid w:val="00A747A7"/>
    <w:rsid w:val="00A80A86"/>
    <w:rsid w:val="00A81522"/>
    <w:rsid w:val="00A82079"/>
    <w:rsid w:val="00A835B5"/>
    <w:rsid w:val="00A84DE3"/>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C7B7E"/>
    <w:rsid w:val="00AD0D67"/>
    <w:rsid w:val="00AD0F2E"/>
    <w:rsid w:val="00AD186E"/>
    <w:rsid w:val="00AD29A2"/>
    <w:rsid w:val="00AD61E0"/>
    <w:rsid w:val="00AD6FD2"/>
    <w:rsid w:val="00AD7070"/>
    <w:rsid w:val="00AD758C"/>
    <w:rsid w:val="00AD7738"/>
    <w:rsid w:val="00AE1891"/>
    <w:rsid w:val="00AE18AA"/>
    <w:rsid w:val="00AE4461"/>
    <w:rsid w:val="00AE5E6C"/>
    <w:rsid w:val="00AE69D8"/>
    <w:rsid w:val="00AE6E7D"/>
    <w:rsid w:val="00AE748A"/>
    <w:rsid w:val="00AE78A4"/>
    <w:rsid w:val="00AF081E"/>
    <w:rsid w:val="00AF4000"/>
    <w:rsid w:val="00AF64EE"/>
    <w:rsid w:val="00AF6E07"/>
    <w:rsid w:val="00AF6E65"/>
    <w:rsid w:val="00B02A7E"/>
    <w:rsid w:val="00B02BB6"/>
    <w:rsid w:val="00B0577C"/>
    <w:rsid w:val="00B05A84"/>
    <w:rsid w:val="00B16A23"/>
    <w:rsid w:val="00B175FA"/>
    <w:rsid w:val="00B17B8B"/>
    <w:rsid w:val="00B17C42"/>
    <w:rsid w:val="00B2192A"/>
    <w:rsid w:val="00B22F87"/>
    <w:rsid w:val="00B23386"/>
    <w:rsid w:val="00B235BB"/>
    <w:rsid w:val="00B23646"/>
    <w:rsid w:val="00B24590"/>
    <w:rsid w:val="00B30089"/>
    <w:rsid w:val="00B302CD"/>
    <w:rsid w:val="00B312D7"/>
    <w:rsid w:val="00B3163D"/>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6EDB"/>
    <w:rsid w:val="00B57B67"/>
    <w:rsid w:val="00B627B0"/>
    <w:rsid w:val="00B62831"/>
    <w:rsid w:val="00B62A8A"/>
    <w:rsid w:val="00B62B01"/>
    <w:rsid w:val="00B674FC"/>
    <w:rsid w:val="00B678AD"/>
    <w:rsid w:val="00B67DCB"/>
    <w:rsid w:val="00B67F30"/>
    <w:rsid w:val="00B701D4"/>
    <w:rsid w:val="00B7150B"/>
    <w:rsid w:val="00B7185B"/>
    <w:rsid w:val="00B72867"/>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0414"/>
    <w:rsid w:val="00BA4797"/>
    <w:rsid w:val="00BA4FB5"/>
    <w:rsid w:val="00BA554B"/>
    <w:rsid w:val="00BA5AAA"/>
    <w:rsid w:val="00BA7BDB"/>
    <w:rsid w:val="00BB04D7"/>
    <w:rsid w:val="00BB3A07"/>
    <w:rsid w:val="00BB503A"/>
    <w:rsid w:val="00BC2517"/>
    <w:rsid w:val="00BC4E7A"/>
    <w:rsid w:val="00BC5C20"/>
    <w:rsid w:val="00BD2719"/>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23E3"/>
    <w:rsid w:val="00C03F71"/>
    <w:rsid w:val="00C0618D"/>
    <w:rsid w:val="00C06425"/>
    <w:rsid w:val="00C111AC"/>
    <w:rsid w:val="00C13A5F"/>
    <w:rsid w:val="00C22A35"/>
    <w:rsid w:val="00C23756"/>
    <w:rsid w:val="00C23C91"/>
    <w:rsid w:val="00C25464"/>
    <w:rsid w:val="00C306B7"/>
    <w:rsid w:val="00C30A8E"/>
    <w:rsid w:val="00C31DEE"/>
    <w:rsid w:val="00C321F0"/>
    <w:rsid w:val="00C32BFF"/>
    <w:rsid w:val="00C32CC5"/>
    <w:rsid w:val="00C331D7"/>
    <w:rsid w:val="00C337F9"/>
    <w:rsid w:val="00C35531"/>
    <w:rsid w:val="00C361C8"/>
    <w:rsid w:val="00C36FA7"/>
    <w:rsid w:val="00C441CF"/>
    <w:rsid w:val="00C46B33"/>
    <w:rsid w:val="00C529C5"/>
    <w:rsid w:val="00C53BC3"/>
    <w:rsid w:val="00C53E85"/>
    <w:rsid w:val="00C5793D"/>
    <w:rsid w:val="00C6260B"/>
    <w:rsid w:val="00C65C50"/>
    <w:rsid w:val="00C7082F"/>
    <w:rsid w:val="00C744B5"/>
    <w:rsid w:val="00C759DD"/>
    <w:rsid w:val="00C7642D"/>
    <w:rsid w:val="00C77361"/>
    <w:rsid w:val="00C77C08"/>
    <w:rsid w:val="00C77CA3"/>
    <w:rsid w:val="00C81665"/>
    <w:rsid w:val="00C818B5"/>
    <w:rsid w:val="00C827A3"/>
    <w:rsid w:val="00C82BF5"/>
    <w:rsid w:val="00C8638C"/>
    <w:rsid w:val="00C87BFC"/>
    <w:rsid w:val="00C90B34"/>
    <w:rsid w:val="00C9357C"/>
    <w:rsid w:val="00C93751"/>
    <w:rsid w:val="00C95A7F"/>
    <w:rsid w:val="00C9626C"/>
    <w:rsid w:val="00C96C6F"/>
    <w:rsid w:val="00C96EFD"/>
    <w:rsid w:val="00C979E6"/>
    <w:rsid w:val="00CA062B"/>
    <w:rsid w:val="00CA3A88"/>
    <w:rsid w:val="00CA49B0"/>
    <w:rsid w:val="00CA7891"/>
    <w:rsid w:val="00CA7F0A"/>
    <w:rsid w:val="00CB340C"/>
    <w:rsid w:val="00CB4F36"/>
    <w:rsid w:val="00CB7877"/>
    <w:rsid w:val="00CC0385"/>
    <w:rsid w:val="00CC0C26"/>
    <w:rsid w:val="00CC27AB"/>
    <w:rsid w:val="00CC354C"/>
    <w:rsid w:val="00CC606B"/>
    <w:rsid w:val="00CC62ED"/>
    <w:rsid w:val="00CC706C"/>
    <w:rsid w:val="00CD015F"/>
    <w:rsid w:val="00CD087E"/>
    <w:rsid w:val="00CD0E67"/>
    <w:rsid w:val="00CD162B"/>
    <w:rsid w:val="00CD3B58"/>
    <w:rsid w:val="00CD5DE1"/>
    <w:rsid w:val="00CD7372"/>
    <w:rsid w:val="00CE0098"/>
    <w:rsid w:val="00CE0514"/>
    <w:rsid w:val="00CE2C44"/>
    <w:rsid w:val="00CE40AF"/>
    <w:rsid w:val="00CE5B19"/>
    <w:rsid w:val="00CE6089"/>
    <w:rsid w:val="00CE6597"/>
    <w:rsid w:val="00CE6E4A"/>
    <w:rsid w:val="00CF0AA8"/>
    <w:rsid w:val="00CF1CE8"/>
    <w:rsid w:val="00CF3D24"/>
    <w:rsid w:val="00CF4503"/>
    <w:rsid w:val="00CF62A4"/>
    <w:rsid w:val="00D01668"/>
    <w:rsid w:val="00D03514"/>
    <w:rsid w:val="00D051B9"/>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1A59"/>
    <w:rsid w:val="00D42195"/>
    <w:rsid w:val="00D42A62"/>
    <w:rsid w:val="00D4398F"/>
    <w:rsid w:val="00D45233"/>
    <w:rsid w:val="00D4708C"/>
    <w:rsid w:val="00D47E62"/>
    <w:rsid w:val="00D5156F"/>
    <w:rsid w:val="00D5401E"/>
    <w:rsid w:val="00D54CAC"/>
    <w:rsid w:val="00D54FF6"/>
    <w:rsid w:val="00D55BEB"/>
    <w:rsid w:val="00D5798A"/>
    <w:rsid w:val="00D57CCF"/>
    <w:rsid w:val="00D6073C"/>
    <w:rsid w:val="00D61BD6"/>
    <w:rsid w:val="00D648AE"/>
    <w:rsid w:val="00D70F7D"/>
    <w:rsid w:val="00D70F9D"/>
    <w:rsid w:val="00D74A12"/>
    <w:rsid w:val="00D74BD7"/>
    <w:rsid w:val="00D74D07"/>
    <w:rsid w:val="00D75796"/>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1DE7"/>
    <w:rsid w:val="00DB21D2"/>
    <w:rsid w:val="00DB2FFE"/>
    <w:rsid w:val="00DB46DC"/>
    <w:rsid w:val="00DB5B69"/>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D7FF0"/>
    <w:rsid w:val="00DE23CD"/>
    <w:rsid w:val="00DE504B"/>
    <w:rsid w:val="00DF2A86"/>
    <w:rsid w:val="00DF5E88"/>
    <w:rsid w:val="00DF7C25"/>
    <w:rsid w:val="00E045A0"/>
    <w:rsid w:val="00E04D8D"/>
    <w:rsid w:val="00E04E5E"/>
    <w:rsid w:val="00E06526"/>
    <w:rsid w:val="00E06C4B"/>
    <w:rsid w:val="00E10724"/>
    <w:rsid w:val="00E10B2B"/>
    <w:rsid w:val="00E113E2"/>
    <w:rsid w:val="00E151D0"/>
    <w:rsid w:val="00E15455"/>
    <w:rsid w:val="00E1626C"/>
    <w:rsid w:val="00E20593"/>
    <w:rsid w:val="00E22D73"/>
    <w:rsid w:val="00E237C6"/>
    <w:rsid w:val="00E256D0"/>
    <w:rsid w:val="00E2609E"/>
    <w:rsid w:val="00E27061"/>
    <w:rsid w:val="00E27814"/>
    <w:rsid w:val="00E27F6F"/>
    <w:rsid w:val="00E30BE8"/>
    <w:rsid w:val="00E30E14"/>
    <w:rsid w:val="00E31545"/>
    <w:rsid w:val="00E32C66"/>
    <w:rsid w:val="00E33C34"/>
    <w:rsid w:val="00E40553"/>
    <w:rsid w:val="00E40987"/>
    <w:rsid w:val="00E419DC"/>
    <w:rsid w:val="00E42C7C"/>
    <w:rsid w:val="00E42CEF"/>
    <w:rsid w:val="00E463CD"/>
    <w:rsid w:val="00E473DA"/>
    <w:rsid w:val="00E50BA4"/>
    <w:rsid w:val="00E51867"/>
    <w:rsid w:val="00E51BA4"/>
    <w:rsid w:val="00E51EE6"/>
    <w:rsid w:val="00E52D77"/>
    <w:rsid w:val="00E5410F"/>
    <w:rsid w:val="00E54AFB"/>
    <w:rsid w:val="00E55AA1"/>
    <w:rsid w:val="00E55FD3"/>
    <w:rsid w:val="00E57B92"/>
    <w:rsid w:val="00E61D9D"/>
    <w:rsid w:val="00E6417A"/>
    <w:rsid w:val="00E66150"/>
    <w:rsid w:val="00E66480"/>
    <w:rsid w:val="00E81054"/>
    <w:rsid w:val="00E8110F"/>
    <w:rsid w:val="00E8199E"/>
    <w:rsid w:val="00E8217E"/>
    <w:rsid w:val="00E82248"/>
    <w:rsid w:val="00E8407D"/>
    <w:rsid w:val="00E842E7"/>
    <w:rsid w:val="00E850BB"/>
    <w:rsid w:val="00E87C2A"/>
    <w:rsid w:val="00E90C2C"/>
    <w:rsid w:val="00E91534"/>
    <w:rsid w:val="00E91709"/>
    <w:rsid w:val="00E92624"/>
    <w:rsid w:val="00E92CF7"/>
    <w:rsid w:val="00E936F1"/>
    <w:rsid w:val="00E948F9"/>
    <w:rsid w:val="00E94C7D"/>
    <w:rsid w:val="00E95373"/>
    <w:rsid w:val="00E96AD4"/>
    <w:rsid w:val="00EA1049"/>
    <w:rsid w:val="00EA113A"/>
    <w:rsid w:val="00EA3312"/>
    <w:rsid w:val="00EA4406"/>
    <w:rsid w:val="00EA504F"/>
    <w:rsid w:val="00EA5329"/>
    <w:rsid w:val="00EB1531"/>
    <w:rsid w:val="00EB33E8"/>
    <w:rsid w:val="00EB4694"/>
    <w:rsid w:val="00EC0B92"/>
    <w:rsid w:val="00EC118D"/>
    <w:rsid w:val="00EC15A4"/>
    <w:rsid w:val="00EC3942"/>
    <w:rsid w:val="00EC540D"/>
    <w:rsid w:val="00EC58BC"/>
    <w:rsid w:val="00EC5F53"/>
    <w:rsid w:val="00ED05FD"/>
    <w:rsid w:val="00ED078E"/>
    <w:rsid w:val="00ED25E4"/>
    <w:rsid w:val="00ED4EAA"/>
    <w:rsid w:val="00ED4F83"/>
    <w:rsid w:val="00ED5CA1"/>
    <w:rsid w:val="00ED5D67"/>
    <w:rsid w:val="00ED6248"/>
    <w:rsid w:val="00ED6384"/>
    <w:rsid w:val="00EE0409"/>
    <w:rsid w:val="00EE1082"/>
    <w:rsid w:val="00EE1227"/>
    <w:rsid w:val="00EF08CC"/>
    <w:rsid w:val="00EF1B4D"/>
    <w:rsid w:val="00EF3D5D"/>
    <w:rsid w:val="00EF412B"/>
    <w:rsid w:val="00F01CE2"/>
    <w:rsid w:val="00F01DF6"/>
    <w:rsid w:val="00F02313"/>
    <w:rsid w:val="00F02B41"/>
    <w:rsid w:val="00F03E3B"/>
    <w:rsid w:val="00F062EB"/>
    <w:rsid w:val="00F06699"/>
    <w:rsid w:val="00F07FF1"/>
    <w:rsid w:val="00F109E1"/>
    <w:rsid w:val="00F117FE"/>
    <w:rsid w:val="00F1296C"/>
    <w:rsid w:val="00F1403B"/>
    <w:rsid w:val="00F15F6F"/>
    <w:rsid w:val="00F16C43"/>
    <w:rsid w:val="00F17A9F"/>
    <w:rsid w:val="00F210CC"/>
    <w:rsid w:val="00F21708"/>
    <w:rsid w:val="00F21EAD"/>
    <w:rsid w:val="00F24C3B"/>
    <w:rsid w:val="00F24F23"/>
    <w:rsid w:val="00F2548A"/>
    <w:rsid w:val="00F25BD3"/>
    <w:rsid w:val="00F26EF6"/>
    <w:rsid w:val="00F30359"/>
    <w:rsid w:val="00F3317C"/>
    <w:rsid w:val="00F33619"/>
    <w:rsid w:val="00F34704"/>
    <w:rsid w:val="00F359FA"/>
    <w:rsid w:val="00F35A9E"/>
    <w:rsid w:val="00F410BB"/>
    <w:rsid w:val="00F41B6E"/>
    <w:rsid w:val="00F442B6"/>
    <w:rsid w:val="00F44674"/>
    <w:rsid w:val="00F45340"/>
    <w:rsid w:val="00F46FF2"/>
    <w:rsid w:val="00F4770D"/>
    <w:rsid w:val="00F4782E"/>
    <w:rsid w:val="00F50A89"/>
    <w:rsid w:val="00F523C0"/>
    <w:rsid w:val="00F52728"/>
    <w:rsid w:val="00F532AD"/>
    <w:rsid w:val="00F54CC5"/>
    <w:rsid w:val="00F558DE"/>
    <w:rsid w:val="00F558EE"/>
    <w:rsid w:val="00F56BFB"/>
    <w:rsid w:val="00F608FB"/>
    <w:rsid w:val="00F61076"/>
    <w:rsid w:val="00F642F2"/>
    <w:rsid w:val="00F70154"/>
    <w:rsid w:val="00F7173A"/>
    <w:rsid w:val="00F72401"/>
    <w:rsid w:val="00F72AED"/>
    <w:rsid w:val="00F74989"/>
    <w:rsid w:val="00F75AC1"/>
    <w:rsid w:val="00F7619B"/>
    <w:rsid w:val="00F811E3"/>
    <w:rsid w:val="00F81210"/>
    <w:rsid w:val="00F81D27"/>
    <w:rsid w:val="00F82BBB"/>
    <w:rsid w:val="00F84809"/>
    <w:rsid w:val="00F91D0F"/>
    <w:rsid w:val="00F93C06"/>
    <w:rsid w:val="00F959E9"/>
    <w:rsid w:val="00FA0F9B"/>
    <w:rsid w:val="00FA131E"/>
    <w:rsid w:val="00FA3EB0"/>
    <w:rsid w:val="00FA528B"/>
    <w:rsid w:val="00FB0573"/>
    <w:rsid w:val="00FB3227"/>
    <w:rsid w:val="00FB57B2"/>
    <w:rsid w:val="00FC58C2"/>
    <w:rsid w:val="00FC6D0D"/>
    <w:rsid w:val="00FD0CFB"/>
    <w:rsid w:val="00FD192E"/>
    <w:rsid w:val="00FD3351"/>
    <w:rsid w:val="00FD4C0B"/>
    <w:rsid w:val="00FD5140"/>
    <w:rsid w:val="00FD6CB0"/>
    <w:rsid w:val="00FE00BC"/>
    <w:rsid w:val="00FE2DBE"/>
    <w:rsid w:val="00FE5485"/>
    <w:rsid w:val="00FE6C9F"/>
    <w:rsid w:val="00FE7D57"/>
    <w:rsid w:val="00FF1DC1"/>
    <w:rsid w:val="00FF2ADC"/>
    <w:rsid w:val="00FF3233"/>
    <w:rsid w:val="00FF6C13"/>
    <w:rsid w:val="021024EC"/>
    <w:rsid w:val="0380217C"/>
    <w:rsid w:val="12F94CDE"/>
    <w:rsid w:val="14BFB5F6"/>
    <w:rsid w:val="15029C23"/>
    <w:rsid w:val="162D78A5"/>
    <w:rsid w:val="1F609894"/>
    <w:rsid w:val="1F9CF015"/>
    <w:rsid w:val="25981F90"/>
    <w:rsid w:val="29FF7DDB"/>
    <w:rsid w:val="2D5654FF"/>
    <w:rsid w:val="2F49C1A7"/>
    <w:rsid w:val="31F2E5D0"/>
    <w:rsid w:val="32F4D2CA"/>
    <w:rsid w:val="335031A3"/>
    <w:rsid w:val="3643C224"/>
    <w:rsid w:val="3862A7C4"/>
    <w:rsid w:val="3C0DBC58"/>
    <w:rsid w:val="3D261896"/>
    <w:rsid w:val="436B3FBA"/>
    <w:rsid w:val="45051966"/>
    <w:rsid w:val="4661D374"/>
    <w:rsid w:val="49997436"/>
    <w:rsid w:val="4C31F3CB"/>
    <w:rsid w:val="4E194349"/>
    <w:rsid w:val="56C994D7"/>
    <w:rsid w:val="575B098A"/>
    <w:rsid w:val="585FF0F9"/>
    <w:rsid w:val="591FBCC0"/>
    <w:rsid w:val="5B9D0211"/>
    <w:rsid w:val="651A09E3"/>
    <w:rsid w:val="6A09B4FC"/>
    <w:rsid w:val="7249E8F4"/>
    <w:rsid w:val="7B2B8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82AB147"/>
  <w15:chartTrackingRefBased/>
  <w15:docId w15:val="{86CD1462-FE99-46D6-95AE-9704CCF5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1D1755"/>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 w:type="paragraph" w:customStyle="1" w:styleId="xxparagraph">
    <w:name w:val="xxparagraph"/>
    <w:basedOn w:val="Normal"/>
    <w:rsid w:val="00430CD1"/>
    <w:rPr>
      <w:rFonts w:ascii="Calibri" w:eastAsiaTheme="minorHAnsi" w:hAnsi="Calibri" w:cs="Calibri"/>
      <w:sz w:val="22"/>
      <w:szCs w:val="22"/>
    </w:rPr>
  </w:style>
  <w:style w:type="paragraph" w:customStyle="1" w:styleId="xxmsolistparagraph">
    <w:name w:val="xxmsolistparagraph"/>
    <w:basedOn w:val="Normal"/>
    <w:rsid w:val="00430CD1"/>
    <w:rPr>
      <w:rFonts w:ascii="Calibri" w:eastAsiaTheme="minorHAnsi" w:hAnsi="Calibri" w:cs="Calibri"/>
      <w:sz w:val="22"/>
      <w:szCs w:val="22"/>
    </w:rPr>
  </w:style>
  <w:style w:type="character" w:customStyle="1" w:styleId="xxcontentpasted0">
    <w:name w:val="xxcontentpasted0"/>
    <w:basedOn w:val="DefaultParagraphFont"/>
    <w:rsid w:val="00430CD1"/>
  </w:style>
  <w:style w:type="character" w:customStyle="1" w:styleId="xxeop">
    <w:name w:val="xxeop"/>
    <w:basedOn w:val="DefaultParagraphFont"/>
    <w:rsid w:val="0043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8254">
      <w:bodyDiv w:val="1"/>
      <w:marLeft w:val="0"/>
      <w:marRight w:val="0"/>
      <w:marTop w:val="0"/>
      <w:marBottom w:val="0"/>
      <w:divBdr>
        <w:top w:val="none" w:sz="0" w:space="0" w:color="auto"/>
        <w:left w:val="none" w:sz="0" w:space="0" w:color="auto"/>
        <w:bottom w:val="none" w:sz="0" w:space="0" w:color="auto"/>
        <w:right w:val="none" w:sz="0" w:space="0" w:color="auto"/>
      </w:divBdr>
    </w:div>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193954891">
      <w:bodyDiv w:val="1"/>
      <w:marLeft w:val="0"/>
      <w:marRight w:val="0"/>
      <w:marTop w:val="0"/>
      <w:marBottom w:val="0"/>
      <w:divBdr>
        <w:top w:val="none" w:sz="0" w:space="0" w:color="auto"/>
        <w:left w:val="none" w:sz="0" w:space="0" w:color="auto"/>
        <w:bottom w:val="none" w:sz="0" w:space="0" w:color="auto"/>
        <w:right w:val="none" w:sz="0" w:space="0" w:color="auto"/>
      </w:divBdr>
    </w:div>
    <w:div w:id="1216116277">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ca.gov/media/4495" TargetMode="External"/><Relationship Id="rId2" Type="http://schemas.openxmlformats.org/officeDocument/2006/relationships/customXml" Target="../customXml/item2.xml"/><Relationship Id="rId16" Type="http://schemas.openxmlformats.org/officeDocument/2006/relationships/hyperlink" Target="https://www.energy.ca.gov/media/44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ergy.ca.gov/media/447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2.xml><?xml version="1.0" encoding="utf-8"?>
<ds:datastoreItem xmlns:ds="http://schemas.openxmlformats.org/officeDocument/2006/customXml" ds:itemID="{D88199FA-90E5-493D-8566-4578910C84AF}">
  <ds:schemaRefs>
    <ds:schemaRef ds:uri="http://schemas.openxmlformats.org/officeDocument/2006/bibliography"/>
  </ds:schemaRefs>
</ds:datastoreItem>
</file>

<file path=customXml/itemProps3.xml><?xml version="1.0" encoding="utf-8"?>
<ds:datastoreItem xmlns:ds="http://schemas.openxmlformats.org/officeDocument/2006/customXml" ds:itemID="{76111801-4EF2-4272-8E11-DA5E53E0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14240</Words>
  <Characters>81172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95222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Terms and Conditions</dc:title>
  <dc:subject/>
  <dc:creator>Jeanne Love</dc:creator>
  <cp:keywords/>
  <cp:lastModifiedBy>Cary, Eilene@Energy</cp:lastModifiedBy>
  <cp:revision>17</cp:revision>
  <cp:lastPrinted>2018-10-04T20:49:00Z</cp:lastPrinted>
  <dcterms:created xsi:type="dcterms:W3CDTF">2023-12-28T19:55:00Z</dcterms:created>
  <dcterms:modified xsi:type="dcterms:W3CDTF">2024-01-18T01:34:00Z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