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584AA0C" w:rsidR="008248F3" w:rsidRPr="00BC2BE0" w:rsidRDefault="00E914ED" w:rsidP="001E1272">
      <w:pPr>
        <w:spacing w:after="0"/>
        <w:jc w:val="center"/>
        <w:rPr>
          <w:b/>
          <w:bCs/>
        </w:rPr>
      </w:pPr>
      <w:r w:rsidRPr="00BC2BE0">
        <w:rPr>
          <w:b/>
          <w:bCs/>
        </w:rPr>
        <w:t>GFO-23-401</w:t>
      </w:r>
    </w:p>
    <w:p w14:paraId="64ABADE0" w14:textId="394F5878" w:rsidR="00BC2BE0" w:rsidRPr="00BC2BE0" w:rsidRDefault="00BC2BE0" w:rsidP="001E1272">
      <w:pPr>
        <w:spacing w:after="0"/>
        <w:jc w:val="center"/>
        <w:rPr>
          <w:b/>
          <w:bCs/>
        </w:rPr>
      </w:pPr>
      <w:r w:rsidRPr="00BC2BE0">
        <w:rPr>
          <w:b/>
          <w:bCs/>
        </w:rPr>
        <w:t>Addendum 1</w:t>
      </w:r>
    </w:p>
    <w:p w14:paraId="45218243" w14:textId="14A488ED" w:rsidR="00BC2BE0" w:rsidRDefault="007D17C9" w:rsidP="00696771">
      <w:pPr>
        <w:spacing w:after="0"/>
        <w:jc w:val="center"/>
        <w:rPr>
          <w:b/>
          <w:bCs/>
        </w:rPr>
      </w:pPr>
      <w:r>
        <w:rPr>
          <w:b/>
          <w:bCs/>
        </w:rPr>
        <w:t>January 26,</w:t>
      </w:r>
      <w:r w:rsidR="00BC2BE0" w:rsidRPr="00BC2BE0">
        <w:rPr>
          <w:b/>
          <w:bCs/>
        </w:rPr>
        <w:t xml:space="preserve"> 2024</w:t>
      </w:r>
    </w:p>
    <w:p w14:paraId="1DF2BB82" w14:textId="77777777" w:rsidR="00696771" w:rsidRPr="00BC2BE0" w:rsidRDefault="00696771" w:rsidP="00696771">
      <w:pPr>
        <w:spacing w:after="0"/>
        <w:jc w:val="center"/>
        <w:rPr>
          <w:b/>
          <w:bCs/>
        </w:rPr>
      </w:pPr>
    </w:p>
    <w:p w14:paraId="2202A874" w14:textId="5A414239" w:rsidR="00502291" w:rsidRPr="00502291" w:rsidRDefault="00502291" w:rsidP="00696771">
      <w:pPr>
        <w:spacing w:after="0"/>
        <w:jc w:val="center"/>
        <w:rPr>
          <w:b/>
          <w:bCs/>
        </w:rPr>
      </w:pPr>
      <w:r w:rsidRPr="00502291">
        <w:rPr>
          <w:b/>
          <w:bCs/>
        </w:rPr>
        <w:t>Distributed Electricity Backup Assets Program</w:t>
      </w:r>
    </w:p>
    <w:p w14:paraId="03410D82" w14:textId="5B0526E8" w:rsidR="00BC2BE0" w:rsidRPr="00BC2BE0" w:rsidRDefault="00502291" w:rsidP="00502291">
      <w:pPr>
        <w:jc w:val="center"/>
        <w:rPr>
          <w:b/>
          <w:bCs/>
        </w:rPr>
      </w:pPr>
      <w:r w:rsidRPr="00502291">
        <w:rPr>
          <w:b/>
          <w:bCs/>
        </w:rPr>
        <w:t>Bulk Grid Asset Enhancements for Grid Reliability</w:t>
      </w:r>
    </w:p>
    <w:p w14:paraId="110F9481" w14:textId="09664D37" w:rsidR="004F27E0" w:rsidRDefault="009C3A56" w:rsidP="00BC2BE0">
      <w:r>
        <w:t xml:space="preserve">Note: Added language appears in </w:t>
      </w:r>
      <w:r w:rsidRPr="009C3A56">
        <w:rPr>
          <w:b/>
          <w:bCs/>
          <w:u w:val="single"/>
        </w:rPr>
        <w:t>bold underlined</w:t>
      </w:r>
      <w:r>
        <w:t xml:space="preserve"> font. Deleted language appears in [</w:t>
      </w:r>
      <w:r w:rsidRPr="009C3A56">
        <w:rPr>
          <w:strike/>
        </w:rPr>
        <w:t>strikethrough</w:t>
      </w:r>
      <w:r>
        <w:rPr>
          <w:strike/>
        </w:rPr>
        <w:t>]</w:t>
      </w:r>
      <w:r>
        <w:t xml:space="preserve"> and within square brackets.</w:t>
      </w:r>
    </w:p>
    <w:p w14:paraId="05F6A372" w14:textId="39FBEF14" w:rsidR="00BC2BE0" w:rsidRDefault="004D2DDF" w:rsidP="00BC2BE0">
      <w:r>
        <w:t>The purpose of this addendum is to make the following revisions:</w:t>
      </w:r>
    </w:p>
    <w:p w14:paraId="180B487D" w14:textId="5A187A87" w:rsidR="00C81C0C" w:rsidRDefault="00C81C0C" w:rsidP="00BC2BE0">
      <w:r>
        <w:t>Page 5 of the Application Manual, Section I.E. Availability of Funds</w:t>
      </w:r>
    </w:p>
    <w:p w14:paraId="70ADCE11" w14:textId="03037BA5" w:rsidR="00937CFA" w:rsidRPr="00677FAD" w:rsidRDefault="00937CFA" w:rsidP="00937CFA">
      <w:pPr>
        <w:pStyle w:val="Heading2"/>
        <w:keepNext w:val="0"/>
        <w:numPr>
          <w:ilvl w:val="0"/>
          <w:numId w:val="5"/>
        </w:numPr>
        <w:spacing w:before="0" w:after="0"/>
      </w:pPr>
      <w:bookmarkStart w:id="0" w:name="_Toc352232771"/>
      <w:bookmarkStart w:id="1" w:name="_Toc152661829"/>
      <w:r w:rsidRPr="00677FAD">
        <w:t>Availability of Funds</w:t>
      </w:r>
      <w:bookmarkEnd w:id="0"/>
      <w:bookmarkEnd w:id="1"/>
    </w:p>
    <w:p w14:paraId="56C74C7F" w14:textId="77777777" w:rsidR="00937CFA" w:rsidRDefault="00937CFA" w:rsidP="00937CFA">
      <w:pPr>
        <w:ind w:left="720"/>
        <w:rPr>
          <w:szCs w:val="24"/>
        </w:rPr>
      </w:pPr>
      <w:r w:rsidRPr="00C83361">
        <w:rPr>
          <w:szCs w:val="24"/>
        </w:rPr>
        <w:t>A tot</w:t>
      </w:r>
      <w:r w:rsidRPr="001503AB">
        <w:rPr>
          <w:szCs w:val="24"/>
        </w:rPr>
        <w:t>al of $1</w:t>
      </w:r>
      <w:r>
        <w:rPr>
          <w:szCs w:val="24"/>
        </w:rPr>
        <w:t>5</w:t>
      </w:r>
      <w:r w:rsidRPr="001503AB">
        <w:rPr>
          <w:szCs w:val="24"/>
        </w:rPr>
        <w:t>0 m</w:t>
      </w:r>
      <w:r>
        <w:rPr>
          <w:szCs w:val="24"/>
        </w:rPr>
        <w:t>illion</w:t>
      </w:r>
      <w:r w:rsidRPr="00C83361">
        <w:rPr>
          <w:szCs w:val="24"/>
        </w:rPr>
        <w:t xml:space="preserve"> is available for awards under this solicitation. </w:t>
      </w:r>
    </w:p>
    <w:p w14:paraId="36CE9AC0" w14:textId="77777777" w:rsidR="00937CFA" w:rsidRPr="001E73EE" w:rsidRDefault="00937CFA" w:rsidP="00937CFA">
      <w:pPr>
        <w:pStyle w:val="ListParagraph"/>
        <w:numPr>
          <w:ilvl w:val="0"/>
          <w:numId w:val="4"/>
        </w:numPr>
        <w:rPr>
          <w:szCs w:val="24"/>
        </w:rPr>
      </w:pPr>
      <w:r>
        <w:rPr>
          <w:szCs w:val="24"/>
        </w:rPr>
        <w:t xml:space="preserve">Up to $37.5 million of this amount is available only to </w:t>
      </w:r>
      <w:r w:rsidRPr="18C40CA2">
        <w:rPr>
          <w:szCs w:val="24"/>
        </w:rPr>
        <w:t>projects</w:t>
      </w:r>
      <w:r>
        <w:rPr>
          <w:szCs w:val="24"/>
        </w:rPr>
        <w:t xml:space="preserve"> located in local publicly owned electric utility service territories.</w:t>
      </w:r>
    </w:p>
    <w:p w14:paraId="2F137FD5" w14:textId="77777777" w:rsidR="00937CFA" w:rsidRDefault="00937CFA" w:rsidP="00937CFA">
      <w:pPr>
        <w:ind w:left="720"/>
        <w:rPr>
          <w:szCs w:val="24"/>
        </w:rPr>
      </w:pPr>
      <w:r w:rsidRPr="00C83361">
        <w:rPr>
          <w:szCs w:val="24"/>
        </w:rPr>
        <w:t>CEC, at its sole discretion, reserves the right to increase or decrease the amount of funds available under this solicitation.</w:t>
      </w:r>
    </w:p>
    <w:p w14:paraId="1A1BDE2E" w14:textId="77777777" w:rsidR="00937CFA" w:rsidRPr="00425630" w:rsidRDefault="00937CFA" w:rsidP="00937CFA">
      <w:pPr>
        <w:ind w:left="720"/>
        <w:rPr>
          <w:b/>
          <w:bCs/>
          <w:szCs w:val="24"/>
          <w:u w:val="single"/>
        </w:rPr>
      </w:pPr>
      <w:r w:rsidRPr="00425630">
        <w:rPr>
          <w:b/>
          <w:bCs/>
          <w:szCs w:val="24"/>
          <w:u w:val="single"/>
        </w:rPr>
        <w:t>Along with any other rights and remedies available to it, the CEC reserves the right to:</w:t>
      </w:r>
    </w:p>
    <w:p w14:paraId="3A274F59" w14:textId="77777777" w:rsidR="00937CFA" w:rsidRPr="00425630" w:rsidRDefault="00937CFA" w:rsidP="00937CFA">
      <w:pPr>
        <w:pStyle w:val="ListParagraph"/>
        <w:numPr>
          <w:ilvl w:val="0"/>
          <w:numId w:val="4"/>
        </w:numPr>
        <w:rPr>
          <w:b/>
          <w:bCs/>
          <w:szCs w:val="24"/>
          <w:u w:val="single"/>
        </w:rPr>
      </w:pPr>
      <w:r w:rsidRPr="00425630">
        <w:rPr>
          <w:b/>
          <w:bCs/>
          <w:szCs w:val="24"/>
          <w:u w:val="single"/>
        </w:rPr>
        <w:t>Allocate any additional or unawarded funds to passing applications, in rank order.</w:t>
      </w:r>
    </w:p>
    <w:p w14:paraId="111BCB7F" w14:textId="77777777" w:rsidR="00937CFA" w:rsidRPr="00425630" w:rsidRDefault="00937CFA" w:rsidP="00937CFA">
      <w:pPr>
        <w:pStyle w:val="ListParagraph"/>
        <w:numPr>
          <w:ilvl w:val="0"/>
          <w:numId w:val="4"/>
        </w:numPr>
        <w:rPr>
          <w:b/>
          <w:bCs/>
          <w:szCs w:val="24"/>
          <w:u w:val="single"/>
        </w:rPr>
      </w:pPr>
      <w:r w:rsidRPr="00425630">
        <w:rPr>
          <w:b/>
          <w:bCs/>
          <w:szCs w:val="24"/>
          <w:u w:val="single"/>
        </w:rPr>
        <w:t>Reallocate funding between the amount available to all applicants and the amount available only to projects located in local publicly owned electric utility service territories.</w:t>
      </w:r>
    </w:p>
    <w:p w14:paraId="34C705EE" w14:textId="03E8AA5F" w:rsidR="004D2DDF" w:rsidRDefault="004F5BD3" w:rsidP="00BC2BE0">
      <w:r>
        <w:t>Page</w:t>
      </w:r>
      <w:r w:rsidR="00AD5A4A">
        <w:t xml:space="preserve"> 10</w:t>
      </w:r>
      <w:r w:rsidR="0051656E">
        <w:t xml:space="preserve"> of the </w:t>
      </w:r>
      <w:r w:rsidR="00AD5A4A">
        <w:t>Application Manual</w:t>
      </w:r>
      <w:r w:rsidR="0051656E">
        <w:t xml:space="preserve">, Section </w:t>
      </w:r>
      <w:r w:rsidR="00A72D52">
        <w:t>II.B. Project Requirements</w:t>
      </w:r>
    </w:p>
    <w:p w14:paraId="4295BFA3" w14:textId="77777777" w:rsidR="00C50547" w:rsidRPr="00F83826" w:rsidRDefault="00C50547" w:rsidP="00C50547">
      <w:pPr>
        <w:pStyle w:val="ListParagraph"/>
        <w:keepNext/>
        <w:numPr>
          <w:ilvl w:val="0"/>
          <w:numId w:val="2"/>
        </w:numPr>
        <w:spacing w:after="240"/>
        <w:ind w:left="1440" w:hanging="720"/>
        <w:rPr>
          <w:b/>
          <w:bCs/>
          <w:szCs w:val="24"/>
        </w:rPr>
      </w:pPr>
      <w:r w:rsidRPr="00F83826">
        <w:rPr>
          <w:b/>
          <w:bCs/>
          <w:szCs w:val="24"/>
        </w:rPr>
        <w:t>Eligible Projects</w:t>
      </w:r>
    </w:p>
    <w:p w14:paraId="40DB8CEF" w14:textId="0591CA3B" w:rsidR="00B36A95" w:rsidRPr="008E2996" w:rsidRDefault="00C50547" w:rsidP="00B36A95">
      <w:pPr>
        <w:pStyle w:val="ListParagraph"/>
        <w:spacing w:after="240"/>
        <w:ind w:left="1440"/>
      </w:pPr>
      <w:r>
        <w:t>The purpose of this solicitation is to fund efficiency upgrades</w:t>
      </w:r>
      <w:r w:rsidDel="00E465B3">
        <w:t xml:space="preserve"> </w:t>
      </w:r>
      <w:r>
        <w:t xml:space="preserve">and capacity additions to existing bulk grid power generators. Eligible bulk grid projects must increase the nameplate capacity of an existing power generator or the power output of an existing facility that is interconnected in California to the bulk transmission grid. </w:t>
      </w:r>
      <w:r w:rsidRPr="595EFC4A">
        <w:rPr>
          <w:b/>
          <w:u w:val="single"/>
        </w:rPr>
        <w:t>The existing generator must be in commercial operation, operating and producing power, and already sending power to the bulk transmission grid prior to execution of the agreement.</w:t>
      </w:r>
      <w:r>
        <w:t xml:space="preserve"> Examples of eligible bulk grid asset project types include:</w:t>
      </w:r>
    </w:p>
    <w:p w14:paraId="41BA7B20" w14:textId="0045CFD4" w:rsidR="00B36A95" w:rsidRPr="00650721" w:rsidRDefault="00B36A95" w:rsidP="00B36A95">
      <w:pPr>
        <w:pStyle w:val="ListParagraph"/>
        <w:numPr>
          <w:ilvl w:val="0"/>
          <w:numId w:val="1"/>
        </w:numPr>
        <w:spacing w:after="0"/>
        <w:ind w:left="1800"/>
      </w:pPr>
      <w:r>
        <w:t>Efficiency upgrades at existing power generators, such as:</w:t>
      </w:r>
    </w:p>
    <w:p w14:paraId="2A124D59" w14:textId="77777777" w:rsidR="00B36A95" w:rsidRPr="001E17D9" w:rsidRDefault="00B36A95" w:rsidP="00B36A95">
      <w:pPr>
        <w:pStyle w:val="ListParagraph"/>
        <w:numPr>
          <w:ilvl w:val="1"/>
          <w:numId w:val="1"/>
        </w:numPr>
        <w:spacing w:after="0"/>
        <w:rPr>
          <w:szCs w:val="24"/>
        </w:rPr>
      </w:pPr>
      <w:r>
        <w:rPr>
          <w:szCs w:val="24"/>
        </w:rPr>
        <w:t>C</w:t>
      </w:r>
      <w:r w:rsidRPr="001E17D9">
        <w:rPr>
          <w:szCs w:val="24"/>
        </w:rPr>
        <w:t>atalyst</w:t>
      </w:r>
      <w:r>
        <w:rPr>
          <w:szCs w:val="24"/>
        </w:rPr>
        <w:t>s.</w:t>
      </w:r>
    </w:p>
    <w:p w14:paraId="1B2E1731" w14:textId="77777777" w:rsidR="00B36A95" w:rsidRPr="001E17D9" w:rsidRDefault="00B36A95" w:rsidP="00B36A95">
      <w:pPr>
        <w:pStyle w:val="ListParagraph"/>
        <w:numPr>
          <w:ilvl w:val="1"/>
          <w:numId w:val="1"/>
        </w:numPr>
        <w:spacing w:after="0"/>
        <w:rPr>
          <w:szCs w:val="24"/>
        </w:rPr>
      </w:pPr>
      <w:r>
        <w:rPr>
          <w:szCs w:val="24"/>
        </w:rPr>
        <w:lastRenderedPageBreak/>
        <w:t>I</w:t>
      </w:r>
      <w:r w:rsidRPr="001E17D9">
        <w:rPr>
          <w:szCs w:val="24"/>
        </w:rPr>
        <w:t>nlet gas compress</w:t>
      </w:r>
      <w:r>
        <w:rPr>
          <w:szCs w:val="24"/>
        </w:rPr>
        <w:t>ors.</w:t>
      </w:r>
    </w:p>
    <w:p w14:paraId="523C6DB2" w14:textId="77777777" w:rsidR="00B36A95" w:rsidRPr="001E17D9" w:rsidRDefault="00B36A95" w:rsidP="00B36A95">
      <w:pPr>
        <w:pStyle w:val="ListParagraph"/>
        <w:numPr>
          <w:ilvl w:val="1"/>
          <w:numId w:val="1"/>
        </w:numPr>
        <w:spacing w:after="0"/>
        <w:rPr>
          <w:szCs w:val="24"/>
        </w:rPr>
      </w:pPr>
      <w:r>
        <w:rPr>
          <w:szCs w:val="24"/>
        </w:rPr>
        <w:t>I</w:t>
      </w:r>
      <w:r w:rsidRPr="001E17D9">
        <w:rPr>
          <w:szCs w:val="24"/>
        </w:rPr>
        <w:t>nlet air chiller</w:t>
      </w:r>
      <w:r>
        <w:rPr>
          <w:szCs w:val="24"/>
        </w:rPr>
        <w:t>s.</w:t>
      </w:r>
    </w:p>
    <w:p w14:paraId="734916A9" w14:textId="77777777" w:rsidR="00B36A95" w:rsidRPr="001E17D9" w:rsidRDefault="00B36A95" w:rsidP="00B36A95">
      <w:pPr>
        <w:pStyle w:val="ListParagraph"/>
        <w:numPr>
          <w:ilvl w:val="1"/>
          <w:numId w:val="1"/>
        </w:numPr>
        <w:spacing w:after="0"/>
        <w:rPr>
          <w:szCs w:val="24"/>
        </w:rPr>
      </w:pPr>
      <w:r>
        <w:rPr>
          <w:szCs w:val="24"/>
        </w:rPr>
        <w:t>I</w:t>
      </w:r>
      <w:r w:rsidRPr="001E17D9">
        <w:rPr>
          <w:szCs w:val="24"/>
        </w:rPr>
        <w:t>ntercooler</w:t>
      </w:r>
      <w:r>
        <w:rPr>
          <w:szCs w:val="24"/>
        </w:rPr>
        <w:t>s.</w:t>
      </w:r>
    </w:p>
    <w:p w14:paraId="55F738CB" w14:textId="77777777" w:rsidR="00B36A95" w:rsidRPr="00DF2FEF" w:rsidRDefault="00B36A95" w:rsidP="00B36A95">
      <w:pPr>
        <w:pStyle w:val="ListParagraph"/>
        <w:numPr>
          <w:ilvl w:val="1"/>
          <w:numId w:val="1"/>
        </w:numPr>
        <w:spacing w:after="0"/>
        <w:rPr>
          <w:szCs w:val="24"/>
        </w:rPr>
      </w:pPr>
      <w:r>
        <w:rPr>
          <w:szCs w:val="24"/>
        </w:rPr>
        <w:t>G</w:t>
      </w:r>
      <w:r w:rsidRPr="001E17D9">
        <w:rPr>
          <w:szCs w:val="24"/>
        </w:rPr>
        <w:t>as path upgrade</w:t>
      </w:r>
      <w:r>
        <w:rPr>
          <w:szCs w:val="24"/>
        </w:rPr>
        <w:t>s</w:t>
      </w:r>
      <w:r w:rsidRPr="00DF2FEF">
        <w:rPr>
          <w:szCs w:val="24"/>
        </w:rPr>
        <w:t>.</w:t>
      </w:r>
    </w:p>
    <w:p w14:paraId="084AB711" w14:textId="11429730" w:rsidR="00B36A95" w:rsidRPr="00913024" w:rsidRDefault="00B36A95" w:rsidP="00B36A95">
      <w:pPr>
        <w:pStyle w:val="ListParagraph"/>
        <w:numPr>
          <w:ilvl w:val="1"/>
          <w:numId w:val="1"/>
        </w:numPr>
        <w:spacing w:after="0"/>
      </w:pPr>
      <w:r>
        <w:t>Waste heat to power installations integrated into the facility.</w:t>
      </w:r>
    </w:p>
    <w:p w14:paraId="05E5A56A" w14:textId="4EC100CB" w:rsidR="00C50547" w:rsidRPr="00E3618E" w:rsidRDefault="00B36A95" w:rsidP="00E3618E">
      <w:pPr>
        <w:pStyle w:val="ListParagraph"/>
        <w:numPr>
          <w:ilvl w:val="0"/>
          <w:numId w:val="1"/>
        </w:numPr>
        <w:spacing w:after="0"/>
        <w:ind w:left="1800"/>
        <w:rPr>
          <w:szCs w:val="24"/>
        </w:rPr>
      </w:pPr>
      <w:r>
        <w:rPr>
          <w:szCs w:val="24"/>
        </w:rPr>
        <w:t>E</w:t>
      </w:r>
      <w:r>
        <w:rPr>
          <w:szCs w:val="24"/>
          <w:lang w:eastAsia="zh-CN"/>
        </w:rPr>
        <w:t xml:space="preserve">nergy </w:t>
      </w:r>
      <w:r>
        <w:rPr>
          <w:szCs w:val="24"/>
        </w:rPr>
        <w:t>s</w:t>
      </w:r>
      <w:r w:rsidRPr="00DF2FEF">
        <w:rPr>
          <w:szCs w:val="24"/>
        </w:rPr>
        <w:t>torage</w:t>
      </w:r>
      <w:r>
        <w:rPr>
          <w:szCs w:val="24"/>
        </w:rPr>
        <w:t>, fuel cells, or linear generators</w:t>
      </w:r>
      <w:r w:rsidRPr="088E0729">
        <w:rPr>
          <w:szCs w:val="24"/>
        </w:rPr>
        <w:t xml:space="preserve"> sited at existing power generators</w:t>
      </w:r>
      <w:r>
        <w:rPr>
          <w:szCs w:val="24"/>
        </w:rPr>
        <w:t xml:space="preserve"> </w:t>
      </w:r>
      <w:r w:rsidRPr="00361ACD">
        <w:rPr>
          <w:b/>
          <w:bCs/>
          <w:szCs w:val="24"/>
          <w:u w:val="single"/>
        </w:rPr>
        <w:t>as co-located resources</w:t>
      </w:r>
      <w:r w:rsidRPr="088E0729">
        <w:rPr>
          <w:szCs w:val="24"/>
        </w:rPr>
        <w:t>.</w:t>
      </w:r>
    </w:p>
    <w:p w14:paraId="3EFBA5DC" w14:textId="1271FC1C" w:rsidR="0051656E" w:rsidRDefault="0051656E" w:rsidP="00E323F2">
      <w:pPr>
        <w:ind w:left="1440"/>
      </w:pPr>
    </w:p>
    <w:p w14:paraId="760C6C70" w14:textId="1C6117D0" w:rsidR="008A28E6" w:rsidRDefault="007361F6" w:rsidP="003F5D5C">
      <w:pPr>
        <w:keepNext/>
      </w:pPr>
      <w:r>
        <w:t xml:space="preserve">Page </w:t>
      </w:r>
      <w:r w:rsidR="00873429">
        <w:t>31-</w:t>
      </w:r>
      <w:r w:rsidR="00647E8A">
        <w:t>33</w:t>
      </w:r>
      <w:r w:rsidR="009F57BD">
        <w:t xml:space="preserve"> of the Application Manual, Section V.A. Definition of Key Words</w:t>
      </w:r>
      <w:r w:rsidR="00D110DC">
        <w:t>.</w:t>
      </w:r>
      <w:r w:rsidR="00C140D1">
        <w:t xml:space="preserve"> The following terms have been added</w:t>
      </w:r>
      <w:r w:rsidR="00754858">
        <w:t>:</w:t>
      </w: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A73A7C" w:rsidRPr="00E91F37" w14:paraId="1BDB3578" w14:textId="77777777">
        <w:trPr>
          <w:cantSplit/>
          <w:tblHeader/>
        </w:trPr>
        <w:tc>
          <w:tcPr>
            <w:tcW w:w="2430" w:type="dxa"/>
            <w:shd w:val="clear" w:color="auto" w:fill="D9D9D9" w:themeFill="background1" w:themeFillShade="D9"/>
          </w:tcPr>
          <w:p w14:paraId="571F1685" w14:textId="77777777" w:rsidR="00A73A7C" w:rsidRPr="00E91F37" w:rsidRDefault="00A73A7C" w:rsidP="003F5D5C">
            <w:pPr>
              <w:keepNext/>
              <w:jc w:val="center"/>
              <w:rPr>
                <w:b/>
                <w:szCs w:val="24"/>
              </w:rPr>
            </w:pPr>
            <w:r w:rsidRPr="00E91F37">
              <w:rPr>
                <w:b/>
                <w:szCs w:val="24"/>
              </w:rPr>
              <w:t>Word/Term</w:t>
            </w:r>
          </w:p>
        </w:tc>
        <w:tc>
          <w:tcPr>
            <w:tcW w:w="6930" w:type="dxa"/>
            <w:shd w:val="clear" w:color="auto" w:fill="D9D9D9" w:themeFill="background1" w:themeFillShade="D9"/>
          </w:tcPr>
          <w:p w14:paraId="5EAFDDC2" w14:textId="77777777" w:rsidR="00A73A7C" w:rsidRPr="00E91F37" w:rsidRDefault="00A73A7C" w:rsidP="003F5D5C">
            <w:pPr>
              <w:keepNext/>
              <w:jc w:val="center"/>
              <w:rPr>
                <w:b/>
                <w:szCs w:val="24"/>
              </w:rPr>
            </w:pPr>
            <w:r w:rsidRPr="00E91F37">
              <w:rPr>
                <w:b/>
                <w:szCs w:val="24"/>
              </w:rPr>
              <w:t>Definition</w:t>
            </w:r>
          </w:p>
        </w:tc>
      </w:tr>
      <w:tr w:rsidR="002524DD" w:rsidRPr="00E91F37" w14:paraId="4410DD20" w14:textId="77777777">
        <w:trPr>
          <w:cantSplit/>
        </w:trPr>
        <w:tc>
          <w:tcPr>
            <w:tcW w:w="2430" w:type="dxa"/>
          </w:tcPr>
          <w:p w14:paraId="3C6D98FC" w14:textId="77777777" w:rsidR="002524DD" w:rsidRPr="00CB6EBD" w:rsidRDefault="002524DD">
            <w:pPr>
              <w:rPr>
                <w:b/>
                <w:bCs/>
                <w:szCs w:val="24"/>
                <w:u w:val="single"/>
              </w:rPr>
            </w:pPr>
            <w:r w:rsidRPr="00CB6EBD">
              <w:rPr>
                <w:b/>
                <w:bCs/>
                <w:szCs w:val="24"/>
                <w:u w:val="single"/>
              </w:rPr>
              <w:t>Co-located Resource</w:t>
            </w:r>
          </w:p>
        </w:tc>
        <w:tc>
          <w:tcPr>
            <w:tcW w:w="6930" w:type="dxa"/>
          </w:tcPr>
          <w:p w14:paraId="5392DC0E" w14:textId="7CD7A433" w:rsidR="002524DD" w:rsidRPr="00CB6EBD" w:rsidRDefault="002524DD">
            <w:pPr>
              <w:rPr>
                <w:b/>
                <w:bCs/>
                <w:szCs w:val="24"/>
                <w:u w:val="single"/>
              </w:rPr>
            </w:pPr>
            <w:r w:rsidRPr="00CB6EBD">
              <w:rPr>
                <w:b/>
                <w:bCs/>
                <w:szCs w:val="24"/>
                <w:u w:val="single"/>
              </w:rPr>
              <w:t>A generating unit</w:t>
            </w:r>
            <w:r w:rsidR="00503625">
              <w:rPr>
                <w:b/>
                <w:bCs/>
                <w:szCs w:val="24"/>
                <w:u w:val="single"/>
              </w:rPr>
              <w:t xml:space="preserve"> or energy storage </w:t>
            </w:r>
            <w:r w:rsidR="006A0372">
              <w:rPr>
                <w:b/>
                <w:bCs/>
                <w:szCs w:val="24"/>
                <w:u w:val="single"/>
              </w:rPr>
              <w:t>device</w:t>
            </w:r>
            <w:r w:rsidRPr="00CB6EBD">
              <w:rPr>
                <w:b/>
                <w:bCs/>
                <w:szCs w:val="24"/>
                <w:u w:val="single"/>
              </w:rPr>
              <w:t xml:space="preserve"> with a unique resource identifier (Resource ID) that is part of a generating facility with other generating units</w:t>
            </w:r>
            <w:r w:rsidR="00A8623A">
              <w:rPr>
                <w:b/>
                <w:bCs/>
                <w:szCs w:val="24"/>
                <w:u w:val="single"/>
              </w:rPr>
              <w:t xml:space="preserve"> or </w:t>
            </w:r>
            <w:r w:rsidR="006A0372">
              <w:rPr>
                <w:b/>
                <w:bCs/>
                <w:szCs w:val="24"/>
                <w:u w:val="single"/>
              </w:rPr>
              <w:t>energy storage facility</w:t>
            </w:r>
            <w:r w:rsidRPr="00CB6EBD">
              <w:rPr>
                <w:b/>
                <w:bCs/>
                <w:szCs w:val="24"/>
                <w:u w:val="single"/>
              </w:rPr>
              <w:t xml:space="preserve">. An energy imbalance market participating resource with a unique Resource ID that is part of a single resource with other energy imbalance market participating resources. For more information, see the </w:t>
            </w:r>
            <w:hyperlink r:id="rId7">
              <w:r w:rsidRPr="7E419C28">
                <w:rPr>
                  <w:rStyle w:val="Hyperlink"/>
                  <w:b/>
                  <w:bCs/>
                </w:rPr>
                <w:t>California ISO Business Practice Manual Definitions and Acronyms</w:t>
              </w:r>
            </w:hyperlink>
            <w:r w:rsidRPr="00CB6EBD">
              <w:rPr>
                <w:b/>
                <w:bCs/>
                <w:szCs w:val="24"/>
                <w:u w:val="single"/>
              </w:rPr>
              <w:t xml:space="preserve"> (https://bpmcm.caiso.com/Pages/BPMDetails.aspx?BPM=Definitions%20and%20Acronyms).</w:t>
            </w:r>
          </w:p>
        </w:tc>
      </w:tr>
      <w:tr w:rsidR="00922289" w:rsidRPr="00E91F37" w14:paraId="2BCBE75A" w14:textId="77777777" w:rsidTr="00583F0D">
        <w:trPr>
          <w:cantSplit/>
        </w:trPr>
        <w:tc>
          <w:tcPr>
            <w:tcW w:w="2430" w:type="dxa"/>
          </w:tcPr>
          <w:p w14:paraId="2F0BD0DE" w14:textId="77777777" w:rsidR="00922289" w:rsidRPr="000754C9" w:rsidRDefault="00922289" w:rsidP="00583F0D">
            <w:pPr>
              <w:rPr>
                <w:b/>
                <w:bCs/>
                <w:szCs w:val="24"/>
                <w:u w:val="single"/>
              </w:rPr>
            </w:pPr>
            <w:r>
              <w:rPr>
                <w:b/>
                <w:bCs/>
                <w:szCs w:val="24"/>
                <w:u w:val="single"/>
              </w:rPr>
              <w:t>Energy storage</w:t>
            </w:r>
          </w:p>
        </w:tc>
        <w:tc>
          <w:tcPr>
            <w:tcW w:w="6930" w:type="dxa"/>
          </w:tcPr>
          <w:p w14:paraId="7358AC03" w14:textId="77777777" w:rsidR="00922289" w:rsidRPr="000754C9" w:rsidRDefault="00922289" w:rsidP="00583F0D">
            <w:pPr>
              <w:rPr>
                <w:b/>
                <w:bCs/>
                <w:szCs w:val="24"/>
                <w:u w:val="single"/>
              </w:rPr>
            </w:pPr>
            <w:r w:rsidRPr="007C35EC">
              <w:rPr>
                <w:b/>
                <w:bCs/>
                <w:szCs w:val="24"/>
                <w:u w:val="single"/>
              </w:rPr>
              <w:t xml:space="preserve">Resources </w:t>
            </w:r>
            <w:r>
              <w:rPr>
                <w:b/>
                <w:bCs/>
                <w:szCs w:val="24"/>
                <w:u w:val="single"/>
              </w:rPr>
              <w:t xml:space="preserve">interconnected to the bulk transmission grid in California </w:t>
            </w:r>
            <w:r w:rsidRPr="007C35EC">
              <w:rPr>
                <w:b/>
                <w:bCs/>
                <w:szCs w:val="24"/>
                <w:u w:val="single"/>
              </w:rPr>
              <w:t xml:space="preserve">that can be dispatched to any operating level within their entire capacity range but are also constrained by a MWh limit to generate </w:t>
            </w:r>
            <w:r>
              <w:rPr>
                <w:b/>
                <w:bCs/>
                <w:szCs w:val="24"/>
                <w:u w:val="single"/>
              </w:rPr>
              <w:t>e</w:t>
            </w:r>
            <w:r w:rsidRPr="007C35EC">
              <w:rPr>
                <w:b/>
                <w:bCs/>
                <w:szCs w:val="24"/>
                <w:u w:val="single"/>
              </w:rPr>
              <w:t xml:space="preserve">nergy or </w:t>
            </w:r>
            <w:r>
              <w:rPr>
                <w:b/>
                <w:bCs/>
                <w:szCs w:val="24"/>
                <w:u w:val="single"/>
              </w:rPr>
              <w:t>store</w:t>
            </w:r>
            <w:r w:rsidRPr="007C35EC">
              <w:rPr>
                <w:b/>
                <w:bCs/>
                <w:szCs w:val="24"/>
                <w:u w:val="single"/>
              </w:rPr>
              <w:t xml:space="preserve"> </w:t>
            </w:r>
            <w:r>
              <w:rPr>
                <w:b/>
                <w:bCs/>
                <w:szCs w:val="24"/>
                <w:u w:val="single"/>
              </w:rPr>
              <w:t>e</w:t>
            </w:r>
            <w:r w:rsidRPr="007C35EC">
              <w:rPr>
                <w:b/>
                <w:bCs/>
                <w:szCs w:val="24"/>
                <w:u w:val="single"/>
              </w:rPr>
              <w:t>nergy.</w:t>
            </w:r>
          </w:p>
        </w:tc>
      </w:tr>
      <w:tr w:rsidR="00AB7413" w:rsidRPr="00E91F37" w14:paraId="7B5A21A6" w14:textId="77777777" w:rsidTr="00583F0D">
        <w:trPr>
          <w:cantSplit/>
        </w:trPr>
        <w:tc>
          <w:tcPr>
            <w:tcW w:w="2430" w:type="dxa"/>
          </w:tcPr>
          <w:p w14:paraId="271DB3C7" w14:textId="77777777" w:rsidR="00AB7413" w:rsidRPr="00583F0D" w:rsidRDefault="00AB7413" w:rsidP="00583F0D">
            <w:pPr>
              <w:rPr>
                <w:b/>
                <w:bCs/>
                <w:szCs w:val="24"/>
                <w:u w:val="single"/>
              </w:rPr>
            </w:pPr>
            <w:r w:rsidRPr="00583F0D">
              <w:rPr>
                <w:b/>
                <w:bCs/>
                <w:szCs w:val="24"/>
                <w:u w:val="single"/>
              </w:rPr>
              <w:t>Generator</w:t>
            </w:r>
          </w:p>
        </w:tc>
        <w:tc>
          <w:tcPr>
            <w:tcW w:w="6930" w:type="dxa"/>
          </w:tcPr>
          <w:p w14:paraId="398696F6" w14:textId="77777777" w:rsidR="00AB7413" w:rsidRPr="00583F0D" w:rsidRDefault="00AB7413" w:rsidP="00583F0D">
            <w:pPr>
              <w:rPr>
                <w:b/>
                <w:bCs/>
                <w:szCs w:val="24"/>
                <w:u w:val="single"/>
              </w:rPr>
            </w:pPr>
            <w:r w:rsidRPr="00583F0D">
              <w:rPr>
                <w:b/>
                <w:bCs/>
                <w:szCs w:val="24"/>
                <w:u w:val="single"/>
              </w:rPr>
              <w:t xml:space="preserve">A generating facility or generating unit. </w:t>
            </w:r>
          </w:p>
        </w:tc>
      </w:tr>
      <w:tr w:rsidR="00AB7413" w:rsidRPr="00E91F37" w14:paraId="3265C896" w14:textId="77777777" w:rsidTr="00583F0D">
        <w:trPr>
          <w:cantSplit/>
        </w:trPr>
        <w:tc>
          <w:tcPr>
            <w:tcW w:w="2430" w:type="dxa"/>
          </w:tcPr>
          <w:p w14:paraId="4BC9C5AE" w14:textId="77777777" w:rsidR="00AB7413" w:rsidRPr="00583F0D" w:rsidRDefault="00AB7413" w:rsidP="00583F0D">
            <w:pPr>
              <w:rPr>
                <w:b/>
                <w:bCs/>
                <w:szCs w:val="24"/>
                <w:u w:val="single"/>
              </w:rPr>
            </w:pPr>
            <w:r w:rsidRPr="00583F0D">
              <w:rPr>
                <w:b/>
                <w:bCs/>
                <w:szCs w:val="24"/>
                <w:u w:val="single"/>
              </w:rPr>
              <w:t>Generating facility</w:t>
            </w:r>
          </w:p>
        </w:tc>
        <w:tc>
          <w:tcPr>
            <w:tcW w:w="6930" w:type="dxa"/>
          </w:tcPr>
          <w:p w14:paraId="16B17F1A" w14:textId="77777777" w:rsidR="00AB7413" w:rsidRPr="00E91F37" w:rsidRDefault="00AB7413" w:rsidP="00583F0D">
            <w:pPr>
              <w:rPr>
                <w:szCs w:val="24"/>
              </w:rPr>
            </w:pPr>
            <w:r w:rsidRPr="00583F0D">
              <w:rPr>
                <w:b/>
                <w:bCs/>
                <w:szCs w:val="24"/>
                <w:u w:val="single"/>
              </w:rPr>
              <w:t xml:space="preserve">An Interconnection Customer's Generating Unit(s) used for the production and/or storage for later injection of electricity identified in the </w:t>
            </w:r>
            <w:r>
              <w:rPr>
                <w:b/>
                <w:bCs/>
                <w:szCs w:val="24"/>
                <w:u w:val="single"/>
              </w:rPr>
              <w:t>i</w:t>
            </w:r>
            <w:r w:rsidRPr="00583F0D">
              <w:rPr>
                <w:b/>
                <w:bCs/>
                <w:szCs w:val="24"/>
                <w:u w:val="single"/>
              </w:rPr>
              <w:t xml:space="preserve">nterconnection </w:t>
            </w:r>
            <w:r>
              <w:rPr>
                <w:b/>
                <w:bCs/>
                <w:szCs w:val="24"/>
                <w:u w:val="single"/>
              </w:rPr>
              <w:t>r</w:t>
            </w:r>
            <w:r w:rsidRPr="000B0AE3">
              <w:rPr>
                <w:b/>
                <w:bCs/>
                <w:szCs w:val="24"/>
                <w:u w:val="single"/>
              </w:rPr>
              <w:t>equest</w:t>
            </w:r>
            <w:r>
              <w:rPr>
                <w:b/>
                <w:bCs/>
                <w:szCs w:val="24"/>
                <w:u w:val="single"/>
              </w:rPr>
              <w:t>. This does not</w:t>
            </w:r>
            <w:r w:rsidRPr="000B0AE3">
              <w:rPr>
                <w:b/>
                <w:bCs/>
                <w:szCs w:val="24"/>
                <w:u w:val="single"/>
              </w:rPr>
              <w:t xml:space="preserve"> </w:t>
            </w:r>
            <w:r w:rsidRPr="00583F0D">
              <w:rPr>
                <w:b/>
                <w:bCs/>
                <w:szCs w:val="24"/>
                <w:u w:val="single"/>
              </w:rPr>
              <w:t>include the</w:t>
            </w:r>
            <w:r>
              <w:rPr>
                <w:b/>
                <w:bCs/>
                <w:szCs w:val="24"/>
                <w:u w:val="single"/>
              </w:rPr>
              <w:t xml:space="preserve"> i</w:t>
            </w:r>
            <w:r w:rsidRPr="00583F0D">
              <w:rPr>
                <w:b/>
                <w:bCs/>
                <w:szCs w:val="24"/>
                <w:u w:val="single"/>
              </w:rPr>
              <w:t xml:space="preserve">nterconnection </w:t>
            </w:r>
            <w:r>
              <w:rPr>
                <w:b/>
                <w:bCs/>
                <w:szCs w:val="24"/>
                <w:u w:val="single"/>
              </w:rPr>
              <w:t>c</w:t>
            </w:r>
            <w:r w:rsidRPr="00583F0D">
              <w:rPr>
                <w:b/>
                <w:bCs/>
                <w:szCs w:val="24"/>
                <w:u w:val="single"/>
              </w:rPr>
              <w:t xml:space="preserve">ustomer's </w:t>
            </w:r>
            <w:r>
              <w:rPr>
                <w:b/>
                <w:bCs/>
                <w:szCs w:val="24"/>
                <w:u w:val="single"/>
              </w:rPr>
              <w:t>i</w:t>
            </w:r>
            <w:r w:rsidRPr="00583F0D">
              <w:rPr>
                <w:b/>
                <w:bCs/>
                <w:szCs w:val="24"/>
                <w:u w:val="single"/>
              </w:rPr>
              <w:t xml:space="preserve">nterconnection </w:t>
            </w:r>
            <w:r>
              <w:rPr>
                <w:b/>
                <w:bCs/>
                <w:szCs w:val="24"/>
                <w:u w:val="single"/>
              </w:rPr>
              <w:t>f</w:t>
            </w:r>
            <w:r w:rsidRPr="00583F0D">
              <w:rPr>
                <w:b/>
                <w:bCs/>
                <w:szCs w:val="24"/>
                <w:u w:val="single"/>
              </w:rPr>
              <w:t>acilities.</w:t>
            </w:r>
            <w:r>
              <w:rPr>
                <w:b/>
                <w:bCs/>
                <w:szCs w:val="24"/>
                <w:u w:val="single"/>
              </w:rPr>
              <w:t xml:space="preserve"> </w:t>
            </w:r>
            <w:r w:rsidRPr="00C75F98">
              <w:rPr>
                <w:b/>
                <w:bCs/>
                <w:szCs w:val="24"/>
                <w:u w:val="single"/>
              </w:rPr>
              <w:t xml:space="preserve">For more information, see the </w:t>
            </w:r>
            <w:hyperlink r:id="rId8" w:history="1">
              <w:r w:rsidRPr="00CC2335">
                <w:rPr>
                  <w:rStyle w:val="Hyperlink"/>
                  <w:b/>
                  <w:bCs/>
                  <w:szCs w:val="24"/>
                </w:rPr>
                <w:t>California ISO Business Practice Manual Definitions and Acronyms</w:t>
              </w:r>
            </w:hyperlink>
            <w:r w:rsidRPr="00C75F98">
              <w:rPr>
                <w:b/>
                <w:bCs/>
                <w:szCs w:val="24"/>
                <w:u w:val="single"/>
              </w:rPr>
              <w:t xml:space="preserve"> (https://bpmcm.caiso.com/Pages/BPMDetails.aspx?BPM=Definitions%20and%20Acronyms).</w:t>
            </w:r>
          </w:p>
        </w:tc>
      </w:tr>
      <w:tr w:rsidR="00AB7413" w:rsidRPr="00E91F37" w14:paraId="6DDF3979" w14:textId="77777777" w:rsidTr="00583F0D">
        <w:trPr>
          <w:cantSplit/>
        </w:trPr>
        <w:tc>
          <w:tcPr>
            <w:tcW w:w="2430" w:type="dxa"/>
          </w:tcPr>
          <w:p w14:paraId="05CCE88E" w14:textId="77777777" w:rsidR="00AB7413" w:rsidRPr="00583F0D" w:rsidRDefault="00AB7413" w:rsidP="00583F0D">
            <w:pPr>
              <w:rPr>
                <w:b/>
                <w:bCs/>
                <w:szCs w:val="24"/>
                <w:u w:val="single"/>
              </w:rPr>
            </w:pPr>
            <w:r w:rsidRPr="00583F0D">
              <w:rPr>
                <w:b/>
                <w:bCs/>
                <w:szCs w:val="24"/>
                <w:u w:val="single"/>
              </w:rPr>
              <w:lastRenderedPageBreak/>
              <w:t>Generating unit</w:t>
            </w:r>
          </w:p>
        </w:tc>
        <w:tc>
          <w:tcPr>
            <w:tcW w:w="6930" w:type="dxa"/>
          </w:tcPr>
          <w:p w14:paraId="21023CB2" w14:textId="77777777" w:rsidR="00AB7413" w:rsidRPr="00583F0D" w:rsidRDefault="00AB7413" w:rsidP="00583F0D">
            <w:pPr>
              <w:rPr>
                <w:b/>
                <w:bCs/>
                <w:szCs w:val="24"/>
                <w:u w:val="single"/>
              </w:rPr>
            </w:pPr>
            <w:r w:rsidRPr="00583F0D">
              <w:rPr>
                <w:b/>
                <w:bCs/>
                <w:szCs w:val="24"/>
                <w:u w:val="single"/>
              </w:rPr>
              <w:t xml:space="preserve">An individual electric generator </w:t>
            </w:r>
            <w:r>
              <w:rPr>
                <w:b/>
                <w:bCs/>
                <w:szCs w:val="24"/>
                <w:u w:val="single"/>
              </w:rPr>
              <w:t xml:space="preserve">interconnected to the bulk transmission grid in California </w:t>
            </w:r>
            <w:r w:rsidRPr="00583F0D">
              <w:rPr>
                <w:b/>
                <w:bCs/>
                <w:szCs w:val="24"/>
                <w:u w:val="single"/>
              </w:rPr>
              <w:t xml:space="preserve">and its associated plant and apparatus whose electrical output is capable of being separately identified and metered or a </w:t>
            </w:r>
            <w:r>
              <w:rPr>
                <w:b/>
                <w:bCs/>
                <w:szCs w:val="24"/>
                <w:u w:val="single"/>
              </w:rPr>
              <w:t>p</w:t>
            </w:r>
            <w:r w:rsidRPr="00583F0D">
              <w:rPr>
                <w:b/>
                <w:bCs/>
                <w:szCs w:val="24"/>
                <w:u w:val="single"/>
              </w:rPr>
              <w:t xml:space="preserve">hysical </w:t>
            </w:r>
            <w:r>
              <w:rPr>
                <w:b/>
                <w:bCs/>
                <w:szCs w:val="24"/>
                <w:u w:val="single"/>
              </w:rPr>
              <w:t>s</w:t>
            </w:r>
            <w:r w:rsidRPr="00583F0D">
              <w:rPr>
                <w:b/>
                <w:bCs/>
                <w:szCs w:val="24"/>
                <w:u w:val="single"/>
              </w:rPr>
              <w:t xml:space="preserve">cheduling </w:t>
            </w:r>
            <w:r>
              <w:rPr>
                <w:b/>
                <w:bCs/>
                <w:szCs w:val="24"/>
                <w:u w:val="single"/>
              </w:rPr>
              <w:t>p</w:t>
            </w:r>
            <w:r w:rsidRPr="00583F0D">
              <w:rPr>
                <w:b/>
                <w:bCs/>
                <w:szCs w:val="24"/>
                <w:u w:val="single"/>
              </w:rPr>
              <w:t xml:space="preserve">lant capable of producing and delivering </w:t>
            </w:r>
            <w:r>
              <w:rPr>
                <w:b/>
                <w:bCs/>
                <w:szCs w:val="24"/>
                <w:u w:val="single"/>
              </w:rPr>
              <w:t>e</w:t>
            </w:r>
            <w:r w:rsidRPr="00583F0D">
              <w:rPr>
                <w:b/>
                <w:bCs/>
                <w:szCs w:val="24"/>
                <w:u w:val="single"/>
              </w:rPr>
              <w:t>nergy in excess of a generating station’s internal power requirements.</w:t>
            </w:r>
            <w:r>
              <w:rPr>
                <w:b/>
                <w:bCs/>
                <w:szCs w:val="24"/>
                <w:u w:val="single"/>
              </w:rPr>
              <w:t xml:space="preserve"> </w:t>
            </w:r>
            <w:r w:rsidRPr="00C75F98">
              <w:rPr>
                <w:b/>
                <w:bCs/>
                <w:szCs w:val="24"/>
                <w:u w:val="single"/>
              </w:rPr>
              <w:t xml:space="preserve">For more information, see the </w:t>
            </w:r>
            <w:hyperlink r:id="rId9" w:history="1">
              <w:r w:rsidRPr="00CC2335">
                <w:rPr>
                  <w:rStyle w:val="Hyperlink"/>
                  <w:b/>
                  <w:bCs/>
                  <w:szCs w:val="24"/>
                </w:rPr>
                <w:t>California ISO Business Practice Manual Definitions and Acronyms</w:t>
              </w:r>
            </w:hyperlink>
            <w:r w:rsidRPr="00C75F98">
              <w:rPr>
                <w:b/>
                <w:bCs/>
                <w:szCs w:val="24"/>
                <w:u w:val="single"/>
              </w:rPr>
              <w:t xml:space="preserve"> (https://bpmcm.caiso.com/Pages/BPMDetails.aspx?BPM=Definitions%20and%20Acronyms).</w:t>
            </w:r>
          </w:p>
        </w:tc>
      </w:tr>
      <w:tr w:rsidR="00905DCA" w:rsidRPr="003A3039" w14:paraId="2AA8C36D" w14:textId="77777777">
        <w:trPr>
          <w:cantSplit/>
        </w:trPr>
        <w:tc>
          <w:tcPr>
            <w:tcW w:w="2430" w:type="dxa"/>
          </w:tcPr>
          <w:p w14:paraId="5AD1231A" w14:textId="77777777" w:rsidR="00905DCA" w:rsidRPr="003A3039" w:rsidRDefault="00905DCA">
            <w:pPr>
              <w:rPr>
                <w:b/>
                <w:bCs/>
                <w:szCs w:val="24"/>
                <w:u w:val="single"/>
              </w:rPr>
            </w:pPr>
            <w:r w:rsidRPr="003A3039">
              <w:rPr>
                <w:b/>
                <w:bCs/>
                <w:szCs w:val="24"/>
                <w:u w:val="single"/>
              </w:rPr>
              <w:t>Subrecipient</w:t>
            </w:r>
          </w:p>
        </w:tc>
        <w:tc>
          <w:tcPr>
            <w:tcW w:w="6930" w:type="dxa"/>
          </w:tcPr>
          <w:p w14:paraId="243C95C2" w14:textId="539A1357" w:rsidR="00905DCA" w:rsidRPr="003A3039" w:rsidRDefault="00905DCA">
            <w:pPr>
              <w:rPr>
                <w:b/>
                <w:bCs/>
                <w:szCs w:val="24"/>
                <w:u w:val="single"/>
              </w:rPr>
            </w:pPr>
            <w:r w:rsidRPr="003A3039">
              <w:rPr>
                <w:b/>
                <w:bCs/>
                <w:szCs w:val="24"/>
                <w:u w:val="single"/>
              </w:rPr>
              <w:t xml:space="preserve">Subrecipient is defined on the California Energy Commission's </w:t>
            </w:r>
            <w:hyperlink r:id="rId10" w:history="1">
              <w:r w:rsidRPr="00837F09">
                <w:rPr>
                  <w:rStyle w:val="Hyperlink"/>
                  <w:rFonts w:eastAsiaTheme="minorHAnsi" w:cstheme="minorBidi"/>
                  <w:b/>
                  <w:bCs/>
                  <w:szCs w:val="24"/>
                </w:rPr>
                <w:t>"Budget Category Guidance" web page</w:t>
              </w:r>
            </w:hyperlink>
            <w:r w:rsidRPr="003A3039">
              <w:rPr>
                <w:b/>
                <w:bCs/>
                <w:szCs w:val="24"/>
                <w:u w:val="single"/>
              </w:rPr>
              <w:t xml:space="preserve"> (</w:t>
            </w:r>
            <w:r w:rsidRPr="00837F09">
              <w:rPr>
                <w:b/>
                <w:bCs/>
                <w:szCs w:val="24"/>
                <w:u w:val="single"/>
              </w:rPr>
              <w:t>https://www.energy.ca.gov/funding-opportunities/funding-resources/ecams-resources/budget-category-guidance</w:t>
            </w:r>
            <w:r w:rsidRPr="003A3039">
              <w:rPr>
                <w:b/>
                <w:bCs/>
                <w:szCs w:val="24"/>
                <w:u w:val="single"/>
              </w:rPr>
              <w:t>) as follows:</w:t>
            </w:r>
          </w:p>
          <w:p w14:paraId="4349E9E0" w14:textId="77777777" w:rsidR="00905DCA" w:rsidRPr="003A3039" w:rsidRDefault="00905DCA">
            <w:pPr>
              <w:rPr>
                <w:b/>
                <w:bCs/>
                <w:szCs w:val="24"/>
                <w:u w:val="single"/>
              </w:rPr>
            </w:pPr>
            <w:r w:rsidRPr="003A3039">
              <w:rPr>
                <w:b/>
                <w:bCs/>
                <w:szCs w:val="24"/>
                <w:u w:val="single"/>
              </w:rPr>
              <w:t xml:space="preserve"> </w:t>
            </w:r>
          </w:p>
          <w:p w14:paraId="059E0B46" w14:textId="77777777" w:rsidR="00905DCA" w:rsidRPr="003A3039" w:rsidRDefault="00905DCA">
            <w:pPr>
              <w:rPr>
                <w:b/>
                <w:bCs/>
                <w:szCs w:val="24"/>
                <w:u w:val="single"/>
              </w:rPr>
            </w:pPr>
            <w:r w:rsidRPr="003A3039">
              <w:rPr>
                <w:b/>
                <w:bCs/>
                <w:szCs w:val="24"/>
                <w:u w:val="single"/>
              </w:rPr>
              <w:t>A subrecipient is defined as an entity that receives grant funds directly from the Recipient and is entrusted by the Recipient to make decisions about how to conduct some of the grant’s activities. A Subrecipient’s role involves discretion over grant activities and is not merely just selling goods or services. Characteristics which support the classification of the entity as a subrecipient include when the entity:</w:t>
            </w:r>
          </w:p>
          <w:p w14:paraId="1B232831" w14:textId="77777777" w:rsidR="00905DCA" w:rsidRPr="003A3039" w:rsidRDefault="00905DCA">
            <w:pPr>
              <w:rPr>
                <w:b/>
                <w:bCs/>
                <w:szCs w:val="24"/>
                <w:u w:val="single"/>
              </w:rPr>
            </w:pPr>
            <w:r w:rsidRPr="003A3039">
              <w:rPr>
                <w:b/>
                <w:bCs/>
                <w:szCs w:val="24"/>
                <w:u w:val="single"/>
              </w:rPr>
              <w:t>1. Has its performance measured in relation to whether objectives of a CEC program were met;</w:t>
            </w:r>
          </w:p>
          <w:p w14:paraId="2EC99646" w14:textId="77777777" w:rsidR="00905DCA" w:rsidRPr="003A3039" w:rsidRDefault="00905DCA">
            <w:pPr>
              <w:rPr>
                <w:b/>
                <w:bCs/>
                <w:szCs w:val="24"/>
                <w:u w:val="single"/>
              </w:rPr>
            </w:pPr>
            <w:r w:rsidRPr="003A3039">
              <w:rPr>
                <w:b/>
                <w:bCs/>
                <w:szCs w:val="24"/>
                <w:u w:val="single"/>
              </w:rPr>
              <w:t>2. Has responsibility for programmatic decision-making;</w:t>
            </w:r>
          </w:p>
          <w:p w14:paraId="0696D74C" w14:textId="77777777" w:rsidR="00905DCA" w:rsidRPr="003A3039" w:rsidRDefault="00905DCA">
            <w:pPr>
              <w:rPr>
                <w:b/>
                <w:bCs/>
                <w:szCs w:val="24"/>
                <w:u w:val="single"/>
              </w:rPr>
            </w:pPr>
            <w:r w:rsidRPr="003A3039">
              <w:rPr>
                <w:b/>
                <w:bCs/>
                <w:szCs w:val="24"/>
                <w:u w:val="single"/>
              </w:rPr>
              <w:t>3. Is responsible for adherence to applicable CEC program requirements specified in the CEC award agreement;</w:t>
            </w:r>
          </w:p>
          <w:p w14:paraId="63CE263F" w14:textId="77777777" w:rsidR="00905DCA" w:rsidRPr="003A3039" w:rsidRDefault="00905DCA">
            <w:pPr>
              <w:rPr>
                <w:b/>
                <w:bCs/>
                <w:szCs w:val="24"/>
                <w:u w:val="single"/>
              </w:rPr>
            </w:pPr>
            <w:r w:rsidRPr="003A3039">
              <w:rPr>
                <w:b/>
                <w:bCs/>
                <w:szCs w:val="24"/>
                <w:u w:val="single"/>
              </w:rPr>
              <w:t>4. In accordance with its agreement, uses the CEC funds to carry out a program for a public purpose specified in authorizing statute, as opposed to providing goods or services for the benefit of the recipient or sub-recipient; or,</w:t>
            </w:r>
          </w:p>
          <w:p w14:paraId="769E1C18" w14:textId="77777777" w:rsidR="00905DCA" w:rsidRPr="003A3039" w:rsidRDefault="00905DCA">
            <w:pPr>
              <w:rPr>
                <w:b/>
                <w:bCs/>
                <w:szCs w:val="24"/>
                <w:u w:val="single"/>
              </w:rPr>
            </w:pPr>
            <w:r w:rsidRPr="003A3039">
              <w:rPr>
                <w:b/>
                <w:bCs/>
                <w:szCs w:val="24"/>
                <w:u w:val="single"/>
              </w:rPr>
              <w:t>5. Provides match share funding contributions to the CEC-funded project."</w:t>
            </w:r>
          </w:p>
        </w:tc>
      </w:tr>
      <w:tr w:rsidR="00215C69" w:rsidRPr="00E91F37" w14:paraId="786AB491" w14:textId="77777777">
        <w:trPr>
          <w:cantSplit/>
        </w:trPr>
        <w:tc>
          <w:tcPr>
            <w:tcW w:w="2430" w:type="dxa"/>
          </w:tcPr>
          <w:p w14:paraId="69083F88" w14:textId="77777777" w:rsidR="00215C69" w:rsidRPr="003A3039" w:rsidRDefault="00215C69">
            <w:pPr>
              <w:rPr>
                <w:b/>
                <w:bCs/>
                <w:szCs w:val="24"/>
                <w:u w:val="single"/>
              </w:rPr>
            </w:pPr>
            <w:r>
              <w:rPr>
                <w:b/>
                <w:bCs/>
                <w:szCs w:val="24"/>
                <w:u w:val="single"/>
              </w:rPr>
              <w:lastRenderedPageBreak/>
              <w:t>Zero- or low-emission technologies</w:t>
            </w:r>
          </w:p>
        </w:tc>
        <w:tc>
          <w:tcPr>
            <w:tcW w:w="6930" w:type="dxa"/>
          </w:tcPr>
          <w:p w14:paraId="7C7A3C5D" w14:textId="48412ECD" w:rsidR="00215C69" w:rsidRPr="000D1D35" w:rsidRDefault="00215C69">
            <w:pPr>
              <w:rPr>
                <w:b/>
                <w:u w:val="single"/>
              </w:rPr>
            </w:pPr>
            <w:r w:rsidRPr="595EFC4A">
              <w:rPr>
                <w:b/>
                <w:u w:val="single"/>
              </w:rPr>
              <w:t>For this solicitation, zero- or low-emission technologies are technologies eligible for this solicitation as specified in Section II.B., (including, but not limited to, fuel cells, energy storage, or linear generators sited at existing power generators) except for technologies that use the combustion of fossil fuels to generate electricity.</w:t>
            </w:r>
          </w:p>
        </w:tc>
      </w:tr>
    </w:tbl>
    <w:p w14:paraId="5361F7DF" w14:textId="20C5A058" w:rsidR="00E3391B" w:rsidRDefault="00E3391B" w:rsidP="008A28E6"/>
    <w:sectPr w:rsidR="00E3391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0BF2" w14:textId="77777777" w:rsidR="005871C4" w:rsidRDefault="005871C4" w:rsidP="00061221">
      <w:pPr>
        <w:spacing w:after="0" w:line="240" w:lineRule="auto"/>
      </w:pPr>
      <w:r>
        <w:separator/>
      </w:r>
    </w:p>
  </w:endnote>
  <w:endnote w:type="continuationSeparator" w:id="0">
    <w:p w14:paraId="665B5696" w14:textId="77777777" w:rsidR="005871C4" w:rsidRDefault="005871C4" w:rsidP="00061221">
      <w:pPr>
        <w:spacing w:after="0" w:line="240" w:lineRule="auto"/>
      </w:pPr>
      <w:r>
        <w:continuationSeparator/>
      </w:r>
    </w:p>
  </w:endnote>
  <w:endnote w:type="continuationNotice" w:id="1">
    <w:p w14:paraId="2F308F4C" w14:textId="77777777" w:rsidR="005871C4" w:rsidRDefault="00587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993953"/>
      <w:docPartObj>
        <w:docPartGallery w:val="Page Numbers (Bottom of Page)"/>
        <w:docPartUnique/>
      </w:docPartObj>
    </w:sdtPr>
    <w:sdtEndPr>
      <w:rPr>
        <w:noProof/>
      </w:rPr>
    </w:sdtEndPr>
    <w:sdtContent>
      <w:p w14:paraId="1C05D03F" w14:textId="5BF0EECA" w:rsidR="00061221" w:rsidRDefault="00061221" w:rsidP="000612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C032" w14:textId="77777777" w:rsidR="005871C4" w:rsidRDefault="005871C4" w:rsidP="00061221">
      <w:pPr>
        <w:spacing w:after="0" w:line="240" w:lineRule="auto"/>
      </w:pPr>
      <w:r>
        <w:separator/>
      </w:r>
    </w:p>
  </w:footnote>
  <w:footnote w:type="continuationSeparator" w:id="0">
    <w:p w14:paraId="7DA7C5C2" w14:textId="77777777" w:rsidR="005871C4" w:rsidRDefault="005871C4" w:rsidP="00061221">
      <w:pPr>
        <w:spacing w:after="0" w:line="240" w:lineRule="auto"/>
      </w:pPr>
      <w:r>
        <w:continuationSeparator/>
      </w:r>
    </w:p>
  </w:footnote>
  <w:footnote w:type="continuationNotice" w:id="1">
    <w:p w14:paraId="387F995F" w14:textId="77777777" w:rsidR="005871C4" w:rsidRDefault="005871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18E3"/>
    <w:multiLevelType w:val="hybridMultilevel"/>
    <w:tmpl w:val="87CC0DA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E46F4"/>
    <w:multiLevelType w:val="hybridMultilevel"/>
    <w:tmpl w:val="A69C6298"/>
    <w:lvl w:ilvl="0" w:tplc="AFFCD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23AA3"/>
    <w:multiLevelType w:val="hybridMultilevel"/>
    <w:tmpl w:val="62B64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2B1383"/>
    <w:multiLevelType w:val="hybridMultilevel"/>
    <w:tmpl w:val="19960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103972">
    <w:abstractNumId w:val="3"/>
  </w:num>
  <w:num w:numId="2" w16cid:durableId="1001202028">
    <w:abstractNumId w:val="1"/>
  </w:num>
  <w:num w:numId="3" w16cid:durableId="179007202">
    <w:abstractNumId w:val="2"/>
  </w:num>
  <w:num w:numId="4" w16cid:durableId="847407597">
    <w:abstractNumId w:val="4"/>
  </w:num>
  <w:num w:numId="5" w16cid:durableId="171527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5CCF7B"/>
    <w:rsid w:val="00006B6A"/>
    <w:rsid w:val="00036F78"/>
    <w:rsid w:val="00061221"/>
    <w:rsid w:val="00073F85"/>
    <w:rsid w:val="000774FF"/>
    <w:rsid w:val="0008288A"/>
    <w:rsid w:val="000859A6"/>
    <w:rsid w:val="001066CE"/>
    <w:rsid w:val="00112C1F"/>
    <w:rsid w:val="00122915"/>
    <w:rsid w:val="00125C7A"/>
    <w:rsid w:val="00144CDF"/>
    <w:rsid w:val="001779A5"/>
    <w:rsid w:val="00187A35"/>
    <w:rsid w:val="001A5187"/>
    <w:rsid w:val="001B2703"/>
    <w:rsid w:val="001E1272"/>
    <w:rsid w:val="001F2C65"/>
    <w:rsid w:val="00205FB7"/>
    <w:rsid w:val="00215C69"/>
    <w:rsid w:val="0024417B"/>
    <w:rsid w:val="002524DD"/>
    <w:rsid w:val="00281C24"/>
    <w:rsid w:val="00302BD7"/>
    <w:rsid w:val="0031503B"/>
    <w:rsid w:val="00355375"/>
    <w:rsid w:val="00356741"/>
    <w:rsid w:val="00361ACD"/>
    <w:rsid w:val="00394C43"/>
    <w:rsid w:val="003B2803"/>
    <w:rsid w:val="003C026B"/>
    <w:rsid w:val="003C2FB7"/>
    <w:rsid w:val="003C638C"/>
    <w:rsid w:val="003F5D5C"/>
    <w:rsid w:val="00440B6D"/>
    <w:rsid w:val="004B5892"/>
    <w:rsid w:val="004C28BA"/>
    <w:rsid w:val="004D2DDF"/>
    <w:rsid w:val="004E129E"/>
    <w:rsid w:val="004F27E0"/>
    <w:rsid w:val="004F5BD3"/>
    <w:rsid w:val="00502291"/>
    <w:rsid w:val="00503625"/>
    <w:rsid w:val="0051656E"/>
    <w:rsid w:val="00534AEE"/>
    <w:rsid w:val="0056036C"/>
    <w:rsid w:val="005738E2"/>
    <w:rsid w:val="005871C4"/>
    <w:rsid w:val="005F1326"/>
    <w:rsid w:val="00615E6A"/>
    <w:rsid w:val="00620441"/>
    <w:rsid w:val="00624EEA"/>
    <w:rsid w:val="00647E8A"/>
    <w:rsid w:val="00672B3B"/>
    <w:rsid w:val="00696771"/>
    <w:rsid w:val="006A0372"/>
    <w:rsid w:val="006B0478"/>
    <w:rsid w:val="007361F6"/>
    <w:rsid w:val="00754858"/>
    <w:rsid w:val="00761778"/>
    <w:rsid w:val="007D17C9"/>
    <w:rsid w:val="008248F3"/>
    <w:rsid w:val="0083519B"/>
    <w:rsid w:val="00837F09"/>
    <w:rsid w:val="008610F8"/>
    <w:rsid w:val="00873429"/>
    <w:rsid w:val="0088555F"/>
    <w:rsid w:val="008A28E6"/>
    <w:rsid w:val="008F4E19"/>
    <w:rsid w:val="00905DCA"/>
    <w:rsid w:val="00922289"/>
    <w:rsid w:val="009305DC"/>
    <w:rsid w:val="00937CFA"/>
    <w:rsid w:val="00952454"/>
    <w:rsid w:val="009640F3"/>
    <w:rsid w:val="009B5ADC"/>
    <w:rsid w:val="009C3A56"/>
    <w:rsid w:val="009D5046"/>
    <w:rsid w:val="009F57BD"/>
    <w:rsid w:val="00A03229"/>
    <w:rsid w:val="00A03463"/>
    <w:rsid w:val="00A15F65"/>
    <w:rsid w:val="00A56641"/>
    <w:rsid w:val="00A654EE"/>
    <w:rsid w:val="00A72D52"/>
    <w:rsid w:val="00A73A7C"/>
    <w:rsid w:val="00A8623A"/>
    <w:rsid w:val="00A9637B"/>
    <w:rsid w:val="00AB7413"/>
    <w:rsid w:val="00AC07DA"/>
    <w:rsid w:val="00AD5A4A"/>
    <w:rsid w:val="00B14097"/>
    <w:rsid w:val="00B36A95"/>
    <w:rsid w:val="00BA7DF9"/>
    <w:rsid w:val="00BC2BE0"/>
    <w:rsid w:val="00C140D1"/>
    <w:rsid w:val="00C311E3"/>
    <w:rsid w:val="00C50547"/>
    <w:rsid w:val="00C73E0D"/>
    <w:rsid w:val="00C81C0C"/>
    <w:rsid w:val="00C92E13"/>
    <w:rsid w:val="00CD5974"/>
    <w:rsid w:val="00CE45FB"/>
    <w:rsid w:val="00D03E8F"/>
    <w:rsid w:val="00D110DC"/>
    <w:rsid w:val="00D36A9D"/>
    <w:rsid w:val="00D479A6"/>
    <w:rsid w:val="00DA41AC"/>
    <w:rsid w:val="00DF0B74"/>
    <w:rsid w:val="00DF2F0D"/>
    <w:rsid w:val="00E01775"/>
    <w:rsid w:val="00E07695"/>
    <w:rsid w:val="00E21A6C"/>
    <w:rsid w:val="00E323F2"/>
    <w:rsid w:val="00E3391B"/>
    <w:rsid w:val="00E3618E"/>
    <w:rsid w:val="00E470B4"/>
    <w:rsid w:val="00E53C1C"/>
    <w:rsid w:val="00E914ED"/>
    <w:rsid w:val="00EB1470"/>
    <w:rsid w:val="00EF56EE"/>
    <w:rsid w:val="00F16250"/>
    <w:rsid w:val="00F21504"/>
    <w:rsid w:val="00F347FC"/>
    <w:rsid w:val="10EB83E1"/>
    <w:rsid w:val="1FF17110"/>
    <w:rsid w:val="30ECACCD"/>
    <w:rsid w:val="366F7297"/>
    <w:rsid w:val="3748C415"/>
    <w:rsid w:val="42053928"/>
    <w:rsid w:val="44C9FA4B"/>
    <w:rsid w:val="4CF128F4"/>
    <w:rsid w:val="5159E86D"/>
    <w:rsid w:val="595EFC4A"/>
    <w:rsid w:val="5E729E57"/>
    <w:rsid w:val="7178FA82"/>
    <w:rsid w:val="73D196D8"/>
    <w:rsid w:val="775CCF7B"/>
    <w:rsid w:val="7E419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2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03"/>
    <w:pPr>
      <w:spacing w:line="300" w:lineRule="atLeast"/>
    </w:pPr>
    <w:rPr>
      <w:rFonts w:ascii="Tahoma" w:hAnsi="Tahoma"/>
      <w:sz w:val="24"/>
    </w:rPr>
  </w:style>
  <w:style w:type="paragraph" w:styleId="Heading2">
    <w:name w:val="heading 2"/>
    <w:aliases w:val="Heading 2 Char1,Heading 2 Char Char"/>
    <w:basedOn w:val="Normal"/>
    <w:next w:val="Heading3"/>
    <w:link w:val="Heading2Char"/>
    <w:qFormat/>
    <w:rsid w:val="00937CFA"/>
    <w:pPr>
      <w:keepNext/>
      <w:spacing w:before="120" w:after="120" w:line="240" w:lineRule="auto"/>
      <w:outlineLvl w:val="1"/>
    </w:pPr>
    <w:rPr>
      <w:rFonts w:ascii="Arial" w:eastAsia="SimSun" w:hAnsi="Arial" w:cs="Times New Roman"/>
      <w:b/>
      <w:smallCaps/>
      <w:sz w:val="28"/>
      <w:szCs w:val="20"/>
      <w:lang w:val="x-none" w:eastAsia="x-none"/>
    </w:rPr>
  </w:style>
  <w:style w:type="paragraph" w:styleId="Heading3">
    <w:name w:val="heading 3"/>
    <w:basedOn w:val="Normal"/>
    <w:next w:val="Normal"/>
    <w:link w:val="Heading3Char"/>
    <w:uiPriority w:val="9"/>
    <w:semiHidden/>
    <w:unhideWhenUsed/>
    <w:qFormat/>
    <w:rsid w:val="00937CF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0547"/>
    <w:pPr>
      <w:spacing w:after="120" w:line="240" w:lineRule="auto"/>
      <w:ind w:left="720"/>
    </w:pPr>
    <w:rPr>
      <w:rFonts w:eastAsia="SimSun" w:cs="Arial"/>
      <w:szCs w:val="20"/>
    </w:rPr>
  </w:style>
  <w:style w:type="character" w:customStyle="1" w:styleId="ListParagraphChar">
    <w:name w:val="List Paragraph Char"/>
    <w:basedOn w:val="DefaultParagraphFont"/>
    <w:link w:val="ListParagraph"/>
    <w:uiPriority w:val="34"/>
    <w:locked/>
    <w:rsid w:val="00C50547"/>
    <w:rPr>
      <w:rFonts w:ascii="Arial" w:eastAsia="SimSun" w:hAnsi="Arial" w:cs="Arial"/>
      <w:szCs w:val="20"/>
    </w:rPr>
  </w:style>
  <w:style w:type="character" w:styleId="Hyperlink">
    <w:name w:val="Hyperlink"/>
    <w:uiPriority w:val="99"/>
    <w:rsid w:val="00905DCA"/>
    <w:rPr>
      <w:color w:val="0000FF"/>
      <w:u w:val="single"/>
    </w:rPr>
  </w:style>
  <w:style w:type="table" w:styleId="TableGrid">
    <w:name w:val="Table Grid"/>
    <w:basedOn w:val="TableNormal"/>
    <w:uiPriority w:val="39"/>
    <w:rsid w:val="00905DCA"/>
    <w:pPr>
      <w:spacing w:after="0" w:line="240" w:lineRule="auto"/>
    </w:pPr>
    <w:rPr>
      <w:rFonts w:ascii="Arial" w:eastAsia="SimSu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6250"/>
    <w:rPr>
      <w:sz w:val="16"/>
      <w:szCs w:val="16"/>
    </w:rPr>
  </w:style>
  <w:style w:type="paragraph" w:styleId="CommentText">
    <w:name w:val="annotation text"/>
    <w:basedOn w:val="Normal"/>
    <w:link w:val="CommentTextChar"/>
    <w:uiPriority w:val="99"/>
    <w:unhideWhenUsed/>
    <w:rsid w:val="00F16250"/>
    <w:pPr>
      <w:spacing w:line="240" w:lineRule="auto"/>
    </w:pPr>
    <w:rPr>
      <w:sz w:val="20"/>
      <w:szCs w:val="20"/>
    </w:rPr>
  </w:style>
  <w:style w:type="character" w:customStyle="1" w:styleId="CommentTextChar">
    <w:name w:val="Comment Text Char"/>
    <w:basedOn w:val="DefaultParagraphFont"/>
    <w:link w:val="CommentText"/>
    <w:uiPriority w:val="99"/>
    <w:rsid w:val="00F162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6250"/>
    <w:rPr>
      <w:b/>
      <w:bCs/>
    </w:rPr>
  </w:style>
  <w:style w:type="character" w:customStyle="1" w:styleId="CommentSubjectChar">
    <w:name w:val="Comment Subject Char"/>
    <w:basedOn w:val="CommentTextChar"/>
    <w:link w:val="CommentSubject"/>
    <w:uiPriority w:val="99"/>
    <w:semiHidden/>
    <w:rsid w:val="00F16250"/>
    <w:rPr>
      <w:rFonts w:ascii="Arial" w:hAnsi="Arial"/>
      <w:b/>
      <w:bCs/>
      <w:sz w:val="20"/>
      <w:szCs w:val="20"/>
    </w:rPr>
  </w:style>
  <w:style w:type="character" w:customStyle="1" w:styleId="Heading2Char">
    <w:name w:val="Heading 2 Char"/>
    <w:aliases w:val="Heading 2 Char1 Char,Heading 2 Char Char Char"/>
    <w:basedOn w:val="DefaultParagraphFont"/>
    <w:link w:val="Heading2"/>
    <w:rsid w:val="00937CFA"/>
    <w:rPr>
      <w:rFonts w:ascii="Arial" w:eastAsia="SimSun" w:hAnsi="Arial" w:cs="Times New Roman"/>
      <w:b/>
      <w:smallCaps/>
      <w:sz w:val="28"/>
      <w:szCs w:val="20"/>
      <w:lang w:val="x-none" w:eastAsia="x-none"/>
    </w:rPr>
  </w:style>
  <w:style w:type="character" w:customStyle="1" w:styleId="Heading3Char">
    <w:name w:val="Heading 3 Char"/>
    <w:basedOn w:val="DefaultParagraphFont"/>
    <w:link w:val="Heading3"/>
    <w:uiPriority w:val="9"/>
    <w:semiHidden/>
    <w:rsid w:val="00937CF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61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221"/>
    <w:rPr>
      <w:rFonts w:ascii="Tahoma" w:hAnsi="Tahoma"/>
      <w:sz w:val="24"/>
    </w:rPr>
  </w:style>
  <w:style w:type="paragraph" w:styleId="Footer">
    <w:name w:val="footer"/>
    <w:basedOn w:val="Normal"/>
    <w:link w:val="FooterChar"/>
    <w:uiPriority w:val="99"/>
    <w:unhideWhenUsed/>
    <w:rsid w:val="00061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221"/>
    <w:rPr>
      <w:rFonts w:ascii="Tahoma" w:hAnsi="Tahoma"/>
      <w:sz w:val="24"/>
    </w:rPr>
  </w:style>
  <w:style w:type="character" w:styleId="UnresolvedMention">
    <w:name w:val="Unresolved Mention"/>
    <w:basedOn w:val="DefaultParagraphFont"/>
    <w:uiPriority w:val="99"/>
    <w:semiHidden/>
    <w:unhideWhenUsed/>
    <w:rsid w:val="00837F09"/>
    <w:rPr>
      <w:color w:val="605E5C"/>
      <w:shd w:val="clear" w:color="auto" w:fill="E1DFDD"/>
    </w:rPr>
  </w:style>
  <w:style w:type="paragraph" w:styleId="Revision">
    <w:name w:val="Revision"/>
    <w:hidden/>
    <w:uiPriority w:val="99"/>
    <w:semiHidden/>
    <w:rsid w:val="00F347FC"/>
    <w:pPr>
      <w:spacing w:after="0" w:line="240" w:lineRule="auto"/>
    </w:pPr>
    <w:rPr>
      <w:rFonts w:ascii="Tahoma" w:hAnsi="Tahoma"/>
      <w:sz w:val="24"/>
    </w:rPr>
  </w:style>
  <w:style w:type="character" w:styleId="Mention">
    <w:name w:val="Mention"/>
    <w:basedOn w:val="DefaultParagraphFont"/>
    <w:uiPriority w:val="99"/>
    <w:unhideWhenUsed/>
    <w:rsid w:val="00D03E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mcm.caiso.com/Pages/BPMDetails.aspx?BPM=Definitions%20and%20Acrony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pmcm.caiso.com/Pages/BPMDetails.aspx?BPM=Definitions%20and%20Acronym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energy.ca.gov/funding-opportunities/funding-resources/ecams-resources/budget-category-guidance" TargetMode="External"/><Relationship Id="rId4" Type="http://schemas.openxmlformats.org/officeDocument/2006/relationships/webSettings" Target="webSettings.xml"/><Relationship Id="rId9" Type="http://schemas.openxmlformats.org/officeDocument/2006/relationships/hyperlink" Target="https://bpmcm.caiso.com/Pages/BPMDetails.aspx?BPM=Definitions%20and%20Acronym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F3368C-2FA5-4471-8956-703BD210C5D6}"/>
</file>

<file path=customXml/itemProps2.xml><?xml version="1.0" encoding="utf-8"?>
<ds:datastoreItem xmlns:ds="http://schemas.openxmlformats.org/officeDocument/2006/customXml" ds:itemID="{49C55C69-A26A-4335-A021-8AAAB75781FA}"/>
</file>

<file path=customXml/itemProps3.xml><?xml version="1.0" encoding="utf-8"?>
<ds:datastoreItem xmlns:ds="http://schemas.openxmlformats.org/officeDocument/2006/customXml" ds:itemID="{11A1524B-50FE-41B9-8833-24A1275FDF8F}"/>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2024-01-26T01:02:00Z</dcterms:created>
  <dcterms:modified xsi:type="dcterms:W3CDTF">2024-01-26T01:02:00Z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