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B51B6" w14:textId="77777777" w:rsidR="001329C4" w:rsidRPr="001604CE" w:rsidRDefault="001329C4" w:rsidP="00BE30AE">
      <w:pPr>
        <w:spacing w:after="120"/>
        <w:jc w:val="center"/>
        <w:rPr>
          <w:rFonts w:ascii="Arial" w:hAnsi="Arial" w:cs="Arial"/>
          <w:b/>
          <w:bCs/>
          <w:sz w:val="28"/>
          <w:szCs w:val="28"/>
        </w:rPr>
      </w:pPr>
      <w:r w:rsidRPr="001604CE">
        <w:rPr>
          <w:rFonts w:ascii="Arial" w:hAnsi="Arial" w:cs="Arial"/>
          <w:b/>
          <w:bCs/>
          <w:sz w:val="28"/>
          <w:szCs w:val="28"/>
        </w:rPr>
        <w:t>Questions and Answers</w:t>
      </w:r>
    </w:p>
    <w:p w14:paraId="617A80AB" w14:textId="77777777" w:rsidR="001329C4" w:rsidRPr="001604CE" w:rsidRDefault="001329C4" w:rsidP="00BE30AE">
      <w:pPr>
        <w:spacing w:after="120"/>
        <w:jc w:val="center"/>
        <w:rPr>
          <w:rFonts w:ascii="Arial" w:hAnsi="Arial" w:cs="Arial"/>
          <w:sz w:val="24"/>
          <w:szCs w:val="24"/>
        </w:rPr>
      </w:pPr>
      <w:r w:rsidRPr="001604CE">
        <w:rPr>
          <w:rFonts w:ascii="Arial" w:hAnsi="Arial" w:cs="Arial"/>
          <w:sz w:val="24"/>
          <w:szCs w:val="24"/>
        </w:rPr>
        <w:t>GFO-23-306</w:t>
      </w:r>
    </w:p>
    <w:p w14:paraId="33A6F9E3" w14:textId="77777777" w:rsidR="001329C4" w:rsidRPr="001604CE" w:rsidRDefault="001329C4" w:rsidP="00BE30AE">
      <w:pPr>
        <w:spacing w:after="120"/>
        <w:jc w:val="center"/>
        <w:rPr>
          <w:rFonts w:ascii="Arial" w:hAnsi="Arial" w:cs="Arial"/>
          <w:sz w:val="24"/>
          <w:szCs w:val="24"/>
        </w:rPr>
      </w:pPr>
      <w:r w:rsidRPr="001604CE">
        <w:rPr>
          <w:rFonts w:ascii="Arial" w:hAnsi="Arial" w:cs="Arial"/>
          <w:sz w:val="24"/>
          <w:szCs w:val="24"/>
        </w:rPr>
        <w:t>Grid-Supportive Transportation Electrification</w:t>
      </w:r>
    </w:p>
    <w:p w14:paraId="27CD442C" w14:textId="1EDDD848" w:rsidR="001329C4" w:rsidRDefault="00D01D7D" w:rsidP="00BE30AE">
      <w:pPr>
        <w:spacing w:after="120"/>
        <w:jc w:val="center"/>
        <w:rPr>
          <w:rFonts w:ascii="Arial" w:hAnsi="Arial" w:cs="Arial"/>
        </w:rPr>
      </w:pPr>
      <w:r>
        <w:rPr>
          <w:rFonts w:ascii="Arial" w:hAnsi="Arial" w:cs="Arial"/>
        </w:rPr>
        <w:t xml:space="preserve">March </w:t>
      </w:r>
      <w:r w:rsidR="00660FD6">
        <w:rPr>
          <w:rFonts w:ascii="Arial" w:hAnsi="Arial" w:cs="Arial"/>
        </w:rPr>
        <w:t>7</w:t>
      </w:r>
      <w:r w:rsidR="001329C4" w:rsidRPr="00BE30AE">
        <w:rPr>
          <w:rFonts w:ascii="Arial" w:hAnsi="Arial" w:cs="Arial"/>
        </w:rPr>
        <w:t>,</w:t>
      </w:r>
      <w:r w:rsidR="001329C4" w:rsidRPr="00165CE8">
        <w:rPr>
          <w:rFonts w:ascii="Arial" w:hAnsi="Arial" w:cs="Arial"/>
        </w:rPr>
        <w:t xml:space="preserve"> 2024</w:t>
      </w:r>
    </w:p>
    <w:p w14:paraId="0DF0DBB5" w14:textId="077AC77B" w:rsidR="00002740" w:rsidRPr="00885AA7" w:rsidRDefault="00002740" w:rsidP="00BE30AE">
      <w:pPr>
        <w:spacing w:after="120"/>
        <w:rPr>
          <w:rFonts w:ascii="Arial" w:hAnsi="Arial" w:cs="Arial"/>
        </w:rPr>
      </w:pPr>
      <w:r w:rsidRPr="19C2F19F">
        <w:rPr>
          <w:rFonts w:ascii="Arial" w:hAnsi="Arial" w:cs="Arial"/>
          <w:color w:val="000000" w:themeColor="text1"/>
        </w:rPr>
        <w:t>The most up</w:t>
      </w:r>
      <w:r w:rsidR="149E3338" w:rsidRPr="19C2F19F">
        <w:rPr>
          <w:rFonts w:ascii="Arial" w:hAnsi="Arial" w:cs="Arial"/>
          <w:color w:val="000000" w:themeColor="text1"/>
        </w:rPr>
        <w:t>-</w:t>
      </w:r>
      <w:r w:rsidRPr="19C2F19F">
        <w:rPr>
          <w:rFonts w:ascii="Arial" w:hAnsi="Arial" w:cs="Arial"/>
          <w:color w:val="000000" w:themeColor="text1"/>
        </w:rPr>
        <w:t>to</w:t>
      </w:r>
      <w:r w:rsidR="0F930C49" w:rsidRPr="19C2F19F">
        <w:rPr>
          <w:rFonts w:ascii="Arial" w:hAnsi="Arial" w:cs="Arial"/>
          <w:color w:val="000000" w:themeColor="text1"/>
        </w:rPr>
        <w:t>-</w:t>
      </w:r>
      <w:r w:rsidRPr="19C2F19F">
        <w:rPr>
          <w:rFonts w:ascii="Arial" w:hAnsi="Arial" w:cs="Arial"/>
          <w:color w:val="000000" w:themeColor="text1"/>
        </w:rPr>
        <w:t>date solicitation documents (including the solicitation manual) are available at the solicitation webpage:</w:t>
      </w:r>
      <w:r w:rsidR="00885AA7" w:rsidRPr="19C2F19F">
        <w:rPr>
          <w:rFonts w:ascii="Arial" w:hAnsi="Arial" w:cs="Arial"/>
          <w:color w:val="000000" w:themeColor="text1"/>
        </w:rPr>
        <w:t xml:space="preserve"> </w:t>
      </w:r>
      <w:hyperlink r:id="rId8">
        <w:r w:rsidR="00885AA7" w:rsidRPr="19C2F19F">
          <w:rPr>
            <w:rStyle w:val="Hyperlink"/>
            <w:rFonts w:ascii="Arial" w:hAnsi="Arial" w:cs="Arial"/>
          </w:rPr>
          <w:t>GFO-23-306 - Grid-Supportive Transportation Electrification</w:t>
        </w:r>
      </w:hyperlink>
    </w:p>
    <w:p w14:paraId="08BD0323" w14:textId="7088CB33" w:rsidR="001329C4" w:rsidRDefault="001329C4" w:rsidP="00BE30AE">
      <w:pPr>
        <w:spacing w:after="120"/>
        <w:rPr>
          <w:rFonts w:ascii="Arial" w:hAnsi="Arial" w:cs="Arial"/>
        </w:rPr>
      </w:pPr>
      <w:r w:rsidRPr="00165CE8">
        <w:rPr>
          <w:rFonts w:ascii="Arial" w:hAnsi="Arial" w:cs="Arial"/>
        </w:rPr>
        <w:t>The following answers are based on California Energy Commission (CEC) staff’s interpretation of the questions received. It is the Applicant’s responsibility to review the purpose of the solicitation and to determine whether their proposed project is eligible for funding by reviewing the Eligibility Requirements within the solicitation. The CEC cannot give advice as to whether a particular project is eligible for funding because not all proposal details are known.</w:t>
      </w:r>
    </w:p>
    <w:p w14:paraId="5933663D" w14:textId="599BFE0A" w:rsidR="00B879C3" w:rsidRDefault="00B879C3" w:rsidP="00BE30AE">
      <w:pPr>
        <w:spacing w:after="120"/>
        <w:rPr>
          <w:rFonts w:ascii="Arial" w:hAnsi="Arial" w:cs="Arial"/>
        </w:rPr>
      </w:pPr>
      <w:r w:rsidRPr="00B879C3">
        <w:rPr>
          <w:rFonts w:ascii="Arial" w:hAnsi="Arial" w:cs="Arial"/>
        </w:rPr>
        <w:t xml:space="preserve">Unless indicated otherwise, all section numbers identified are from the solicitation manual (for example, “Section II.B” refers to Section II.B of the </w:t>
      </w:r>
      <w:r>
        <w:rPr>
          <w:rFonts w:ascii="Arial" w:hAnsi="Arial" w:cs="Arial"/>
        </w:rPr>
        <w:t>S</w:t>
      </w:r>
      <w:r w:rsidRPr="00B879C3">
        <w:rPr>
          <w:rFonts w:ascii="Arial" w:hAnsi="Arial" w:cs="Arial"/>
        </w:rPr>
        <w:t xml:space="preserve">olicitation </w:t>
      </w:r>
      <w:r>
        <w:rPr>
          <w:rFonts w:ascii="Arial" w:hAnsi="Arial" w:cs="Arial"/>
        </w:rPr>
        <w:t>M</w:t>
      </w:r>
      <w:r w:rsidRPr="00B879C3">
        <w:rPr>
          <w:rFonts w:ascii="Arial" w:hAnsi="Arial" w:cs="Arial"/>
        </w:rPr>
        <w:t>anual). The solicitation manual is Attachment 00 found on the webpage linked above.</w:t>
      </w:r>
    </w:p>
    <w:p w14:paraId="66A0177B" w14:textId="777DE580" w:rsidR="00842436" w:rsidRPr="00B5453B" w:rsidRDefault="00842436" w:rsidP="00BE30AE">
      <w:pPr>
        <w:pStyle w:val="Heading1"/>
        <w:spacing w:before="0" w:after="120"/>
        <w:jc w:val="center"/>
        <w:rPr>
          <w:rFonts w:ascii="Arial" w:hAnsi="Arial" w:cs="Arial"/>
          <w:b/>
          <w:sz w:val="24"/>
          <w:szCs w:val="24"/>
          <w:u w:val="single"/>
        </w:rPr>
      </w:pPr>
      <w:r w:rsidRPr="00B5453B">
        <w:rPr>
          <w:rFonts w:ascii="Arial" w:hAnsi="Arial" w:cs="Arial"/>
          <w:b/>
          <w:bCs/>
          <w:color w:val="auto"/>
          <w:sz w:val="24"/>
          <w:szCs w:val="24"/>
          <w:u w:val="single"/>
        </w:rPr>
        <w:t xml:space="preserve">Technical Questions </w:t>
      </w:r>
    </w:p>
    <w:tbl>
      <w:tblPr>
        <w:tblStyle w:val="TableGrid"/>
        <w:tblW w:w="13675" w:type="dxa"/>
        <w:tblLook w:val="04A0" w:firstRow="1" w:lastRow="0" w:firstColumn="1" w:lastColumn="0" w:noHBand="0" w:noVBand="1"/>
      </w:tblPr>
      <w:tblGrid>
        <w:gridCol w:w="461"/>
        <w:gridCol w:w="4560"/>
        <w:gridCol w:w="8654"/>
      </w:tblGrid>
      <w:tr w:rsidR="00F058ED" w14:paraId="1A00AE3C" w14:textId="77777777" w:rsidTr="009D649D">
        <w:trPr>
          <w:trHeight w:val="300"/>
        </w:trPr>
        <w:tc>
          <w:tcPr>
            <w:tcW w:w="461" w:type="dxa"/>
          </w:tcPr>
          <w:p w14:paraId="4974B76D" w14:textId="3D646780" w:rsidR="00F058ED" w:rsidRPr="00002740" w:rsidRDefault="00F058ED" w:rsidP="00BE30AE">
            <w:pPr>
              <w:spacing w:after="120"/>
              <w:rPr>
                <w:rFonts w:ascii="Arial" w:hAnsi="Arial" w:cs="Arial"/>
                <w:b/>
                <w:bCs/>
              </w:rPr>
            </w:pPr>
            <w:r w:rsidRPr="00002740">
              <w:rPr>
                <w:rFonts w:ascii="Arial" w:hAnsi="Arial" w:cs="Arial"/>
                <w:b/>
                <w:bCs/>
              </w:rPr>
              <w:t>#</w:t>
            </w:r>
          </w:p>
        </w:tc>
        <w:tc>
          <w:tcPr>
            <w:tcW w:w="4560" w:type="dxa"/>
          </w:tcPr>
          <w:p w14:paraId="1DADA977" w14:textId="31FF4F24" w:rsidR="00F058ED" w:rsidRPr="00002740" w:rsidRDefault="00F058ED" w:rsidP="00BE30AE">
            <w:pPr>
              <w:spacing w:after="120"/>
              <w:rPr>
                <w:rFonts w:ascii="Arial" w:hAnsi="Arial" w:cs="Arial"/>
                <w:b/>
                <w:bCs/>
              </w:rPr>
            </w:pPr>
            <w:r w:rsidRPr="00002740">
              <w:rPr>
                <w:rFonts w:ascii="Arial" w:hAnsi="Arial" w:cs="Arial"/>
                <w:b/>
                <w:bCs/>
              </w:rPr>
              <w:t>Question</w:t>
            </w:r>
          </w:p>
        </w:tc>
        <w:tc>
          <w:tcPr>
            <w:tcW w:w="8654" w:type="dxa"/>
          </w:tcPr>
          <w:p w14:paraId="2A4AFE0B" w14:textId="31302E62" w:rsidR="00F058ED" w:rsidRPr="00002740" w:rsidRDefault="00002740" w:rsidP="00BE30AE">
            <w:pPr>
              <w:spacing w:after="120"/>
              <w:rPr>
                <w:rFonts w:ascii="Arial" w:hAnsi="Arial" w:cs="Arial"/>
                <w:b/>
                <w:bCs/>
              </w:rPr>
            </w:pPr>
            <w:r w:rsidRPr="00002740">
              <w:rPr>
                <w:rFonts w:ascii="Arial" w:hAnsi="Arial" w:cs="Arial"/>
                <w:b/>
                <w:bCs/>
              </w:rPr>
              <w:t>CEC Response</w:t>
            </w:r>
          </w:p>
        </w:tc>
      </w:tr>
      <w:tr w:rsidR="00F058ED" w14:paraId="3865EB2D" w14:textId="77777777" w:rsidTr="009D649D">
        <w:trPr>
          <w:trHeight w:val="300"/>
        </w:trPr>
        <w:tc>
          <w:tcPr>
            <w:tcW w:w="461" w:type="dxa"/>
          </w:tcPr>
          <w:p w14:paraId="2728FD27" w14:textId="78348030" w:rsidR="00F058ED" w:rsidRDefault="00B726E9" w:rsidP="00BE30AE">
            <w:pPr>
              <w:spacing w:after="120"/>
              <w:rPr>
                <w:rFonts w:ascii="Arial" w:hAnsi="Arial" w:cs="Arial"/>
              </w:rPr>
            </w:pPr>
            <w:r>
              <w:rPr>
                <w:rFonts w:ascii="Arial" w:hAnsi="Arial" w:cs="Arial"/>
              </w:rPr>
              <w:t>1</w:t>
            </w:r>
          </w:p>
        </w:tc>
        <w:tc>
          <w:tcPr>
            <w:tcW w:w="4560" w:type="dxa"/>
          </w:tcPr>
          <w:p w14:paraId="6A849456" w14:textId="45EE0D35" w:rsidR="00F058ED" w:rsidRDefault="00B6162A" w:rsidP="00BE30AE">
            <w:pPr>
              <w:spacing w:after="120"/>
              <w:rPr>
                <w:rFonts w:ascii="Arial" w:hAnsi="Arial" w:cs="Arial"/>
              </w:rPr>
            </w:pPr>
            <w:r w:rsidRPr="00165CE8">
              <w:rPr>
                <w:rFonts w:ascii="Arial" w:hAnsi="Arial" w:cs="Arial"/>
                <w:b/>
                <w:bCs/>
              </w:rPr>
              <w:t>What scopes of work would qualify for GFO-23-306?</w:t>
            </w:r>
            <w:r w:rsidRPr="00165CE8">
              <w:rPr>
                <w:rFonts w:ascii="Arial" w:hAnsi="Arial" w:cs="Arial"/>
              </w:rPr>
              <w:t xml:space="preserve"> </w:t>
            </w:r>
          </w:p>
        </w:tc>
        <w:tc>
          <w:tcPr>
            <w:tcW w:w="8654" w:type="dxa"/>
          </w:tcPr>
          <w:p w14:paraId="7B3B98E8" w14:textId="750582E6" w:rsidR="00F058ED" w:rsidRDefault="00B6162A" w:rsidP="00BE30AE">
            <w:pPr>
              <w:spacing w:after="120"/>
              <w:rPr>
                <w:rFonts w:ascii="Arial" w:hAnsi="Arial" w:cs="Arial"/>
              </w:rPr>
            </w:pPr>
            <w:r w:rsidRPr="00165CE8">
              <w:rPr>
                <w:rFonts w:ascii="Arial" w:hAnsi="Arial" w:cs="Arial"/>
                <w:bCs/>
              </w:rPr>
              <w:t xml:space="preserve">Applicants </w:t>
            </w:r>
            <w:r w:rsidRPr="574B980E">
              <w:rPr>
                <w:rFonts w:ascii="Arial" w:hAnsi="Arial" w:cs="Arial"/>
              </w:rPr>
              <w:t>should</w:t>
            </w:r>
            <w:r w:rsidRPr="00165CE8">
              <w:rPr>
                <w:rFonts w:ascii="Arial" w:hAnsi="Arial" w:cs="Arial"/>
                <w:bCs/>
              </w:rPr>
              <w:t xml:space="preserve"> review</w:t>
            </w:r>
            <w:r w:rsidRPr="574B980E">
              <w:rPr>
                <w:rFonts w:ascii="Arial" w:hAnsi="Arial" w:cs="Arial"/>
              </w:rPr>
              <w:t xml:space="preserve"> </w:t>
            </w:r>
            <w:r w:rsidR="003075B7" w:rsidRPr="00165CE8">
              <w:rPr>
                <w:rFonts w:ascii="Arial" w:hAnsi="Arial" w:cs="Arial"/>
                <w:bCs/>
              </w:rPr>
              <w:t xml:space="preserve">Project Focus </w:t>
            </w:r>
            <w:r w:rsidR="003075B7">
              <w:rPr>
                <w:rFonts w:ascii="Arial" w:hAnsi="Arial" w:cs="Arial"/>
                <w:bCs/>
              </w:rPr>
              <w:t>(</w:t>
            </w:r>
            <w:r>
              <w:rPr>
                <w:rFonts w:ascii="Arial" w:hAnsi="Arial" w:cs="Arial"/>
              </w:rPr>
              <w:t>Section I.C</w:t>
            </w:r>
            <w:r w:rsidR="003075B7">
              <w:rPr>
                <w:rFonts w:ascii="Arial" w:hAnsi="Arial" w:cs="Arial"/>
              </w:rPr>
              <w:t xml:space="preserve">) </w:t>
            </w:r>
            <w:r w:rsidRPr="00165CE8">
              <w:rPr>
                <w:rFonts w:ascii="Arial" w:hAnsi="Arial" w:cs="Arial"/>
                <w:bCs/>
              </w:rPr>
              <w:t xml:space="preserve">where </w:t>
            </w:r>
            <w:r>
              <w:rPr>
                <w:rFonts w:ascii="Arial" w:hAnsi="Arial" w:cs="Arial"/>
                <w:bCs/>
              </w:rPr>
              <w:t>project</w:t>
            </w:r>
            <w:r w:rsidRPr="00165CE8">
              <w:rPr>
                <w:rFonts w:ascii="Arial" w:hAnsi="Arial" w:cs="Arial"/>
                <w:bCs/>
              </w:rPr>
              <w:t xml:space="preserve"> requirements are listed to determine wh</w:t>
            </w:r>
            <w:r>
              <w:rPr>
                <w:rFonts w:ascii="Arial" w:hAnsi="Arial" w:cs="Arial"/>
                <w:bCs/>
              </w:rPr>
              <w:t>ich</w:t>
            </w:r>
            <w:r w:rsidRPr="00165CE8">
              <w:rPr>
                <w:rFonts w:ascii="Arial" w:hAnsi="Arial" w:cs="Arial"/>
                <w:bCs/>
              </w:rPr>
              <w:t xml:space="preserve"> </w:t>
            </w:r>
            <w:r>
              <w:rPr>
                <w:rFonts w:ascii="Arial" w:hAnsi="Arial" w:cs="Arial"/>
                <w:bCs/>
              </w:rPr>
              <w:t>G</w:t>
            </w:r>
            <w:r w:rsidRPr="00165CE8">
              <w:rPr>
                <w:rFonts w:ascii="Arial" w:hAnsi="Arial" w:cs="Arial"/>
                <w:bCs/>
              </w:rPr>
              <w:t>roup their</w:t>
            </w:r>
            <w:r>
              <w:rPr>
                <w:rFonts w:ascii="Arial" w:hAnsi="Arial" w:cs="Arial"/>
                <w:bCs/>
              </w:rPr>
              <w:t xml:space="preserve"> proposed</w:t>
            </w:r>
            <w:r w:rsidRPr="00165CE8">
              <w:rPr>
                <w:rFonts w:ascii="Arial" w:hAnsi="Arial" w:cs="Arial"/>
                <w:bCs/>
              </w:rPr>
              <w:t xml:space="preserve"> technology</w:t>
            </w:r>
            <w:r>
              <w:rPr>
                <w:rFonts w:ascii="Arial" w:hAnsi="Arial" w:cs="Arial"/>
                <w:bCs/>
              </w:rPr>
              <w:t xml:space="preserve"> and project</w:t>
            </w:r>
            <w:r w:rsidRPr="00165CE8">
              <w:rPr>
                <w:rFonts w:ascii="Arial" w:hAnsi="Arial" w:cs="Arial"/>
                <w:bCs/>
              </w:rPr>
              <w:t xml:space="preserve"> </w:t>
            </w:r>
            <w:r>
              <w:rPr>
                <w:rFonts w:ascii="Arial" w:hAnsi="Arial" w:cs="Arial"/>
                <w:bCs/>
              </w:rPr>
              <w:t>best responds to</w:t>
            </w:r>
            <w:r w:rsidRPr="00165CE8">
              <w:rPr>
                <w:rFonts w:ascii="Arial" w:hAnsi="Arial" w:cs="Arial"/>
                <w:bCs/>
              </w:rPr>
              <w:t xml:space="preserve">. </w:t>
            </w:r>
            <w:r w:rsidRPr="00165CE8">
              <w:rPr>
                <w:rFonts w:ascii="Arial" w:hAnsi="Arial" w:cs="Arial"/>
              </w:rPr>
              <w:t xml:space="preserve">Applicants are required to </w:t>
            </w:r>
            <w:r>
              <w:rPr>
                <w:rFonts w:ascii="Arial" w:hAnsi="Arial" w:cs="Arial"/>
              </w:rPr>
              <w:t>submit a</w:t>
            </w:r>
            <w:r w:rsidRPr="00165CE8">
              <w:rPr>
                <w:rFonts w:ascii="Arial" w:hAnsi="Arial" w:cs="Arial"/>
              </w:rPr>
              <w:t xml:space="preserve"> </w:t>
            </w:r>
            <w:r>
              <w:rPr>
                <w:rFonts w:ascii="Arial" w:hAnsi="Arial" w:cs="Arial"/>
              </w:rPr>
              <w:t>S</w:t>
            </w:r>
            <w:r w:rsidRPr="00165CE8">
              <w:rPr>
                <w:rFonts w:ascii="Arial" w:hAnsi="Arial" w:cs="Arial"/>
              </w:rPr>
              <w:t xml:space="preserve">cope of </w:t>
            </w:r>
            <w:r>
              <w:rPr>
                <w:rFonts w:ascii="Arial" w:hAnsi="Arial" w:cs="Arial"/>
              </w:rPr>
              <w:t>W</w:t>
            </w:r>
            <w:r w:rsidRPr="00165CE8">
              <w:rPr>
                <w:rFonts w:ascii="Arial" w:hAnsi="Arial" w:cs="Arial"/>
              </w:rPr>
              <w:t>ork (</w:t>
            </w:r>
            <w:r w:rsidRPr="4E94E153">
              <w:rPr>
                <w:rFonts w:ascii="Arial" w:hAnsi="Arial" w:cs="Arial"/>
              </w:rPr>
              <w:t>Attachment</w:t>
            </w:r>
            <w:r w:rsidRPr="00165CE8">
              <w:rPr>
                <w:rFonts w:ascii="Arial" w:hAnsi="Arial" w:cs="Arial"/>
              </w:rPr>
              <w:t xml:space="preserve"> 4) for their project that meet</w:t>
            </w:r>
            <w:r w:rsidR="00280C13">
              <w:rPr>
                <w:rFonts w:ascii="Arial" w:hAnsi="Arial" w:cs="Arial"/>
              </w:rPr>
              <w:t>s</w:t>
            </w:r>
            <w:r w:rsidRPr="00165CE8">
              <w:rPr>
                <w:rFonts w:ascii="Arial" w:hAnsi="Arial" w:cs="Arial"/>
              </w:rPr>
              <w:t xml:space="preserve"> </w:t>
            </w:r>
            <w:r>
              <w:rPr>
                <w:rFonts w:ascii="Arial" w:hAnsi="Arial" w:cs="Arial"/>
              </w:rPr>
              <w:t>the</w:t>
            </w:r>
            <w:r w:rsidRPr="00165CE8">
              <w:rPr>
                <w:rFonts w:ascii="Arial" w:hAnsi="Arial" w:cs="Arial"/>
              </w:rPr>
              <w:t xml:space="preserve"> project requirements outlined in the </w:t>
            </w:r>
            <w:r>
              <w:rPr>
                <w:rFonts w:ascii="Arial" w:hAnsi="Arial" w:cs="Arial"/>
              </w:rPr>
              <w:t>S</w:t>
            </w:r>
            <w:r w:rsidRPr="00165CE8">
              <w:rPr>
                <w:rFonts w:ascii="Arial" w:hAnsi="Arial" w:cs="Arial"/>
              </w:rPr>
              <w:t xml:space="preserve">olicitation </w:t>
            </w:r>
            <w:r>
              <w:rPr>
                <w:rFonts w:ascii="Arial" w:hAnsi="Arial" w:cs="Arial"/>
              </w:rPr>
              <w:t>M</w:t>
            </w:r>
            <w:r w:rsidRPr="00165CE8">
              <w:rPr>
                <w:rFonts w:ascii="Arial" w:hAnsi="Arial" w:cs="Arial"/>
              </w:rPr>
              <w:t xml:space="preserve">anual. </w:t>
            </w:r>
          </w:p>
        </w:tc>
      </w:tr>
      <w:tr w:rsidR="008B3D8A" w14:paraId="2DB6E415" w14:textId="77777777" w:rsidTr="009D649D">
        <w:trPr>
          <w:trHeight w:val="300"/>
        </w:trPr>
        <w:tc>
          <w:tcPr>
            <w:tcW w:w="461" w:type="dxa"/>
          </w:tcPr>
          <w:p w14:paraId="25BFD51A" w14:textId="4154CC61" w:rsidR="008B3D8A" w:rsidRDefault="00E567B4" w:rsidP="00BE30AE">
            <w:pPr>
              <w:spacing w:after="120"/>
              <w:rPr>
                <w:rFonts w:ascii="Arial" w:hAnsi="Arial" w:cs="Arial"/>
              </w:rPr>
            </w:pPr>
            <w:r>
              <w:rPr>
                <w:rFonts w:ascii="Arial" w:hAnsi="Arial" w:cs="Arial"/>
              </w:rPr>
              <w:t>2</w:t>
            </w:r>
          </w:p>
        </w:tc>
        <w:tc>
          <w:tcPr>
            <w:tcW w:w="4560" w:type="dxa"/>
          </w:tcPr>
          <w:p w14:paraId="4B5F1D24" w14:textId="4A7FC6CC" w:rsidR="008B3D8A" w:rsidRDefault="00875420" w:rsidP="00BE30AE">
            <w:pPr>
              <w:spacing w:after="120"/>
              <w:rPr>
                <w:rFonts w:ascii="Arial" w:hAnsi="Arial" w:cs="Arial"/>
              </w:rPr>
            </w:pPr>
            <w:r w:rsidRPr="00D927DB">
              <w:rPr>
                <w:rFonts w:ascii="Arial" w:hAnsi="Arial" w:cs="Arial"/>
                <w:b/>
                <w:bCs/>
                <w:color w:val="000000"/>
              </w:rPr>
              <w:t>Can the CEC share more details behind V2G inclusion in Group 1? Are there specific types of distribution constraints that you see V2G being used to address? V2G could alleviate stress on a specific substation (compared to a local transformer or feeder), but not sure how an applicant would identify such a location ahead of this grant application.</w:t>
            </w:r>
          </w:p>
        </w:tc>
        <w:tc>
          <w:tcPr>
            <w:tcW w:w="8654" w:type="dxa"/>
          </w:tcPr>
          <w:p w14:paraId="1AEDBEA1" w14:textId="38183A77" w:rsidR="008B3D8A" w:rsidRDefault="00875420" w:rsidP="00BE30AE">
            <w:pPr>
              <w:spacing w:after="120"/>
              <w:rPr>
                <w:rFonts w:ascii="Arial" w:hAnsi="Arial" w:cs="Arial"/>
              </w:rPr>
            </w:pPr>
            <w:r w:rsidRPr="22E269BB">
              <w:rPr>
                <w:rFonts w:ascii="Arial" w:hAnsi="Arial" w:cs="Arial"/>
              </w:rPr>
              <w:t xml:space="preserve">For Group 1, </w:t>
            </w:r>
            <w:r w:rsidR="00501BE8" w:rsidRPr="22E269BB">
              <w:rPr>
                <w:rFonts w:ascii="Arial" w:hAnsi="Arial" w:cs="Arial"/>
              </w:rPr>
              <w:t>vehicle-to-building (</w:t>
            </w:r>
            <w:r w:rsidRPr="22E269BB">
              <w:rPr>
                <w:rFonts w:ascii="Arial" w:hAnsi="Arial" w:cs="Arial"/>
              </w:rPr>
              <w:t>V2B</w:t>
            </w:r>
            <w:r w:rsidR="00501BE8" w:rsidRPr="22E269BB">
              <w:rPr>
                <w:rFonts w:ascii="Arial" w:hAnsi="Arial" w:cs="Arial"/>
              </w:rPr>
              <w:t>)</w:t>
            </w:r>
            <w:r w:rsidRPr="22E269BB">
              <w:rPr>
                <w:rFonts w:ascii="Arial" w:hAnsi="Arial" w:cs="Arial"/>
              </w:rPr>
              <w:t xml:space="preserve"> and/or</w:t>
            </w:r>
            <w:r w:rsidR="00501BE8" w:rsidRPr="22E269BB">
              <w:rPr>
                <w:rFonts w:ascii="Arial" w:hAnsi="Arial" w:cs="Arial"/>
              </w:rPr>
              <w:t xml:space="preserve"> vehicle-to-grid (</w:t>
            </w:r>
            <w:r w:rsidRPr="22E269BB">
              <w:rPr>
                <w:rFonts w:ascii="Arial" w:hAnsi="Arial" w:cs="Arial"/>
              </w:rPr>
              <w:t>V2G</w:t>
            </w:r>
            <w:r w:rsidR="00501BE8" w:rsidRPr="22E269BB">
              <w:rPr>
                <w:rFonts w:ascii="Arial" w:hAnsi="Arial" w:cs="Arial"/>
              </w:rPr>
              <w:t>)</w:t>
            </w:r>
            <w:r w:rsidRPr="22E269BB">
              <w:rPr>
                <w:rFonts w:ascii="Arial" w:hAnsi="Arial" w:cs="Arial"/>
              </w:rPr>
              <w:t xml:space="preserve"> </w:t>
            </w:r>
            <w:r w:rsidR="485B701A" w:rsidRPr="22E269BB">
              <w:rPr>
                <w:rFonts w:ascii="Arial" w:hAnsi="Arial" w:cs="Arial"/>
              </w:rPr>
              <w:t xml:space="preserve">projects </w:t>
            </w:r>
            <w:r w:rsidRPr="22E269BB">
              <w:rPr>
                <w:rFonts w:ascii="Arial" w:hAnsi="Arial" w:cs="Arial"/>
              </w:rPr>
              <w:t>could reduce peak load</w:t>
            </w:r>
            <w:r w:rsidR="00821581" w:rsidRPr="22E269BB">
              <w:rPr>
                <w:rFonts w:ascii="Arial" w:hAnsi="Arial" w:cs="Arial"/>
              </w:rPr>
              <w:t>,</w:t>
            </w:r>
            <w:r w:rsidRPr="22E269BB">
              <w:rPr>
                <w:rFonts w:ascii="Arial" w:hAnsi="Arial" w:cs="Arial"/>
              </w:rPr>
              <w:t xml:space="preserve"> increase the effective capacity of the distribution grid by using energy from the electric vehicle to power home or local (neighboring) loads</w:t>
            </w:r>
            <w:r w:rsidR="00821581" w:rsidRPr="22E269BB">
              <w:rPr>
                <w:rFonts w:ascii="Arial" w:hAnsi="Arial" w:cs="Arial"/>
              </w:rPr>
              <w:t>,</w:t>
            </w:r>
            <w:r w:rsidRPr="22E269BB">
              <w:rPr>
                <w:rFonts w:ascii="Arial" w:hAnsi="Arial" w:cs="Arial"/>
              </w:rPr>
              <w:t xml:space="preserve"> regulate voltage levels especially in areas with high levels of connected solar photovoltaics</w:t>
            </w:r>
            <w:r w:rsidR="00821581" w:rsidRPr="22E269BB">
              <w:rPr>
                <w:rFonts w:ascii="Arial" w:hAnsi="Arial" w:cs="Arial"/>
              </w:rPr>
              <w:t xml:space="preserve">, </w:t>
            </w:r>
            <w:r w:rsidR="62339E73" w:rsidRPr="22E269BB">
              <w:rPr>
                <w:rFonts w:ascii="Arial" w:hAnsi="Arial" w:cs="Arial"/>
              </w:rPr>
              <w:t>or provide other benefits</w:t>
            </w:r>
            <w:r w:rsidR="00FC4633" w:rsidRPr="22E269BB">
              <w:rPr>
                <w:rFonts w:ascii="Arial" w:hAnsi="Arial" w:cs="Arial"/>
              </w:rPr>
              <w:t>.</w:t>
            </w:r>
            <w:r w:rsidRPr="22E269BB">
              <w:rPr>
                <w:rFonts w:ascii="Arial" w:hAnsi="Arial" w:cs="Arial"/>
              </w:rPr>
              <w:t xml:space="preserve"> Applicants are encouraged to engage relevant stakeholders (utilities, grid operators, regulators, energy consultants, etc.) knowledgeable about locations facing grid constraints or prone to outages.</w:t>
            </w:r>
          </w:p>
        </w:tc>
      </w:tr>
      <w:tr w:rsidR="008B3D8A" w14:paraId="1BF32E01" w14:textId="77777777" w:rsidTr="009D649D">
        <w:trPr>
          <w:trHeight w:val="300"/>
        </w:trPr>
        <w:tc>
          <w:tcPr>
            <w:tcW w:w="461" w:type="dxa"/>
          </w:tcPr>
          <w:p w14:paraId="65BAA7C4" w14:textId="78763181" w:rsidR="008B3D8A" w:rsidRDefault="00E567B4" w:rsidP="00BE30AE">
            <w:pPr>
              <w:spacing w:after="120"/>
              <w:rPr>
                <w:rFonts w:ascii="Arial" w:hAnsi="Arial" w:cs="Arial"/>
              </w:rPr>
            </w:pPr>
            <w:r>
              <w:rPr>
                <w:rFonts w:ascii="Arial" w:hAnsi="Arial" w:cs="Arial"/>
              </w:rPr>
              <w:t>3</w:t>
            </w:r>
          </w:p>
        </w:tc>
        <w:tc>
          <w:tcPr>
            <w:tcW w:w="4560" w:type="dxa"/>
          </w:tcPr>
          <w:p w14:paraId="44C2EF5B" w14:textId="264BDDCE" w:rsidR="008B3D8A" w:rsidRPr="001469E2" w:rsidRDefault="00FE2B45" w:rsidP="00BE30AE">
            <w:pPr>
              <w:spacing w:after="120"/>
              <w:rPr>
                <w:rFonts w:ascii="Arial" w:hAnsi="Arial" w:cs="Arial"/>
              </w:rPr>
            </w:pPr>
            <w:r w:rsidRPr="00B5453B">
              <w:rPr>
                <w:rFonts w:ascii="Arial" w:hAnsi="Arial" w:cs="Arial"/>
                <w:b/>
                <w:bCs/>
              </w:rPr>
              <w:t xml:space="preserve">Group 1, would the equipment used require UL 1741-SB certification?  If so, </w:t>
            </w:r>
            <w:r w:rsidRPr="00B5453B">
              <w:rPr>
                <w:rFonts w:ascii="Arial" w:hAnsi="Arial" w:cs="Arial"/>
                <w:b/>
                <w:bCs/>
              </w:rPr>
              <w:lastRenderedPageBreak/>
              <w:t>could project funds be used for certification?</w:t>
            </w:r>
          </w:p>
        </w:tc>
        <w:tc>
          <w:tcPr>
            <w:tcW w:w="8654" w:type="dxa"/>
          </w:tcPr>
          <w:p w14:paraId="05655825" w14:textId="56C00D87" w:rsidR="008B3D8A" w:rsidRPr="001469E2" w:rsidRDefault="00FE2B45" w:rsidP="00BE30AE">
            <w:pPr>
              <w:spacing w:after="120"/>
              <w:rPr>
                <w:rFonts w:ascii="Arial" w:hAnsi="Arial" w:cs="Arial"/>
              </w:rPr>
            </w:pPr>
            <w:r w:rsidRPr="22E269BB">
              <w:rPr>
                <w:rFonts w:ascii="Arial" w:hAnsi="Arial" w:cs="Arial"/>
              </w:rPr>
              <w:lastRenderedPageBreak/>
              <w:t xml:space="preserve">Technology developed in Group 1 is not required to be UL 1741-SB certified. </w:t>
            </w:r>
            <w:r w:rsidR="006C3107" w:rsidRPr="22E269BB">
              <w:rPr>
                <w:rFonts w:ascii="Arial" w:eastAsia="Times New Roman" w:hAnsi="Arial" w:cs="Arial"/>
              </w:rPr>
              <w:t xml:space="preserve">Technology development and testing costs associated with product readiness for </w:t>
            </w:r>
            <w:r w:rsidR="006C3107" w:rsidRPr="22E269BB">
              <w:rPr>
                <w:rFonts w:ascii="Arial" w:eastAsia="Times New Roman" w:hAnsi="Arial" w:cs="Arial"/>
              </w:rPr>
              <w:lastRenderedPageBreak/>
              <w:t>relevant certifications are eligible expenses under this solicitation</w:t>
            </w:r>
            <w:r w:rsidR="30FBF42E" w:rsidRPr="22E269BB">
              <w:rPr>
                <w:rFonts w:ascii="Arial" w:eastAsia="Times New Roman" w:hAnsi="Arial" w:cs="Arial"/>
              </w:rPr>
              <w:t>.</w:t>
            </w:r>
            <w:r w:rsidR="00F71467" w:rsidRPr="22E269BB">
              <w:rPr>
                <w:rFonts w:ascii="Arial" w:eastAsia="Times New Roman" w:hAnsi="Arial" w:cs="Arial"/>
              </w:rPr>
              <w:t xml:space="preserve"> </w:t>
            </w:r>
            <w:r w:rsidR="4C4186BD" w:rsidRPr="22E269BB">
              <w:rPr>
                <w:rFonts w:ascii="Arial" w:eastAsia="Times New Roman" w:hAnsi="Arial" w:cs="Arial"/>
              </w:rPr>
              <w:t>T</w:t>
            </w:r>
            <w:r w:rsidR="00F71467" w:rsidRPr="22E269BB">
              <w:rPr>
                <w:rFonts w:ascii="Arial" w:eastAsia="Times New Roman" w:hAnsi="Arial" w:cs="Arial"/>
              </w:rPr>
              <w:t xml:space="preserve">he </w:t>
            </w:r>
            <w:r w:rsidR="00E16208" w:rsidRPr="22E269BB">
              <w:rPr>
                <w:rFonts w:ascii="Arial" w:eastAsia="Times New Roman" w:hAnsi="Arial" w:cs="Arial"/>
              </w:rPr>
              <w:t xml:space="preserve">direct </w:t>
            </w:r>
            <w:r w:rsidR="00F71467" w:rsidRPr="22E269BB">
              <w:rPr>
                <w:rFonts w:ascii="Arial" w:eastAsia="Times New Roman" w:hAnsi="Arial" w:cs="Arial"/>
              </w:rPr>
              <w:t>cost</w:t>
            </w:r>
            <w:r w:rsidR="073FD3E0" w:rsidRPr="22E269BB">
              <w:rPr>
                <w:rFonts w:ascii="Arial" w:eastAsia="Times New Roman" w:hAnsi="Arial" w:cs="Arial"/>
              </w:rPr>
              <w:t>s</w:t>
            </w:r>
            <w:r w:rsidR="00F71467" w:rsidRPr="22E269BB">
              <w:rPr>
                <w:rFonts w:ascii="Arial" w:eastAsia="Times New Roman" w:hAnsi="Arial" w:cs="Arial"/>
              </w:rPr>
              <w:t xml:space="preserve"> </w:t>
            </w:r>
            <w:r w:rsidR="0086765D" w:rsidRPr="22E269BB">
              <w:rPr>
                <w:rFonts w:ascii="Arial" w:eastAsia="Times New Roman" w:hAnsi="Arial" w:cs="Arial"/>
              </w:rPr>
              <w:t>for the certification</w:t>
            </w:r>
            <w:r w:rsidR="1B71152C" w:rsidRPr="22E269BB">
              <w:rPr>
                <w:rFonts w:ascii="Arial" w:eastAsia="Times New Roman" w:hAnsi="Arial" w:cs="Arial"/>
              </w:rPr>
              <w:t xml:space="preserve"> would not be eligible expenses.</w:t>
            </w:r>
          </w:p>
        </w:tc>
      </w:tr>
      <w:tr w:rsidR="00FE2B45" w14:paraId="4909DB1F" w14:textId="77777777" w:rsidTr="009D649D">
        <w:trPr>
          <w:trHeight w:val="300"/>
        </w:trPr>
        <w:tc>
          <w:tcPr>
            <w:tcW w:w="461" w:type="dxa"/>
          </w:tcPr>
          <w:p w14:paraId="2F2CA938" w14:textId="4F31ED50" w:rsidR="00FE2B45" w:rsidRDefault="00E567B4" w:rsidP="00BE30AE">
            <w:pPr>
              <w:spacing w:after="120"/>
              <w:rPr>
                <w:rFonts w:ascii="Arial" w:hAnsi="Arial" w:cs="Arial"/>
              </w:rPr>
            </w:pPr>
            <w:r>
              <w:rPr>
                <w:rFonts w:ascii="Arial" w:hAnsi="Arial" w:cs="Arial"/>
              </w:rPr>
              <w:lastRenderedPageBreak/>
              <w:t>4</w:t>
            </w:r>
          </w:p>
        </w:tc>
        <w:tc>
          <w:tcPr>
            <w:tcW w:w="4560" w:type="dxa"/>
          </w:tcPr>
          <w:p w14:paraId="5F64A3A1" w14:textId="30046BE5" w:rsidR="00FE2B45" w:rsidRPr="001469E2" w:rsidRDefault="00FE2B45" w:rsidP="00BE30AE">
            <w:pPr>
              <w:spacing w:after="120"/>
              <w:rPr>
                <w:rFonts w:ascii="Arial" w:hAnsi="Arial" w:cs="Arial"/>
              </w:rPr>
            </w:pPr>
            <w:r w:rsidRPr="00B5453B">
              <w:rPr>
                <w:rFonts w:ascii="Arial" w:hAnsi="Arial" w:cs="Arial"/>
                <w:b/>
                <w:bCs/>
                <w:color w:val="000000"/>
              </w:rPr>
              <w:t>Can multiple properties [or demonstration</w:t>
            </w:r>
            <w:r w:rsidR="00D45B50">
              <w:rPr>
                <w:rFonts w:ascii="Arial" w:hAnsi="Arial" w:cs="Arial"/>
                <w:b/>
                <w:bCs/>
                <w:color w:val="000000"/>
              </w:rPr>
              <w:t xml:space="preserve"> </w:t>
            </w:r>
            <w:r w:rsidRPr="00B5453B">
              <w:rPr>
                <w:rFonts w:ascii="Arial" w:hAnsi="Arial" w:cs="Arial"/>
                <w:b/>
                <w:bCs/>
                <w:color w:val="000000"/>
              </w:rPr>
              <w:t>sites] be included in the same application for a Group 1 application?</w:t>
            </w:r>
          </w:p>
        </w:tc>
        <w:tc>
          <w:tcPr>
            <w:tcW w:w="8654" w:type="dxa"/>
          </w:tcPr>
          <w:p w14:paraId="32E652F9" w14:textId="16BED0F8" w:rsidR="00FE2B45" w:rsidRPr="001469E2" w:rsidRDefault="00FE2B45" w:rsidP="00BE30AE">
            <w:pPr>
              <w:spacing w:after="120"/>
              <w:rPr>
                <w:rFonts w:ascii="Arial" w:hAnsi="Arial" w:cs="Arial"/>
              </w:rPr>
            </w:pPr>
            <w:r w:rsidRPr="00B5453B">
              <w:rPr>
                <w:rFonts w:ascii="Arial" w:hAnsi="Arial" w:cs="Arial"/>
              </w:rPr>
              <w:t xml:space="preserve">Yes, a project can demonstrate or deploy a developed technology at multiple sites. </w:t>
            </w:r>
          </w:p>
        </w:tc>
      </w:tr>
      <w:tr w:rsidR="00FE2B45" w14:paraId="6001D8B3" w14:textId="77777777" w:rsidTr="009D649D">
        <w:trPr>
          <w:trHeight w:val="300"/>
        </w:trPr>
        <w:tc>
          <w:tcPr>
            <w:tcW w:w="461" w:type="dxa"/>
          </w:tcPr>
          <w:p w14:paraId="6D0F601F" w14:textId="3E0A92F7" w:rsidR="00FE2B45" w:rsidRDefault="00E567B4" w:rsidP="00BE30AE">
            <w:pPr>
              <w:spacing w:after="120"/>
              <w:rPr>
                <w:rFonts w:ascii="Arial" w:hAnsi="Arial" w:cs="Arial"/>
              </w:rPr>
            </w:pPr>
            <w:r>
              <w:rPr>
                <w:rFonts w:ascii="Arial" w:hAnsi="Arial" w:cs="Arial"/>
              </w:rPr>
              <w:t>5</w:t>
            </w:r>
          </w:p>
        </w:tc>
        <w:tc>
          <w:tcPr>
            <w:tcW w:w="4560" w:type="dxa"/>
          </w:tcPr>
          <w:p w14:paraId="01E787F1" w14:textId="7453D7F0" w:rsidR="00FE2B45" w:rsidRPr="001469E2" w:rsidRDefault="00993DBE" w:rsidP="00BE30AE">
            <w:pPr>
              <w:spacing w:after="120"/>
              <w:rPr>
                <w:rFonts w:ascii="Arial" w:hAnsi="Arial" w:cs="Arial"/>
              </w:rPr>
            </w:pPr>
            <w:r w:rsidRPr="00B5453B">
              <w:rPr>
                <w:rFonts w:ascii="Arial" w:hAnsi="Arial" w:cs="Arial"/>
                <w:b/>
                <w:bCs/>
                <w:color w:val="000000"/>
              </w:rPr>
              <w:t>For Group 1, how does “mitigating a distribution upgrade” need to be determined?  Does the project need to have an interconnection application submitted that has gone through utility engineering review with an upgrade need and cost specifically identified?</w:t>
            </w:r>
          </w:p>
        </w:tc>
        <w:tc>
          <w:tcPr>
            <w:tcW w:w="8654" w:type="dxa"/>
          </w:tcPr>
          <w:p w14:paraId="2A56D3A3" w14:textId="5E74FFD5" w:rsidR="00FE2B45" w:rsidRPr="001469E2" w:rsidRDefault="00993DBE" w:rsidP="00BE30AE">
            <w:pPr>
              <w:spacing w:after="120"/>
              <w:rPr>
                <w:rFonts w:ascii="Arial" w:hAnsi="Arial" w:cs="Arial"/>
              </w:rPr>
            </w:pPr>
            <w:r w:rsidRPr="00B5453B">
              <w:rPr>
                <w:rFonts w:ascii="Arial" w:hAnsi="Arial" w:cs="Arial"/>
              </w:rPr>
              <w:t>Group 1 projects are required to demonstrate technologies that beneficially and dynamically adjust the charging load limit, time, and rate based on distribution grid conditions while meeting customer driving needs</w:t>
            </w:r>
            <w:r w:rsidR="009E4A80">
              <w:rPr>
                <w:rFonts w:ascii="Arial" w:hAnsi="Arial" w:cs="Arial"/>
              </w:rPr>
              <w:t>.</w:t>
            </w:r>
            <w:r w:rsidRPr="00B5453B">
              <w:rPr>
                <w:rFonts w:ascii="Arial" w:hAnsi="Arial" w:cs="Arial"/>
              </w:rPr>
              <w:t xml:space="preserve"> Group 1 projects are not required to defer a distribution upgrade. However, proposals should describe the technology’s ability to increase utilization of existing grid infrastructure and lower customer and ratepayer costs at scale, which may include avoided costs of distribution upgrades.</w:t>
            </w:r>
          </w:p>
        </w:tc>
      </w:tr>
      <w:tr w:rsidR="00FE2B45" w14:paraId="08EDB371" w14:textId="77777777" w:rsidTr="009D649D">
        <w:trPr>
          <w:trHeight w:val="300"/>
        </w:trPr>
        <w:tc>
          <w:tcPr>
            <w:tcW w:w="461" w:type="dxa"/>
          </w:tcPr>
          <w:p w14:paraId="79872301" w14:textId="7F76D2C8" w:rsidR="00FE2B45" w:rsidRDefault="00E567B4" w:rsidP="00BE30AE">
            <w:pPr>
              <w:spacing w:after="120"/>
              <w:rPr>
                <w:rFonts w:ascii="Arial" w:hAnsi="Arial" w:cs="Arial"/>
              </w:rPr>
            </w:pPr>
            <w:r>
              <w:rPr>
                <w:rFonts w:ascii="Arial" w:hAnsi="Arial" w:cs="Arial"/>
              </w:rPr>
              <w:t>6</w:t>
            </w:r>
          </w:p>
        </w:tc>
        <w:tc>
          <w:tcPr>
            <w:tcW w:w="4560" w:type="dxa"/>
          </w:tcPr>
          <w:p w14:paraId="5056C9B5" w14:textId="7A74234F" w:rsidR="00FE2B45" w:rsidRDefault="00510979" w:rsidP="00BE30AE">
            <w:pPr>
              <w:spacing w:after="120"/>
              <w:rPr>
                <w:rFonts w:ascii="Arial" w:hAnsi="Arial" w:cs="Arial"/>
              </w:rPr>
            </w:pPr>
            <w:r w:rsidRPr="00E66346">
              <w:rPr>
                <w:rFonts w:ascii="Arial" w:eastAsia="Times New Roman" w:hAnsi="Arial" w:cs="Arial"/>
                <w:b/>
                <w:bCs/>
              </w:rPr>
              <w:t>Are school district fleets eligible project participants and site hosts for Group 1 under this solicitation?</w:t>
            </w:r>
          </w:p>
        </w:tc>
        <w:tc>
          <w:tcPr>
            <w:tcW w:w="8654" w:type="dxa"/>
          </w:tcPr>
          <w:p w14:paraId="2C8517C5" w14:textId="0FBC51C4" w:rsidR="00FE2B45" w:rsidRDefault="00510979" w:rsidP="00BE30AE">
            <w:pPr>
              <w:spacing w:after="120"/>
              <w:rPr>
                <w:rFonts w:ascii="Arial" w:hAnsi="Arial" w:cs="Arial"/>
              </w:rPr>
            </w:pPr>
            <w:r>
              <w:rPr>
                <w:rFonts w:ascii="Arial" w:eastAsia="Times New Roman" w:hAnsi="Arial" w:cs="Arial"/>
              </w:rPr>
              <w:t>Yes, school district fleets are eligible project participants and site hosts for Group 1 and are considered a commercial customer.</w:t>
            </w:r>
          </w:p>
        </w:tc>
      </w:tr>
      <w:tr w:rsidR="00510979" w14:paraId="2DFE4A2A" w14:textId="77777777" w:rsidTr="009D649D">
        <w:trPr>
          <w:trHeight w:val="300"/>
        </w:trPr>
        <w:tc>
          <w:tcPr>
            <w:tcW w:w="461" w:type="dxa"/>
          </w:tcPr>
          <w:p w14:paraId="52B51C88" w14:textId="23459E2C" w:rsidR="00510979" w:rsidRDefault="00E567B4" w:rsidP="00BE30AE">
            <w:pPr>
              <w:spacing w:after="120"/>
              <w:rPr>
                <w:rFonts w:ascii="Arial" w:hAnsi="Arial" w:cs="Arial"/>
              </w:rPr>
            </w:pPr>
            <w:r>
              <w:rPr>
                <w:rFonts w:ascii="Arial" w:hAnsi="Arial" w:cs="Arial"/>
              </w:rPr>
              <w:t>7</w:t>
            </w:r>
          </w:p>
        </w:tc>
        <w:tc>
          <w:tcPr>
            <w:tcW w:w="4560" w:type="dxa"/>
          </w:tcPr>
          <w:p w14:paraId="09147BEE" w14:textId="0CB43478" w:rsidR="00510979" w:rsidRDefault="00510979" w:rsidP="00BE30AE">
            <w:pPr>
              <w:spacing w:after="120"/>
              <w:rPr>
                <w:rFonts w:ascii="Arial" w:hAnsi="Arial" w:cs="Arial"/>
              </w:rPr>
            </w:pPr>
            <w:r w:rsidRPr="00165CE8">
              <w:rPr>
                <w:rFonts w:ascii="Arial" w:hAnsi="Arial" w:cs="Arial"/>
                <w:b/>
                <w:bCs/>
                <w:color w:val="000000"/>
              </w:rPr>
              <w:t>Does CEC have non-wires alternatives methodology which may be appropriate for this funding opportunity?</w:t>
            </w:r>
          </w:p>
        </w:tc>
        <w:tc>
          <w:tcPr>
            <w:tcW w:w="8654" w:type="dxa"/>
          </w:tcPr>
          <w:p w14:paraId="71E309DD" w14:textId="5E1B151C" w:rsidR="00510979" w:rsidRDefault="00510979" w:rsidP="00BE30AE">
            <w:pPr>
              <w:spacing w:after="120"/>
              <w:rPr>
                <w:rFonts w:ascii="Arial" w:hAnsi="Arial" w:cs="Arial"/>
              </w:rPr>
            </w:pPr>
            <w:r w:rsidRPr="22E269BB">
              <w:rPr>
                <w:rFonts w:ascii="Arial" w:hAnsi="Arial" w:cs="Arial"/>
              </w:rPr>
              <w:t>This solicitation does not require use of a specific non-wires methodology to quantify the expected value of grid upgrade deferrals for a particular innovation. Proposed projects will be evaluated based on impacts and benefits to California</w:t>
            </w:r>
            <w:r w:rsidR="008F6480">
              <w:rPr>
                <w:rFonts w:ascii="Arial" w:hAnsi="Arial" w:cs="Arial"/>
              </w:rPr>
              <w:t xml:space="preserve"> </w:t>
            </w:r>
            <w:r w:rsidR="00BA7C73">
              <w:rPr>
                <w:rFonts w:ascii="Arial" w:hAnsi="Arial" w:cs="Arial"/>
              </w:rPr>
              <w:t>Investor Owned Utilities</w:t>
            </w:r>
            <w:r w:rsidRPr="22E269BB">
              <w:rPr>
                <w:rFonts w:ascii="Arial" w:hAnsi="Arial" w:cs="Arial"/>
              </w:rPr>
              <w:t xml:space="preserve"> </w:t>
            </w:r>
            <w:r w:rsidR="00BA7C73">
              <w:rPr>
                <w:rFonts w:ascii="Arial" w:hAnsi="Arial" w:cs="Arial"/>
              </w:rPr>
              <w:t>(</w:t>
            </w:r>
            <w:r w:rsidRPr="22E269BB">
              <w:rPr>
                <w:rFonts w:ascii="Arial" w:hAnsi="Arial" w:cs="Arial"/>
              </w:rPr>
              <w:t>IOU</w:t>
            </w:r>
            <w:r w:rsidR="00BA7C73">
              <w:rPr>
                <w:rFonts w:ascii="Arial" w:hAnsi="Arial" w:cs="Arial"/>
              </w:rPr>
              <w:t>)</w:t>
            </w:r>
            <w:r w:rsidRPr="22E269BB">
              <w:rPr>
                <w:rFonts w:ascii="Arial" w:hAnsi="Arial" w:cs="Arial"/>
              </w:rPr>
              <w:t xml:space="preserve"> ratepayers and should state the timeframe, assumptions with sources, and calculations for the estimated benefits, and explain their reasonableness. Although not required, applicants are encouraged to leverage resources such as the CPUC Avoided Cost Calculator, which </w:t>
            </w:r>
            <w:r w:rsidR="651D3864" w:rsidRPr="22E269BB">
              <w:rPr>
                <w:rFonts w:ascii="Arial" w:hAnsi="Arial" w:cs="Arial"/>
              </w:rPr>
              <w:t>could be</w:t>
            </w:r>
            <w:r w:rsidRPr="22E269BB">
              <w:rPr>
                <w:rFonts w:ascii="Arial" w:hAnsi="Arial" w:cs="Arial"/>
              </w:rPr>
              <w:t xml:space="preserve"> use</w:t>
            </w:r>
            <w:r w:rsidR="7359C2F8" w:rsidRPr="22E269BB">
              <w:rPr>
                <w:rFonts w:ascii="Arial" w:hAnsi="Arial" w:cs="Arial"/>
              </w:rPr>
              <w:t>ful</w:t>
            </w:r>
            <w:r w:rsidRPr="22E269BB">
              <w:rPr>
                <w:rFonts w:ascii="Arial" w:hAnsi="Arial" w:cs="Arial"/>
              </w:rPr>
              <w:t xml:space="preserve"> to estimate avoided distribution capacity costs. </w:t>
            </w:r>
          </w:p>
        </w:tc>
      </w:tr>
      <w:tr w:rsidR="00D2657A" w14:paraId="26EBE525" w14:textId="77777777" w:rsidTr="009D649D">
        <w:trPr>
          <w:trHeight w:val="300"/>
        </w:trPr>
        <w:tc>
          <w:tcPr>
            <w:tcW w:w="461" w:type="dxa"/>
          </w:tcPr>
          <w:p w14:paraId="52B64523" w14:textId="529B4F7C" w:rsidR="00D2657A" w:rsidRDefault="00E567B4" w:rsidP="00BE30AE">
            <w:pPr>
              <w:spacing w:after="120"/>
              <w:rPr>
                <w:rFonts w:ascii="Arial" w:hAnsi="Arial" w:cs="Arial"/>
              </w:rPr>
            </w:pPr>
            <w:r>
              <w:rPr>
                <w:rFonts w:ascii="Arial" w:hAnsi="Arial" w:cs="Arial"/>
              </w:rPr>
              <w:t>8</w:t>
            </w:r>
          </w:p>
        </w:tc>
        <w:tc>
          <w:tcPr>
            <w:tcW w:w="4560" w:type="dxa"/>
          </w:tcPr>
          <w:p w14:paraId="3587201D" w14:textId="7E4EDAA6" w:rsidR="00D2657A" w:rsidRPr="00165CE8" w:rsidRDefault="00D2657A" w:rsidP="00BE30AE">
            <w:pPr>
              <w:spacing w:after="120"/>
              <w:rPr>
                <w:rFonts w:ascii="Arial" w:hAnsi="Arial" w:cs="Arial"/>
                <w:b/>
                <w:bCs/>
                <w:color w:val="000000"/>
              </w:rPr>
            </w:pPr>
            <w:r w:rsidRPr="00165CE8">
              <w:rPr>
                <w:rFonts w:ascii="Arial" w:hAnsi="Arial" w:cs="Arial"/>
                <w:b/>
                <w:bCs/>
                <w:color w:val="000000"/>
              </w:rPr>
              <w:t>[Bidirectional EVSE] require homeowners to own bidirectional-capable EVs, and it would be difficult for these EV owners to all be in the same transformer service area. Does the CEC have recommendations on [V2G projects for Group 1 given this challenge]?</w:t>
            </w:r>
            <w:r>
              <w:rPr>
                <w:rFonts w:ascii="Arial" w:hAnsi="Arial" w:cs="Arial"/>
                <w:b/>
                <w:bCs/>
                <w:color w:val="000000"/>
              </w:rPr>
              <w:t xml:space="preserve"> </w:t>
            </w:r>
          </w:p>
        </w:tc>
        <w:tc>
          <w:tcPr>
            <w:tcW w:w="8654" w:type="dxa"/>
          </w:tcPr>
          <w:p w14:paraId="1BE7CE8E" w14:textId="6557CB80" w:rsidR="00D2657A" w:rsidRPr="7AAC24A6" w:rsidRDefault="00D2657A" w:rsidP="00BE30AE">
            <w:pPr>
              <w:spacing w:after="120"/>
              <w:rPr>
                <w:rFonts w:ascii="Arial" w:hAnsi="Arial" w:cs="Arial"/>
              </w:rPr>
            </w:pPr>
            <w:r w:rsidRPr="22E269BB">
              <w:rPr>
                <w:rFonts w:ascii="Arial" w:hAnsi="Arial" w:cs="Arial"/>
              </w:rPr>
              <w:t xml:space="preserve">Projects may demonstrate dynamic management of V2B and/or V2G discharge in response to distribution grid conditions, but this is not a requirement of Group 1. </w:t>
            </w:r>
            <w:r w:rsidR="00A128A5" w:rsidRPr="22E269BB">
              <w:rPr>
                <w:rFonts w:ascii="Arial" w:hAnsi="Arial" w:cs="Arial"/>
              </w:rPr>
              <w:t>Addendum 2 has revised the Solicitation Manual</w:t>
            </w:r>
            <w:r w:rsidR="001D6CA1" w:rsidRPr="22E269BB">
              <w:rPr>
                <w:rFonts w:ascii="Arial" w:hAnsi="Arial" w:cs="Arial"/>
              </w:rPr>
              <w:t xml:space="preserve"> (Section I.C)</w:t>
            </w:r>
            <w:r w:rsidR="00A128A5" w:rsidRPr="22E269BB">
              <w:rPr>
                <w:rFonts w:ascii="Arial" w:hAnsi="Arial" w:cs="Arial"/>
              </w:rPr>
              <w:t xml:space="preserve"> to include the following, “</w:t>
            </w:r>
            <w:r w:rsidR="002032E0" w:rsidRPr="22E269BB">
              <w:rPr>
                <w:rFonts w:ascii="Arial" w:hAnsi="Arial" w:cs="Arial"/>
              </w:rPr>
              <w:t xml:space="preserve">Projects that integrate V2B/V2G management capabilities can decide the number of bidirectional-capable electric vehicles to </w:t>
            </w:r>
            <w:r w:rsidR="009202AB">
              <w:rPr>
                <w:rFonts w:ascii="Arial" w:hAnsi="Arial" w:cs="Arial"/>
              </w:rPr>
              <w:t>include in the demonstration fleet</w:t>
            </w:r>
            <w:r w:rsidR="002032E0" w:rsidRPr="22E269BB">
              <w:rPr>
                <w:rFonts w:ascii="Arial" w:hAnsi="Arial" w:cs="Arial"/>
              </w:rPr>
              <w:t xml:space="preserve"> and are not limited to a bidirectional-only demonstration fleet.</w:t>
            </w:r>
            <w:r w:rsidR="0055202D" w:rsidRPr="22E269BB">
              <w:rPr>
                <w:rFonts w:ascii="Arial" w:hAnsi="Arial" w:cs="Arial"/>
              </w:rPr>
              <w:t xml:space="preserve">” </w:t>
            </w:r>
          </w:p>
        </w:tc>
      </w:tr>
      <w:tr w:rsidR="00506EB6" w14:paraId="48579A83" w14:textId="77777777" w:rsidTr="009D649D">
        <w:trPr>
          <w:trHeight w:val="300"/>
        </w:trPr>
        <w:tc>
          <w:tcPr>
            <w:tcW w:w="461" w:type="dxa"/>
          </w:tcPr>
          <w:p w14:paraId="72B8E3AB" w14:textId="1532CF09" w:rsidR="00506EB6" w:rsidRDefault="00E567B4" w:rsidP="00BE30AE">
            <w:pPr>
              <w:spacing w:after="120"/>
              <w:rPr>
                <w:rFonts w:ascii="Arial" w:hAnsi="Arial" w:cs="Arial"/>
              </w:rPr>
            </w:pPr>
            <w:r>
              <w:rPr>
                <w:rFonts w:ascii="Arial" w:hAnsi="Arial" w:cs="Arial"/>
              </w:rPr>
              <w:lastRenderedPageBreak/>
              <w:t>9</w:t>
            </w:r>
          </w:p>
        </w:tc>
        <w:tc>
          <w:tcPr>
            <w:tcW w:w="4560" w:type="dxa"/>
          </w:tcPr>
          <w:p w14:paraId="3A030BDC" w14:textId="129855BC" w:rsidR="00506EB6" w:rsidRPr="00165CE8" w:rsidRDefault="00506EB6" w:rsidP="00BE30AE">
            <w:pPr>
              <w:spacing w:after="120"/>
              <w:rPr>
                <w:rFonts w:ascii="Arial" w:hAnsi="Arial" w:cs="Arial"/>
                <w:b/>
                <w:bCs/>
                <w:color w:val="000000"/>
              </w:rPr>
            </w:pPr>
            <w:r w:rsidRPr="00254D83">
              <w:rPr>
                <w:rFonts w:ascii="Arial" w:eastAsia="Times New Roman" w:hAnsi="Arial" w:cs="Arial"/>
                <w:b/>
                <w:bCs/>
              </w:rPr>
              <w:t>Can you please confirm that Group 1 does NOT need to provide backup power or resilience during an outage</w:t>
            </w:r>
            <w:r w:rsidRPr="00B832B6">
              <w:rPr>
                <w:rFonts w:ascii="Arial" w:eastAsia="Times New Roman" w:hAnsi="Arial" w:cs="Arial"/>
                <w:b/>
                <w:bCs/>
              </w:rPr>
              <w:t xml:space="preserve">? </w:t>
            </w:r>
            <w:r w:rsidRPr="00275F2C">
              <w:rPr>
                <w:rFonts w:ascii="Arial" w:eastAsia="Times New Roman" w:hAnsi="Arial" w:cs="Arial"/>
                <w:b/>
                <w:bCs/>
              </w:rPr>
              <w:t>Does the control need to be locally implemented</w:t>
            </w:r>
            <w:r w:rsidRPr="00254D83">
              <w:rPr>
                <w:rFonts w:ascii="Arial" w:eastAsia="Times New Roman" w:hAnsi="Arial" w:cs="Arial"/>
                <w:b/>
                <w:bCs/>
              </w:rPr>
              <w:t xml:space="preserve"> or certified as a Power Control System (PCS)?</w:t>
            </w:r>
          </w:p>
        </w:tc>
        <w:tc>
          <w:tcPr>
            <w:tcW w:w="8654" w:type="dxa"/>
          </w:tcPr>
          <w:p w14:paraId="4293A0E3" w14:textId="77777777" w:rsidR="00506EB6" w:rsidRDefault="00506EB6" w:rsidP="00BE30AE">
            <w:pPr>
              <w:spacing w:after="120"/>
              <w:rPr>
                <w:rFonts w:ascii="Arial" w:eastAsia="Times New Roman" w:hAnsi="Arial" w:cs="Arial"/>
              </w:rPr>
            </w:pPr>
            <w:r>
              <w:rPr>
                <w:rFonts w:ascii="Arial" w:eastAsia="Times New Roman" w:hAnsi="Arial" w:cs="Arial"/>
              </w:rPr>
              <w:t xml:space="preserve">Technologies developed under Group 1 do not need to provide backup power or resilience during an outage. Group 1 projects may optionally demonstrate V2B/V2G discharge in response to distribution grid conditions. </w:t>
            </w:r>
          </w:p>
          <w:p w14:paraId="348FEC9F" w14:textId="77777777" w:rsidR="00506EB6" w:rsidRDefault="00506EB6" w:rsidP="00BE30AE">
            <w:pPr>
              <w:spacing w:after="120"/>
              <w:rPr>
                <w:rFonts w:ascii="Arial" w:eastAsia="Times New Roman" w:hAnsi="Arial" w:cs="Arial"/>
              </w:rPr>
            </w:pPr>
          </w:p>
          <w:p w14:paraId="21EAD0C3" w14:textId="72A5B6D3" w:rsidR="00506EB6" w:rsidRDefault="00506EB6" w:rsidP="00BE30AE">
            <w:pPr>
              <w:spacing w:after="120"/>
              <w:rPr>
                <w:rFonts w:ascii="Arial" w:hAnsi="Arial" w:cs="Arial"/>
              </w:rPr>
            </w:pPr>
            <w:r w:rsidRPr="22E269BB">
              <w:rPr>
                <w:rFonts w:ascii="Arial" w:eastAsia="Times New Roman" w:hAnsi="Arial" w:cs="Arial"/>
              </w:rPr>
              <w:t xml:space="preserve">Technology development and testing costs associated with product readiness for relevant certifications are eligible expenses under this solicitation. </w:t>
            </w:r>
            <w:r w:rsidR="082FB89B" w:rsidRPr="22E269BB">
              <w:rPr>
                <w:rFonts w:ascii="Arial" w:eastAsia="Times New Roman" w:hAnsi="Arial" w:cs="Arial"/>
              </w:rPr>
              <w:t xml:space="preserve">While </w:t>
            </w:r>
            <w:r w:rsidR="1596B1C6" w:rsidRPr="22E269BB">
              <w:rPr>
                <w:rFonts w:ascii="Arial" w:eastAsia="Times New Roman" w:hAnsi="Arial" w:cs="Arial"/>
              </w:rPr>
              <w:t>d</w:t>
            </w:r>
            <w:r w:rsidRPr="22E269BB">
              <w:rPr>
                <w:rFonts w:ascii="Arial" w:eastAsia="Times New Roman" w:hAnsi="Arial" w:cs="Arial"/>
              </w:rPr>
              <w:t xml:space="preserve">irect costs for certification cannot be paid </w:t>
            </w:r>
            <w:r w:rsidR="3182BAEB" w:rsidRPr="22E269BB">
              <w:rPr>
                <w:rFonts w:ascii="Arial" w:eastAsia="Times New Roman" w:hAnsi="Arial" w:cs="Arial"/>
              </w:rPr>
              <w:t xml:space="preserve">for </w:t>
            </w:r>
            <w:r w:rsidRPr="22E269BB">
              <w:rPr>
                <w:rFonts w:ascii="Arial" w:eastAsia="Times New Roman" w:hAnsi="Arial" w:cs="Arial"/>
              </w:rPr>
              <w:t xml:space="preserve">with CEC funds, </w:t>
            </w:r>
            <w:r w:rsidR="32C8D14A" w:rsidRPr="22E269BB">
              <w:rPr>
                <w:rFonts w:ascii="Arial" w:eastAsia="Times New Roman" w:hAnsi="Arial" w:cs="Arial"/>
              </w:rPr>
              <w:t xml:space="preserve">these costs could be paid for </w:t>
            </w:r>
            <w:r w:rsidRPr="22E269BB">
              <w:rPr>
                <w:rFonts w:ascii="Arial" w:eastAsia="Times New Roman" w:hAnsi="Arial" w:cs="Arial"/>
              </w:rPr>
              <w:t>using match share</w:t>
            </w:r>
            <w:r w:rsidR="69BC6E79" w:rsidRPr="22E269BB">
              <w:rPr>
                <w:rFonts w:ascii="Arial" w:eastAsia="Times New Roman" w:hAnsi="Arial" w:cs="Arial"/>
              </w:rPr>
              <w:t xml:space="preserve"> funds</w:t>
            </w:r>
            <w:r w:rsidRPr="22E269BB">
              <w:rPr>
                <w:rFonts w:ascii="Arial" w:eastAsia="Times New Roman" w:hAnsi="Arial" w:cs="Arial"/>
              </w:rPr>
              <w:t xml:space="preserve">. </w:t>
            </w:r>
          </w:p>
        </w:tc>
      </w:tr>
      <w:tr w:rsidR="00600DCF" w14:paraId="5EE660A9" w14:textId="77777777" w:rsidTr="009D649D">
        <w:trPr>
          <w:trHeight w:val="300"/>
        </w:trPr>
        <w:tc>
          <w:tcPr>
            <w:tcW w:w="461" w:type="dxa"/>
          </w:tcPr>
          <w:p w14:paraId="3E45B683" w14:textId="0337FAD4" w:rsidR="00600DCF" w:rsidRDefault="00E567B4" w:rsidP="00BE30AE">
            <w:pPr>
              <w:spacing w:after="120"/>
              <w:rPr>
                <w:rFonts w:ascii="Arial" w:hAnsi="Arial" w:cs="Arial"/>
              </w:rPr>
            </w:pPr>
            <w:r>
              <w:rPr>
                <w:rFonts w:ascii="Arial" w:hAnsi="Arial" w:cs="Arial"/>
              </w:rPr>
              <w:t>10</w:t>
            </w:r>
          </w:p>
        </w:tc>
        <w:tc>
          <w:tcPr>
            <w:tcW w:w="4560" w:type="dxa"/>
          </w:tcPr>
          <w:p w14:paraId="137793AA" w14:textId="5C995CBC" w:rsidR="00600DCF" w:rsidRPr="00600DCF" w:rsidRDefault="00600DCF" w:rsidP="00BE30AE">
            <w:pPr>
              <w:spacing w:after="120"/>
              <w:rPr>
                <w:rFonts w:ascii="Arial" w:eastAsia="Times New Roman" w:hAnsi="Arial" w:cs="Arial"/>
                <w:b/>
                <w:bCs/>
              </w:rPr>
            </w:pPr>
            <w:r w:rsidRPr="00BD1F15">
              <w:rPr>
                <w:rFonts w:ascii="Arial" w:eastAsia="Times New Roman" w:hAnsi="Arial" w:cs="Arial"/>
                <w:b/>
                <w:bCs/>
              </w:rPr>
              <w:t>Do ALL demonstrations need to be</w:t>
            </w:r>
            <w:r w:rsidR="00FA7667">
              <w:rPr>
                <w:rFonts w:ascii="Arial" w:eastAsia="Times New Roman" w:hAnsi="Arial" w:cs="Arial"/>
                <w:b/>
                <w:bCs/>
              </w:rPr>
              <w:t xml:space="preserve"> paired up on the same </w:t>
            </w:r>
            <w:r w:rsidRPr="00BD1F15">
              <w:rPr>
                <w:rFonts w:ascii="Arial" w:eastAsia="Times New Roman" w:hAnsi="Arial" w:cs="Arial"/>
                <w:b/>
                <w:bCs/>
              </w:rPr>
              <w:t>distribution transformer? For example, if you have let's say 6 deployments with 3 pairs that are on the same distribution transformer and then you have another 40 sites scattered throughout the state of CA in IOU territories, is that allowed? Or do ALL demonstration need to be paired up on the same transformer?</w:t>
            </w:r>
          </w:p>
        </w:tc>
        <w:tc>
          <w:tcPr>
            <w:tcW w:w="8654" w:type="dxa"/>
          </w:tcPr>
          <w:p w14:paraId="6D688C97" w14:textId="4CE8AEC1" w:rsidR="00600DCF" w:rsidRDefault="00347B0C" w:rsidP="00BE30AE">
            <w:pPr>
              <w:spacing w:after="120"/>
              <w:rPr>
                <w:rFonts w:ascii="Arial" w:eastAsia="Times New Roman" w:hAnsi="Arial" w:cs="Arial"/>
              </w:rPr>
            </w:pPr>
            <w:r w:rsidRPr="3FB060F7">
              <w:rPr>
                <w:rFonts w:ascii="Arial" w:eastAsia="Times New Roman" w:hAnsi="Arial" w:cs="Arial"/>
              </w:rPr>
              <w:t xml:space="preserve">The Solicitation Manual states that </w:t>
            </w:r>
            <w:r w:rsidR="002BE0D9" w:rsidRPr="3FB060F7">
              <w:rPr>
                <w:rFonts w:ascii="Arial" w:eastAsia="Times New Roman" w:hAnsi="Arial" w:cs="Arial"/>
              </w:rPr>
              <w:t xml:space="preserve">Group 1 </w:t>
            </w:r>
            <w:r w:rsidRPr="3FB060F7">
              <w:rPr>
                <w:rFonts w:ascii="Arial" w:eastAsia="Times New Roman" w:hAnsi="Arial" w:cs="Arial"/>
              </w:rPr>
              <w:t>single-family residential demonstrations must include multiple customers that share utilization of common distribution grid components such as a distribution transformer.</w:t>
            </w:r>
            <w:r w:rsidR="00593432" w:rsidRPr="3FB060F7">
              <w:rPr>
                <w:rFonts w:ascii="Arial" w:eastAsia="Times New Roman" w:hAnsi="Arial" w:cs="Arial"/>
              </w:rPr>
              <w:t xml:space="preserve"> In the proposed example, this requirement is met. </w:t>
            </w:r>
            <w:r w:rsidR="00417231" w:rsidRPr="3FB060F7">
              <w:rPr>
                <w:rFonts w:ascii="Arial" w:eastAsia="Times New Roman" w:hAnsi="Arial" w:cs="Arial"/>
              </w:rPr>
              <w:t>It will be up to the applicant to</w:t>
            </w:r>
            <w:r w:rsidR="00B16050" w:rsidRPr="3FB060F7">
              <w:rPr>
                <w:rFonts w:ascii="Arial" w:eastAsia="Times New Roman" w:hAnsi="Arial" w:cs="Arial"/>
              </w:rPr>
              <w:t xml:space="preserve"> justi</w:t>
            </w:r>
            <w:r w:rsidR="001175E2" w:rsidRPr="3FB060F7">
              <w:rPr>
                <w:rFonts w:ascii="Arial" w:eastAsia="Times New Roman" w:hAnsi="Arial" w:cs="Arial"/>
              </w:rPr>
              <w:t>fy</w:t>
            </w:r>
            <w:r w:rsidR="00215C67" w:rsidRPr="3FB060F7">
              <w:rPr>
                <w:rFonts w:ascii="Arial" w:eastAsia="Times New Roman" w:hAnsi="Arial" w:cs="Arial"/>
              </w:rPr>
              <w:t xml:space="preserve"> how </w:t>
            </w:r>
            <w:r w:rsidR="00D0607B" w:rsidRPr="3FB060F7">
              <w:rPr>
                <w:rFonts w:ascii="Arial" w:eastAsia="Times New Roman" w:hAnsi="Arial" w:cs="Arial"/>
              </w:rPr>
              <w:t xml:space="preserve">additional </w:t>
            </w:r>
            <w:r w:rsidR="00215C67" w:rsidRPr="3FB060F7">
              <w:rPr>
                <w:rFonts w:ascii="Arial" w:eastAsia="Times New Roman" w:hAnsi="Arial" w:cs="Arial"/>
              </w:rPr>
              <w:t xml:space="preserve">demonstrations that exceed this requirement meet the needs </w:t>
            </w:r>
            <w:r w:rsidR="00A0721F" w:rsidRPr="3FB060F7">
              <w:rPr>
                <w:rFonts w:ascii="Arial" w:eastAsia="Times New Roman" w:hAnsi="Arial" w:cs="Arial"/>
              </w:rPr>
              <w:t xml:space="preserve">and goals of </w:t>
            </w:r>
            <w:r w:rsidR="00DC4DEF" w:rsidRPr="3FB060F7">
              <w:rPr>
                <w:rFonts w:ascii="Arial" w:eastAsia="Times New Roman" w:hAnsi="Arial" w:cs="Arial"/>
              </w:rPr>
              <w:t xml:space="preserve">Group 1. </w:t>
            </w:r>
          </w:p>
        </w:tc>
      </w:tr>
      <w:tr w:rsidR="00506EB6" w14:paraId="4AFAC755" w14:textId="77777777" w:rsidTr="009D649D">
        <w:trPr>
          <w:trHeight w:val="300"/>
        </w:trPr>
        <w:tc>
          <w:tcPr>
            <w:tcW w:w="461" w:type="dxa"/>
          </w:tcPr>
          <w:p w14:paraId="411C095A" w14:textId="09F7924F" w:rsidR="00506EB6" w:rsidRDefault="00E567B4" w:rsidP="00BE30AE">
            <w:pPr>
              <w:spacing w:after="120"/>
              <w:rPr>
                <w:rFonts w:ascii="Arial" w:hAnsi="Arial" w:cs="Arial"/>
              </w:rPr>
            </w:pPr>
            <w:r>
              <w:rPr>
                <w:rFonts w:ascii="Arial" w:hAnsi="Arial" w:cs="Arial"/>
              </w:rPr>
              <w:t>11</w:t>
            </w:r>
          </w:p>
        </w:tc>
        <w:tc>
          <w:tcPr>
            <w:tcW w:w="4560" w:type="dxa"/>
          </w:tcPr>
          <w:p w14:paraId="6B9F8BF2" w14:textId="75FBECE1" w:rsidR="00506EB6" w:rsidRPr="00165CE8" w:rsidRDefault="00506EB6" w:rsidP="00BE30AE">
            <w:pPr>
              <w:spacing w:after="120"/>
              <w:rPr>
                <w:rFonts w:ascii="Arial" w:hAnsi="Arial" w:cs="Arial"/>
                <w:b/>
                <w:bCs/>
                <w:color w:val="000000"/>
              </w:rPr>
            </w:pPr>
            <w:r w:rsidRPr="000E325B">
              <w:rPr>
                <w:rFonts w:ascii="Arial" w:hAnsi="Arial" w:cs="Arial"/>
                <w:b/>
                <w:bCs/>
              </w:rPr>
              <w:t>Can the CEC provide more guidance on the “distribution upgrade” requirement and what this consists of?</w:t>
            </w:r>
          </w:p>
        </w:tc>
        <w:tc>
          <w:tcPr>
            <w:tcW w:w="8654" w:type="dxa"/>
          </w:tcPr>
          <w:p w14:paraId="62C8C357" w14:textId="432264A9" w:rsidR="00506EB6" w:rsidRDefault="00506EB6" w:rsidP="00BE30AE">
            <w:pPr>
              <w:spacing w:after="120"/>
              <w:rPr>
                <w:rFonts w:ascii="Arial" w:hAnsi="Arial" w:cs="Arial"/>
              </w:rPr>
            </w:pPr>
            <w:r>
              <w:rPr>
                <w:rFonts w:ascii="Arial" w:hAnsi="Arial" w:cs="Arial"/>
              </w:rPr>
              <w:t>G</w:t>
            </w:r>
            <w:r w:rsidRPr="00DB03E9">
              <w:rPr>
                <w:rFonts w:ascii="Arial" w:hAnsi="Arial" w:cs="Arial"/>
              </w:rPr>
              <w:t>roup 1</w:t>
            </w:r>
            <w:r>
              <w:rPr>
                <w:rFonts w:ascii="Arial" w:hAnsi="Arial" w:cs="Arial"/>
              </w:rPr>
              <w:t xml:space="preserve"> projects are required to demonstrate technologies that </w:t>
            </w:r>
            <w:r w:rsidRPr="0096227E">
              <w:rPr>
                <w:rFonts w:ascii="Arial" w:hAnsi="Arial" w:cs="Arial"/>
              </w:rPr>
              <w:t>beneficially and dynamically adjust the charging load limit, time, and rate based on distribution grid conditions while meeting customer driving needs.</w:t>
            </w:r>
            <w:r>
              <w:rPr>
                <w:rFonts w:ascii="Arial" w:hAnsi="Arial" w:cs="Arial"/>
              </w:rPr>
              <w:t xml:space="preserve"> Group 1 projects are not required</w:t>
            </w:r>
            <w:r w:rsidRPr="00DB03E9">
              <w:rPr>
                <w:rFonts w:ascii="Arial" w:hAnsi="Arial" w:cs="Arial"/>
              </w:rPr>
              <w:t xml:space="preserve"> to defer a distribution upgrade. </w:t>
            </w:r>
            <w:r>
              <w:rPr>
                <w:rFonts w:ascii="Arial" w:hAnsi="Arial" w:cs="Arial"/>
              </w:rPr>
              <w:t>However, proposals should d</w:t>
            </w:r>
            <w:r w:rsidRPr="00BB01D0">
              <w:rPr>
                <w:rFonts w:ascii="Arial" w:hAnsi="Arial" w:cs="Arial"/>
              </w:rPr>
              <w:t xml:space="preserve">escribe </w:t>
            </w:r>
            <w:r>
              <w:rPr>
                <w:rFonts w:ascii="Arial" w:hAnsi="Arial" w:cs="Arial"/>
              </w:rPr>
              <w:t xml:space="preserve">the </w:t>
            </w:r>
            <w:r w:rsidRPr="00BB01D0">
              <w:rPr>
                <w:rFonts w:ascii="Arial" w:hAnsi="Arial" w:cs="Arial"/>
              </w:rPr>
              <w:t>technology’s ability to increase utilization of existing grid infrastructure and lower customer and ratepayer costs at scale</w:t>
            </w:r>
            <w:r>
              <w:rPr>
                <w:rFonts w:ascii="Arial" w:hAnsi="Arial" w:cs="Arial"/>
              </w:rPr>
              <w:t>, which may include avoided costs of distribution upgrades.</w:t>
            </w:r>
          </w:p>
        </w:tc>
      </w:tr>
      <w:tr w:rsidR="00506EB6" w14:paraId="2BF58BB9" w14:textId="77777777" w:rsidTr="009D649D">
        <w:trPr>
          <w:trHeight w:val="300"/>
        </w:trPr>
        <w:tc>
          <w:tcPr>
            <w:tcW w:w="461" w:type="dxa"/>
          </w:tcPr>
          <w:p w14:paraId="220B8D6F" w14:textId="16221D35" w:rsidR="00506EB6" w:rsidRDefault="00E567B4" w:rsidP="00BE30AE">
            <w:pPr>
              <w:spacing w:after="120"/>
              <w:rPr>
                <w:rFonts w:ascii="Arial" w:hAnsi="Arial" w:cs="Arial"/>
              </w:rPr>
            </w:pPr>
            <w:r>
              <w:rPr>
                <w:rFonts w:ascii="Arial" w:hAnsi="Arial" w:cs="Arial"/>
              </w:rPr>
              <w:t>12</w:t>
            </w:r>
          </w:p>
        </w:tc>
        <w:tc>
          <w:tcPr>
            <w:tcW w:w="4560" w:type="dxa"/>
          </w:tcPr>
          <w:p w14:paraId="303DAAF9" w14:textId="37EA3B55" w:rsidR="00506EB6" w:rsidRDefault="00506EB6" w:rsidP="00BE30AE">
            <w:pPr>
              <w:spacing w:after="120"/>
              <w:rPr>
                <w:rFonts w:ascii="Arial" w:hAnsi="Arial" w:cs="Arial"/>
              </w:rPr>
            </w:pPr>
            <w:r w:rsidRPr="00165CE8">
              <w:rPr>
                <w:rFonts w:ascii="Arial" w:eastAsia="Times New Roman" w:hAnsi="Arial" w:cs="Arial"/>
                <w:b/>
                <w:bCs/>
              </w:rPr>
              <w:t xml:space="preserve">The </w:t>
            </w:r>
            <w:r>
              <w:rPr>
                <w:rFonts w:ascii="Arial" w:eastAsia="Times New Roman" w:hAnsi="Arial" w:cs="Arial"/>
                <w:b/>
                <w:bCs/>
              </w:rPr>
              <w:t>S</w:t>
            </w:r>
            <w:r w:rsidRPr="00165CE8">
              <w:rPr>
                <w:rFonts w:ascii="Arial" w:eastAsia="Times New Roman" w:hAnsi="Arial" w:cs="Arial"/>
                <w:b/>
                <w:bCs/>
              </w:rPr>
              <w:t xml:space="preserve">olicitation </w:t>
            </w:r>
            <w:r>
              <w:rPr>
                <w:rFonts w:ascii="Arial" w:eastAsia="Times New Roman" w:hAnsi="Arial" w:cs="Arial"/>
                <w:b/>
                <w:bCs/>
              </w:rPr>
              <w:t>M</w:t>
            </w:r>
            <w:r w:rsidRPr="00165CE8">
              <w:rPr>
                <w:rFonts w:ascii="Arial" w:eastAsia="Times New Roman" w:hAnsi="Arial" w:cs="Arial"/>
                <w:b/>
                <w:bCs/>
              </w:rPr>
              <w:t>anual specifies that DC hubs should use a medium voltage converter to achieve higher efficiencies in AC-DC conversion. What is the voltage for a medium voltage converter?</w:t>
            </w:r>
          </w:p>
        </w:tc>
        <w:tc>
          <w:tcPr>
            <w:tcW w:w="8654" w:type="dxa"/>
          </w:tcPr>
          <w:p w14:paraId="48D4EF85" w14:textId="4660B8FF" w:rsidR="00506EB6" w:rsidRDefault="00506EB6" w:rsidP="00BE30AE">
            <w:pPr>
              <w:spacing w:after="120"/>
              <w:rPr>
                <w:rFonts w:ascii="Arial" w:hAnsi="Arial" w:cs="Arial"/>
              </w:rPr>
            </w:pPr>
            <w:r w:rsidRPr="7C74F6CB">
              <w:rPr>
                <w:rFonts w:ascii="Arial" w:hAnsi="Arial" w:cs="Arial"/>
              </w:rPr>
              <w:t>The</w:t>
            </w:r>
            <w:r w:rsidR="1AEB0096" w:rsidRPr="7C74F6CB">
              <w:rPr>
                <w:rFonts w:ascii="Arial" w:hAnsi="Arial" w:cs="Arial"/>
              </w:rPr>
              <w:t xml:space="preserve"> example provided in the Solicitation Manual for Group 2 projects considers a</w:t>
            </w:r>
            <w:r w:rsidRPr="7C74F6CB">
              <w:rPr>
                <w:rFonts w:ascii="Arial" w:hAnsi="Arial" w:cs="Arial"/>
              </w:rPr>
              <w:t xml:space="preserve"> medium voltage converter</w:t>
            </w:r>
            <w:r w:rsidRPr="7C74F6CB" w:rsidDel="00506EB6">
              <w:rPr>
                <w:rFonts w:ascii="Arial" w:hAnsi="Arial" w:cs="Arial"/>
              </w:rPr>
              <w:t xml:space="preserve"> </w:t>
            </w:r>
            <w:r w:rsidR="3B988DFD" w:rsidRPr="7C74F6CB">
              <w:rPr>
                <w:rFonts w:ascii="Arial" w:hAnsi="Arial" w:cs="Arial"/>
              </w:rPr>
              <w:t>connected to</w:t>
            </w:r>
            <w:r w:rsidRPr="7C74F6CB">
              <w:rPr>
                <w:rFonts w:ascii="Arial" w:hAnsi="Arial" w:cs="Arial"/>
              </w:rPr>
              <w:t xml:space="preserve"> utility distribution (</w:t>
            </w:r>
            <w:r w:rsidR="0B0E9516" w:rsidRPr="7C74F6CB">
              <w:rPr>
                <w:rFonts w:ascii="Arial" w:hAnsi="Arial" w:cs="Arial"/>
              </w:rPr>
              <w:t xml:space="preserve">utility distribution voltages may vary </w:t>
            </w:r>
            <w:r w:rsidRPr="7C74F6CB">
              <w:rPr>
                <w:rFonts w:ascii="Arial" w:hAnsi="Arial" w:cs="Arial"/>
              </w:rPr>
              <w:t xml:space="preserve">between 4 kV and 35 kV).  </w:t>
            </w:r>
          </w:p>
        </w:tc>
      </w:tr>
      <w:tr w:rsidR="00506EB6" w14:paraId="46D24E5F" w14:textId="77777777" w:rsidTr="009D649D">
        <w:trPr>
          <w:trHeight w:val="300"/>
        </w:trPr>
        <w:tc>
          <w:tcPr>
            <w:tcW w:w="461" w:type="dxa"/>
          </w:tcPr>
          <w:p w14:paraId="55DADE3E" w14:textId="6F81005E" w:rsidR="00506EB6" w:rsidRDefault="00E567B4" w:rsidP="00BE30AE">
            <w:pPr>
              <w:spacing w:after="120"/>
              <w:rPr>
                <w:rFonts w:ascii="Arial" w:hAnsi="Arial" w:cs="Arial"/>
              </w:rPr>
            </w:pPr>
            <w:r>
              <w:rPr>
                <w:rFonts w:ascii="Arial" w:hAnsi="Arial" w:cs="Arial"/>
              </w:rPr>
              <w:t>13</w:t>
            </w:r>
          </w:p>
        </w:tc>
        <w:tc>
          <w:tcPr>
            <w:tcW w:w="4560" w:type="dxa"/>
          </w:tcPr>
          <w:p w14:paraId="488CD9CC" w14:textId="5013A6D9" w:rsidR="00506EB6" w:rsidRDefault="00506EB6" w:rsidP="00BE30AE">
            <w:pPr>
              <w:spacing w:after="120"/>
              <w:rPr>
                <w:rFonts w:ascii="Arial" w:hAnsi="Arial" w:cs="Arial"/>
              </w:rPr>
            </w:pPr>
            <w:r w:rsidRPr="00165CE8">
              <w:rPr>
                <w:rFonts w:ascii="Arial" w:hAnsi="Arial" w:cs="Arial"/>
                <w:b/>
                <w:bCs/>
                <w:color w:val="000000"/>
              </w:rPr>
              <w:t>Do the Group 2 chargers need to be publicly available and capable of receiving payment?</w:t>
            </w:r>
          </w:p>
        </w:tc>
        <w:tc>
          <w:tcPr>
            <w:tcW w:w="8654" w:type="dxa"/>
          </w:tcPr>
          <w:p w14:paraId="5E8C48D0" w14:textId="1041D06D" w:rsidR="00506EB6" w:rsidRDefault="00506EB6" w:rsidP="00BE30AE">
            <w:pPr>
              <w:spacing w:after="120"/>
              <w:rPr>
                <w:rFonts w:ascii="Arial" w:hAnsi="Arial" w:cs="Arial"/>
              </w:rPr>
            </w:pPr>
            <w:r w:rsidRPr="00165CE8">
              <w:rPr>
                <w:rFonts w:ascii="Arial" w:hAnsi="Arial" w:cs="Arial"/>
                <w:bCs/>
              </w:rPr>
              <w:t xml:space="preserve">There is no requirement for the Group 2 </w:t>
            </w:r>
            <w:r>
              <w:rPr>
                <w:rFonts w:ascii="Arial" w:hAnsi="Arial" w:cs="Arial"/>
                <w:bCs/>
              </w:rPr>
              <w:t>electric vehicle supply equipment (</w:t>
            </w:r>
            <w:r w:rsidRPr="00165CE8">
              <w:rPr>
                <w:rFonts w:ascii="Arial" w:hAnsi="Arial" w:cs="Arial"/>
                <w:bCs/>
              </w:rPr>
              <w:t>EVSE</w:t>
            </w:r>
            <w:r>
              <w:rPr>
                <w:rFonts w:ascii="Arial" w:hAnsi="Arial" w:cs="Arial"/>
                <w:bCs/>
              </w:rPr>
              <w:t>)</w:t>
            </w:r>
            <w:r w:rsidRPr="00165CE8">
              <w:rPr>
                <w:rFonts w:ascii="Arial" w:hAnsi="Arial" w:cs="Arial"/>
                <w:bCs/>
              </w:rPr>
              <w:t xml:space="preserve"> to be publicly available and capable of receiving payment.</w:t>
            </w:r>
            <w:r>
              <w:rPr>
                <w:rFonts w:ascii="Arial" w:hAnsi="Arial" w:cs="Arial"/>
                <w:bCs/>
              </w:rPr>
              <w:t xml:space="preserve"> If the proposal includes publicly available EVSE capable of receiving payment, EVSE </w:t>
            </w:r>
            <w:r w:rsidRPr="006553F7">
              <w:rPr>
                <w:rFonts w:ascii="Arial" w:hAnsi="Arial" w:cs="Arial"/>
                <w:bCs/>
              </w:rPr>
              <w:t xml:space="preserve">must be certified through </w:t>
            </w:r>
            <w:r w:rsidRPr="006553F7">
              <w:rPr>
                <w:rFonts w:ascii="Arial" w:hAnsi="Arial" w:cs="Arial"/>
                <w:bCs/>
              </w:rPr>
              <w:lastRenderedPageBreak/>
              <w:t xml:space="preserve">the California Type Evaluation Program (CTEP) and support minimum payment methods as required by the </w:t>
            </w:r>
            <w:r>
              <w:rPr>
                <w:rFonts w:ascii="Arial" w:hAnsi="Arial" w:cs="Arial"/>
                <w:bCs/>
              </w:rPr>
              <w:t>California Air Resources Board (</w:t>
            </w:r>
            <w:r w:rsidRPr="006553F7">
              <w:rPr>
                <w:rFonts w:ascii="Arial" w:hAnsi="Arial" w:cs="Arial"/>
                <w:bCs/>
              </w:rPr>
              <w:t>CARB</w:t>
            </w:r>
            <w:r>
              <w:rPr>
                <w:rFonts w:ascii="Arial" w:hAnsi="Arial" w:cs="Arial"/>
                <w:bCs/>
              </w:rPr>
              <w:t>)</w:t>
            </w:r>
            <w:r w:rsidRPr="006553F7">
              <w:rPr>
                <w:rFonts w:ascii="Arial" w:hAnsi="Arial" w:cs="Arial"/>
                <w:bCs/>
              </w:rPr>
              <w:t xml:space="preserve"> EVSE Standards.</w:t>
            </w:r>
          </w:p>
        </w:tc>
      </w:tr>
      <w:tr w:rsidR="00506EB6" w14:paraId="0FBD6AB7" w14:textId="77777777" w:rsidTr="009D649D">
        <w:trPr>
          <w:trHeight w:val="300"/>
        </w:trPr>
        <w:tc>
          <w:tcPr>
            <w:tcW w:w="461" w:type="dxa"/>
          </w:tcPr>
          <w:p w14:paraId="7FEF17FF" w14:textId="14D4F9E3" w:rsidR="00506EB6" w:rsidRDefault="00E567B4" w:rsidP="00BE30AE">
            <w:pPr>
              <w:spacing w:after="120"/>
              <w:rPr>
                <w:rFonts w:ascii="Arial" w:hAnsi="Arial" w:cs="Arial"/>
              </w:rPr>
            </w:pPr>
            <w:r>
              <w:rPr>
                <w:rFonts w:ascii="Arial" w:hAnsi="Arial" w:cs="Arial"/>
              </w:rPr>
              <w:lastRenderedPageBreak/>
              <w:t>14</w:t>
            </w:r>
          </w:p>
        </w:tc>
        <w:tc>
          <w:tcPr>
            <w:tcW w:w="4560" w:type="dxa"/>
          </w:tcPr>
          <w:p w14:paraId="127893CA" w14:textId="77F2CD43" w:rsidR="00506EB6" w:rsidRDefault="00506EB6" w:rsidP="00BE30AE">
            <w:pPr>
              <w:spacing w:after="120"/>
              <w:rPr>
                <w:rFonts w:ascii="Arial" w:hAnsi="Arial" w:cs="Arial"/>
              </w:rPr>
            </w:pPr>
            <w:r w:rsidRPr="00165CE8">
              <w:rPr>
                <w:rFonts w:ascii="Arial" w:hAnsi="Arial" w:cs="Arial"/>
                <w:b/>
                <w:bCs/>
                <w:color w:val="000000"/>
              </w:rPr>
              <w:t>Can you give an example of "customer segment being represented" required in Group 2 [reference to pre-app slide 20]?</w:t>
            </w:r>
          </w:p>
        </w:tc>
        <w:tc>
          <w:tcPr>
            <w:tcW w:w="8654" w:type="dxa"/>
          </w:tcPr>
          <w:p w14:paraId="36CA737E" w14:textId="7B21DDA2" w:rsidR="00506EB6" w:rsidRDefault="00506EB6" w:rsidP="00BE30AE">
            <w:pPr>
              <w:spacing w:after="120"/>
              <w:rPr>
                <w:rFonts w:ascii="Arial" w:hAnsi="Arial" w:cs="Arial"/>
              </w:rPr>
            </w:pPr>
            <w:r w:rsidRPr="22E269BB">
              <w:rPr>
                <w:rFonts w:ascii="Arial" w:hAnsi="Arial" w:cs="Arial"/>
              </w:rPr>
              <w:t xml:space="preserve">Group 2 projects must conduct a real-world demonstration/deployment with a commercial customer. </w:t>
            </w:r>
            <w:r w:rsidR="5AB5B7C1" w:rsidRPr="22E269BB">
              <w:rPr>
                <w:rFonts w:ascii="Arial" w:hAnsi="Arial" w:cs="Arial"/>
              </w:rPr>
              <w:t>Potential</w:t>
            </w:r>
            <w:r w:rsidRPr="22E269BB">
              <w:rPr>
                <w:rFonts w:ascii="Arial" w:hAnsi="Arial" w:cs="Arial"/>
              </w:rPr>
              <w:t xml:space="preserve"> customer</w:t>
            </w:r>
            <w:r w:rsidR="779D557E" w:rsidRPr="22E269BB">
              <w:rPr>
                <w:rFonts w:ascii="Arial" w:hAnsi="Arial" w:cs="Arial"/>
              </w:rPr>
              <w:t xml:space="preserve"> </w:t>
            </w:r>
            <w:r w:rsidRPr="22E269BB">
              <w:rPr>
                <w:rFonts w:ascii="Arial" w:hAnsi="Arial" w:cs="Arial"/>
              </w:rPr>
              <w:t>s</w:t>
            </w:r>
            <w:r w:rsidR="779D557E" w:rsidRPr="22E269BB">
              <w:rPr>
                <w:rFonts w:ascii="Arial" w:hAnsi="Arial" w:cs="Arial"/>
              </w:rPr>
              <w:t>egments</w:t>
            </w:r>
            <w:r w:rsidRPr="22E269BB">
              <w:rPr>
                <w:rFonts w:ascii="Arial" w:hAnsi="Arial" w:cs="Arial"/>
              </w:rPr>
              <w:t xml:space="preserve"> include, but are not limited to, large public light-duty charging stations, depot charging for fleets, </w:t>
            </w:r>
            <w:r w:rsidR="6F9E7CA4" w:rsidRPr="22E269BB">
              <w:rPr>
                <w:rFonts w:ascii="Arial" w:hAnsi="Arial" w:cs="Arial"/>
              </w:rPr>
              <w:t xml:space="preserve">and </w:t>
            </w:r>
            <w:r w:rsidRPr="22E269BB">
              <w:rPr>
                <w:rFonts w:ascii="Arial" w:hAnsi="Arial" w:cs="Arial"/>
              </w:rPr>
              <w:t>public truck charging stations.</w:t>
            </w:r>
          </w:p>
        </w:tc>
      </w:tr>
      <w:tr w:rsidR="00506EB6" w14:paraId="49FB6A39" w14:textId="77777777" w:rsidTr="009D649D">
        <w:trPr>
          <w:trHeight w:val="300"/>
        </w:trPr>
        <w:tc>
          <w:tcPr>
            <w:tcW w:w="461" w:type="dxa"/>
          </w:tcPr>
          <w:p w14:paraId="7FB0A172" w14:textId="1925B07A" w:rsidR="00506EB6" w:rsidRDefault="00E567B4" w:rsidP="00BE30AE">
            <w:pPr>
              <w:spacing w:after="120"/>
              <w:rPr>
                <w:rFonts w:ascii="Arial" w:hAnsi="Arial" w:cs="Arial"/>
              </w:rPr>
            </w:pPr>
            <w:r>
              <w:rPr>
                <w:rFonts w:ascii="Arial" w:hAnsi="Arial" w:cs="Arial"/>
              </w:rPr>
              <w:t>15</w:t>
            </w:r>
          </w:p>
        </w:tc>
        <w:tc>
          <w:tcPr>
            <w:tcW w:w="4560" w:type="dxa"/>
          </w:tcPr>
          <w:p w14:paraId="362EA0A1" w14:textId="45001EED" w:rsidR="00506EB6" w:rsidRDefault="00506EB6" w:rsidP="00BE30AE">
            <w:pPr>
              <w:spacing w:after="120"/>
              <w:rPr>
                <w:rFonts w:ascii="Arial" w:hAnsi="Arial" w:cs="Arial"/>
              </w:rPr>
            </w:pPr>
            <w:r w:rsidRPr="00AF77F0">
              <w:rPr>
                <w:rFonts w:ascii="Arial" w:hAnsi="Arial" w:cs="Arial"/>
                <w:b/>
                <w:bCs/>
                <w:color w:val="000000"/>
              </w:rPr>
              <w:t xml:space="preserve">For </w:t>
            </w:r>
            <w:r>
              <w:rPr>
                <w:rFonts w:ascii="Arial" w:hAnsi="Arial" w:cs="Arial"/>
                <w:b/>
                <w:bCs/>
                <w:color w:val="000000"/>
              </w:rPr>
              <w:t>G</w:t>
            </w:r>
            <w:r w:rsidRPr="00AF77F0">
              <w:rPr>
                <w:rFonts w:ascii="Arial" w:hAnsi="Arial" w:cs="Arial"/>
                <w:b/>
                <w:bCs/>
                <w:color w:val="000000"/>
              </w:rPr>
              <w:t>roup 2, what is it meant by the purpose to prefer technology that takes up a smaller footprint?</w:t>
            </w:r>
          </w:p>
        </w:tc>
        <w:tc>
          <w:tcPr>
            <w:tcW w:w="8654" w:type="dxa"/>
          </w:tcPr>
          <w:p w14:paraId="35D5110A" w14:textId="05BB8913" w:rsidR="00506EB6" w:rsidRDefault="00506EB6" w:rsidP="00BE30AE">
            <w:pPr>
              <w:spacing w:after="120"/>
              <w:rPr>
                <w:rFonts w:ascii="Arial" w:hAnsi="Arial" w:cs="Arial"/>
              </w:rPr>
            </w:pPr>
            <w:r w:rsidRPr="7A3D9D06">
              <w:rPr>
                <w:rFonts w:ascii="Arial" w:hAnsi="Arial" w:cs="Arial"/>
              </w:rPr>
              <w:t xml:space="preserve">Innovative high-power </w:t>
            </w:r>
            <w:r w:rsidRPr="56A920C1">
              <w:rPr>
                <w:rFonts w:ascii="Arial" w:hAnsi="Arial" w:cs="Arial"/>
              </w:rPr>
              <w:t xml:space="preserve">charging station </w:t>
            </w:r>
            <w:r w:rsidRPr="753D2E61">
              <w:rPr>
                <w:rFonts w:ascii="Arial" w:hAnsi="Arial" w:cs="Arial"/>
              </w:rPr>
              <w:t xml:space="preserve">designs incorporating </w:t>
            </w:r>
            <w:r w:rsidRPr="56A920C1">
              <w:rPr>
                <w:rFonts w:ascii="Arial" w:hAnsi="Arial" w:cs="Arial"/>
              </w:rPr>
              <w:t>DC</w:t>
            </w:r>
            <w:r>
              <w:rPr>
                <w:rFonts w:ascii="Arial" w:hAnsi="Arial" w:cs="Arial"/>
              </w:rPr>
              <w:t xml:space="preserve">-hub architectures </w:t>
            </w:r>
            <w:r w:rsidRPr="753D2E61">
              <w:rPr>
                <w:rFonts w:ascii="Arial" w:hAnsi="Arial" w:cs="Arial"/>
              </w:rPr>
              <w:t xml:space="preserve">as described in </w:t>
            </w:r>
            <w:r w:rsidRPr="4FD5CBA4">
              <w:rPr>
                <w:rFonts w:ascii="Arial" w:hAnsi="Arial" w:cs="Arial"/>
              </w:rPr>
              <w:t>Group 2</w:t>
            </w:r>
            <w:r w:rsidRPr="753D2E61">
              <w:rPr>
                <w:rFonts w:ascii="Arial" w:hAnsi="Arial" w:cs="Arial"/>
              </w:rPr>
              <w:t xml:space="preserve"> </w:t>
            </w:r>
            <w:r w:rsidRPr="55504E16">
              <w:rPr>
                <w:rFonts w:ascii="Arial" w:hAnsi="Arial" w:cs="Arial"/>
              </w:rPr>
              <w:t>can</w:t>
            </w:r>
            <w:r>
              <w:rPr>
                <w:rFonts w:ascii="Arial" w:hAnsi="Arial" w:cs="Arial"/>
              </w:rPr>
              <w:t xml:space="preserve"> reduce </w:t>
            </w:r>
            <w:r w:rsidRPr="6207C7E9">
              <w:rPr>
                <w:rFonts w:ascii="Arial" w:hAnsi="Arial" w:cs="Arial"/>
              </w:rPr>
              <w:t xml:space="preserve">the need for </w:t>
            </w:r>
            <w:r w:rsidRPr="61348361">
              <w:rPr>
                <w:rFonts w:ascii="Arial" w:hAnsi="Arial" w:cs="Arial"/>
              </w:rPr>
              <w:t>redundant</w:t>
            </w:r>
            <w:r w:rsidRPr="6207C7E9">
              <w:rPr>
                <w:rFonts w:ascii="Arial" w:hAnsi="Arial" w:cs="Arial"/>
              </w:rPr>
              <w:t xml:space="preserve"> </w:t>
            </w:r>
            <w:r>
              <w:rPr>
                <w:rFonts w:ascii="Arial" w:hAnsi="Arial" w:cs="Arial"/>
              </w:rPr>
              <w:t>power conversion equipment (for example, multiple AC/DC inverters</w:t>
            </w:r>
            <w:r w:rsidRPr="0A441991">
              <w:rPr>
                <w:rFonts w:ascii="Arial" w:hAnsi="Arial" w:cs="Arial"/>
              </w:rPr>
              <w:t xml:space="preserve">) </w:t>
            </w:r>
            <w:r w:rsidRPr="4287B20B">
              <w:rPr>
                <w:rFonts w:ascii="Arial" w:hAnsi="Arial" w:cs="Arial"/>
              </w:rPr>
              <w:t xml:space="preserve">and </w:t>
            </w:r>
            <w:r w:rsidRPr="59EFD14B">
              <w:rPr>
                <w:rFonts w:ascii="Arial" w:hAnsi="Arial" w:cs="Arial"/>
              </w:rPr>
              <w:t xml:space="preserve">reduce the </w:t>
            </w:r>
            <w:r w:rsidRPr="1ABDB97C">
              <w:rPr>
                <w:rFonts w:ascii="Arial" w:hAnsi="Arial" w:cs="Arial"/>
              </w:rPr>
              <w:t xml:space="preserve">physical footprint required </w:t>
            </w:r>
            <w:r w:rsidRPr="7B9FBDFD">
              <w:rPr>
                <w:rFonts w:ascii="Arial" w:hAnsi="Arial" w:cs="Arial"/>
              </w:rPr>
              <w:t xml:space="preserve">for this </w:t>
            </w:r>
            <w:r w:rsidRPr="1EF1D405">
              <w:rPr>
                <w:rFonts w:ascii="Arial" w:hAnsi="Arial" w:cs="Arial"/>
              </w:rPr>
              <w:t>equipment.</w:t>
            </w:r>
            <w:r>
              <w:rPr>
                <w:rFonts w:ascii="Arial" w:hAnsi="Arial" w:cs="Arial"/>
              </w:rPr>
              <w:t xml:space="preserve"> </w:t>
            </w:r>
            <w:r w:rsidRPr="12E1D028">
              <w:rPr>
                <w:rFonts w:ascii="Arial" w:hAnsi="Arial" w:cs="Arial"/>
              </w:rPr>
              <w:t>A smaller</w:t>
            </w:r>
            <w:r>
              <w:rPr>
                <w:rFonts w:ascii="Arial" w:hAnsi="Arial" w:cs="Arial"/>
              </w:rPr>
              <w:t xml:space="preserve"> footprint </w:t>
            </w:r>
            <w:r w:rsidRPr="12E1D028">
              <w:rPr>
                <w:rFonts w:ascii="Arial" w:hAnsi="Arial" w:cs="Arial"/>
              </w:rPr>
              <w:t>can contribute to</w:t>
            </w:r>
            <w:r>
              <w:rPr>
                <w:rFonts w:ascii="Arial" w:hAnsi="Arial" w:cs="Arial"/>
              </w:rPr>
              <w:t xml:space="preserve"> </w:t>
            </w:r>
            <w:r w:rsidRPr="5015FD36">
              <w:rPr>
                <w:rFonts w:ascii="Arial" w:hAnsi="Arial" w:cs="Arial"/>
              </w:rPr>
              <w:t xml:space="preserve">benefits </w:t>
            </w:r>
            <w:r w:rsidRPr="3E5B840D">
              <w:rPr>
                <w:rFonts w:ascii="Arial" w:hAnsi="Arial" w:cs="Arial"/>
              </w:rPr>
              <w:t xml:space="preserve">such as </w:t>
            </w:r>
            <w:r w:rsidRPr="22C07934">
              <w:rPr>
                <w:rFonts w:ascii="Arial" w:hAnsi="Arial" w:cs="Arial"/>
              </w:rPr>
              <w:t>quicker installation and commissioning</w:t>
            </w:r>
            <w:r w:rsidRPr="3C46CECF">
              <w:rPr>
                <w:rFonts w:ascii="Arial" w:hAnsi="Arial" w:cs="Arial"/>
              </w:rPr>
              <w:t xml:space="preserve"> and more efficient </w:t>
            </w:r>
            <w:r w:rsidRPr="2D351157">
              <w:rPr>
                <w:rFonts w:ascii="Arial" w:hAnsi="Arial" w:cs="Arial"/>
              </w:rPr>
              <w:t>land use</w:t>
            </w:r>
            <w:r>
              <w:rPr>
                <w:rFonts w:ascii="Arial" w:hAnsi="Arial" w:cs="Arial"/>
              </w:rPr>
              <w:t>.</w:t>
            </w:r>
          </w:p>
        </w:tc>
      </w:tr>
      <w:tr w:rsidR="00506EB6" w14:paraId="49FB5B4F" w14:textId="77777777" w:rsidTr="009D649D">
        <w:trPr>
          <w:trHeight w:val="300"/>
        </w:trPr>
        <w:tc>
          <w:tcPr>
            <w:tcW w:w="461" w:type="dxa"/>
          </w:tcPr>
          <w:p w14:paraId="133BE696" w14:textId="201F2B28" w:rsidR="00506EB6" w:rsidRDefault="00E567B4" w:rsidP="00BE30AE">
            <w:pPr>
              <w:spacing w:after="120"/>
              <w:rPr>
                <w:rFonts w:ascii="Arial" w:hAnsi="Arial" w:cs="Arial"/>
              </w:rPr>
            </w:pPr>
            <w:r>
              <w:rPr>
                <w:rFonts w:ascii="Arial" w:hAnsi="Arial" w:cs="Arial"/>
              </w:rPr>
              <w:t>16</w:t>
            </w:r>
          </w:p>
        </w:tc>
        <w:tc>
          <w:tcPr>
            <w:tcW w:w="4560" w:type="dxa"/>
          </w:tcPr>
          <w:p w14:paraId="7C09C10F" w14:textId="2360DC54" w:rsidR="00506EB6" w:rsidRDefault="00506EB6" w:rsidP="00BE30AE">
            <w:pPr>
              <w:spacing w:after="120"/>
              <w:rPr>
                <w:rFonts w:ascii="Arial" w:hAnsi="Arial" w:cs="Arial"/>
              </w:rPr>
            </w:pPr>
            <w:r w:rsidRPr="005F46B6">
              <w:rPr>
                <w:rFonts w:ascii="Arial" w:hAnsi="Arial" w:cs="Arial"/>
                <w:b/>
                <w:bCs/>
              </w:rPr>
              <w:t xml:space="preserve">For Group 2, what are the assumptions that lead to having a 1 MW charging capacity for the site? is this based on average consumption or peak demand? If the latter, what are the assumptions for the charging profile? </w:t>
            </w:r>
          </w:p>
        </w:tc>
        <w:tc>
          <w:tcPr>
            <w:tcW w:w="8654" w:type="dxa"/>
          </w:tcPr>
          <w:p w14:paraId="1D4061F9" w14:textId="469A4EFE" w:rsidR="00506EB6" w:rsidRDefault="00506EB6" w:rsidP="00BE30AE">
            <w:pPr>
              <w:spacing w:after="120"/>
              <w:rPr>
                <w:rFonts w:ascii="Arial" w:hAnsi="Arial" w:cs="Arial"/>
              </w:rPr>
            </w:pPr>
            <w:r w:rsidRPr="006C1BDC">
              <w:rPr>
                <w:rFonts w:ascii="Arial" w:hAnsi="Arial" w:cs="Arial"/>
              </w:rPr>
              <w:t>T</w:t>
            </w:r>
            <w:r w:rsidRPr="00270A3C">
              <w:rPr>
                <w:rFonts w:ascii="Arial" w:hAnsi="Arial" w:cs="Arial"/>
              </w:rPr>
              <w:t xml:space="preserve">he 1 MW charging capacity is the nameplate capacity of the charging </w:t>
            </w:r>
            <w:r w:rsidRPr="006C1BDC">
              <w:rPr>
                <w:rFonts w:ascii="Arial" w:hAnsi="Arial" w:cs="Arial"/>
              </w:rPr>
              <w:t xml:space="preserve">site </w:t>
            </w:r>
            <w:r w:rsidR="00DA224C">
              <w:rPr>
                <w:rFonts w:ascii="Arial" w:hAnsi="Arial" w:cs="Arial"/>
              </w:rPr>
              <w:t>(</w:t>
            </w:r>
            <w:r w:rsidRPr="006C1BDC">
              <w:rPr>
                <w:rFonts w:ascii="Arial" w:hAnsi="Arial" w:cs="Arial"/>
              </w:rPr>
              <w:t>or</w:t>
            </w:r>
            <w:r w:rsidRPr="00270A3C">
              <w:rPr>
                <w:rFonts w:ascii="Arial" w:hAnsi="Arial" w:cs="Arial"/>
              </w:rPr>
              <w:t xml:space="preserve"> sum of the maximum rated output capacity of all the chargers involved in the demonstration</w:t>
            </w:r>
            <w:r>
              <w:rPr>
                <w:rFonts w:ascii="Arial" w:hAnsi="Arial" w:cs="Arial"/>
              </w:rPr>
              <w:t>/deployment</w:t>
            </w:r>
            <w:r w:rsidRPr="00270A3C">
              <w:rPr>
                <w:rFonts w:ascii="Arial" w:hAnsi="Arial" w:cs="Arial"/>
              </w:rPr>
              <w:t xml:space="preserve"> at the site</w:t>
            </w:r>
            <w:r w:rsidR="00DA224C">
              <w:rPr>
                <w:rFonts w:ascii="Arial" w:hAnsi="Arial" w:cs="Arial"/>
              </w:rPr>
              <w:t>)</w:t>
            </w:r>
            <w:r w:rsidRPr="00270A3C">
              <w:rPr>
                <w:rFonts w:ascii="Arial" w:hAnsi="Arial" w:cs="Arial"/>
              </w:rPr>
              <w:t xml:space="preserve">. </w:t>
            </w:r>
            <w:r>
              <w:rPr>
                <w:rFonts w:ascii="Arial" w:hAnsi="Arial" w:cs="Arial"/>
              </w:rPr>
              <w:t>This minimum 1 MW charging capacity requirement is intended to ensure the developed solution is applicable to high</w:t>
            </w:r>
            <w:r w:rsidR="00D828CB">
              <w:rPr>
                <w:rFonts w:ascii="Arial" w:hAnsi="Arial" w:cs="Arial"/>
              </w:rPr>
              <w:t>er</w:t>
            </w:r>
            <w:r>
              <w:rPr>
                <w:rFonts w:ascii="Arial" w:hAnsi="Arial" w:cs="Arial"/>
              </w:rPr>
              <w:t>-power charging applications.</w:t>
            </w:r>
          </w:p>
        </w:tc>
      </w:tr>
      <w:tr w:rsidR="00506EB6" w14:paraId="20FBAAA3" w14:textId="77777777" w:rsidTr="009D649D">
        <w:trPr>
          <w:trHeight w:val="300"/>
        </w:trPr>
        <w:tc>
          <w:tcPr>
            <w:tcW w:w="461" w:type="dxa"/>
          </w:tcPr>
          <w:p w14:paraId="32FBDE0E" w14:textId="69C2F3E8" w:rsidR="00506EB6" w:rsidRDefault="00E567B4" w:rsidP="00BE30AE">
            <w:pPr>
              <w:spacing w:after="120"/>
              <w:rPr>
                <w:rFonts w:ascii="Arial" w:hAnsi="Arial" w:cs="Arial"/>
              </w:rPr>
            </w:pPr>
            <w:r>
              <w:rPr>
                <w:rFonts w:ascii="Arial" w:hAnsi="Arial" w:cs="Arial"/>
              </w:rPr>
              <w:t>17</w:t>
            </w:r>
          </w:p>
        </w:tc>
        <w:tc>
          <w:tcPr>
            <w:tcW w:w="4560" w:type="dxa"/>
          </w:tcPr>
          <w:p w14:paraId="038286A5" w14:textId="42F0D14C" w:rsidR="00506EB6" w:rsidRDefault="00506EB6" w:rsidP="00BE30AE">
            <w:pPr>
              <w:spacing w:after="120"/>
              <w:rPr>
                <w:rFonts w:ascii="Arial" w:hAnsi="Arial" w:cs="Arial"/>
              </w:rPr>
            </w:pPr>
            <w:r w:rsidRPr="00A940A7">
              <w:rPr>
                <w:rFonts w:ascii="Arial" w:hAnsi="Arial" w:cs="Arial"/>
                <w:b/>
                <w:bCs/>
              </w:rPr>
              <w:t>For Group 2, is it feasible to conduct a preliminary demonstration of the technology with reduced power requirements, using it as a foundational step (that will meet the project budget), towards a larger-scale project that ultimately meets the 1MW criteria?</w:t>
            </w:r>
          </w:p>
        </w:tc>
        <w:tc>
          <w:tcPr>
            <w:tcW w:w="8654" w:type="dxa"/>
          </w:tcPr>
          <w:p w14:paraId="41742D53" w14:textId="740BFEFF" w:rsidR="00506EB6" w:rsidRDefault="00442B2D" w:rsidP="00BE30AE">
            <w:pPr>
              <w:spacing w:after="120"/>
              <w:rPr>
                <w:rFonts w:ascii="Arial" w:hAnsi="Arial" w:cs="Arial"/>
              </w:rPr>
            </w:pPr>
            <w:r>
              <w:rPr>
                <w:rFonts w:ascii="Arial" w:hAnsi="Arial" w:cs="Arial"/>
              </w:rPr>
              <w:t xml:space="preserve">Group 2 projects may </w:t>
            </w:r>
            <w:r w:rsidR="00506EB6">
              <w:rPr>
                <w:rFonts w:ascii="Arial" w:hAnsi="Arial" w:cs="Arial"/>
              </w:rPr>
              <w:t xml:space="preserve">conduct </w:t>
            </w:r>
            <w:r>
              <w:rPr>
                <w:rFonts w:ascii="Arial" w:hAnsi="Arial" w:cs="Arial"/>
              </w:rPr>
              <w:t>a</w:t>
            </w:r>
            <w:r w:rsidR="00506EB6">
              <w:rPr>
                <w:rFonts w:ascii="Arial" w:hAnsi="Arial" w:cs="Arial"/>
              </w:rPr>
              <w:t xml:space="preserve"> preliminary demonstration</w:t>
            </w:r>
            <w:r>
              <w:rPr>
                <w:rFonts w:ascii="Arial" w:hAnsi="Arial" w:cs="Arial"/>
              </w:rPr>
              <w:t xml:space="preserve"> with reduced power</w:t>
            </w:r>
            <w:r w:rsidR="00506EB6">
              <w:rPr>
                <w:rFonts w:ascii="Arial" w:hAnsi="Arial" w:cs="Arial"/>
              </w:rPr>
              <w:t xml:space="preserve"> during the project term.</w:t>
            </w:r>
            <w:r w:rsidR="009769D6">
              <w:rPr>
                <w:rFonts w:ascii="Arial" w:hAnsi="Arial" w:cs="Arial"/>
              </w:rPr>
              <w:t xml:space="preserve"> However, the project still must </w:t>
            </w:r>
            <w:r w:rsidR="00693C87">
              <w:rPr>
                <w:rFonts w:ascii="Arial" w:hAnsi="Arial" w:cs="Arial"/>
              </w:rPr>
              <w:t>complete a demonstration</w:t>
            </w:r>
            <w:r w:rsidR="00B05CED">
              <w:rPr>
                <w:rFonts w:ascii="Arial" w:hAnsi="Arial" w:cs="Arial"/>
              </w:rPr>
              <w:t xml:space="preserve"> that meets </w:t>
            </w:r>
            <w:r w:rsidR="007B31F2">
              <w:rPr>
                <w:rFonts w:ascii="Arial" w:hAnsi="Arial" w:cs="Arial"/>
              </w:rPr>
              <w:t>the 1 M</w:t>
            </w:r>
            <w:r w:rsidR="00065221">
              <w:rPr>
                <w:rFonts w:ascii="Arial" w:hAnsi="Arial" w:cs="Arial"/>
              </w:rPr>
              <w:t>W requirement.</w:t>
            </w:r>
          </w:p>
        </w:tc>
      </w:tr>
      <w:tr w:rsidR="00506EB6" w14:paraId="2964C9FC" w14:textId="77777777" w:rsidTr="009D649D">
        <w:trPr>
          <w:trHeight w:val="300"/>
        </w:trPr>
        <w:tc>
          <w:tcPr>
            <w:tcW w:w="461" w:type="dxa"/>
          </w:tcPr>
          <w:p w14:paraId="5ACAE54F" w14:textId="2C528851" w:rsidR="00506EB6" w:rsidRDefault="00E567B4" w:rsidP="00BE30AE">
            <w:pPr>
              <w:spacing w:after="120"/>
              <w:rPr>
                <w:rFonts w:ascii="Arial" w:hAnsi="Arial" w:cs="Arial"/>
              </w:rPr>
            </w:pPr>
            <w:r>
              <w:rPr>
                <w:rFonts w:ascii="Arial" w:hAnsi="Arial" w:cs="Arial"/>
              </w:rPr>
              <w:t>18</w:t>
            </w:r>
          </w:p>
        </w:tc>
        <w:tc>
          <w:tcPr>
            <w:tcW w:w="4560" w:type="dxa"/>
          </w:tcPr>
          <w:p w14:paraId="34CBF386" w14:textId="0C895253" w:rsidR="00506EB6" w:rsidRDefault="00506EB6" w:rsidP="00BE30AE">
            <w:pPr>
              <w:spacing w:after="120"/>
              <w:rPr>
                <w:rFonts w:ascii="Arial" w:hAnsi="Arial" w:cs="Arial"/>
              </w:rPr>
            </w:pPr>
            <w:r w:rsidRPr="00165CE8">
              <w:rPr>
                <w:rFonts w:ascii="Arial" w:hAnsi="Arial" w:cs="Arial"/>
                <w:b/>
                <w:bCs/>
                <w:color w:val="000000"/>
              </w:rPr>
              <w:t>For Group 3, do any chargers need to meet the technical requirements for public stations? Specifically, the credit card reader requirement?</w:t>
            </w:r>
          </w:p>
        </w:tc>
        <w:tc>
          <w:tcPr>
            <w:tcW w:w="8654" w:type="dxa"/>
          </w:tcPr>
          <w:p w14:paraId="0F4A1DC5" w14:textId="57EE05ED" w:rsidR="00506EB6" w:rsidRDefault="00506EB6" w:rsidP="00BE30AE">
            <w:pPr>
              <w:spacing w:after="120"/>
              <w:rPr>
                <w:rFonts w:ascii="Arial" w:hAnsi="Arial" w:cs="Arial"/>
              </w:rPr>
            </w:pPr>
            <w:r w:rsidRPr="00165CE8">
              <w:rPr>
                <w:rFonts w:ascii="Arial" w:hAnsi="Arial" w:cs="Arial"/>
              </w:rPr>
              <w:t xml:space="preserve">Group 3 </w:t>
            </w:r>
            <w:r>
              <w:rPr>
                <w:rFonts w:ascii="Arial" w:hAnsi="Arial" w:cs="Arial"/>
              </w:rPr>
              <w:t xml:space="preserve">project demonstrations/deployments </w:t>
            </w:r>
            <w:r w:rsidRPr="00165CE8">
              <w:rPr>
                <w:rFonts w:ascii="Arial" w:hAnsi="Arial" w:cs="Arial"/>
              </w:rPr>
              <w:t xml:space="preserve">do not need to take place at a public station, although that is an option. </w:t>
            </w:r>
            <w:r>
              <w:rPr>
                <w:rFonts w:ascii="Arial" w:hAnsi="Arial" w:cs="Arial"/>
              </w:rPr>
              <w:t xml:space="preserve">Group 3 project demonstrations/deployments that involve of public access </w:t>
            </w:r>
            <w:r>
              <w:rPr>
                <w:rFonts w:ascii="Arial" w:hAnsi="Arial" w:cs="Arial"/>
                <w:bCs/>
              </w:rPr>
              <w:t xml:space="preserve">EVSE(s) </w:t>
            </w:r>
            <w:r w:rsidRPr="006553F7">
              <w:rPr>
                <w:rFonts w:ascii="Arial" w:hAnsi="Arial" w:cs="Arial"/>
                <w:bCs/>
              </w:rPr>
              <w:t>must be certified through the California Type Evaluation Program (CTEP) and support minimum payment methods as required by the CARB EVSE Standards.</w:t>
            </w:r>
          </w:p>
        </w:tc>
      </w:tr>
      <w:tr w:rsidR="00506EB6" w14:paraId="10985ABB" w14:textId="77777777" w:rsidTr="009D649D">
        <w:trPr>
          <w:trHeight w:val="300"/>
        </w:trPr>
        <w:tc>
          <w:tcPr>
            <w:tcW w:w="461" w:type="dxa"/>
          </w:tcPr>
          <w:p w14:paraId="21F312A3" w14:textId="40C3D429" w:rsidR="00506EB6" w:rsidRDefault="00E567B4" w:rsidP="00BE30AE">
            <w:pPr>
              <w:spacing w:after="120"/>
              <w:rPr>
                <w:rFonts w:ascii="Arial" w:hAnsi="Arial" w:cs="Arial"/>
              </w:rPr>
            </w:pPr>
            <w:r>
              <w:rPr>
                <w:rFonts w:ascii="Arial" w:hAnsi="Arial" w:cs="Arial"/>
              </w:rPr>
              <w:t>19</w:t>
            </w:r>
          </w:p>
        </w:tc>
        <w:tc>
          <w:tcPr>
            <w:tcW w:w="4560" w:type="dxa"/>
          </w:tcPr>
          <w:p w14:paraId="051EB87B" w14:textId="43C6635B" w:rsidR="00506EB6" w:rsidRDefault="00506EB6" w:rsidP="00BE30AE">
            <w:pPr>
              <w:spacing w:after="120"/>
              <w:rPr>
                <w:rFonts w:ascii="Arial" w:hAnsi="Arial" w:cs="Arial"/>
              </w:rPr>
            </w:pPr>
            <w:r w:rsidRPr="00343BBA">
              <w:rPr>
                <w:rFonts w:ascii="Arial" w:hAnsi="Arial" w:cs="Arial"/>
                <w:b/>
                <w:bCs/>
              </w:rPr>
              <w:t xml:space="preserve">It is stated in the </w:t>
            </w:r>
            <w:r>
              <w:rPr>
                <w:rFonts w:ascii="Arial" w:hAnsi="Arial" w:cs="Arial"/>
                <w:b/>
                <w:bCs/>
              </w:rPr>
              <w:t>S</w:t>
            </w:r>
            <w:r w:rsidRPr="00343BBA">
              <w:rPr>
                <w:rFonts w:ascii="Arial" w:hAnsi="Arial" w:cs="Arial"/>
                <w:b/>
                <w:bCs/>
              </w:rPr>
              <w:t xml:space="preserve">olicitation </w:t>
            </w:r>
            <w:r>
              <w:rPr>
                <w:rFonts w:ascii="Arial" w:hAnsi="Arial" w:cs="Arial"/>
                <w:b/>
                <w:bCs/>
              </w:rPr>
              <w:t>M</w:t>
            </w:r>
            <w:r w:rsidRPr="00343BBA">
              <w:rPr>
                <w:rFonts w:ascii="Arial" w:hAnsi="Arial" w:cs="Arial"/>
                <w:b/>
                <w:bCs/>
              </w:rPr>
              <w:t>anual</w:t>
            </w:r>
            <w:r>
              <w:rPr>
                <w:rFonts w:ascii="Arial" w:hAnsi="Arial" w:cs="Arial"/>
                <w:b/>
                <w:bCs/>
              </w:rPr>
              <w:t xml:space="preserve"> [under Group 3]</w:t>
            </w:r>
            <w:r w:rsidRPr="00343BBA">
              <w:rPr>
                <w:rFonts w:ascii="Arial" w:hAnsi="Arial" w:cs="Arial"/>
                <w:b/>
                <w:bCs/>
              </w:rPr>
              <w:t xml:space="preserve">, “technologies that also integrate with DERs and/or load management systems are highly </w:t>
            </w:r>
            <w:r w:rsidRPr="00343BBA">
              <w:rPr>
                <w:rFonts w:ascii="Arial" w:hAnsi="Arial" w:cs="Arial"/>
                <w:b/>
                <w:bCs/>
              </w:rPr>
              <w:lastRenderedPageBreak/>
              <w:t>encouraged,” under Project Focus (section I.C). Does an applicant project score more points by including a DER?</w:t>
            </w:r>
          </w:p>
        </w:tc>
        <w:tc>
          <w:tcPr>
            <w:tcW w:w="8654" w:type="dxa"/>
          </w:tcPr>
          <w:p w14:paraId="0698022E" w14:textId="6B77F54B" w:rsidR="00506EB6" w:rsidRDefault="00506EB6" w:rsidP="00BE30AE">
            <w:pPr>
              <w:spacing w:after="120"/>
              <w:rPr>
                <w:rFonts w:ascii="Arial" w:hAnsi="Arial" w:cs="Arial"/>
              </w:rPr>
            </w:pPr>
            <w:r w:rsidRPr="22E269BB">
              <w:rPr>
                <w:rFonts w:ascii="Arial" w:hAnsi="Arial" w:cs="Arial"/>
              </w:rPr>
              <w:lastRenderedPageBreak/>
              <w:t>There are no explicit bonus points in the Scoring Criteria (Section IV.F.) for technologies integrating with distributed energy resources (</w:t>
            </w:r>
            <w:r w:rsidRPr="22E269BB">
              <w:rPr>
                <w:rFonts w:ascii="Arial" w:eastAsia="Times New Roman" w:hAnsi="Arial" w:cs="Arial"/>
              </w:rPr>
              <w:t>DERs) and/or load management systems</w:t>
            </w:r>
            <w:r w:rsidR="007F3B57" w:rsidRPr="22E269BB">
              <w:rPr>
                <w:rFonts w:ascii="Arial" w:eastAsia="Times New Roman" w:hAnsi="Arial" w:cs="Arial"/>
              </w:rPr>
              <w:t xml:space="preserve"> </w:t>
            </w:r>
            <w:r w:rsidRPr="22E269BB">
              <w:rPr>
                <w:rFonts w:ascii="Arial" w:eastAsia="Times New Roman" w:hAnsi="Arial" w:cs="Arial"/>
              </w:rPr>
              <w:t>for Group 3 projects</w:t>
            </w:r>
            <w:r w:rsidR="00E17F12" w:rsidRPr="22E269BB">
              <w:rPr>
                <w:rFonts w:ascii="Arial" w:eastAsia="Times New Roman" w:hAnsi="Arial" w:cs="Arial"/>
              </w:rPr>
              <w:t xml:space="preserve">; however, </w:t>
            </w:r>
            <w:r w:rsidR="00A1575E" w:rsidRPr="22E269BB">
              <w:rPr>
                <w:rFonts w:ascii="Arial" w:eastAsia="Times New Roman" w:hAnsi="Arial" w:cs="Arial"/>
              </w:rPr>
              <w:t>p</w:t>
            </w:r>
            <w:r w:rsidRPr="22E269BB">
              <w:rPr>
                <w:rFonts w:ascii="Arial" w:hAnsi="Arial" w:cs="Arial"/>
              </w:rPr>
              <w:t>rojects will be evaluated holistically</w:t>
            </w:r>
            <w:r w:rsidR="5026D6AB" w:rsidRPr="22E269BB">
              <w:rPr>
                <w:rFonts w:ascii="Arial" w:hAnsi="Arial" w:cs="Arial"/>
              </w:rPr>
              <w:t>,</w:t>
            </w:r>
            <w:r w:rsidRPr="22E269BB">
              <w:rPr>
                <w:rFonts w:ascii="Arial" w:hAnsi="Arial" w:cs="Arial"/>
              </w:rPr>
              <w:t xml:space="preserve"> and inclusion of DER integration and/or load management systems could </w:t>
            </w:r>
            <w:r w:rsidRPr="22E269BB">
              <w:rPr>
                <w:rFonts w:ascii="Arial" w:hAnsi="Arial" w:cs="Arial"/>
              </w:rPr>
              <w:lastRenderedPageBreak/>
              <w:t xml:space="preserve">strengthen an application. Applicants are encouraged to </w:t>
            </w:r>
            <w:r w:rsidR="00496A3C" w:rsidRPr="22E269BB">
              <w:rPr>
                <w:rFonts w:ascii="Arial" w:hAnsi="Arial" w:cs="Arial"/>
              </w:rPr>
              <w:t xml:space="preserve">describe </w:t>
            </w:r>
            <w:r w:rsidRPr="22E269BB">
              <w:rPr>
                <w:rFonts w:ascii="Arial" w:hAnsi="Arial" w:cs="Arial"/>
              </w:rPr>
              <w:t>the rationale</w:t>
            </w:r>
            <w:r w:rsidR="006949A0" w:rsidRPr="22E269BB">
              <w:rPr>
                <w:rFonts w:ascii="Arial" w:hAnsi="Arial" w:cs="Arial"/>
              </w:rPr>
              <w:t xml:space="preserve">, </w:t>
            </w:r>
            <w:r w:rsidRPr="22E269BB">
              <w:rPr>
                <w:rFonts w:ascii="Arial" w:hAnsi="Arial" w:cs="Arial"/>
              </w:rPr>
              <w:t>advantages</w:t>
            </w:r>
            <w:r w:rsidR="006949A0" w:rsidRPr="22E269BB">
              <w:rPr>
                <w:rFonts w:ascii="Arial" w:hAnsi="Arial" w:cs="Arial"/>
              </w:rPr>
              <w:t>, and benefits</w:t>
            </w:r>
            <w:r w:rsidRPr="22E269BB">
              <w:rPr>
                <w:rFonts w:ascii="Arial" w:hAnsi="Arial" w:cs="Arial"/>
              </w:rPr>
              <w:t xml:space="preserve"> for including DER integration and/or load management systems in their project.</w:t>
            </w:r>
          </w:p>
        </w:tc>
      </w:tr>
      <w:tr w:rsidR="00506EB6" w14:paraId="797A4582" w14:textId="77777777" w:rsidTr="009D649D">
        <w:trPr>
          <w:trHeight w:val="300"/>
        </w:trPr>
        <w:tc>
          <w:tcPr>
            <w:tcW w:w="461" w:type="dxa"/>
          </w:tcPr>
          <w:p w14:paraId="11A75ED9" w14:textId="12FA4462" w:rsidR="00506EB6" w:rsidRDefault="00E567B4" w:rsidP="00BE30AE">
            <w:pPr>
              <w:spacing w:after="120"/>
              <w:rPr>
                <w:rFonts w:ascii="Arial" w:hAnsi="Arial" w:cs="Arial"/>
              </w:rPr>
            </w:pPr>
            <w:r>
              <w:rPr>
                <w:rFonts w:ascii="Arial" w:hAnsi="Arial" w:cs="Arial"/>
              </w:rPr>
              <w:lastRenderedPageBreak/>
              <w:t>20</w:t>
            </w:r>
          </w:p>
        </w:tc>
        <w:tc>
          <w:tcPr>
            <w:tcW w:w="4560" w:type="dxa"/>
          </w:tcPr>
          <w:p w14:paraId="5CEE5BD5" w14:textId="445E380C" w:rsidR="00506EB6" w:rsidRDefault="00506EB6" w:rsidP="00BE30AE">
            <w:pPr>
              <w:spacing w:after="120"/>
              <w:rPr>
                <w:rFonts w:ascii="Arial" w:hAnsi="Arial" w:cs="Arial"/>
              </w:rPr>
            </w:pPr>
            <w:r w:rsidRPr="00F22E4D">
              <w:rPr>
                <w:rFonts w:ascii="Arial" w:hAnsi="Arial" w:cs="Arial"/>
                <w:b/>
                <w:bCs/>
              </w:rPr>
              <w:t>For Group 3, is there a target charger configuration (number of chargers, peak power for each charger) for such a charging site?</w:t>
            </w:r>
          </w:p>
        </w:tc>
        <w:tc>
          <w:tcPr>
            <w:tcW w:w="8654" w:type="dxa"/>
          </w:tcPr>
          <w:p w14:paraId="3F45F2A4" w14:textId="0F4466AC" w:rsidR="00506EB6" w:rsidRDefault="000E110A" w:rsidP="00BE30AE">
            <w:pPr>
              <w:spacing w:after="120"/>
              <w:rPr>
                <w:rFonts w:ascii="Arial" w:hAnsi="Arial" w:cs="Arial"/>
              </w:rPr>
            </w:pPr>
            <w:r>
              <w:rPr>
                <w:rFonts w:ascii="Arial" w:hAnsi="Arial" w:cs="Arial"/>
              </w:rPr>
              <w:t xml:space="preserve">There are no charger quantity or peak power requirements for Group 3. </w:t>
            </w:r>
            <w:r w:rsidR="00506EB6">
              <w:rPr>
                <w:rFonts w:ascii="Arial" w:hAnsi="Arial" w:cs="Arial"/>
              </w:rPr>
              <w:t xml:space="preserve">Applicants are required to choose a use case that would benefit from the proposed opportunity charging solution. The solution should meet the charging needs of that use case. </w:t>
            </w:r>
          </w:p>
        </w:tc>
      </w:tr>
      <w:tr w:rsidR="00506EB6" w14:paraId="2B6239C4" w14:textId="77777777" w:rsidTr="009D649D">
        <w:trPr>
          <w:trHeight w:val="300"/>
        </w:trPr>
        <w:tc>
          <w:tcPr>
            <w:tcW w:w="461" w:type="dxa"/>
          </w:tcPr>
          <w:p w14:paraId="3EE17990" w14:textId="4B2FF857" w:rsidR="00506EB6" w:rsidRDefault="00E567B4" w:rsidP="00BE30AE">
            <w:pPr>
              <w:spacing w:after="120"/>
              <w:rPr>
                <w:rFonts w:ascii="Arial" w:hAnsi="Arial" w:cs="Arial"/>
              </w:rPr>
            </w:pPr>
            <w:r>
              <w:rPr>
                <w:rFonts w:ascii="Arial" w:hAnsi="Arial" w:cs="Arial"/>
              </w:rPr>
              <w:t>21</w:t>
            </w:r>
          </w:p>
        </w:tc>
        <w:tc>
          <w:tcPr>
            <w:tcW w:w="4560" w:type="dxa"/>
          </w:tcPr>
          <w:p w14:paraId="6B0153F0" w14:textId="1408662E" w:rsidR="00506EB6" w:rsidRDefault="00506EB6" w:rsidP="00BE30AE">
            <w:pPr>
              <w:spacing w:after="120"/>
              <w:rPr>
                <w:rFonts w:ascii="Arial" w:hAnsi="Arial" w:cs="Arial"/>
              </w:rPr>
            </w:pPr>
            <w:r w:rsidRPr="00E76E69">
              <w:rPr>
                <w:rFonts w:ascii="Arial" w:hAnsi="Arial" w:cs="Arial"/>
                <w:b/>
                <w:bCs/>
              </w:rPr>
              <w:t>For Group 3, what is the expected utilization for the charging site?</w:t>
            </w:r>
          </w:p>
        </w:tc>
        <w:tc>
          <w:tcPr>
            <w:tcW w:w="8654" w:type="dxa"/>
          </w:tcPr>
          <w:p w14:paraId="2CFE1B18" w14:textId="7B67DCB2" w:rsidR="00506EB6" w:rsidRDefault="00506EB6" w:rsidP="00BE30AE">
            <w:pPr>
              <w:spacing w:after="120"/>
              <w:rPr>
                <w:rFonts w:ascii="Arial" w:hAnsi="Arial" w:cs="Arial"/>
              </w:rPr>
            </w:pPr>
            <w:r>
              <w:rPr>
                <w:rFonts w:ascii="Arial" w:hAnsi="Arial" w:cs="Arial"/>
              </w:rPr>
              <w:t>Utilization will depend on the use case. Projects are required to collect enough data during charging sessions to demonstrate technology benefits.</w:t>
            </w:r>
          </w:p>
        </w:tc>
      </w:tr>
      <w:tr w:rsidR="00506EB6" w14:paraId="37AB9BA6" w14:textId="77777777" w:rsidTr="009D649D">
        <w:trPr>
          <w:trHeight w:val="300"/>
        </w:trPr>
        <w:tc>
          <w:tcPr>
            <w:tcW w:w="461" w:type="dxa"/>
          </w:tcPr>
          <w:p w14:paraId="16AF0033" w14:textId="38758443" w:rsidR="00506EB6" w:rsidRDefault="00F70B2C" w:rsidP="00BE30AE">
            <w:pPr>
              <w:spacing w:after="120"/>
              <w:rPr>
                <w:rFonts w:ascii="Arial" w:hAnsi="Arial" w:cs="Arial"/>
              </w:rPr>
            </w:pPr>
            <w:r>
              <w:rPr>
                <w:rFonts w:ascii="Arial" w:hAnsi="Arial" w:cs="Arial"/>
              </w:rPr>
              <w:t>22</w:t>
            </w:r>
          </w:p>
        </w:tc>
        <w:tc>
          <w:tcPr>
            <w:tcW w:w="4560" w:type="dxa"/>
          </w:tcPr>
          <w:p w14:paraId="52A760EB" w14:textId="1FF0FDE7" w:rsidR="00506EB6" w:rsidRDefault="00506EB6" w:rsidP="00BE30AE">
            <w:pPr>
              <w:spacing w:after="120"/>
              <w:rPr>
                <w:rFonts w:ascii="Arial" w:hAnsi="Arial" w:cs="Arial"/>
              </w:rPr>
            </w:pPr>
            <w:r w:rsidRPr="00A7139A">
              <w:rPr>
                <w:rFonts w:ascii="Arial" w:hAnsi="Arial" w:cs="Arial"/>
                <w:b/>
                <w:bCs/>
              </w:rPr>
              <w:t>For Group 3, is there a guideline for the purpose of the charging site? Is it public charging/fleet depot/other? Is it intended for cars (</w:t>
            </w:r>
            <w:r>
              <w:rPr>
                <w:rFonts w:ascii="Arial" w:hAnsi="Arial" w:cs="Arial"/>
                <w:b/>
                <w:bCs/>
              </w:rPr>
              <w:t>for example,</w:t>
            </w:r>
            <w:r w:rsidRPr="00A7139A">
              <w:rPr>
                <w:rFonts w:ascii="Arial" w:hAnsi="Arial" w:cs="Arial"/>
                <w:b/>
                <w:bCs/>
              </w:rPr>
              <w:t xml:space="preserve"> passenger cars</w:t>
            </w:r>
            <w:r>
              <w:rPr>
                <w:rFonts w:ascii="Arial" w:hAnsi="Arial" w:cs="Arial"/>
                <w:b/>
                <w:bCs/>
              </w:rPr>
              <w:t xml:space="preserve">, </w:t>
            </w:r>
            <w:r w:rsidRPr="00A7139A">
              <w:rPr>
                <w:rFonts w:ascii="Arial" w:hAnsi="Arial" w:cs="Arial"/>
                <w:b/>
                <w:bCs/>
              </w:rPr>
              <w:t>vans</w:t>
            </w:r>
            <w:r>
              <w:rPr>
                <w:rFonts w:ascii="Arial" w:hAnsi="Arial" w:cs="Arial"/>
                <w:b/>
                <w:bCs/>
              </w:rPr>
              <w:t xml:space="preserve">, </w:t>
            </w:r>
            <w:r w:rsidRPr="00A7139A">
              <w:rPr>
                <w:rFonts w:ascii="Arial" w:hAnsi="Arial" w:cs="Arial"/>
                <w:b/>
                <w:bCs/>
              </w:rPr>
              <w:t>heavy-duty trucks</w:t>
            </w:r>
            <w:r>
              <w:rPr>
                <w:rFonts w:ascii="Arial" w:hAnsi="Arial" w:cs="Arial"/>
                <w:b/>
                <w:bCs/>
              </w:rPr>
              <w:t xml:space="preserve">, </w:t>
            </w:r>
            <w:r w:rsidRPr="00A7139A">
              <w:rPr>
                <w:rFonts w:ascii="Arial" w:hAnsi="Arial" w:cs="Arial"/>
                <w:b/>
                <w:bCs/>
              </w:rPr>
              <w:t>buses</w:t>
            </w:r>
            <w:r>
              <w:rPr>
                <w:rFonts w:ascii="Arial" w:hAnsi="Arial" w:cs="Arial"/>
                <w:b/>
                <w:bCs/>
              </w:rPr>
              <w:t>, etc.)</w:t>
            </w:r>
            <w:r w:rsidRPr="00A7139A">
              <w:rPr>
                <w:rFonts w:ascii="Arial" w:hAnsi="Arial" w:cs="Arial"/>
                <w:b/>
                <w:bCs/>
              </w:rPr>
              <w:t>?</w:t>
            </w:r>
          </w:p>
        </w:tc>
        <w:tc>
          <w:tcPr>
            <w:tcW w:w="8654" w:type="dxa"/>
          </w:tcPr>
          <w:p w14:paraId="7A3E00A4" w14:textId="57A4D333" w:rsidR="00506EB6" w:rsidRDefault="008533D0" w:rsidP="00BE30AE">
            <w:pPr>
              <w:spacing w:after="120"/>
              <w:rPr>
                <w:rFonts w:ascii="Arial" w:hAnsi="Arial" w:cs="Arial"/>
              </w:rPr>
            </w:pPr>
            <w:r w:rsidRPr="00892F7C">
              <w:rPr>
                <w:rFonts w:ascii="Arial" w:hAnsi="Arial" w:cs="Arial"/>
              </w:rPr>
              <w:t>This solicitation is open to all PEV types and classes.</w:t>
            </w:r>
            <w:r w:rsidR="00A945C9">
              <w:rPr>
                <w:rFonts w:ascii="Arial" w:hAnsi="Arial" w:cs="Arial"/>
              </w:rPr>
              <w:t xml:space="preserve"> </w:t>
            </w:r>
            <w:r w:rsidR="00506EB6" w:rsidRPr="00C9651C">
              <w:rPr>
                <w:rFonts w:ascii="Arial" w:hAnsi="Arial" w:cs="Arial"/>
              </w:rPr>
              <w:t>Group 3 projects must develop and demonstrate innovative opportunity charging solutions to enable shifting of PEV charging loads and</w:t>
            </w:r>
            <w:r w:rsidR="00506EB6">
              <w:rPr>
                <w:rFonts w:ascii="Arial" w:hAnsi="Arial" w:cs="Arial"/>
              </w:rPr>
              <w:t xml:space="preserve"> encourage</w:t>
            </w:r>
            <w:r w:rsidR="00506EB6" w:rsidRPr="00C9651C">
              <w:rPr>
                <w:rFonts w:ascii="Arial" w:hAnsi="Arial" w:cs="Arial"/>
              </w:rPr>
              <w:t xml:space="preserve"> PEV adoption for challenging duty cycles.</w:t>
            </w:r>
            <w:r w:rsidR="00506EB6">
              <w:rPr>
                <w:rFonts w:ascii="Arial" w:hAnsi="Arial" w:cs="Arial"/>
              </w:rPr>
              <w:t xml:space="preserve"> Applicants are required to d</w:t>
            </w:r>
            <w:r w:rsidR="00506EB6" w:rsidRPr="00744851">
              <w:rPr>
                <w:rFonts w:ascii="Arial" w:hAnsi="Arial" w:cs="Arial"/>
              </w:rPr>
              <w:t xml:space="preserve">escribe </w:t>
            </w:r>
            <w:r w:rsidR="00506EB6">
              <w:rPr>
                <w:rFonts w:ascii="Arial" w:hAnsi="Arial" w:cs="Arial"/>
              </w:rPr>
              <w:t xml:space="preserve">a </w:t>
            </w:r>
            <w:r w:rsidR="00506EB6" w:rsidRPr="00744851">
              <w:rPr>
                <w:rFonts w:ascii="Arial" w:hAnsi="Arial" w:cs="Arial"/>
              </w:rPr>
              <w:t>use case</w:t>
            </w:r>
            <w:r w:rsidR="00506EB6">
              <w:rPr>
                <w:rFonts w:ascii="Arial" w:hAnsi="Arial" w:cs="Arial"/>
              </w:rPr>
              <w:t>(</w:t>
            </w:r>
            <w:r w:rsidR="00506EB6" w:rsidRPr="00744851">
              <w:rPr>
                <w:rFonts w:ascii="Arial" w:hAnsi="Arial" w:cs="Arial"/>
              </w:rPr>
              <w:t>s</w:t>
            </w:r>
            <w:r w:rsidR="00506EB6">
              <w:rPr>
                <w:rFonts w:ascii="Arial" w:hAnsi="Arial" w:cs="Arial"/>
              </w:rPr>
              <w:t>)</w:t>
            </w:r>
            <w:r w:rsidR="00506EB6" w:rsidRPr="00744851">
              <w:rPr>
                <w:rFonts w:ascii="Arial" w:hAnsi="Arial" w:cs="Arial"/>
              </w:rPr>
              <w:t xml:space="preserve"> that would benefit from the proposed opportunity charging solution</w:t>
            </w:r>
            <w:r w:rsidR="00506EB6">
              <w:rPr>
                <w:rFonts w:ascii="Arial" w:hAnsi="Arial" w:cs="Arial"/>
              </w:rPr>
              <w:t xml:space="preserve"> </w:t>
            </w:r>
            <w:r w:rsidR="00506EB6" w:rsidRPr="00744851">
              <w:rPr>
                <w:rFonts w:ascii="Arial" w:hAnsi="Arial" w:cs="Arial"/>
              </w:rPr>
              <w:t>(</w:t>
            </w:r>
            <w:r w:rsidR="00506EB6">
              <w:rPr>
                <w:rFonts w:ascii="Arial" w:hAnsi="Arial" w:cs="Arial"/>
              </w:rPr>
              <w:t>for example</w:t>
            </w:r>
            <w:r w:rsidR="00506EB6" w:rsidRPr="00744851">
              <w:rPr>
                <w:rFonts w:ascii="Arial" w:hAnsi="Arial" w:cs="Arial"/>
              </w:rPr>
              <w:t>, public transit, port drayage, construction equipment, ridesharing)</w:t>
            </w:r>
            <w:r w:rsidR="00506EB6">
              <w:rPr>
                <w:rFonts w:ascii="Arial" w:hAnsi="Arial" w:cs="Arial"/>
              </w:rPr>
              <w:t xml:space="preserve">, and then demonstrate with that use case(s) during the project term. </w:t>
            </w:r>
          </w:p>
        </w:tc>
      </w:tr>
      <w:tr w:rsidR="00506EB6" w14:paraId="14BD7DA5" w14:textId="77777777" w:rsidTr="009D649D">
        <w:trPr>
          <w:trHeight w:val="300"/>
        </w:trPr>
        <w:tc>
          <w:tcPr>
            <w:tcW w:w="461" w:type="dxa"/>
          </w:tcPr>
          <w:p w14:paraId="177B37AD" w14:textId="5C8CCFC7" w:rsidR="00506EB6" w:rsidRDefault="00F70B2C" w:rsidP="00BE30AE">
            <w:pPr>
              <w:spacing w:after="120"/>
              <w:rPr>
                <w:rFonts w:ascii="Arial" w:hAnsi="Arial" w:cs="Arial"/>
              </w:rPr>
            </w:pPr>
            <w:r>
              <w:rPr>
                <w:rFonts w:ascii="Arial" w:hAnsi="Arial" w:cs="Arial"/>
              </w:rPr>
              <w:t>23</w:t>
            </w:r>
          </w:p>
        </w:tc>
        <w:tc>
          <w:tcPr>
            <w:tcW w:w="4560" w:type="dxa"/>
          </w:tcPr>
          <w:p w14:paraId="6D13B300" w14:textId="415531BD" w:rsidR="00506EB6" w:rsidRDefault="00506EB6" w:rsidP="00BE30AE">
            <w:pPr>
              <w:spacing w:after="120"/>
              <w:rPr>
                <w:rFonts w:ascii="Arial" w:hAnsi="Arial" w:cs="Arial"/>
              </w:rPr>
            </w:pPr>
            <w:r w:rsidRPr="002A526B">
              <w:rPr>
                <w:rFonts w:ascii="Arial" w:eastAsia="Times New Roman" w:hAnsi="Arial" w:cs="Arial"/>
                <w:b/>
                <w:bCs/>
              </w:rPr>
              <w:t>Can the CEC clarify if battery swapping is eligible as electric vehicle supply equipment (EVSE)?</w:t>
            </w:r>
          </w:p>
        </w:tc>
        <w:tc>
          <w:tcPr>
            <w:tcW w:w="8654" w:type="dxa"/>
          </w:tcPr>
          <w:p w14:paraId="27C6E7F6" w14:textId="6533C029" w:rsidR="00506EB6" w:rsidRDefault="00845B67" w:rsidP="00BE30AE">
            <w:pPr>
              <w:spacing w:after="120"/>
              <w:rPr>
                <w:rFonts w:ascii="Arial" w:hAnsi="Arial" w:cs="Arial"/>
              </w:rPr>
            </w:pPr>
            <w:r>
              <w:rPr>
                <w:rFonts w:ascii="Arial" w:eastAsia="Times New Roman" w:hAnsi="Arial" w:cs="Arial"/>
              </w:rPr>
              <w:t xml:space="preserve">Battery swapping does not fall under </w:t>
            </w:r>
            <w:r w:rsidR="00536812">
              <w:rPr>
                <w:rFonts w:ascii="Arial" w:eastAsia="Times New Roman" w:hAnsi="Arial" w:cs="Arial"/>
              </w:rPr>
              <w:t xml:space="preserve">conventional AC </w:t>
            </w:r>
            <w:r w:rsidR="00013177">
              <w:rPr>
                <w:rFonts w:ascii="Arial" w:eastAsia="Times New Roman" w:hAnsi="Arial" w:cs="Arial"/>
              </w:rPr>
              <w:t>and</w:t>
            </w:r>
            <w:r w:rsidR="00536812">
              <w:rPr>
                <w:rFonts w:ascii="Arial" w:eastAsia="Times New Roman" w:hAnsi="Arial" w:cs="Arial"/>
              </w:rPr>
              <w:t xml:space="preserve"> DC EVSE</w:t>
            </w:r>
            <w:r w:rsidR="00A40C60">
              <w:rPr>
                <w:rFonts w:ascii="Arial" w:eastAsia="Times New Roman" w:hAnsi="Arial" w:cs="Arial"/>
              </w:rPr>
              <w:t xml:space="preserve">. </w:t>
            </w:r>
            <w:r w:rsidR="311BE19E" w:rsidRPr="2E2DD138">
              <w:rPr>
                <w:rFonts w:ascii="Arial" w:eastAsia="Times New Roman" w:hAnsi="Arial" w:cs="Arial"/>
              </w:rPr>
              <w:t xml:space="preserve">Some </w:t>
            </w:r>
            <w:r w:rsidR="3359532B" w:rsidRPr="41B60F77">
              <w:rPr>
                <w:rFonts w:ascii="Arial" w:eastAsia="Times New Roman" w:hAnsi="Arial" w:cs="Arial"/>
              </w:rPr>
              <w:t>m</w:t>
            </w:r>
            <w:r w:rsidR="00614B9F" w:rsidRPr="41B60F77">
              <w:rPr>
                <w:rFonts w:ascii="Arial" w:eastAsia="Times New Roman" w:hAnsi="Arial" w:cs="Arial"/>
              </w:rPr>
              <w:t>inimum</w:t>
            </w:r>
            <w:r w:rsidR="00614B9F">
              <w:rPr>
                <w:rFonts w:ascii="Arial" w:eastAsia="Times New Roman" w:hAnsi="Arial" w:cs="Arial"/>
              </w:rPr>
              <w:t xml:space="preserve"> technical requirements </w:t>
            </w:r>
            <w:r w:rsidR="00EC209D">
              <w:rPr>
                <w:rFonts w:ascii="Arial" w:eastAsia="Times New Roman" w:hAnsi="Arial" w:cs="Arial"/>
              </w:rPr>
              <w:t xml:space="preserve">outlined in </w:t>
            </w:r>
            <w:r w:rsidR="00AF1701">
              <w:rPr>
                <w:rFonts w:ascii="Arial" w:eastAsia="Times New Roman" w:hAnsi="Arial" w:cs="Arial"/>
              </w:rPr>
              <w:t>Project Focus (Section I.C)</w:t>
            </w:r>
            <w:r w:rsidR="00C5179A">
              <w:rPr>
                <w:rFonts w:ascii="Arial" w:eastAsia="Times New Roman" w:hAnsi="Arial" w:cs="Arial"/>
              </w:rPr>
              <w:t xml:space="preserve"> may n</w:t>
            </w:r>
            <w:r w:rsidR="00F81CC8">
              <w:rPr>
                <w:rFonts w:ascii="Arial" w:eastAsia="Times New Roman" w:hAnsi="Arial" w:cs="Arial"/>
              </w:rPr>
              <w:t xml:space="preserve">ot apply to </w:t>
            </w:r>
            <w:r w:rsidR="007665EA">
              <w:rPr>
                <w:rFonts w:ascii="Arial" w:eastAsia="Times New Roman" w:hAnsi="Arial" w:cs="Arial"/>
              </w:rPr>
              <w:t>battery swapping</w:t>
            </w:r>
            <w:r w:rsidR="008D3CC1">
              <w:rPr>
                <w:rFonts w:ascii="Arial" w:eastAsia="Times New Roman" w:hAnsi="Arial" w:cs="Arial"/>
              </w:rPr>
              <w:t>. A</w:t>
            </w:r>
            <w:r w:rsidR="00170C27">
              <w:rPr>
                <w:rFonts w:ascii="Arial" w:eastAsia="Times New Roman" w:hAnsi="Arial" w:cs="Arial"/>
              </w:rPr>
              <w:t xml:space="preserve">ll </w:t>
            </w:r>
            <w:r w:rsidR="00A601E7">
              <w:rPr>
                <w:rFonts w:ascii="Arial" w:eastAsia="Times New Roman" w:hAnsi="Arial" w:cs="Arial"/>
              </w:rPr>
              <w:t>electric vehicle charging infrastructure</w:t>
            </w:r>
            <w:r w:rsidR="005C2226">
              <w:rPr>
                <w:rFonts w:ascii="Arial" w:eastAsia="Times New Roman" w:hAnsi="Arial" w:cs="Arial"/>
              </w:rPr>
              <w:t xml:space="preserve"> funded</w:t>
            </w:r>
            <w:r w:rsidR="00170C27">
              <w:rPr>
                <w:rFonts w:ascii="Arial" w:eastAsia="Times New Roman" w:hAnsi="Arial" w:cs="Arial"/>
              </w:rPr>
              <w:t xml:space="preserve"> </w:t>
            </w:r>
            <w:r w:rsidR="00160982">
              <w:rPr>
                <w:rFonts w:ascii="Arial" w:eastAsia="Times New Roman" w:hAnsi="Arial" w:cs="Arial"/>
              </w:rPr>
              <w:t xml:space="preserve">and authorized </w:t>
            </w:r>
            <w:r w:rsidR="004450D8">
              <w:rPr>
                <w:rFonts w:ascii="Arial" w:eastAsia="Times New Roman" w:hAnsi="Arial" w:cs="Arial"/>
              </w:rPr>
              <w:t>under this solicitation</w:t>
            </w:r>
            <w:r w:rsidR="00927284">
              <w:rPr>
                <w:rFonts w:ascii="Arial" w:eastAsia="Times New Roman" w:hAnsi="Arial" w:cs="Arial"/>
              </w:rPr>
              <w:t xml:space="preserve">, including conventional EVSE and </w:t>
            </w:r>
            <w:r w:rsidR="00611689">
              <w:rPr>
                <w:rFonts w:ascii="Arial" w:eastAsia="Times New Roman" w:hAnsi="Arial" w:cs="Arial"/>
              </w:rPr>
              <w:t xml:space="preserve">innovative charging </w:t>
            </w:r>
            <w:r w:rsidR="00464B30">
              <w:rPr>
                <w:rFonts w:ascii="Arial" w:eastAsia="Times New Roman" w:hAnsi="Arial" w:cs="Arial"/>
              </w:rPr>
              <w:t>stations</w:t>
            </w:r>
            <w:r w:rsidR="006D5228">
              <w:rPr>
                <w:rFonts w:ascii="Arial" w:eastAsia="Times New Roman" w:hAnsi="Arial" w:cs="Arial"/>
              </w:rPr>
              <w:t xml:space="preserve">, </w:t>
            </w:r>
            <w:r w:rsidR="00FE5777">
              <w:rPr>
                <w:rFonts w:ascii="Arial" w:eastAsia="Times New Roman" w:hAnsi="Arial" w:cs="Arial"/>
              </w:rPr>
              <w:t xml:space="preserve">must </w:t>
            </w:r>
            <w:r w:rsidR="00FE5777" w:rsidRPr="00FE5777">
              <w:rPr>
                <w:rFonts w:ascii="Arial" w:eastAsia="Times New Roman" w:hAnsi="Arial" w:cs="Arial"/>
              </w:rPr>
              <w:t>be installed by someone with an Electric Vehicle Infrastructure Training Program (EVITP) certification</w:t>
            </w:r>
            <w:r w:rsidR="00FE5777">
              <w:rPr>
                <w:rFonts w:ascii="Arial" w:eastAsia="Times New Roman" w:hAnsi="Arial" w:cs="Arial"/>
              </w:rPr>
              <w:t>.</w:t>
            </w:r>
          </w:p>
        </w:tc>
      </w:tr>
      <w:tr w:rsidR="00506EB6" w14:paraId="05573DD2" w14:textId="77777777" w:rsidTr="009D649D">
        <w:trPr>
          <w:trHeight w:val="300"/>
        </w:trPr>
        <w:tc>
          <w:tcPr>
            <w:tcW w:w="461" w:type="dxa"/>
          </w:tcPr>
          <w:p w14:paraId="37B92566" w14:textId="619CDDC5" w:rsidR="00506EB6" w:rsidRDefault="00F70B2C" w:rsidP="00BE30AE">
            <w:pPr>
              <w:spacing w:after="120"/>
              <w:rPr>
                <w:rFonts w:ascii="Arial" w:hAnsi="Arial" w:cs="Arial"/>
              </w:rPr>
            </w:pPr>
            <w:r>
              <w:rPr>
                <w:rFonts w:ascii="Arial" w:hAnsi="Arial" w:cs="Arial"/>
              </w:rPr>
              <w:t>24</w:t>
            </w:r>
          </w:p>
        </w:tc>
        <w:tc>
          <w:tcPr>
            <w:tcW w:w="4560" w:type="dxa"/>
          </w:tcPr>
          <w:p w14:paraId="54DC99F6" w14:textId="5873B682" w:rsidR="00506EB6" w:rsidRDefault="00506EB6" w:rsidP="00BE30AE">
            <w:pPr>
              <w:spacing w:after="120"/>
              <w:rPr>
                <w:rFonts w:ascii="Arial" w:hAnsi="Arial" w:cs="Arial"/>
              </w:rPr>
            </w:pPr>
            <w:r w:rsidRPr="00030F4B">
              <w:rPr>
                <w:rFonts w:ascii="Arial" w:eastAsia="Times New Roman" w:hAnsi="Arial" w:cs="Arial"/>
                <w:b/>
                <w:bCs/>
              </w:rPr>
              <w:t>Are battery swapping stations servicing only commercial fleets subject to the requirements for EVITP-certified installations?</w:t>
            </w:r>
          </w:p>
        </w:tc>
        <w:tc>
          <w:tcPr>
            <w:tcW w:w="8654" w:type="dxa"/>
          </w:tcPr>
          <w:p w14:paraId="2E0B5F64" w14:textId="3B678815" w:rsidR="00506EB6" w:rsidRDefault="00506EB6" w:rsidP="00BE30AE">
            <w:pPr>
              <w:spacing w:after="120"/>
              <w:rPr>
                <w:rFonts w:ascii="Arial" w:hAnsi="Arial" w:cs="Arial"/>
              </w:rPr>
            </w:pPr>
            <w:r>
              <w:rPr>
                <w:rFonts w:ascii="Arial" w:eastAsia="Times New Roman" w:hAnsi="Arial" w:cs="Arial"/>
              </w:rPr>
              <w:t>This solicitation’s EVITP certification requirement applies to all electric vehicle charging infrastructure and equipment located on the customer side of the electrical meter, including battery swapping stations servicing only commercial fleets.</w:t>
            </w:r>
          </w:p>
        </w:tc>
      </w:tr>
      <w:tr w:rsidR="00506EB6" w14:paraId="51A82D9C" w14:textId="77777777" w:rsidTr="009D649D">
        <w:trPr>
          <w:trHeight w:val="300"/>
        </w:trPr>
        <w:tc>
          <w:tcPr>
            <w:tcW w:w="461" w:type="dxa"/>
          </w:tcPr>
          <w:p w14:paraId="3744A603" w14:textId="2233BAA0" w:rsidR="00506EB6" w:rsidRDefault="00F70B2C" w:rsidP="00BE30AE">
            <w:pPr>
              <w:spacing w:after="120"/>
              <w:rPr>
                <w:rFonts w:ascii="Arial" w:hAnsi="Arial" w:cs="Arial"/>
              </w:rPr>
            </w:pPr>
            <w:r>
              <w:rPr>
                <w:rFonts w:ascii="Arial" w:hAnsi="Arial" w:cs="Arial"/>
              </w:rPr>
              <w:t>25</w:t>
            </w:r>
          </w:p>
        </w:tc>
        <w:tc>
          <w:tcPr>
            <w:tcW w:w="4560" w:type="dxa"/>
          </w:tcPr>
          <w:p w14:paraId="5FA18BF1" w14:textId="3DEB878B" w:rsidR="00506EB6" w:rsidRDefault="00506EB6" w:rsidP="00BE30AE">
            <w:pPr>
              <w:spacing w:after="120"/>
              <w:rPr>
                <w:rFonts w:ascii="Arial" w:hAnsi="Arial" w:cs="Arial"/>
              </w:rPr>
            </w:pPr>
            <w:r w:rsidRPr="00FC7B7E">
              <w:rPr>
                <w:rFonts w:ascii="Arial" w:hAnsi="Arial" w:cs="Arial"/>
                <w:b/>
                <w:bCs/>
              </w:rPr>
              <w:t>We want to confirm, that as Battery Swapping as a technology is not widely implemented in the US, the EVITP certification does not cover battery swapping. Can the CEC provide guidance on the AB 841 requirement regarding this information?</w:t>
            </w:r>
          </w:p>
        </w:tc>
        <w:tc>
          <w:tcPr>
            <w:tcW w:w="8654" w:type="dxa"/>
          </w:tcPr>
          <w:p w14:paraId="011AB31B" w14:textId="4E23802B" w:rsidR="00921113" w:rsidRDefault="00921113" w:rsidP="00BE30AE">
            <w:pPr>
              <w:spacing w:after="120"/>
              <w:rPr>
                <w:rFonts w:ascii="Arial" w:eastAsia="Times New Roman" w:hAnsi="Arial" w:cs="Arial"/>
              </w:rPr>
            </w:pPr>
            <w:r>
              <w:rPr>
                <w:rFonts w:ascii="Arial" w:eastAsia="Times New Roman" w:hAnsi="Arial" w:cs="Arial"/>
              </w:rPr>
              <w:t xml:space="preserve">This solicitation’s EVITP certification requirement applies to all electric vehicle charging infrastructure and equipment located on the customer side of the electrical meter, including battery swapping </w:t>
            </w:r>
            <w:r w:rsidR="00324D27">
              <w:rPr>
                <w:rFonts w:ascii="Arial" w:eastAsia="Times New Roman" w:hAnsi="Arial" w:cs="Arial"/>
              </w:rPr>
              <w:t>stations.</w:t>
            </w:r>
          </w:p>
          <w:p w14:paraId="36E15EE7" w14:textId="77777777" w:rsidR="00506EB6" w:rsidRDefault="00506EB6" w:rsidP="00BE30AE">
            <w:pPr>
              <w:spacing w:after="120"/>
              <w:rPr>
                <w:rFonts w:ascii="Arial" w:eastAsia="Times New Roman" w:hAnsi="Arial" w:cs="Arial"/>
              </w:rPr>
            </w:pPr>
          </w:p>
          <w:p w14:paraId="538287FF" w14:textId="48AFC942" w:rsidR="00506EB6" w:rsidRDefault="00506EB6" w:rsidP="00BE30AE">
            <w:pPr>
              <w:spacing w:after="120"/>
              <w:rPr>
                <w:rFonts w:ascii="Arial" w:hAnsi="Arial" w:cs="Arial"/>
              </w:rPr>
            </w:pPr>
            <w:r w:rsidRPr="00106420">
              <w:rPr>
                <w:rFonts w:ascii="Arial" w:eastAsia="Times New Roman" w:hAnsi="Arial" w:cs="Arial"/>
              </w:rPr>
              <w:t xml:space="preserve">AB 841 (Ting, 2020) added Public Utilities Code section 740.20, which requires all electrical vehicle charging infrastructure funded or authorized, in whole or in part, by </w:t>
            </w:r>
            <w:r w:rsidRPr="00106420">
              <w:rPr>
                <w:rFonts w:ascii="Arial" w:eastAsia="Times New Roman" w:hAnsi="Arial" w:cs="Arial"/>
              </w:rPr>
              <w:lastRenderedPageBreak/>
              <w:t>the CEC to be installed by someone with an EVITP certification beginning on or after January 1, 2022, subject to certain exceptions</w:t>
            </w:r>
            <w:r>
              <w:rPr>
                <w:rFonts w:ascii="Arial" w:eastAsia="Times New Roman" w:hAnsi="Arial" w:cs="Arial"/>
              </w:rPr>
              <w:t xml:space="preserve"> included under Project Focus (Section I.C of the Solicitation Manual).</w:t>
            </w:r>
          </w:p>
        </w:tc>
      </w:tr>
      <w:tr w:rsidR="00506EB6" w14:paraId="2EA36283" w14:textId="77777777" w:rsidTr="009D649D">
        <w:trPr>
          <w:trHeight w:val="300"/>
        </w:trPr>
        <w:tc>
          <w:tcPr>
            <w:tcW w:w="461" w:type="dxa"/>
          </w:tcPr>
          <w:p w14:paraId="3E193F27" w14:textId="398DDE11" w:rsidR="00506EB6" w:rsidRDefault="00F70B2C" w:rsidP="00BE30AE">
            <w:pPr>
              <w:spacing w:after="120"/>
              <w:rPr>
                <w:rFonts w:ascii="Arial" w:hAnsi="Arial" w:cs="Arial"/>
              </w:rPr>
            </w:pPr>
            <w:r>
              <w:rPr>
                <w:rFonts w:ascii="Arial" w:hAnsi="Arial" w:cs="Arial"/>
              </w:rPr>
              <w:lastRenderedPageBreak/>
              <w:t>26</w:t>
            </w:r>
          </w:p>
        </w:tc>
        <w:tc>
          <w:tcPr>
            <w:tcW w:w="4560" w:type="dxa"/>
          </w:tcPr>
          <w:p w14:paraId="69989C7F" w14:textId="60686C66" w:rsidR="00506EB6" w:rsidRDefault="00506EB6" w:rsidP="00BE30AE">
            <w:pPr>
              <w:spacing w:after="120"/>
              <w:rPr>
                <w:rFonts w:ascii="Arial" w:hAnsi="Arial" w:cs="Arial"/>
              </w:rPr>
            </w:pPr>
            <w:r>
              <w:rPr>
                <w:rFonts w:ascii="Arial" w:eastAsia="Times New Roman" w:hAnsi="Arial" w:cs="Arial"/>
                <w:b/>
                <w:bCs/>
              </w:rPr>
              <w:t>A</w:t>
            </w:r>
            <w:r w:rsidRPr="00B12007">
              <w:rPr>
                <w:rFonts w:ascii="Arial" w:eastAsia="Times New Roman" w:hAnsi="Arial" w:cs="Arial"/>
                <w:b/>
                <w:bCs/>
              </w:rPr>
              <w:t>re companies already at TRL 7 elig</w:t>
            </w:r>
            <w:r w:rsidR="0027023F">
              <w:rPr>
                <w:rFonts w:ascii="Arial" w:eastAsia="Times New Roman" w:hAnsi="Arial" w:cs="Arial"/>
                <w:b/>
                <w:bCs/>
              </w:rPr>
              <w:t>i</w:t>
            </w:r>
            <w:r w:rsidRPr="00B12007">
              <w:rPr>
                <w:rFonts w:ascii="Arial" w:eastAsia="Times New Roman" w:hAnsi="Arial" w:cs="Arial"/>
                <w:b/>
                <w:bCs/>
              </w:rPr>
              <w:t>ble to apply for this opportunity under Group 3?</w:t>
            </w:r>
          </w:p>
        </w:tc>
        <w:tc>
          <w:tcPr>
            <w:tcW w:w="8654" w:type="dxa"/>
          </w:tcPr>
          <w:p w14:paraId="1EB8B278" w14:textId="287C3FB4" w:rsidR="00506EB6" w:rsidRDefault="00506EB6" w:rsidP="00BE30AE">
            <w:pPr>
              <w:spacing w:after="120"/>
              <w:rPr>
                <w:rFonts w:ascii="Arial" w:hAnsi="Arial" w:cs="Arial"/>
              </w:rPr>
            </w:pPr>
            <w:r w:rsidRPr="22E269BB">
              <w:rPr>
                <w:rFonts w:ascii="Arial" w:hAnsi="Arial" w:cs="Arial"/>
              </w:rPr>
              <w:t xml:space="preserve">Projects </w:t>
            </w:r>
            <w:r w:rsidR="00466887" w:rsidRPr="22E269BB">
              <w:rPr>
                <w:rFonts w:ascii="Arial" w:hAnsi="Arial" w:cs="Arial"/>
              </w:rPr>
              <w:t xml:space="preserve">in Group 3 </w:t>
            </w:r>
            <w:r w:rsidRPr="22E269BB">
              <w:rPr>
                <w:rFonts w:ascii="Arial" w:hAnsi="Arial" w:cs="Arial"/>
              </w:rPr>
              <w:t>are required to advance technologies from TRL 5-6 to TRL 7-</w:t>
            </w:r>
            <w:r w:rsidR="00466887" w:rsidRPr="22E269BB">
              <w:rPr>
                <w:rFonts w:ascii="Arial" w:hAnsi="Arial" w:cs="Arial"/>
              </w:rPr>
              <w:t>8</w:t>
            </w:r>
            <w:r w:rsidRPr="22E269BB">
              <w:rPr>
                <w:rFonts w:ascii="Arial" w:hAnsi="Arial" w:cs="Arial"/>
              </w:rPr>
              <w:t xml:space="preserve"> through demonstrations and deployments in real-world conditions. </w:t>
            </w:r>
            <w:r w:rsidR="00D868CF" w:rsidRPr="22E269BB">
              <w:rPr>
                <w:rFonts w:ascii="Arial" w:hAnsi="Arial" w:cs="Arial"/>
              </w:rPr>
              <w:t xml:space="preserve">Proposed projects </w:t>
            </w:r>
            <w:r w:rsidR="0028179C" w:rsidRPr="22E269BB">
              <w:rPr>
                <w:rFonts w:ascii="Arial" w:hAnsi="Arial" w:cs="Arial"/>
              </w:rPr>
              <w:t xml:space="preserve">already at TRL 7 may not </w:t>
            </w:r>
            <w:r w:rsidR="007407B3" w:rsidRPr="22E269BB">
              <w:rPr>
                <w:rFonts w:ascii="Arial" w:hAnsi="Arial" w:cs="Arial"/>
              </w:rPr>
              <w:t xml:space="preserve">score as high based on </w:t>
            </w:r>
            <w:r w:rsidR="00815053" w:rsidRPr="22E269BB">
              <w:rPr>
                <w:rFonts w:ascii="Arial" w:hAnsi="Arial" w:cs="Arial"/>
              </w:rPr>
              <w:t>limited technology re</w:t>
            </w:r>
            <w:r w:rsidR="54DAA4AC" w:rsidRPr="22E269BB">
              <w:rPr>
                <w:rFonts w:ascii="Arial" w:hAnsi="Arial" w:cs="Arial"/>
              </w:rPr>
              <w:t>a</w:t>
            </w:r>
            <w:r w:rsidR="00815053" w:rsidRPr="22E269BB">
              <w:rPr>
                <w:rFonts w:ascii="Arial" w:hAnsi="Arial" w:cs="Arial"/>
              </w:rPr>
              <w:t>diness advancement</w:t>
            </w:r>
            <w:r w:rsidR="00152138" w:rsidRPr="22E269BB">
              <w:rPr>
                <w:rFonts w:ascii="Arial" w:hAnsi="Arial" w:cs="Arial"/>
              </w:rPr>
              <w:t xml:space="preserve"> and not meeting </w:t>
            </w:r>
            <w:r w:rsidR="00732AC8" w:rsidRPr="22E269BB">
              <w:rPr>
                <w:rFonts w:ascii="Arial" w:hAnsi="Arial" w:cs="Arial"/>
              </w:rPr>
              <w:t xml:space="preserve">the intent of </w:t>
            </w:r>
            <w:r w:rsidR="00F26506" w:rsidRPr="22E269BB">
              <w:rPr>
                <w:rFonts w:ascii="Arial" w:hAnsi="Arial" w:cs="Arial"/>
              </w:rPr>
              <w:t xml:space="preserve">targeted baseline technology readiness level. </w:t>
            </w:r>
          </w:p>
        </w:tc>
      </w:tr>
      <w:tr w:rsidR="00506EB6" w14:paraId="06FA03CC" w14:textId="77777777" w:rsidTr="009D649D">
        <w:trPr>
          <w:trHeight w:val="300"/>
        </w:trPr>
        <w:tc>
          <w:tcPr>
            <w:tcW w:w="461" w:type="dxa"/>
          </w:tcPr>
          <w:p w14:paraId="5CF1A77D" w14:textId="0ECA7F07" w:rsidR="00506EB6" w:rsidRDefault="00F70B2C" w:rsidP="00BE30AE">
            <w:pPr>
              <w:spacing w:after="120"/>
              <w:rPr>
                <w:rFonts w:ascii="Arial" w:hAnsi="Arial" w:cs="Arial"/>
              </w:rPr>
            </w:pPr>
            <w:r>
              <w:rPr>
                <w:rFonts w:ascii="Arial" w:hAnsi="Arial" w:cs="Arial"/>
              </w:rPr>
              <w:t>27</w:t>
            </w:r>
          </w:p>
        </w:tc>
        <w:tc>
          <w:tcPr>
            <w:tcW w:w="4560" w:type="dxa"/>
          </w:tcPr>
          <w:p w14:paraId="3DB33BAE" w14:textId="330ED71F" w:rsidR="00506EB6" w:rsidRDefault="00506EB6" w:rsidP="00BE30AE">
            <w:pPr>
              <w:spacing w:after="120"/>
              <w:rPr>
                <w:rFonts w:ascii="Arial" w:hAnsi="Arial" w:cs="Arial"/>
              </w:rPr>
            </w:pPr>
            <w:r>
              <w:rPr>
                <w:rFonts w:ascii="Arial" w:eastAsia="Times New Roman" w:hAnsi="Arial" w:cs="Arial"/>
                <w:b/>
                <w:bCs/>
              </w:rPr>
              <w:t>[For Group 3]</w:t>
            </w:r>
            <w:r w:rsidRPr="0062618A">
              <w:rPr>
                <w:rFonts w:ascii="Arial" w:eastAsia="Times New Roman" w:hAnsi="Arial" w:cs="Arial"/>
                <w:b/>
                <w:bCs/>
              </w:rPr>
              <w:t>, under Project Narrative</w:t>
            </w:r>
            <w:r>
              <w:rPr>
                <w:rFonts w:ascii="Arial" w:eastAsia="Times New Roman" w:hAnsi="Arial" w:cs="Arial"/>
                <w:b/>
                <w:bCs/>
              </w:rPr>
              <w:t xml:space="preserve"> [requirements]</w:t>
            </w:r>
            <w:r w:rsidRPr="0062618A">
              <w:rPr>
                <w:rFonts w:ascii="Arial" w:eastAsia="Times New Roman" w:hAnsi="Arial" w:cs="Arial"/>
                <w:b/>
                <w:bCs/>
              </w:rPr>
              <w:t>, bullet two, please go into further detail</w:t>
            </w:r>
            <w:r>
              <w:rPr>
                <w:rFonts w:ascii="Arial" w:eastAsia="Times New Roman" w:hAnsi="Arial" w:cs="Arial"/>
                <w:b/>
                <w:bCs/>
              </w:rPr>
              <w:t xml:space="preserve"> </w:t>
            </w:r>
            <w:r w:rsidRPr="0062618A">
              <w:rPr>
                <w:rFonts w:ascii="Arial" w:eastAsia="Times New Roman" w:hAnsi="Arial" w:cs="Arial"/>
                <w:b/>
                <w:bCs/>
              </w:rPr>
              <w:t>regarding an appropriate response to “system efficiency” would look like.</w:t>
            </w:r>
            <w:r>
              <w:rPr>
                <w:rFonts w:ascii="Arial" w:eastAsia="Times New Roman" w:hAnsi="Arial" w:cs="Arial"/>
                <w:b/>
                <w:bCs/>
              </w:rPr>
              <w:t xml:space="preserve"> [Question if referring to content in Solicitation Manual]. </w:t>
            </w:r>
          </w:p>
        </w:tc>
        <w:tc>
          <w:tcPr>
            <w:tcW w:w="8654" w:type="dxa"/>
          </w:tcPr>
          <w:p w14:paraId="200550D0" w14:textId="1B3F8ED4" w:rsidR="00506EB6" w:rsidRDefault="00506EB6" w:rsidP="00BE30AE">
            <w:pPr>
              <w:spacing w:after="120"/>
              <w:rPr>
                <w:rFonts w:ascii="Arial" w:hAnsi="Arial" w:cs="Arial"/>
              </w:rPr>
            </w:pPr>
            <w:r w:rsidRPr="22E269BB">
              <w:rPr>
                <w:rFonts w:ascii="Arial" w:eastAsia="Times New Roman" w:hAnsi="Arial" w:cs="Arial"/>
              </w:rPr>
              <w:t xml:space="preserve">System efficiency should account for any predicted energy loss of the charging solution and should be reported at both the complete system and component levels, as applicable. An example </w:t>
            </w:r>
            <w:r w:rsidR="00952C18">
              <w:rPr>
                <w:rFonts w:ascii="Arial" w:eastAsia="Times New Roman" w:hAnsi="Arial" w:cs="Arial"/>
              </w:rPr>
              <w:t>could</w:t>
            </w:r>
            <w:r w:rsidR="1E06AF37" w:rsidRPr="22E269BB">
              <w:rPr>
                <w:rFonts w:ascii="Arial" w:eastAsia="Times New Roman" w:hAnsi="Arial" w:cs="Arial"/>
              </w:rPr>
              <w:t xml:space="preserve"> be </w:t>
            </w:r>
            <w:r w:rsidRPr="22E269BB">
              <w:rPr>
                <w:rFonts w:ascii="Arial" w:eastAsia="Times New Roman" w:hAnsi="Arial" w:cs="Arial"/>
              </w:rPr>
              <w:t>AC-DC charging efficiency</w:t>
            </w:r>
            <w:r w:rsidR="7FDCAF72" w:rsidRPr="22E269BB">
              <w:rPr>
                <w:rFonts w:ascii="Arial" w:eastAsia="Times New Roman" w:hAnsi="Arial" w:cs="Arial"/>
              </w:rPr>
              <w:t xml:space="preserve"> </w:t>
            </w:r>
            <w:r w:rsidRPr="22E269BB">
              <w:rPr>
                <w:rFonts w:ascii="Arial" w:eastAsia="Times New Roman" w:hAnsi="Arial" w:cs="Arial"/>
              </w:rPr>
              <w:t>measur</w:t>
            </w:r>
            <w:r w:rsidR="00952C18">
              <w:rPr>
                <w:rFonts w:ascii="Arial" w:eastAsia="Times New Roman" w:hAnsi="Arial" w:cs="Arial"/>
              </w:rPr>
              <w:t>ing</w:t>
            </w:r>
            <w:r w:rsidRPr="22E269BB">
              <w:rPr>
                <w:rFonts w:ascii="Arial" w:eastAsia="Times New Roman" w:hAnsi="Arial" w:cs="Arial"/>
              </w:rPr>
              <w:t xml:space="preserve"> energy loss during </w:t>
            </w:r>
            <w:r w:rsidR="05F1B59A" w:rsidRPr="22E269BB">
              <w:rPr>
                <w:rFonts w:ascii="Arial" w:eastAsia="Times New Roman" w:hAnsi="Arial" w:cs="Arial"/>
              </w:rPr>
              <w:t xml:space="preserve">the </w:t>
            </w:r>
            <w:r w:rsidRPr="22E269BB">
              <w:rPr>
                <w:rFonts w:ascii="Arial" w:eastAsia="Times New Roman" w:hAnsi="Arial" w:cs="Arial"/>
              </w:rPr>
              <w:t xml:space="preserve">conversion of AC power from the grid to DC power for the EV battery. Another example </w:t>
            </w:r>
            <w:r w:rsidR="00952C18">
              <w:rPr>
                <w:rFonts w:ascii="Arial" w:eastAsia="Times New Roman" w:hAnsi="Arial" w:cs="Arial"/>
              </w:rPr>
              <w:t>could</w:t>
            </w:r>
            <w:r w:rsidR="5644FE04" w:rsidRPr="22E269BB">
              <w:rPr>
                <w:rFonts w:ascii="Arial" w:eastAsia="Times New Roman" w:hAnsi="Arial" w:cs="Arial"/>
              </w:rPr>
              <w:t xml:space="preserve"> be </w:t>
            </w:r>
            <w:r w:rsidRPr="22E269BB">
              <w:rPr>
                <w:rFonts w:ascii="Arial" w:eastAsia="Times New Roman" w:hAnsi="Arial" w:cs="Arial"/>
              </w:rPr>
              <w:t xml:space="preserve">roundtrip efficiency </w:t>
            </w:r>
            <w:r w:rsidR="00952C18">
              <w:rPr>
                <w:rFonts w:ascii="Arial" w:eastAsia="Times New Roman" w:hAnsi="Arial" w:cs="Arial"/>
              </w:rPr>
              <w:t>measuring</w:t>
            </w:r>
            <w:r w:rsidR="008F67D4">
              <w:rPr>
                <w:rFonts w:ascii="Arial" w:eastAsia="Times New Roman" w:hAnsi="Arial" w:cs="Arial"/>
              </w:rPr>
              <w:t xml:space="preserve"> energy loss during export</w:t>
            </w:r>
            <w:r w:rsidR="001F6EB2">
              <w:rPr>
                <w:rFonts w:ascii="Arial" w:eastAsia="Times New Roman" w:hAnsi="Arial" w:cs="Arial"/>
              </w:rPr>
              <w:t xml:space="preserve"> from the</w:t>
            </w:r>
            <w:r w:rsidR="0051124F">
              <w:rPr>
                <w:rFonts w:ascii="Arial" w:eastAsia="Times New Roman" w:hAnsi="Arial" w:cs="Arial"/>
              </w:rPr>
              <w:t xml:space="preserve"> EV</w:t>
            </w:r>
            <w:r w:rsidR="001F6EB2">
              <w:rPr>
                <w:rFonts w:ascii="Arial" w:eastAsia="Times New Roman" w:hAnsi="Arial" w:cs="Arial"/>
              </w:rPr>
              <w:t xml:space="preserve"> battery</w:t>
            </w:r>
            <w:r w:rsidR="59E6945F" w:rsidRPr="22E269BB">
              <w:rPr>
                <w:rFonts w:ascii="Arial" w:eastAsia="Times New Roman" w:hAnsi="Arial" w:cs="Arial"/>
              </w:rPr>
              <w:t xml:space="preserve"> </w:t>
            </w:r>
            <w:r w:rsidRPr="22E269BB">
              <w:rPr>
                <w:rFonts w:ascii="Arial" w:eastAsia="Times New Roman" w:hAnsi="Arial" w:cs="Arial"/>
              </w:rPr>
              <w:t>if the charging solution has bidirectional capabilit</w:t>
            </w:r>
            <w:r w:rsidR="0051124F">
              <w:rPr>
                <w:rFonts w:ascii="Arial" w:eastAsia="Times New Roman" w:hAnsi="Arial" w:cs="Arial"/>
              </w:rPr>
              <w:t>y</w:t>
            </w:r>
            <w:r w:rsidRPr="22E269BB">
              <w:rPr>
                <w:rFonts w:ascii="Arial" w:eastAsia="Times New Roman" w:hAnsi="Arial" w:cs="Arial"/>
              </w:rPr>
              <w:t>.</w:t>
            </w:r>
          </w:p>
        </w:tc>
      </w:tr>
      <w:tr w:rsidR="00506EB6" w14:paraId="402C7C7E" w14:textId="77777777" w:rsidTr="009D649D">
        <w:trPr>
          <w:trHeight w:val="300"/>
        </w:trPr>
        <w:tc>
          <w:tcPr>
            <w:tcW w:w="461" w:type="dxa"/>
          </w:tcPr>
          <w:p w14:paraId="250889DD" w14:textId="581358AE" w:rsidR="00506EB6" w:rsidRDefault="00F70B2C" w:rsidP="00BE30AE">
            <w:pPr>
              <w:spacing w:after="120"/>
              <w:rPr>
                <w:rFonts w:ascii="Arial" w:hAnsi="Arial" w:cs="Arial"/>
              </w:rPr>
            </w:pPr>
            <w:r>
              <w:rPr>
                <w:rFonts w:ascii="Arial" w:hAnsi="Arial" w:cs="Arial"/>
              </w:rPr>
              <w:t>28</w:t>
            </w:r>
          </w:p>
        </w:tc>
        <w:tc>
          <w:tcPr>
            <w:tcW w:w="4560" w:type="dxa"/>
          </w:tcPr>
          <w:p w14:paraId="539DB123" w14:textId="04F78276" w:rsidR="00506EB6" w:rsidRDefault="00506EB6" w:rsidP="00BE30AE">
            <w:pPr>
              <w:spacing w:after="120"/>
              <w:rPr>
                <w:rFonts w:ascii="Arial" w:hAnsi="Arial" w:cs="Arial"/>
              </w:rPr>
            </w:pPr>
            <w:r>
              <w:rPr>
                <w:rFonts w:ascii="Arial" w:hAnsi="Arial" w:cs="Arial"/>
                <w:b/>
                <w:bCs/>
              </w:rPr>
              <w:t>[For Group 3]</w:t>
            </w:r>
            <w:r w:rsidRPr="00C51F9A">
              <w:rPr>
                <w:rFonts w:ascii="Arial" w:hAnsi="Arial" w:cs="Arial"/>
                <w:b/>
                <w:bCs/>
              </w:rPr>
              <w:t>, under Project Narrative</w:t>
            </w:r>
            <w:r>
              <w:rPr>
                <w:rFonts w:ascii="Arial" w:hAnsi="Arial" w:cs="Arial"/>
                <w:b/>
                <w:bCs/>
              </w:rPr>
              <w:t xml:space="preserve"> [requirements]</w:t>
            </w:r>
            <w:r w:rsidRPr="00C51F9A">
              <w:rPr>
                <w:rFonts w:ascii="Arial" w:hAnsi="Arial" w:cs="Arial"/>
                <w:b/>
                <w:bCs/>
              </w:rPr>
              <w:t>, “Describe any pre-demonstration testing and validation of the proposed solution completed to date and proposed to complete through the project.” Could this consist of similar technologies or business models being used outside of California or outside of the US?</w:t>
            </w:r>
            <w:r>
              <w:rPr>
                <w:rFonts w:ascii="Arial" w:hAnsi="Arial" w:cs="Arial"/>
                <w:b/>
                <w:bCs/>
              </w:rPr>
              <w:t xml:space="preserve"> [Question is referring to content in the Solicitation Manual].</w:t>
            </w:r>
          </w:p>
        </w:tc>
        <w:tc>
          <w:tcPr>
            <w:tcW w:w="8654" w:type="dxa"/>
          </w:tcPr>
          <w:p w14:paraId="63A15AFD" w14:textId="38D7002D" w:rsidR="00506EB6" w:rsidRDefault="00506EB6" w:rsidP="00BE30AE">
            <w:pPr>
              <w:spacing w:after="120"/>
              <w:rPr>
                <w:rFonts w:ascii="Arial" w:hAnsi="Arial" w:cs="Arial"/>
              </w:rPr>
            </w:pPr>
            <w:r>
              <w:rPr>
                <w:rFonts w:ascii="Arial" w:eastAsia="Times New Roman" w:hAnsi="Arial" w:cs="Arial"/>
              </w:rPr>
              <w:t xml:space="preserve">Applicants are required to describe any </w:t>
            </w:r>
            <w:r w:rsidRPr="0084435F">
              <w:rPr>
                <w:rFonts w:ascii="Arial" w:eastAsia="Times New Roman" w:hAnsi="Arial" w:cs="Arial"/>
              </w:rPr>
              <w:t>pre-demonstration testing and validation</w:t>
            </w:r>
            <w:r>
              <w:rPr>
                <w:rFonts w:ascii="Arial" w:eastAsia="Times New Roman" w:hAnsi="Arial" w:cs="Arial"/>
              </w:rPr>
              <w:t xml:space="preserve"> that was completed to get the proposed technology to TRL 5-6</w:t>
            </w:r>
            <w:r w:rsidR="00D06562">
              <w:rPr>
                <w:rFonts w:ascii="Arial" w:eastAsia="Times New Roman" w:hAnsi="Arial" w:cs="Arial"/>
              </w:rPr>
              <w:t>. T</w:t>
            </w:r>
            <w:r w:rsidR="00396114">
              <w:rPr>
                <w:rFonts w:ascii="Arial" w:eastAsia="Times New Roman" w:hAnsi="Arial" w:cs="Arial"/>
              </w:rPr>
              <w:t xml:space="preserve">his may include </w:t>
            </w:r>
            <w:r>
              <w:rPr>
                <w:rFonts w:ascii="Arial" w:eastAsia="Times New Roman" w:hAnsi="Arial" w:cs="Arial"/>
              </w:rPr>
              <w:t>work completed outside of California.</w:t>
            </w:r>
          </w:p>
        </w:tc>
      </w:tr>
      <w:tr w:rsidR="00506EB6" w14:paraId="4A11CD61" w14:textId="77777777" w:rsidTr="009D649D">
        <w:trPr>
          <w:trHeight w:val="300"/>
        </w:trPr>
        <w:tc>
          <w:tcPr>
            <w:tcW w:w="461" w:type="dxa"/>
          </w:tcPr>
          <w:p w14:paraId="67CCF065" w14:textId="7CAF0610" w:rsidR="00506EB6" w:rsidRDefault="00F70B2C" w:rsidP="00BE30AE">
            <w:pPr>
              <w:spacing w:after="120"/>
              <w:rPr>
                <w:rFonts w:ascii="Arial" w:hAnsi="Arial" w:cs="Arial"/>
              </w:rPr>
            </w:pPr>
            <w:r>
              <w:rPr>
                <w:rFonts w:ascii="Arial" w:hAnsi="Arial" w:cs="Arial"/>
              </w:rPr>
              <w:t>29</w:t>
            </w:r>
          </w:p>
        </w:tc>
        <w:tc>
          <w:tcPr>
            <w:tcW w:w="4560" w:type="dxa"/>
          </w:tcPr>
          <w:p w14:paraId="3C2F3393" w14:textId="23524621" w:rsidR="00506EB6" w:rsidRDefault="00506EB6" w:rsidP="00BE30AE">
            <w:pPr>
              <w:spacing w:after="120"/>
              <w:rPr>
                <w:rFonts w:ascii="Arial" w:hAnsi="Arial" w:cs="Arial"/>
              </w:rPr>
            </w:pPr>
            <w:r w:rsidRPr="00E76E69">
              <w:rPr>
                <w:rFonts w:ascii="Arial" w:hAnsi="Arial" w:cs="Arial"/>
                <w:b/>
                <w:bCs/>
              </w:rPr>
              <w:t xml:space="preserve">For Group 3, is there a guideline/target to the grid connection to be used for such site? </w:t>
            </w:r>
          </w:p>
        </w:tc>
        <w:tc>
          <w:tcPr>
            <w:tcW w:w="8654" w:type="dxa"/>
          </w:tcPr>
          <w:p w14:paraId="79DA62EB" w14:textId="7DD8ACDF" w:rsidR="00506EB6" w:rsidRDefault="00506EB6" w:rsidP="00BE30AE">
            <w:pPr>
              <w:spacing w:after="120"/>
              <w:rPr>
                <w:rFonts w:ascii="Arial" w:hAnsi="Arial" w:cs="Arial"/>
              </w:rPr>
            </w:pPr>
            <w:r w:rsidRPr="00B659D1">
              <w:rPr>
                <w:rFonts w:ascii="Arial" w:hAnsi="Arial" w:cs="Arial"/>
              </w:rPr>
              <w:t>Applications should discuss the degree to which the proposed work is technically feasible and achievable within the proposed Project Schedule and the key activities schedule, considering expected timelines for achieving grid connection.</w:t>
            </w:r>
          </w:p>
        </w:tc>
      </w:tr>
      <w:tr w:rsidR="00506EB6" w14:paraId="2E375FC6" w14:textId="77777777" w:rsidTr="009D649D">
        <w:trPr>
          <w:trHeight w:val="300"/>
        </w:trPr>
        <w:tc>
          <w:tcPr>
            <w:tcW w:w="461" w:type="dxa"/>
          </w:tcPr>
          <w:p w14:paraId="6304D579" w14:textId="23A2E0FB" w:rsidR="00506EB6" w:rsidRDefault="00F70B2C" w:rsidP="00BE30AE">
            <w:pPr>
              <w:spacing w:after="120"/>
              <w:rPr>
                <w:rFonts w:ascii="Arial" w:hAnsi="Arial" w:cs="Arial"/>
              </w:rPr>
            </w:pPr>
            <w:r>
              <w:rPr>
                <w:rFonts w:ascii="Arial" w:hAnsi="Arial" w:cs="Arial"/>
              </w:rPr>
              <w:t>30</w:t>
            </w:r>
          </w:p>
        </w:tc>
        <w:tc>
          <w:tcPr>
            <w:tcW w:w="4560" w:type="dxa"/>
          </w:tcPr>
          <w:p w14:paraId="4B7E68A2" w14:textId="711125D2" w:rsidR="00506EB6" w:rsidRDefault="00506EB6" w:rsidP="00BE30AE">
            <w:pPr>
              <w:spacing w:after="120"/>
              <w:rPr>
                <w:rFonts w:ascii="Arial" w:hAnsi="Arial" w:cs="Arial"/>
              </w:rPr>
            </w:pPr>
            <w:r w:rsidRPr="00D01173">
              <w:rPr>
                <w:rFonts w:ascii="Arial" w:hAnsi="Arial" w:cs="Arial"/>
                <w:b/>
                <w:bCs/>
              </w:rPr>
              <w:t xml:space="preserve">For Group 3, is there a guideline for expected/forecasted sites to be built based on the demonstrated innovation? </w:t>
            </w:r>
          </w:p>
        </w:tc>
        <w:tc>
          <w:tcPr>
            <w:tcW w:w="8654" w:type="dxa"/>
          </w:tcPr>
          <w:p w14:paraId="4B80FB59" w14:textId="64C5E828" w:rsidR="00506EB6" w:rsidRDefault="00506EB6" w:rsidP="00BE30AE">
            <w:pPr>
              <w:spacing w:after="120"/>
              <w:rPr>
                <w:rFonts w:ascii="Arial" w:hAnsi="Arial" w:cs="Arial"/>
              </w:rPr>
            </w:pPr>
            <w:r w:rsidRPr="00B659D1">
              <w:rPr>
                <w:rFonts w:ascii="Arial" w:hAnsi="Arial" w:cs="Arial"/>
              </w:rPr>
              <w:t xml:space="preserve">Applications should discuss the degree to which the proposed work is technically feasible and achievable within the proposed Project Schedule and the key activities schedule, considering expected timelines for </w:t>
            </w:r>
            <w:r>
              <w:rPr>
                <w:rFonts w:ascii="Arial" w:hAnsi="Arial" w:cs="Arial"/>
              </w:rPr>
              <w:t>demonstration/deployment</w:t>
            </w:r>
            <w:r w:rsidRPr="00B659D1">
              <w:rPr>
                <w:rFonts w:ascii="Arial" w:hAnsi="Arial" w:cs="Arial"/>
              </w:rPr>
              <w:t xml:space="preserve"> </w:t>
            </w:r>
            <w:r>
              <w:rPr>
                <w:rFonts w:ascii="Arial" w:hAnsi="Arial" w:cs="Arial"/>
              </w:rPr>
              <w:t>site construction activities</w:t>
            </w:r>
            <w:r w:rsidRPr="00B659D1">
              <w:rPr>
                <w:rFonts w:ascii="Arial" w:hAnsi="Arial" w:cs="Arial"/>
              </w:rPr>
              <w:t>.</w:t>
            </w:r>
          </w:p>
        </w:tc>
      </w:tr>
      <w:tr w:rsidR="00506EB6" w14:paraId="172AE3D0" w14:textId="77777777" w:rsidTr="009D649D">
        <w:trPr>
          <w:trHeight w:val="300"/>
        </w:trPr>
        <w:tc>
          <w:tcPr>
            <w:tcW w:w="461" w:type="dxa"/>
          </w:tcPr>
          <w:p w14:paraId="32E57F92" w14:textId="4C542542" w:rsidR="00506EB6" w:rsidRDefault="00F70B2C" w:rsidP="00BE30AE">
            <w:pPr>
              <w:spacing w:after="120"/>
              <w:rPr>
                <w:rFonts w:ascii="Arial" w:hAnsi="Arial" w:cs="Arial"/>
              </w:rPr>
            </w:pPr>
            <w:r>
              <w:rPr>
                <w:rFonts w:ascii="Arial" w:hAnsi="Arial" w:cs="Arial"/>
              </w:rPr>
              <w:lastRenderedPageBreak/>
              <w:t>31</w:t>
            </w:r>
          </w:p>
        </w:tc>
        <w:tc>
          <w:tcPr>
            <w:tcW w:w="4560" w:type="dxa"/>
          </w:tcPr>
          <w:p w14:paraId="295BE347" w14:textId="136CC045" w:rsidR="00506EB6" w:rsidRDefault="00506EB6" w:rsidP="00BE30AE">
            <w:pPr>
              <w:spacing w:after="120"/>
              <w:rPr>
                <w:rFonts w:ascii="Arial" w:hAnsi="Arial" w:cs="Arial"/>
              </w:rPr>
            </w:pPr>
            <w:r w:rsidRPr="00165CE8">
              <w:rPr>
                <w:rFonts w:ascii="Arial" w:hAnsi="Arial" w:cs="Arial"/>
                <w:b/>
                <w:bCs/>
              </w:rPr>
              <w:t>If a given technology may be applicable in both Group 1 and Group 3, what advice would you give on how to determine which would be better?</w:t>
            </w:r>
          </w:p>
        </w:tc>
        <w:tc>
          <w:tcPr>
            <w:tcW w:w="8654" w:type="dxa"/>
          </w:tcPr>
          <w:p w14:paraId="616AABB5" w14:textId="7412B98D" w:rsidR="00506EB6" w:rsidRDefault="00506EB6" w:rsidP="00BE30AE">
            <w:pPr>
              <w:spacing w:after="120"/>
              <w:rPr>
                <w:rFonts w:ascii="Arial" w:hAnsi="Arial" w:cs="Arial"/>
              </w:rPr>
            </w:pPr>
            <w:r w:rsidRPr="7AAC24A6">
              <w:rPr>
                <w:rFonts w:ascii="Arial" w:hAnsi="Arial" w:cs="Arial"/>
              </w:rPr>
              <w:t>Applicants should review</w:t>
            </w:r>
            <w:r>
              <w:rPr>
                <w:rFonts w:ascii="Arial" w:hAnsi="Arial" w:cs="Arial"/>
              </w:rPr>
              <w:t xml:space="preserve"> the requirements for each Group in the</w:t>
            </w:r>
            <w:r w:rsidRPr="7AAC24A6">
              <w:rPr>
                <w:rFonts w:ascii="Arial" w:hAnsi="Arial" w:cs="Arial"/>
              </w:rPr>
              <w:t xml:space="preserve"> Project Focus (</w:t>
            </w:r>
            <w:r>
              <w:rPr>
                <w:rFonts w:ascii="Arial" w:hAnsi="Arial" w:cs="Arial"/>
              </w:rPr>
              <w:t>S</w:t>
            </w:r>
            <w:r w:rsidRPr="7AAC24A6">
              <w:rPr>
                <w:rFonts w:ascii="Arial" w:hAnsi="Arial" w:cs="Arial"/>
              </w:rPr>
              <w:t xml:space="preserve">ection I.C) to determine which </w:t>
            </w:r>
            <w:r>
              <w:rPr>
                <w:rFonts w:ascii="Arial" w:hAnsi="Arial" w:cs="Arial"/>
              </w:rPr>
              <w:t>G</w:t>
            </w:r>
            <w:r w:rsidRPr="7AAC24A6">
              <w:rPr>
                <w:rFonts w:ascii="Arial" w:hAnsi="Arial" w:cs="Arial"/>
              </w:rPr>
              <w:t>roup</w:t>
            </w:r>
            <w:r>
              <w:rPr>
                <w:rFonts w:ascii="Arial" w:hAnsi="Arial" w:cs="Arial"/>
              </w:rPr>
              <w:t xml:space="preserve"> best aligns with their proposed project and technology</w:t>
            </w:r>
            <w:r w:rsidRPr="7AAC24A6">
              <w:rPr>
                <w:rFonts w:ascii="Arial" w:hAnsi="Arial" w:cs="Arial"/>
              </w:rPr>
              <w:t xml:space="preserve">. </w:t>
            </w:r>
          </w:p>
          <w:p w14:paraId="15511C2C" w14:textId="77777777" w:rsidR="00506EB6" w:rsidRDefault="00506EB6" w:rsidP="00BE30AE">
            <w:pPr>
              <w:spacing w:after="120"/>
              <w:rPr>
                <w:rFonts w:ascii="Arial" w:hAnsi="Arial" w:cs="Arial"/>
              </w:rPr>
            </w:pPr>
          </w:p>
          <w:p w14:paraId="452AD49A" w14:textId="1511EFEC" w:rsidR="00506EB6" w:rsidRDefault="00506EB6" w:rsidP="00BE30AE">
            <w:pPr>
              <w:spacing w:after="120"/>
              <w:rPr>
                <w:rFonts w:ascii="Arial" w:hAnsi="Arial" w:cs="Arial"/>
              </w:rPr>
            </w:pPr>
            <w:r w:rsidRPr="00165CE8">
              <w:rPr>
                <w:rFonts w:ascii="Arial" w:hAnsi="Arial" w:cs="Arial"/>
              </w:rPr>
              <w:t>Applicants may submit multiple applications, though each application must address only one of the project groups identified.</w:t>
            </w:r>
          </w:p>
        </w:tc>
      </w:tr>
      <w:tr w:rsidR="00506EB6" w14:paraId="3783D18A" w14:textId="77777777" w:rsidTr="009D649D">
        <w:trPr>
          <w:trHeight w:val="300"/>
        </w:trPr>
        <w:tc>
          <w:tcPr>
            <w:tcW w:w="461" w:type="dxa"/>
          </w:tcPr>
          <w:p w14:paraId="21485468" w14:textId="4B2A07C1" w:rsidR="00506EB6" w:rsidRDefault="00F70B2C" w:rsidP="00BE30AE">
            <w:pPr>
              <w:spacing w:after="120"/>
              <w:rPr>
                <w:rFonts w:ascii="Arial" w:hAnsi="Arial" w:cs="Arial"/>
              </w:rPr>
            </w:pPr>
            <w:r>
              <w:rPr>
                <w:rFonts w:ascii="Arial" w:hAnsi="Arial" w:cs="Arial"/>
              </w:rPr>
              <w:t>32</w:t>
            </w:r>
          </w:p>
        </w:tc>
        <w:tc>
          <w:tcPr>
            <w:tcW w:w="4560" w:type="dxa"/>
          </w:tcPr>
          <w:p w14:paraId="6EDADC8A" w14:textId="65B6FC15" w:rsidR="00506EB6" w:rsidRDefault="00506EB6" w:rsidP="00BE30AE">
            <w:pPr>
              <w:spacing w:after="120"/>
              <w:rPr>
                <w:rFonts w:ascii="Arial" w:hAnsi="Arial" w:cs="Arial"/>
              </w:rPr>
            </w:pPr>
            <w:r w:rsidRPr="00165CE8">
              <w:rPr>
                <w:rFonts w:ascii="Arial" w:hAnsi="Arial" w:cs="Arial"/>
                <w:b/>
                <w:bCs/>
                <w:color w:val="000000"/>
              </w:rPr>
              <w:t xml:space="preserve">Does the </w:t>
            </w:r>
            <w:r>
              <w:rPr>
                <w:rFonts w:ascii="Arial" w:hAnsi="Arial" w:cs="Arial"/>
                <w:b/>
                <w:bCs/>
                <w:color w:val="000000"/>
              </w:rPr>
              <w:t>[developed technology under]</w:t>
            </w:r>
            <w:r w:rsidRPr="00165CE8">
              <w:rPr>
                <w:rFonts w:ascii="Arial" w:hAnsi="Arial" w:cs="Arial"/>
                <w:b/>
                <w:bCs/>
                <w:color w:val="000000"/>
              </w:rPr>
              <w:t xml:space="preserve"> Group 1 and Group 3 need to be demonstrated onsite?</w:t>
            </w:r>
          </w:p>
        </w:tc>
        <w:tc>
          <w:tcPr>
            <w:tcW w:w="8654" w:type="dxa"/>
          </w:tcPr>
          <w:p w14:paraId="5D4B9444" w14:textId="0E0A187E" w:rsidR="00506EB6" w:rsidRDefault="00506EB6" w:rsidP="00BE30AE">
            <w:pPr>
              <w:spacing w:after="120"/>
              <w:rPr>
                <w:rFonts w:ascii="Arial" w:hAnsi="Arial" w:cs="Arial"/>
              </w:rPr>
            </w:pPr>
            <w:r w:rsidRPr="00165CE8">
              <w:rPr>
                <w:rFonts w:ascii="Arial" w:hAnsi="Arial" w:cs="Arial"/>
              </w:rPr>
              <w:t>Yes, all projects are required to advance technologies and de</w:t>
            </w:r>
            <w:r w:rsidR="000E24D1">
              <w:rPr>
                <w:rFonts w:ascii="Arial" w:hAnsi="Arial" w:cs="Arial"/>
              </w:rPr>
              <w:t xml:space="preserve">monstrate </w:t>
            </w:r>
            <w:r w:rsidRPr="00165CE8">
              <w:rPr>
                <w:rFonts w:ascii="Arial" w:hAnsi="Arial" w:cs="Arial"/>
              </w:rPr>
              <w:t>in real-world conditions.</w:t>
            </w:r>
          </w:p>
        </w:tc>
      </w:tr>
      <w:tr w:rsidR="00506EB6" w14:paraId="3009F3D3" w14:textId="77777777" w:rsidTr="009D649D">
        <w:trPr>
          <w:trHeight w:val="300"/>
        </w:trPr>
        <w:tc>
          <w:tcPr>
            <w:tcW w:w="461" w:type="dxa"/>
          </w:tcPr>
          <w:p w14:paraId="446955CA" w14:textId="1AC540C8" w:rsidR="00506EB6" w:rsidRDefault="00F70B2C" w:rsidP="00BE30AE">
            <w:pPr>
              <w:spacing w:after="120"/>
              <w:rPr>
                <w:rFonts w:ascii="Arial" w:hAnsi="Arial" w:cs="Arial"/>
              </w:rPr>
            </w:pPr>
            <w:r>
              <w:rPr>
                <w:rFonts w:ascii="Arial" w:hAnsi="Arial" w:cs="Arial"/>
              </w:rPr>
              <w:t>3</w:t>
            </w:r>
            <w:r w:rsidR="004B0679">
              <w:rPr>
                <w:rFonts w:ascii="Arial" w:hAnsi="Arial" w:cs="Arial"/>
              </w:rPr>
              <w:t>3</w:t>
            </w:r>
          </w:p>
        </w:tc>
        <w:tc>
          <w:tcPr>
            <w:tcW w:w="4560" w:type="dxa"/>
          </w:tcPr>
          <w:p w14:paraId="180D0D1D" w14:textId="205B5F6B" w:rsidR="00506EB6" w:rsidRDefault="00506EB6" w:rsidP="00BE30AE">
            <w:pPr>
              <w:spacing w:after="120"/>
              <w:rPr>
                <w:rFonts w:ascii="Arial" w:hAnsi="Arial" w:cs="Arial"/>
              </w:rPr>
            </w:pPr>
            <w:r w:rsidRPr="00F66B2C">
              <w:rPr>
                <w:rFonts w:ascii="Arial" w:eastAsia="Times New Roman" w:hAnsi="Arial" w:cs="Arial"/>
                <w:b/>
                <w:bCs/>
              </w:rPr>
              <w:t>Are there any minimum requirements for the size or scale of technology deployments for Groups 1, 2, or 3 projects (other than the 1 MW charging capacity requirement for Group 2)? For example, minimum number of electric vehicle chargers, trucks, buses, cars, etc. that must be installed or deployed?</w:t>
            </w:r>
          </w:p>
        </w:tc>
        <w:tc>
          <w:tcPr>
            <w:tcW w:w="8654" w:type="dxa"/>
          </w:tcPr>
          <w:p w14:paraId="47BCC622" w14:textId="72026CF6" w:rsidR="00506EB6" w:rsidRDefault="00506EB6" w:rsidP="00BE30AE">
            <w:pPr>
              <w:spacing w:after="120"/>
              <w:rPr>
                <w:rFonts w:ascii="Arial" w:hAnsi="Arial" w:cs="Arial"/>
              </w:rPr>
            </w:pPr>
            <w:r>
              <w:rPr>
                <w:rFonts w:ascii="Arial" w:eastAsia="Times New Roman" w:hAnsi="Arial" w:cs="Arial"/>
              </w:rPr>
              <w:t xml:space="preserve">No, there are no minimum requirements for the size or scale of technology deployments as it relates to the </w:t>
            </w:r>
            <w:r w:rsidRPr="003C748E">
              <w:rPr>
                <w:rFonts w:ascii="Arial" w:eastAsia="Times New Roman" w:hAnsi="Arial" w:cs="Arial"/>
              </w:rPr>
              <w:t>minimum number of electric vehicle chargers, trucks, buses, cars, etc. that must be installed or deployed</w:t>
            </w:r>
            <w:r>
              <w:rPr>
                <w:rFonts w:ascii="Arial" w:eastAsia="Times New Roman" w:hAnsi="Arial" w:cs="Arial"/>
              </w:rPr>
              <w:t xml:space="preserve"> for Group 1, 2, or 3 projects. Applicants are encouraged to propose demonstrations/deployments of a size or scale that will sufficiently advance the technology’s TRL and increase adoption in California.</w:t>
            </w:r>
          </w:p>
        </w:tc>
      </w:tr>
      <w:tr w:rsidR="00506EB6" w14:paraId="62D0DCA6" w14:textId="77777777" w:rsidTr="009D649D">
        <w:trPr>
          <w:trHeight w:val="300"/>
        </w:trPr>
        <w:tc>
          <w:tcPr>
            <w:tcW w:w="461" w:type="dxa"/>
          </w:tcPr>
          <w:p w14:paraId="78BAAA8E" w14:textId="35774687" w:rsidR="00506EB6" w:rsidRDefault="004B0679" w:rsidP="00BE30AE">
            <w:pPr>
              <w:spacing w:after="120"/>
              <w:rPr>
                <w:rFonts w:ascii="Arial" w:hAnsi="Arial" w:cs="Arial"/>
              </w:rPr>
            </w:pPr>
            <w:r>
              <w:rPr>
                <w:rFonts w:ascii="Arial" w:hAnsi="Arial" w:cs="Arial"/>
              </w:rPr>
              <w:t>34</w:t>
            </w:r>
          </w:p>
        </w:tc>
        <w:tc>
          <w:tcPr>
            <w:tcW w:w="4560" w:type="dxa"/>
          </w:tcPr>
          <w:p w14:paraId="2C2DFA81" w14:textId="7B345C2D" w:rsidR="00506EB6" w:rsidRDefault="00506EB6" w:rsidP="00BE30AE">
            <w:pPr>
              <w:spacing w:after="120"/>
              <w:rPr>
                <w:rFonts w:ascii="Arial" w:hAnsi="Arial" w:cs="Arial"/>
              </w:rPr>
            </w:pPr>
            <w:r w:rsidRPr="00270A3C">
              <w:rPr>
                <w:rFonts w:ascii="Arial" w:hAnsi="Arial" w:cs="Arial"/>
                <w:b/>
                <w:color w:val="000000"/>
              </w:rPr>
              <w:t>Can V2G be considered in Group 3? What is the difference and why would one want to submit this concept in Group 1 versus 2?</w:t>
            </w:r>
          </w:p>
        </w:tc>
        <w:tc>
          <w:tcPr>
            <w:tcW w:w="8654" w:type="dxa"/>
          </w:tcPr>
          <w:p w14:paraId="38AEDC0C" w14:textId="77777777" w:rsidR="00506EB6" w:rsidRDefault="00506EB6" w:rsidP="00BE30AE">
            <w:pPr>
              <w:spacing w:after="120"/>
              <w:rPr>
                <w:rFonts w:ascii="Arial" w:hAnsi="Arial" w:cs="Arial"/>
              </w:rPr>
            </w:pPr>
            <w:r>
              <w:rPr>
                <w:rFonts w:ascii="Arial" w:hAnsi="Arial" w:cs="Arial"/>
              </w:rPr>
              <w:t xml:space="preserve">Both Group 2 and Group 3 encourage projects that integrate with distributed energy resources, which may include V2G-enabled electric vehicles. </w:t>
            </w:r>
          </w:p>
          <w:p w14:paraId="273C7DE5" w14:textId="77777777" w:rsidR="00506EB6" w:rsidRDefault="00506EB6" w:rsidP="00BE30AE">
            <w:pPr>
              <w:spacing w:after="120"/>
              <w:rPr>
                <w:rFonts w:ascii="Arial" w:hAnsi="Arial" w:cs="Arial"/>
              </w:rPr>
            </w:pPr>
          </w:p>
          <w:p w14:paraId="7AEFF682" w14:textId="0D6558D3" w:rsidR="00506EB6" w:rsidRDefault="00506EB6" w:rsidP="00BE30AE">
            <w:pPr>
              <w:spacing w:after="120"/>
              <w:rPr>
                <w:rFonts w:ascii="Arial" w:hAnsi="Arial" w:cs="Arial"/>
              </w:rPr>
            </w:pPr>
            <w:r w:rsidRPr="00165CE8">
              <w:rPr>
                <w:rFonts w:ascii="Arial" w:hAnsi="Arial" w:cs="Arial"/>
                <w:bCs/>
              </w:rPr>
              <w:t xml:space="preserve">Applicants </w:t>
            </w:r>
            <w:r w:rsidRPr="574B980E">
              <w:rPr>
                <w:rFonts w:ascii="Arial" w:hAnsi="Arial" w:cs="Arial"/>
              </w:rPr>
              <w:t>should</w:t>
            </w:r>
            <w:r w:rsidRPr="00165CE8">
              <w:rPr>
                <w:rFonts w:ascii="Arial" w:hAnsi="Arial" w:cs="Arial"/>
                <w:bCs/>
              </w:rPr>
              <w:t xml:space="preserve"> review</w:t>
            </w:r>
            <w:r w:rsidRPr="574B980E">
              <w:rPr>
                <w:rFonts w:ascii="Arial" w:hAnsi="Arial" w:cs="Arial"/>
              </w:rPr>
              <w:t xml:space="preserve"> </w:t>
            </w:r>
            <w:r>
              <w:rPr>
                <w:rFonts w:ascii="Arial" w:hAnsi="Arial" w:cs="Arial"/>
              </w:rPr>
              <w:t>Section I.C.</w:t>
            </w:r>
            <w:r w:rsidRPr="00165CE8">
              <w:rPr>
                <w:rFonts w:ascii="Arial" w:hAnsi="Arial" w:cs="Arial"/>
                <w:bCs/>
              </w:rPr>
              <w:t xml:space="preserve"> Project Focus where </w:t>
            </w:r>
            <w:r>
              <w:rPr>
                <w:rFonts w:ascii="Arial" w:hAnsi="Arial" w:cs="Arial"/>
                <w:bCs/>
              </w:rPr>
              <w:t>G</w:t>
            </w:r>
            <w:r w:rsidRPr="00165CE8">
              <w:rPr>
                <w:rFonts w:ascii="Arial" w:hAnsi="Arial" w:cs="Arial"/>
                <w:bCs/>
              </w:rPr>
              <w:t>roup requirements are listed to determine wh</w:t>
            </w:r>
            <w:r>
              <w:rPr>
                <w:rFonts w:ascii="Arial" w:hAnsi="Arial" w:cs="Arial"/>
                <w:bCs/>
              </w:rPr>
              <w:t>ich</w:t>
            </w:r>
            <w:r w:rsidRPr="00165CE8">
              <w:rPr>
                <w:rFonts w:ascii="Arial" w:hAnsi="Arial" w:cs="Arial"/>
                <w:bCs/>
              </w:rPr>
              <w:t xml:space="preserve"> </w:t>
            </w:r>
            <w:r>
              <w:rPr>
                <w:rFonts w:ascii="Arial" w:hAnsi="Arial" w:cs="Arial"/>
                <w:bCs/>
              </w:rPr>
              <w:t>G</w:t>
            </w:r>
            <w:r w:rsidRPr="00165CE8">
              <w:rPr>
                <w:rFonts w:ascii="Arial" w:hAnsi="Arial" w:cs="Arial"/>
                <w:bCs/>
              </w:rPr>
              <w:t xml:space="preserve">roup their </w:t>
            </w:r>
            <w:r>
              <w:rPr>
                <w:rFonts w:ascii="Arial" w:hAnsi="Arial" w:cs="Arial"/>
                <w:bCs/>
              </w:rPr>
              <w:t>proposed</w:t>
            </w:r>
            <w:r w:rsidRPr="00165CE8">
              <w:rPr>
                <w:rFonts w:ascii="Arial" w:hAnsi="Arial" w:cs="Arial"/>
                <w:bCs/>
              </w:rPr>
              <w:t xml:space="preserve"> technology </w:t>
            </w:r>
            <w:r>
              <w:rPr>
                <w:rFonts w:ascii="Arial" w:hAnsi="Arial" w:cs="Arial"/>
                <w:bCs/>
              </w:rPr>
              <w:t>and project</w:t>
            </w:r>
            <w:r w:rsidRPr="00165CE8">
              <w:rPr>
                <w:rFonts w:ascii="Arial" w:hAnsi="Arial" w:cs="Arial"/>
                <w:bCs/>
              </w:rPr>
              <w:t xml:space="preserve"> </w:t>
            </w:r>
            <w:r>
              <w:rPr>
                <w:rFonts w:ascii="Arial" w:hAnsi="Arial" w:cs="Arial"/>
                <w:bCs/>
              </w:rPr>
              <w:t>best responds</w:t>
            </w:r>
            <w:r>
              <w:rPr>
                <w:rFonts w:ascii="Arial" w:hAnsi="Arial" w:cs="Arial"/>
              </w:rPr>
              <w:t xml:space="preserve"> to</w:t>
            </w:r>
            <w:r w:rsidRPr="00165CE8">
              <w:rPr>
                <w:rFonts w:ascii="Arial" w:hAnsi="Arial" w:cs="Arial"/>
                <w:bCs/>
              </w:rPr>
              <w:t>.</w:t>
            </w:r>
          </w:p>
        </w:tc>
      </w:tr>
      <w:tr w:rsidR="00506EB6" w14:paraId="03142338" w14:textId="77777777" w:rsidTr="009D649D">
        <w:trPr>
          <w:trHeight w:val="300"/>
        </w:trPr>
        <w:tc>
          <w:tcPr>
            <w:tcW w:w="461" w:type="dxa"/>
          </w:tcPr>
          <w:p w14:paraId="64B9FEBB" w14:textId="5FEC84D6" w:rsidR="00506EB6" w:rsidRDefault="004B0679" w:rsidP="00BE30AE">
            <w:pPr>
              <w:spacing w:after="120"/>
              <w:rPr>
                <w:rFonts w:ascii="Arial" w:hAnsi="Arial" w:cs="Arial"/>
              </w:rPr>
            </w:pPr>
            <w:r>
              <w:rPr>
                <w:rFonts w:ascii="Arial" w:hAnsi="Arial" w:cs="Arial"/>
              </w:rPr>
              <w:t>35</w:t>
            </w:r>
          </w:p>
        </w:tc>
        <w:tc>
          <w:tcPr>
            <w:tcW w:w="4560" w:type="dxa"/>
          </w:tcPr>
          <w:p w14:paraId="4E6E4ADD" w14:textId="1CB70767" w:rsidR="00506EB6" w:rsidRDefault="00506EB6" w:rsidP="00BE30AE">
            <w:pPr>
              <w:spacing w:after="120"/>
              <w:rPr>
                <w:rFonts w:ascii="Arial" w:hAnsi="Arial" w:cs="Arial"/>
              </w:rPr>
            </w:pPr>
            <w:r w:rsidRPr="00165CE8">
              <w:rPr>
                <w:rFonts w:ascii="Arial" w:hAnsi="Arial" w:cs="Arial"/>
                <w:b/>
                <w:bCs/>
                <w:color w:val="000000"/>
              </w:rPr>
              <w:t>What are the minimum technical requirements for EVSE, including ISO 15118-readiness and CCS-1?</w:t>
            </w:r>
            <w:r>
              <w:rPr>
                <w:rFonts w:ascii="Arial" w:hAnsi="Arial" w:cs="Arial"/>
                <w:b/>
                <w:bCs/>
                <w:color w:val="000000"/>
              </w:rPr>
              <w:t xml:space="preserve"> </w:t>
            </w:r>
          </w:p>
        </w:tc>
        <w:tc>
          <w:tcPr>
            <w:tcW w:w="8654" w:type="dxa"/>
          </w:tcPr>
          <w:p w14:paraId="38AB9261" w14:textId="42DFABEA" w:rsidR="00506EB6" w:rsidRDefault="00506EB6" w:rsidP="00BE30AE">
            <w:pPr>
              <w:spacing w:after="120"/>
              <w:rPr>
                <w:rFonts w:ascii="Arial" w:hAnsi="Arial" w:cs="Arial"/>
              </w:rPr>
            </w:pPr>
            <w:r w:rsidRPr="3808C4E5">
              <w:rPr>
                <w:rFonts w:ascii="Arial" w:hAnsi="Arial" w:cs="Arial"/>
              </w:rPr>
              <w:t xml:space="preserve">Addendum 2 has revised the </w:t>
            </w:r>
            <w:r w:rsidRPr="75E20A09">
              <w:rPr>
                <w:rFonts w:ascii="Arial" w:hAnsi="Arial" w:cs="Arial"/>
              </w:rPr>
              <w:t>Solicitation Manual</w:t>
            </w:r>
            <w:r>
              <w:rPr>
                <w:rFonts w:ascii="Arial" w:hAnsi="Arial" w:cs="Arial"/>
              </w:rPr>
              <w:t xml:space="preserve"> (Section I.C)</w:t>
            </w:r>
            <w:r w:rsidRPr="75E20A09">
              <w:rPr>
                <w:rFonts w:ascii="Arial" w:hAnsi="Arial" w:cs="Arial"/>
              </w:rPr>
              <w:t xml:space="preserve"> to include </w:t>
            </w:r>
            <w:r>
              <w:rPr>
                <w:rFonts w:ascii="Arial" w:hAnsi="Arial" w:cs="Arial"/>
              </w:rPr>
              <w:t>minimum technical requirements</w:t>
            </w:r>
            <w:r w:rsidR="00376A08">
              <w:rPr>
                <w:rFonts w:ascii="Arial" w:hAnsi="Arial" w:cs="Arial"/>
              </w:rPr>
              <w:t xml:space="preserve"> that apply to conventional EVSE</w:t>
            </w:r>
            <w:r w:rsidRPr="00B5453B">
              <w:rPr>
                <w:rFonts w:ascii="Arial" w:hAnsi="Arial" w:cs="Arial"/>
              </w:rPr>
              <w:t>, including CCS/J1772, ISO 15118</w:t>
            </w:r>
            <w:r w:rsidR="00C45EB2">
              <w:rPr>
                <w:rFonts w:ascii="Arial" w:hAnsi="Arial" w:cs="Arial"/>
              </w:rPr>
              <w:t xml:space="preserve"> ready</w:t>
            </w:r>
            <w:r w:rsidRPr="00B5453B">
              <w:rPr>
                <w:rFonts w:ascii="Arial" w:hAnsi="Arial" w:cs="Arial"/>
              </w:rPr>
              <w:t>, and OCPP.</w:t>
            </w:r>
            <w:r>
              <w:rPr>
                <w:rFonts w:ascii="Arial" w:hAnsi="Arial" w:cs="Arial"/>
              </w:rPr>
              <w:t xml:space="preserve"> </w:t>
            </w:r>
            <w:r w:rsidRPr="00A4263E">
              <w:rPr>
                <w:rFonts w:ascii="Arial" w:hAnsi="Arial" w:cs="Arial"/>
              </w:rPr>
              <w:t xml:space="preserve">Projects </w:t>
            </w:r>
            <w:r>
              <w:rPr>
                <w:rFonts w:ascii="Arial" w:hAnsi="Arial" w:cs="Arial"/>
              </w:rPr>
              <w:t>should</w:t>
            </w:r>
            <w:r w:rsidRPr="00A4263E">
              <w:rPr>
                <w:rFonts w:ascii="Arial" w:hAnsi="Arial" w:cs="Arial"/>
              </w:rPr>
              <w:t xml:space="preserve"> develop or incorporate interoperable hardware and software products that will support CEC’s vision of a future in which any driver with any PEV can easily charge at any charger on any network</w:t>
            </w:r>
            <w:r>
              <w:rPr>
                <w:rFonts w:ascii="Arial" w:hAnsi="Arial" w:cs="Arial"/>
              </w:rPr>
              <w:t xml:space="preserve">, consistent with </w:t>
            </w:r>
            <w:r w:rsidRPr="00165CE8">
              <w:rPr>
                <w:rFonts w:ascii="Arial" w:hAnsi="Arial" w:cs="Arial"/>
              </w:rPr>
              <w:t>CEC’s Statement on Charging Interoperability</w:t>
            </w:r>
            <w:r>
              <w:rPr>
                <w:rFonts w:ascii="Arial" w:hAnsi="Arial" w:cs="Arial"/>
              </w:rPr>
              <w:t xml:space="preserve">. </w:t>
            </w:r>
          </w:p>
          <w:p w14:paraId="291B67FC" w14:textId="77777777" w:rsidR="00506EB6" w:rsidRDefault="00506EB6" w:rsidP="00BE30AE">
            <w:pPr>
              <w:spacing w:after="120"/>
              <w:rPr>
                <w:rFonts w:ascii="Arial" w:hAnsi="Arial" w:cs="Arial"/>
              </w:rPr>
            </w:pPr>
          </w:p>
          <w:p w14:paraId="58519E6B" w14:textId="0B04DED5" w:rsidR="00506EB6" w:rsidRDefault="00506EB6" w:rsidP="00BE30AE">
            <w:pPr>
              <w:spacing w:after="120"/>
              <w:rPr>
                <w:rFonts w:ascii="Arial" w:hAnsi="Arial" w:cs="Arial"/>
              </w:rPr>
            </w:pPr>
            <w:r>
              <w:rPr>
                <w:rFonts w:ascii="Arial" w:hAnsi="Arial" w:cs="Arial"/>
              </w:rPr>
              <w:lastRenderedPageBreak/>
              <w:t xml:space="preserve">The exception to this requirement is innovative charging solutions where standards may not be applicable or are currently in development. </w:t>
            </w:r>
          </w:p>
          <w:p w14:paraId="3A9545C4" w14:textId="77777777" w:rsidR="00506EB6" w:rsidRDefault="00506EB6" w:rsidP="00BE30AE">
            <w:pPr>
              <w:spacing w:after="120"/>
              <w:rPr>
                <w:rFonts w:ascii="Arial" w:hAnsi="Arial" w:cs="Arial"/>
              </w:rPr>
            </w:pPr>
          </w:p>
          <w:p w14:paraId="783ACE95" w14:textId="61F024B1" w:rsidR="00506EB6" w:rsidRDefault="00506EB6" w:rsidP="00BE30AE">
            <w:pPr>
              <w:spacing w:after="120"/>
              <w:rPr>
                <w:rFonts w:ascii="Arial" w:hAnsi="Arial" w:cs="Arial"/>
              </w:rPr>
            </w:pPr>
            <w:r>
              <w:rPr>
                <w:rFonts w:ascii="Arial" w:hAnsi="Arial" w:cs="Arial"/>
              </w:rPr>
              <w:t>All applicants are required to describe standards and protocols used in the Project Narrative (</w:t>
            </w:r>
            <w:r w:rsidRPr="47E95FB4">
              <w:rPr>
                <w:rFonts w:ascii="Arial" w:hAnsi="Arial" w:cs="Arial"/>
              </w:rPr>
              <w:t>Attachment 3).</w:t>
            </w:r>
          </w:p>
        </w:tc>
      </w:tr>
      <w:tr w:rsidR="00506EB6" w14:paraId="1A3C47B4" w14:textId="77777777" w:rsidTr="009D649D">
        <w:trPr>
          <w:trHeight w:val="300"/>
        </w:trPr>
        <w:tc>
          <w:tcPr>
            <w:tcW w:w="461" w:type="dxa"/>
          </w:tcPr>
          <w:p w14:paraId="16EA1EDA" w14:textId="474D7EBD" w:rsidR="00506EB6" w:rsidRDefault="004B0679" w:rsidP="00BE30AE">
            <w:pPr>
              <w:spacing w:after="120"/>
              <w:rPr>
                <w:rFonts w:ascii="Arial" w:hAnsi="Arial" w:cs="Arial"/>
              </w:rPr>
            </w:pPr>
            <w:r>
              <w:rPr>
                <w:rFonts w:ascii="Arial" w:hAnsi="Arial" w:cs="Arial"/>
              </w:rPr>
              <w:lastRenderedPageBreak/>
              <w:t>36</w:t>
            </w:r>
          </w:p>
        </w:tc>
        <w:tc>
          <w:tcPr>
            <w:tcW w:w="4560" w:type="dxa"/>
          </w:tcPr>
          <w:p w14:paraId="2EAE44D3" w14:textId="1370CFEA" w:rsidR="00506EB6" w:rsidRDefault="00506EB6" w:rsidP="00BE30AE">
            <w:pPr>
              <w:spacing w:after="120"/>
              <w:rPr>
                <w:rFonts w:ascii="Arial" w:hAnsi="Arial" w:cs="Arial"/>
              </w:rPr>
            </w:pPr>
            <w:r w:rsidRPr="30845C0F">
              <w:rPr>
                <w:rFonts w:ascii="Arial" w:hAnsi="Arial" w:cs="Arial"/>
                <w:b/>
                <w:color w:val="000000" w:themeColor="text1"/>
              </w:rPr>
              <w:t>Are bidirectional DC CHAdeMO chargers eligible for funding?</w:t>
            </w:r>
          </w:p>
        </w:tc>
        <w:tc>
          <w:tcPr>
            <w:tcW w:w="8654" w:type="dxa"/>
          </w:tcPr>
          <w:p w14:paraId="6E930BE5" w14:textId="72152565" w:rsidR="00506EB6" w:rsidRDefault="00506EB6" w:rsidP="00BE30AE">
            <w:pPr>
              <w:spacing w:after="120"/>
              <w:rPr>
                <w:rFonts w:ascii="Arial" w:hAnsi="Arial" w:cs="Arial"/>
              </w:rPr>
            </w:pPr>
            <w:r w:rsidRPr="3808C4E5">
              <w:rPr>
                <w:rFonts w:ascii="Arial" w:hAnsi="Arial" w:cs="Arial"/>
              </w:rPr>
              <w:t xml:space="preserve">Addendum 2 has revised the </w:t>
            </w:r>
            <w:r w:rsidRPr="75E20A09">
              <w:rPr>
                <w:rFonts w:ascii="Arial" w:hAnsi="Arial" w:cs="Arial"/>
              </w:rPr>
              <w:t>Solicitation Manual</w:t>
            </w:r>
            <w:r>
              <w:rPr>
                <w:rFonts w:ascii="Arial" w:hAnsi="Arial" w:cs="Arial"/>
              </w:rPr>
              <w:t xml:space="preserve"> (Section I.C)</w:t>
            </w:r>
            <w:r w:rsidRPr="75E20A09">
              <w:rPr>
                <w:rFonts w:ascii="Arial" w:hAnsi="Arial" w:cs="Arial"/>
              </w:rPr>
              <w:t xml:space="preserve"> to include </w:t>
            </w:r>
            <w:r>
              <w:rPr>
                <w:rFonts w:ascii="Arial" w:hAnsi="Arial" w:cs="Arial"/>
              </w:rPr>
              <w:t>minimum technical requirements</w:t>
            </w:r>
            <w:r w:rsidR="003B730A">
              <w:rPr>
                <w:rFonts w:ascii="Arial" w:hAnsi="Arial" w:cs="Arial"/>
              </w:rPr>
              <w:t xml:space="preserve"> for conventional </w:t>
            </w:r>
            <w:r w:rsidR="00357F48">
              <w:rPr>
                <w:rFonts w:ascii="Arial" w:hAnsi="Arial" w:cs="Arial"/>
              </w:rPr>
              <w:t>EVSE</w:t>
            </w:r>
            <w:r w:rsidRPr="00270A3C">
              <w:rPr>
                <w:rFonts w:ascii="Arial" w:hAnsi="Arial" w:cs="Arial"/>
              </w:rPr>
              <w:t>, including CCS/J1772, ISO 15118</w:t>
            </w:r>
            <w:r w:rsidR="00EF7AE5">
              <w:rPr>
                <w:rFonts w:ascii="Arial" w:hAnsi="Arial" w:cs="Arial"/>
              </w:rPr>
              <w:t xml:space="preserve"> ready</w:t>
            </w:r>
            <w:r w:rsidRPr="00270A3C">
              <w:rPr>
                <w:rFonts w:ascii="Arial" w:hAnsi="Arial" w:cs="Arial"/>
              </w:rPr>
              <w:t>, and OCPP.</w:t>
            </w:r>
            <w:r>
              <w:rPr>
                <w:rFonts w:ascii="Arial" w:hAnsi="Arial" w:cs="Arial"/>
              </w:rPr>
              <w:t xml:space="preserve"> </w:t>
            </w:r>
            <w:r w:rsidR="0060436A" w:rsidRPr="0060436A">
              <w:rPr>
                <w:rFonts w:ascii="Arial" w:hAnsi="Arial" w:cs="Arial"/>
              </w:rPr>
              <w:t>DC EVSE shall include, at minimum, a J1772/CCS1 connector. EVSE stations may exceed these requirements, for example by supporting additional connector types.</w:t>
            </w:r>
            <w:r>
              <w:rPr>
                <w:rFonts w:ascii="Arial" w:hAnsi="Arial" w:cs="Arial"/>
              </w:rPr>
              <w:t xml:space="preserve"> </w:t>
            </w:r>
            <w:r w:rsidRPr="00A4263E">
              <w:rPr>
                <w:rFonts w:ascii="Arial" w:hAnsi="Arial" w:cs="Arial"/>
              </w:rPr>
              <w:t xml:space="preserve">Projects </w:t>
            </w:r>
            <w:r>
              <w:rPr>
                <w:rFonts w:ascii="Arial" w:hAnsi="Arial" w:cs="Arial"/>
              </w:rPr>
              <w:t>should</w:t>
            </w:r>
            <w:r w:rsidRPr="00A4263E">
              <w:rPr>
                <w:rFonts w:ascii="Arial" w:hAnsi="Arial" w:cs="Arial"/>
              </w:rPr>
              <w:t xml:space="preserve"> develop or incorporate interoperable hardware and software products that will support CEC’s vision of a future in which any driver with any PEV can easily charge at any charger on any network</w:t>
            </w:r>
            <w:r>
              <w:rPr>
                <w:rFonts w:ascii="Arial" w:hAnsi="Arial" w:cs="Arial"/>
              </w:rPr>
              <w:t xml:space="preserve">, consistent with </w:t>
            </w:r>
            <w:r w:rsidRPr="00165CE8">
              <w:rPr>
                <w:rFonts w:ascii="Arial" w:hAnsi="Arial" w:cs="Arial"/>
              </w:rPr>
              <w:t>CEC’s Statement on Charging Interoperability</w:t>
            </w:r>
            <w:r>
              <w:rPr>
                <w:rFonts w:ascii="Arial" w:hAnsi="Arial" w:cs="Arial"/>
              </w:rPr>
              <w:t xml:space="preserve">.  </w:t>
            </w:r>
          </w:p>
        </w:tc>
      </w:tr>
      <w:tr w:rsidR="00506EB6" w14:paraId="1AF61C42" w14:textId="77777777" w:rsidTr="009D649D">
        <w:trPr>
          <w:trHeight w:val="300"/>
        </w:trPr>
        <w:tc>
          <w:tcPr>
            <w:tcW w:w="461" w:type="dxa"/>
          </w:tcPr>
          <w:p w14:paraId="3DA59B06" w14:textId="20FEBF02" w:rsidR="00506EB6" w:rsidRDefault="004B0679" w:rsidP="00BE30AE">
            <w:pPr>
              <w:spacing w:after="120"/>
              <w:rPr>
                <w:rFonts w:ascii="Arial" w:hAnsi="Arial" w:cs="Arial"/>
              </w:rPr>
            </w:pPr>
            <w:r>
              <w:rPr>
                <w:rFonts w:ascii="Arial" w:hAnsi="Arial" w:cs="Arial"/>
              </w:rPr>
              <w:t>37</w:t>
            </w:r>
          </w:p>
        </w:tc>
        <w:tc>
          <w:tcPr>
            <w:tcW w:w="4560" w:type="dxa"/>
          </w:tcPr>
          <w:p w14:paraId="15390671" w14:textId="7B17C242" w:rsidR="00506EB6" w:rsidRDefault="00506EB6" w:rsidP="00BE30AE">
            <w:pPr>
              <w:spacing w:after="120"/>
              <w:rPr>
                <w:rFonts w:ascii="Arial" w:hAnsi="Arial" w:cs="Arial"/>
              </w:rPr>
            </w:pPr>
            <w:r w:rsidRPr="00165CE8">
              <w:rPr>
                <w:rFonts w:ascii="Arial" w:hAnsi="Arial" w:cs="Arial"/>
                <w:b/>
                <w:bCs/>
                <w:color w:val="000000"/>
              </w:rPr>
              <w:t>What is the technology readiness requirement for EVSE</w:t>
            </w:r>
            <w:r>
              <w:rPr>
                <w:rFonts w:ascii="Arial" w:hAnsi="Arial" w:cs="Arial"/>
                <w:b/>
                <w:bCs/>
                <w:color w:val="000000"/>
              </w:rPr>
              <w:t>?</w:t>
            </w:r>
          </w:p>
        </w:tc>
        <w:tc>
          <w:tcPr>
            <w:tcW w:w="8654" w:type="dxa"/>
          </w:tcPr>
          <w:p w14:paraId="47B8E355" w14:textId="548C1499" w:rsidR="00506EB6" w:rsidRDefault="00506EB6" w:rsidP="00BE30AE">
            <w:pPr>
              <w:spacing w:after="120"/>
              <w:rPr>
                <w:rFonts w:ascii="Arial" w:hAnsi="Arial" w:cs="Arial"/>
              </w:rPr>
            </w:pPr>
            <w:r w:rsidRPr="22E269BB">
              <w:rPr>
                <w:rFonts w:ascii="Arial" w:hAnsi="Arial" w:cs="Arial"/>
              </w:rPr>
              <w:t xml:space="preserve">Technology readiness levels </w:t>
            </w:r>
            <w:r w:rsidR="0CA75FC8" w:rsidRPr="22E269BB">
              <w:rPr>
                <w:rFonts w:ascii="Arial" w:hAnsi="Arial" w:cs="Arial"/>
              </w:rPr>
              <w:t xml:space="preserve">(TRLs) </w:t>
            </w:r>
            <w:r w:rsidRPr="22E269BB">
              <w:rPr>
                <w:rFonts w:ascii="Arial" w:hAnsi="Arial" w:cs="Arial"/>
              </w:rPr>
              <w:t>are a method for estimating the maturity of technologies during the acquisition phase of a program. The</w:t>
            </w:r>
            <w:r w:rsidR="50585D36" w:rsidRPr="22E269BB">
              <w:rPr>
                <w:rFonts w:ascii="Arial" w:hAnsi="Arial" w:cs="Arial"/>
              </w:rPr>
              <w:t xml:space="preserve"> TRL</w:t>
            </w:r>
            <w:r w:rsidRPr="22E269BB">
              <w:rPr>
                <w:rFonts w:ascii="Arial" w:hAnsi="Arial" w:cs="Arial"/>
              </w:rPr>
              <w:t xml:space="preserve"> requirement of TRL 5-6 to TRL 7-8 (unless otherwise noted in the Solicitation Manual) applies to the core technology innovation under each group. </w:t>
            </w:r>
            <w:r w:rsidR="00310BAB" w:rsidRPr="22E269BB">
              <w:rPr>
                <w:rFonts w:ascii="Arial" w:hAnsi="Arial" w:cs="Arial"/>
              </w:rPr>
              <w:t xml:space="preserve">Depending on the project, the core technology innovation may or may not be </w:t>
            </w:r>
            <w:r w:rsidR="002E2542" w:rsidRPr="22E269BB">
              <w:rPr>
                <w:rFonts w:ascii="Arial" w:hAnsi="Arial" w:cs="Arial"/>
              </w:rPr>
              <w:t>the EVSE itself.</w:t>
            </w:r>
          </w:p>
        </w:tc>
      </w:tr>
      <w:tr w:rsidR="00506EB6" w14:paraId="458D2D59" w14:textId="77777777" w:rsidTr="009D649D">
        <w:trPr>
          <w:trHeight w:val="300"/>
        </w:trPr>
        <w:tc>
          <w:tcPr>
            <w:tcW w:w="461" w:type="dxa"/>
          </w:tcPr>
          <w:p w14:paraId="3C6297A7" w14:textId="7A41CE6C" w:rsidR="00506EB6" w:rsidRDefault="004B0679" w:rsidP="00BE30AE">
            <w:pPr>
              <w:spacing w:after="120"/>
              <w:rPr>
                <w:rFonts w:ascii="Arial" w:hAnsi="Arial" w:cs="Arial"/>
              </w:rPr>
            </w:pPr>
            <w:r>
              <w:rPr>
                <w:rFonts w:ascii="Arial" w:hAnsi="Arial" w:cs="Arial"/>
              </w:rPr>
              <w:t>38</w:t>
            </w:r>
          </w:p>
        </w:tc>
        <w:tc>
          <w:tcPr>
            <w:tcW w:w="4560" w:type="dxa"/>
          </w:tcPr>
          <w:p w14:paraId="2D60B511" w14:textId="1C4F06CB" w:rsidR="00506EB6" w:rsidRDefault="00506EB6" w:rsidP="00BE30AE">
            <w:pPr>
              <w:spacing w:after="120"/>
              <w:rPr>
                <w:rFonts w:ascii="Arial" w:hAnsi="Arial" w:cs="Arial"/>
              </w:rPr>
            </w:pPr>
            <w:r w:rsidRPr="00165CE8">
              <w:rPr>
                <w:rFonts w:ascii="Arial" w:hAnsi="Arial" w:cs="Arial"/>
                <w:b/>
                <w:bCs/>
                <w:color w:val="000000"/>
              </w:rPr>
              <w:t>Is a workplace included in your definition of commercial sites?</w:t>
            </w:r>
          </w:p>
        </w:tc>
        <w:tc>
          <w:tcPr>
            <w:tcW w:w="8654" w:type="dxa"/>
          </w:tcPr>
          <w:p w14:paraId="720F0705" w14:textId="0BBCDB0A" w:rsidR="00506EB6" w:rsidRDefault="00506EB6" w:rsidP="00BE30AE">
            <w:pPr>
              <w:spacing w:after="120"/>
              <w:rPr>
                <w:rFonts w:ascii="Arial" w:hAnsi="Arial" w:cs="Arial"/>
              </w:rPr>
            </w:pPr>
            <w:r w:rsidRPr="22E269BB">
              <w:rPr>
                <w:rFonts w:ascii="Arial" w:hAnsi="Arial" w:cs="Arial"/>
              </w:rPr>
              <w:t xml:space="preserve">Workplaces are considered commercial sites. </w:t>
            </w:r>
          </w:p>
        </w:tc>
      </w:tr>
      <w:tr w:rsidR="00506EB6" w14:paraId="4D5F4C3B" w14:textId="77777777" w:rsidTr="009D649D">
        <w:trPr>
          <w:trHeight w:val="300"/>
        </w:trPr>
        <w:tc>
          <w:tcPr>
            <w:tcW w:w="461" w:type="dxa"/>
          </w:tcPr>
          <w:p w14:paraId="7F413395" w14:textId="48AD7753" w:rsidR="00506EB6" w:rsidRDefault="004B0679" w:rsidP="00BE30AE">
            <w:pPr>
              <w:spacing w:after="120"/>
              <w:rPr>
                <w:rFonts w:ascii="Arial" w:hAnsi="Arial" w:cs="Arial"/>
              </w:rPr>
            </w:pPr>
            <w:r>
              <w:rPr>
                <w:rFonts w:ascii="Arial" w:hAnsi="Arial" w:cs="Arial"/>
              </w:rPr>
              <w:t>39</w:t>
            </w:r>
          </w:p>
        </w:tc>
        <w:tc>
          <w:tcPr>
            <w:tcW w:w="4560" w:type="dxa"/>
          </w:tcPr>
          <w:p w14:paraId="0364D557" w14:textId="4EBB9829" w:rsidR="00506EB6" w:rsidRDefault="00506EB6" w:rsidP="00BE30AE">
            <w:pPr>
              <w:spacing w:after="120"/>
              <w:rPr>
                <w:rFonts w:ascii="Arial" w:hAnsi="Arial" w:cs="Arial"/>
              </w:rPr>
            </w:pPr>
            <w:r w:rsidRPr="00165CE8">
              <w:rPr>
                <w:rFonts w:ascii="Arial" w:hAnsi="Arial" w:cs="Arial"/>
                <w:b/>
                <w:bCs/>
                <w:color w:val="000000"/>
              </w:rPr>
              <w:t>Do project requirements include full compliance with CPUC Rule 21? Will CEC support a justified waiver of Rule 21 compliance if the objectives to modernize interconnection processes are defined as part of the deliverables?</w:t>
            </w:r>
          </w:p>
        </w:tc>
        <w:tc>
          <w:tcPr>
            <w:tcW w:w="8654" w:type="dxa"/>
          </w:tcPr>
          <w:p w14:paraId="4E5927F9" w14:textId="3402E063" w:rsidR="00506EB6" w:rsidRDefault="00506EB6" w:rsidP="00BE30AE">
            <w:pPr>
              <w:spacing w:after="120"/>
              <w:rPr>
                <w:rFonts w:ascii="Arial" w:hAnsi="Arial" w:cs="Arial"/>
              </w:rPr>
            </w:pPr>
            <w:r>
              <w:rPr>
                <w:rFonts w:ascii="Arial" w:hAnsi="Arial" w:cs="Arial"/>
              </w:rPr>
              <w:t xml:space="preserve">Addendum 2 has revised the </w:t>
            </w:r>
            <w:r w:rsidR="00C20ACC">
              <w:rPr>
                <w:rFonts w:ascii="Arial" w:hAnsi="Arial" w:cs="Arial"/>
              </w:rPr>
              <w:t>S</w:t>
            </w:r>
            <w:r>
              <w:rPr>
                <w:rFonts w:ascii="Arial" w:hAnsi="Arial" w:cs="Arial"/>
              </w:rPr>
              <w:t xml:space="preserve">olicitation </w:t>
            </w:r>
            <w:r w:rsidR="00C20ACC">
              <w:rPr>
                <w:rFonts w:ascii="Arial" w:hAnsi="Arial" w:cs="Arial"/>
              </w:rPr>
              <w:t>M</w:t>
            </w:r>
            <w:r>
              <w:rPr>
                <w:rFonts w:ascii="Arial" w:hAnsi="Arial" w:cs="Arial"/>
              </w:rPr>
              <w:t xml:space="preserve">anual (Section I.C) to include technical requirements of bidirectional EVSE, including addressing Rule 21 compliance. </w:t>
            </w:r>
            <w:r w:rsidRPr="00916694">
              <w:rPr>
                <w:rFonts w:ascii="Arial" w:hAnsi="Arial" w:cs="Arial"/>
              </w:rPr>
              <w:t>If the proposed technology has power export capability and the applicant would like to demonstrate this capability during the demonstration</w:t>
            </w:r>
            <w:r>
              <w:rPr>
                <w:rFonts w:ascii="Arial" w:hAnsi="Arial" w:cs="Arial"/>
              </w:rPr>
              <w:t>/deployment</w:t>
            </w:r>
            <w:r w:rsidRPr="00916694">
              <w:rPr>
                <w:rFonts w:ascii="Arial" w:hAnsi="Arial" w:cs="Arial"/>
              </w:rPr>
              <w:t xml:space="preserve"> period, the technology must be </w:t>
            </w:r>
            <w:r w:rsidRPr="00916694">
              <w:rPr>
                <w:rStyle w:val="normaltextrun"/>
                <w:rFonts w:ascii="Arial" w:hAnsi="Arial" w:cs="Arial"/>
                <w:color w:val="000000"/>
                <w:shd w:val="clear" w:color="auto" w:fill="FFFFFF"/>
              </w:rPr>
              <w:t xml:space="preserve">compliant with </w:t>
            </w:r>
            <w:r w:rsidRPr="00270A3C">
              <w:rPr>
                <w:rFonts w:ascii="Arial" w:hAnsi="Arial" w:cs="Arial"/>
              </w:rPr>
              <w:t xml:space="preserve">Rule 21 </w:t>
            </w:r>
            <w:r w:rsidRPr="00916694">
              <w:rPr>
                <w:rStyle w:val="normaltextrun"/>
                <w:rFonts w:ascii="Arial" w:hAnsi="Arial" w:cs="Arial"/>
                <w:color w:val="000000"/>
                <w:shd w:val="clear" w:color="auto" w:fill="FFFFFF"/>
              </w:rPr>
              <w:t>as written</w:t>
            </w:r>
            <w:r>
              <w:rPr>
                <w:rStyle w:val="normaltextrun"/>
                <w:rFonts w:ascii="Arial" w:hAnsi="Arial" w:cs="Arial"/>
                <w:color w:val="000000"/>
                <w:shd w:val="clear" w:color="auto" w:fill="FFFFFF"/>
              </w:rPr>
              <w:t>.</w:t>
            </w:r>
            <w:r w:rsidRPr="00916694">
              <w:rPr>
                <w:rStyle w:val="normaltextrun"/>
                <w:rFonts w:ascii="Arial" w:hAnsi="Arial" w:cs="Arial"/>
                <w:color w:val="000000"/>
                <w:shd w:val="clear" w:color="auto" w:fill="FFFFFF"/>
              </w:rPr>
              <w:t xml:space="preserve"> </w:t>
            </w:r>
            <w:r w:rsidRPr="000E411C">
              <w:rPr>
                <w:rStyle w:val="normaltextrun"/>
                <w:rFonts w:ascii="Arial" w:hAnsi="Arial" w:cs="Arial"/>
                <w:color w:val="000000"/>
                <w:shd w:val="clear" w:color="auto" w:fill="FFFFFF"/>
              </w:rPr>
              <w:t xml:space="preserve">Exceptions to this </w:t>
            </w:r>
            <w:r w:rsidR="20F851D4" w:rsidRPr="000E411C">
              <w:rPr>
                <w:rStyle w:val="normaltextrun"/>
                <w:rFonts w:ascii="Arial" w:hAnsi="Arial" w:cs="Arial"/>
                <w:color w:val="000000"/>
                <w:shd w:val="clear" w:color="auto" w:fill="FFFFFF"/>
              </w:rPr>
              <w:t>are</w:t>
            </w:r>
            <w:r w:rsidRPr="000E411C">
              <w:rPr>
                <w:rStyle w:val="normaltextrun"/>
                <w:rFonts w:ascii="Arial" w:hAnsi="Arial" w:cs="Arial"/>
                <w:color w:val="000000"/>
                <w:shd w:val="clear" w:color="auto" w:fill="FFFFFF"/>
              </w:rPr>
              <w:t xml:space="preserve"> if the </w:t>
            </w:r>
            <w:r w:rsidR="00FF380F" w:rsidRPr="000E411C">
              <w:rPr>
                <w:rStyle w:val="normaltextrun"/>
                <w:rFonts w:ascii="Arial" w:hAnsi="Arial" w:cs="Arial"/>
                <w:color w:val="000000"/>
                <w:shd w:val="clear" w:color="auto" w:fill="FFFFFF"/>
              </w:rPr>
              <w:t>p</w:t>
            </w:r>
            <w:r w:rsidR="00FF380F" w:rsidRPr="005022C8">
              <w:rPr>
                <w:rStyle w:val="normaltextrun"/>
                <w:rFonts w:ascii="Arial" w:hAnsi="Arial" w:cs="Arial"/>
                <w:color w:val="000000"/>
                <w:shd w:val="clear" w:color="auto" w:fill="FFFFFF"/>
              </w:rPr>
              <w:t>roject</w:t>
            </w:r>
            <w:r w:rsidR="00FF380F" w:rsidRPr="000E411C">
              <w:rPr>
                <w:rStyle w:val="normaltextrun"/>
                <w:rFonts w:ascii="Arial" w:hAnsi="Arial" w:cs="Arial"/>
                <w:color w:val="000000"/>
                <w:shd w:val="clear" w:color="auto" w:fill="FFFFFF"/>
              </w:rPr>
              <w:t xml:space="preserve"> </w:t>
            </w:r>
            <w:r w:rsidRPr="000E411C">
              <w:rPr>
                <w:rStyle w:val="normaltextrun"/>
                <w:rFonts w:ascii="Arial" w:hAnsi="Arial" w:cs="Arial"/>
                <w:color w:val="000000"/>
                <w:shd w:val="clear" w:color="auto" w:fill="FFFFFF"/>
              </w:rPr>
              <w:t xml:space="preserve">is exempt from certain Rule 21 requirements (for example, if </w:t>
            </w:r>
            <w:r w:rsidR="00FD25EB" w:rsidRPr="000E411C">
              <w:rPr>
                <w:rStyle w:val="normaltextrun"/>
                <w:rFonts w:ascii="Arial" w:hAnsi="Arial" w:cs="Arial"/>
                <w:color w:val="000000"/>
                <w:shd w:val="clear" w:color="auto" w:fill="FFFFFF"/>
              </w:rPr>
              <w:t>a temporary pathwa</w:t>
            </w:r>
            <w:r w:rsidR="00C329FF" w:rsidRPr="000E411C">
              <w:rPr>
                <w:rStyle w:val="normaltextrun"/>
                <w:rFonts w:ascii="Arial" w:hAnsi="Arial" w:cs="Arial"/>
                <w:color w:val="000000"/>
                <w:shd w:val="clear" w:color="auto" w:fill="FFFFFF"/>
              </w:rPr>
              <w:t xml:space="preserve">y is offered by </w:t>
            </w:r>
            <w:r w:rsidR="00963826" w:rsidRPr="000E411C">
              <w:rPr>
                <w:rStyle w:val="normaltextrun"/>
                <w:rFonts w:ascii="Arial" w:hAnsi="Arial" w:cs="Arial"/>
                <w:color w:val="000000"/>
                <w:shd w:val="clear" w:color="auto" w:fill="FFFFFF"/>
              </w:rPr>
              <w:t>the utility</w:t>
            </w:r>
            <w:r w:rsidRPr="000E411C">
              <w:rPr>
                <w:rStyle w:val="normaltextrun"/>
                <w:rFonts w:ascii="Arial" w:hAnsi="Arial" w:cs="Arial"/>
                <w:color w:val="000000"/>
                <w:shd w:val="clear" w:color="auto" w:fill="FFFFFF"/>
              </w:rPr>
              <w:t xml:space="preserve">) or if </w:t>
            </w:r>
            <w:r w:rsidR="1DBDEA15" w:rsidRPr="000E411C">
              <w:rPr>
                <w:rStyle w:val="normaltextrun"/>
                <w:rFonts w:ascii="Arial" w:hAnsi="Arial" w:cs="Arial"/>
                <w:color w:val="000000"/>
                <w:shd w:val="clear" w:color="auto" w:fill="FFFFFF"/>
              </w:rPr>
              <w:t xml:space="preserve">the </w:t>
            </w:r>
            <w:r w:rsidRPr="000E411C">
              <w:rPr>
                <w:rStyle w:val="normaltextrun"/>
                <w:rFonts w:ascii="Arial" w:hAnsi="Arial" w:cs="Arial"/>
                <w:color w:val="000000"/>
                <w:shd w:val="clear" w:color="auto" w:fill="FFFFFF"/>
              </w:rPr>
              <w:t>project is demonstrating non-grid interactive technologies for which Rule 21 is inapplicable.</w:t>
            </w:r>
          </w:p>
        </w:tc>
      </w:tr>
      <w:tr w:rsidR="00506EB6" w14:paraId="778EA041" w14:textId="77777777" w:rsidTr="009D649D">
        <w:trPr>
          <w:trHeight w:val="300"/>
        </w:trPr>
        <w:tc>
          <w:tcPr>
            <w:tcW w:w="461" w:type="dxa"/>
          </w:tcPr>
          <w:p w14:paraId="2021EF33" w14:textId="626672AB" w:rsidR="00506EB6" w:rsidRDefault="004B0679" w:rsidP="00BE30AE">
            <w:pPr>
              <w:spacing w:after="120"/>
              <w:rPr>
                <w:rFonts w:ascii="Arial" w:hAnsi="Arial" w:cs="Arial"/>
              </w:rPr>
            </w:pPr>
            <w:r>
              <w:rPr>
                <w:rFonts w:ascii="Arial" w:hAnsi="Arial" w:cs="Arial"/>
              </w:rPr>
              <w:t>40</w:t>
            </w:r>
          </w:p>
        </w:tc>
        <w:tc>
          <w:tcPr>
            <w:tcW w:w="4560" w:type="dxa"/>
          </w:tcPr>
          <w:p w14:paraId="50E23172" w14:textId="47CEC52F" w:rsidR="00506EB6" w:rsidRDefault="00506EB6" w:rsidP="00BE30AE">
            <w:pPr>
              <w:spacing w:after="120"/>
              <w:rPr>
                <w:rFonts w:ascii="Arial" w:hAnsi="Arial" w:cs="Arial"/>
              </w:rPr>
            </w:pPr>
            <w:r w:rsidRPr="00165CE8">
              <w:rPr>
                <w:rFonts w:ascii="Arial" w:hAnsi="Arial" w:cs="Arial"/>
                <w:b/>
                <w:bCs/>
                <w:color w:val="000000"/>
              </w:rPr>
              <w:t>Are there bonus points associated with including V2G?</w:t>
            </w:r>
          </w:p>
        </w:tc>
        <w:tc>
          <w:tcPr>
            <w:tcW w:w="8654" w:type="dxa"/>
          </w:tcPr>
          <w:p w14:paraId="108FCBEB" w14:textId="4517B6AD" w:rsidR="00506EB6" w:rsidRDefault="00506EB6" w:rsidP="00BE30AE">
            <w:pPr>
              <w:spacing w:after="120"/>
              <w:rPr>
                <w:rFonts w:ascii="Arial" w:hAnsi="Arial" w:cs="Arial"/>
              </w:rPr>
            </w:pPr>
            <w:r w:rsidRPr="22E269BB">
              <w:rPr>
                <w:rFonts w:ascii="Arial" w:hAnsi="Arial" w:cs="Arial"/>
              </w:rPr>
              <w:t>There are no explicit bonus points in the Scoring Criteria (Section IV.F) associated with including V2G for a project. Projects will be evaluated holistically</w:t>
            </w:r>
            <w:r w:rsidR="2ADDD7E7" w:rsidRPr="22E269BB">
              <w:rPr>
                <w:rFonts w:ascii="Arial" w:hAnsi="Arial" w:cs="Arial"/>
              </w:rPr>
              <w:t>,</w:t>
            </w:r>
            <w:r w:rsidRPr="22E269BB">
              <w:rPr>
                <w:rFonts w:ascii="Arial" w:hAnsi="Arial" w:cs="Arial"/>
              </w:rPr>
              <w:t xml:space="preserve"> and inclusion of V2G could strengthen an application</w:t>
            </w:r>
            <w:r w:rsidR="001060FF" w:rsidRPr="22E269BB">
              <w:rPr>
                <w:rFonts w:ascii="Arial" w:hAnsi="Arial" w:cs="Arial"/>
              </w:rPr>
              <w:t xml:space="preserve"> by </w:t>
            </w:r>
            <w:r w:rsidR="009A1867" w:rsidRPr="22E269BB">
              <w:rPr>
                <w:rFonts w:ascii="Arial" w:hAnsi="Arial" w:cs="Arial"/>
              </w:rPr>
              <w:t>providing</w:t>
            </w:r>
            <w:r w:rsidR="001060FF" w:rsidRPr="22E269BB">
              <w:rPr>
                <w:rFonts w:ascii="Arial" w:hAnsi="Arial" w:cs="Arial"/>
              </w:rPr>
              <w:t xml:space="preserve"> additional benefits</w:t>
            </w:r>
            <w:r w:rsidRPr="22E269BB">
              <w:rPr>
                <w:rFonts w:ascii="Arial" w:hAnsi="Arial" w:cs="Arial"/>
              </w:rPr>
              <w:t xml:space="preserve">. Applicants are </w:t>
            </w:r>
            <w:r w:rsidRPr="22E269BB">
              <w:rPr>
                <w:rFonts w:ascii="Arial" w:hAnsi="Arial" w:cs="Arial"/>
              </w:rPr>
              <w:lastRenderedPageBreak/>
              <w:t xml:space="preserve">encouraged to articulate the rationale and advantages for including V2G in their project. </w:t>
            </w:r>
          </w:p>
        </w:tc>
      </w:tr>
      <w:tr w:rsidR="00506EB6" w14:paraId="314DE214" w14:textId="77777777" w:rsidTr="009D649D">
        <w:trPr>
          <w:trHeight w:val="300"/>
        </w:trPr>
        <w:tc>
          <w:tcPr>
            <w:tcW w:w="461" w:type="dxa"/>
          </w:tcPr>
          <w:p w14:paraId="5358D3FE" w14:textId="28E1EA6B" w:rsidR="00506EB6" w:rsidRDefault="004B0679" w:rsidP="00BE30AE">
            <w:pPr>
              <w:spacing w:after="120"/>
              <w:rPr>
                <w:rFonts w:ascii="Arial" w:hAnsi="Arial" w:cs="Arial"/>
              </w:rPr>
            </w:pPr>
            <w:r>
              <w:rPr>
                <w:rFonts w:ascii="Arial" w:hAnsi="Arial" w:cs="Arial"/>
              </w:rPr>
              <w:lastRenderedPageBreak/>
              <w:t>41</w:t>
            </w:r>
          </w:p>
        </w:tc>
        <w:tc>
          <w:tcPr>
            <w:tcW w:w="4560" w:type="dxa"/>
          </w:tcPr>
          <w:p w14:paraId="11C9A81E" w14:textId="5790959B" w:rsidR="00506EB6" w:rsidRDefault="00506EB6" w:rsidP="00BE30AE">
            <w:pPr>
              <w:spacing w:after="120"/>
              <w:rPr>
                <w:rFonts w:ascii="Arial" w:hAnsi="Arial" w:cs="Arial"/>
              </w:rPr>
            </w:pPr>
            <w:r w:rsidRPr="00165CE8">
              <w:rPr>
                <w:rFonts w:ascii="Arial" w:hAnsi="Arial" w:cs="Arial"/>
                <w:b/>
                <w:bCs/>
                <w:color w:val="000000"/>
              </w:rPr>
              <w:t>Do schools count as commercial customers?</w:t>
            </w:r>
          </w:p>
        </w:tc>
        <w:tc>
          <w:tcPr>
            <w:tcW w:w="8654" w:type="dxa"/>
          </w:tcPr>
          <w:p w14:paraId="00434F82" w14:textId="73E4102C" w:rsidR="00506EB6" w:rsidRDefault="00506EB6" w:rsidP="00BE30AE">
            <w:pPr>
              <w:spacing w:after="120"/>
              <w:rPr>
                <w:rFonts w:ascii="Arial" w:hAnsi="Arial" w:cs="Arial"/>
              </w:rPr>
            </w:pPr>
            <w:r>
              <w:rPr>
                <w:rFonts w:ascii="Arial" w:hAnsi="Arial" w:cs="Arial"/>
              </w:rPr>
              <w:t>Yes, s</w:t>
            </w:r>
            <w:r w:rsidRPr="00165CE8">
              <w:rPr>
                <w:rFonts w:ascii="Arial" w:hAnsi="Arial" w:cs="Arial"/>
              </w:rPr>
              <w:t>chools are considered commercial customers.</w:t>
            </w:r>
          </w:p>
        </w:tc>
      </w:tr>
      <w:tr w:rsidR="00506EB6" w14:paraId="1A9E5AF1" w14:textId="77777777" w:rsidTr="009D649D">
        <w:trPr>
          <w:trHeight w:val="300"/>
        </w:trPr>
        <w:tc>
          <w:tcPr>
            <w:tcW w:w="461" w:type="dxa"/>
          </w:tcPr>
          <w:p w14:paraId="033B7A83" w14:textId="0624F0A5" w:rsidR="00506EB6" w:rsidRDefault="004B0679" w:rsidP="00BE30AE">
            <w:pPr>
              <w:spacing w:after="120"/>
              <w:rPr>
                <w:rFonts w:ascii="Arial" w:hAnsi="Arial" w:cs="Arial"/>
              </w:rPr>
            </w:pPr>
            <w:r>
              <w:rPr>
                <w:rFonts w:ascii="Arial" w:hAnsi="Arial" w:cs="Arial"/>
              </w:rPr>
              <w:t>42</w:t>
            </w:r>
          </w:p>
        </w:tc>
        <w:tc>
          <w:tcPr>
            <w:tcW w:w="4560" w:type="dxa"/>
          </w:tcPr>
          <w:p w14:paraId="1BD79AEE" w14:textId="09D8856D" w:rsidR="00506EB6" w:rsidRPr="00165CE8" w:rsidRDefault="00506EB6" w:rsidP="00BE30AE">
            <w:pPr>
              <w:spacing w:after="120"/>
              <w:rPr>
                <w:rFonts w:ascii="Arial" w:hAnsi="Arial" w:cs="Arial"/>
                <w:b/>
                <w:bCs/>
                <w:color w:val="000000"/>
              </w:rPr>
            </w:pPr>
            <w:r w:rsidRPr="000E325B">
              <w:rPr>
                <w:rFonts w:ascii="Arial" w:hAnsi="Arial" w:cs="Arial"/>
                <w:b/>
                <w:bCs/>
              </w:rPr>
              <w:t>Can the CEC go into more detail on their technology readiness requirement and what this means for the applicant?</w:t>
            </w:r>
          </w:p>
        </w:tc>
        <w:tc>
          <w:tcPr>
            <w:tcW w:w="8654" w:type="dxa"/>
          </w:tcPr>
          <w:p w14:paraId="395F5DCD" w14:textId="7630D78E" w:rsidR="00506EB6" w:rsidRDefault="00506EB6" w:rsidP="00BE30AE">
            <w:pPr>
              <w:spacing w:after="120"/>
              <w:rPr>
                <w:rFonts w:ascii="Arial" w:hAnsi="Arial" w:cs="Arial"/>
              </w:rPr>
            </w:pPr>
            <w:r w:rsidRPr="00E6058E">
              <w:rPr>
                <w:rFonts w:ascii="Arial" w:eastAsia="Times New Roman" w:hAnsi="Arial" w:cs="Arial"/>
              </w:rPr>
              <w:t xml:space="preserve">As indicated in Key Words/Terms </w:t>
            </w:r>
            <w:r>
              <w:rPr>
                <w:rFonts w:ascii="Arial" w:eastAsia="Times New Roman" w:hAnsi="Arial" w:cs="Arial"/>
              </w:rPr>
              <w:t>s</w:t>
            </w:r>
            <w:r w:rsidRPr="00E6058E">
              <w:rPr>
                <w:rFonts w:ascii="Arial" w:eastAsia="Times New Roman" w:hAnsi="Arial" w:cs="Arial"/>
              </w:rPr>
              <w:t xml:space="preserve">ection of the </w:t>
            </w:r>
            <w:r>
              <w:rPr>
                <w:rFonts w:ascii="Arial" w:eastAsia="Times New Roman" w:hAnsi="Arial" w:cs="Arial"/>
              </w:rPr>
              <w:t>S</w:t>
            </w:r>
            <w:r w:rsidRPr="00E6058E">
              <w:rPr>
                <w:rFonts w:ascii="Arial" w:eastAsia="Times New Roman" w:hAnsi="Arial" w:cs="Arial"/>
              </w:rPr>
              <w:t xml:space="preserve">olicitation </w:t>
            </w:r>
            <w:r>
              <w:rPr>
                <w:rFonts w:ascii="Arial" w:eastAsia="Times New Roman" w:hAnsi="Arial" w:cs="Arial"/>
              </w:rPr>
              <w:t>M</w:t>
            </w:r>
            <w:r w:rsidRPr="00E6058E">
              <w:rPr>
                <w:rFonts w:ascii="Arial" w:eastAsia="Times New Roman" w:hAnsi="Arial" w:cs="Arial"/>
              </w:rPr>
              <w:t xml:space="preserve">anual, </w:t>
            </w:r>
            <w:r>
              <w:rPr>
                <w:rFonts w:ascii="Arial" w:eastAsia="Times New Roman" w:hAnsi="Arial" w:cs="Arial"/>
              </w:rPr>
              <w:t>t</w:t>
            </w:r>
            <w:r w:rsidRPr="00E6058E">
              <w:rPr>
                <w:rFonts w:ascii="Arial" w:eastAsia="Times New Roman" w:hAnsi="Arial" w:cs="Arial"/>
              </w:rPr>
              <w:t>echnology readiness levels are a method for estimating the maturity of technologies during the acquisition phase of a program. Definitions of TRL levels can be found at the U.S. Department of Energy website: “</w:t>
            </w:r>
            <w:hyperlink r:id="rId9" w:history="1">
              <w:r w:rsidRPr="00BA0DF8">
                <w:rPr>
                  <w:rStyle w:val="Hyperlink"/>
                  <w:rFonts w:ascii="Arial" w:eastAsia="Times New Roman" w:hAnsi="Arial" w:cs="Arial"/>
                </w:rPr>
                <w:t>Technology Readiness Assessment Guide</w:t>
              </w:r>
            </w:hyperlink>
            <w:r w:rsidRPr="00E6058E">
              <w:rPr>
                <w:rFonts w:ascii="Arial" w:eastAsia="Times New Roman" w:hAnsi="Arial" w:cs="Arial"/>
              </w:rPr>
              <w:t>”.</w:t>
            </w:r>
          </w:p>
        </w:tc>
      </w:tr>
    </w:tbl>
    <w:p w14:paraId="0ABDB794" w14:textId="77777777" w:rsidR="00F058ED" w:rsidRDefault="00F058ED" w:rsidP="00BE30AE">
      <w:pPr>
        <w:spacing w:after="120"/>
        <w:rPr>
          <w:rFonts w:ascii="Arial" w:hAnsi="Arial" w:cs="Arial"/>
        </w:rPr>
      </w:pPr>
    </w:p>
    <w:p w14:paraId="150FE2CD" w14:textId="487CF668" w:rsidR="00FA2D1C" w:rsidRPr="00B5453B" w:rsidRDefault="00FA2D1C" w:rsidP="00BE30AE">
      <w:pPr>
        <w:pStyle w:val="Heading1"/>
        <w:spacing w:before="0" w:after="120"/>
        <w:jc w:val="center"/>
        <w:rPr>
          <w:rFonts w:ascii="Arial" w:hAnsi="Arial" w:cs="Arial"/>
          <w:b/>
          <w:sz w:val="24"/>
          <w:szCs w:val="24"/>
          <w:u w:val="single"/>
        </w:rPr>
      </w:pPr>
      <w:r>
        <w:rPr>
          <w:rFonts w:ascii="Arial" w:hAnsi="Arial" w:cs="Arial"/>
          <w:b/>
          <w:bCs/>
          <w:color w:val="auto"/>
          <w:sz w:val="24"/>
          <w:szCs w:val="24"/>
          <w:u w:val="single"/>
        </w:rPr>
        <w:t>Funding/Eligible Costs/Match</w:t>
      </w:r>
      <w:r w:rsidRPr="00270A3C">
        <w:rPr>
          <w:rFonts w:ascii="Arial" w:hAnsi="Arial" w:cs="Arial"/>
          <w:b/>
          <w:bCs/>
          <w:color w:val="auto"/>
          <w:sz w:val="24"/>
          <w:szCs w:val="24"/>
          <w:u w:val="single"/>
        </w:rPr>
        <w:t xml:space="preserve"> Questions </w:t>
      </w:r>
    </w:p>
    <w:tbl>
      <w:tblPr>
        <w:tblStyle w:val="TableGrid"/>
        <w:tblW w:w="13675" w:type="dxa"/>
        <w:tblLook w:val="04A0" w:firstRow="1" w:lastRow="0" w:firstColumn="1" w:lastColumn="0" w:noHBand="0" w:noVBand="1"/>
      </w:tblPr>
      <w:tblGrid>
        <w:gridCol w:w="461"/>
        <w:gridCol w:w="4494"/>
        <w:gridCol w:w="8720"/>
      </w:tblGrid>
      <w:tr w:rsidR="00E147B4" w14:paraId="36466E38" w14:textId="77777777" w:rsidTr="22E269BB">
        <w:tc>
          <w:tcPr>
            <w:tcW w:w="461" w:type="dxa"/>
          </w:tcPr>
          <w:p w14:paraId="2A2613E9" w14:textId="38775C53" w:rsidR="00E147B4" w:rsidRDefault="004B0679" w:rsidP="00BE30AE">
            <w:pPr>
              <w:spacing w:after="120"/>
              <w:rPr>
                <w:rFonts w:ascii="Arial" w:hAnsi="Arial" w:cs="Arial"/>
              </w:rPr>
            </w:pPr>
            <w:r>
              <w:rPr>
                <w:rFonts w:ascii="Arial" w:hAnsi="Arial" w:cs="Arial"/>
              </w:rPr>
              <w:t>43</w:t>
            </w:r>
          </w:p>
        </w:tc>
        <w:tc>
          <w:tcPr>
            <w:tcW w:w="4494" w:type="dxa"/>
          </w:tcPr>
          <w:p w14:paraId="11D689EB" w14:textId="1E690A61" w:rsidR="00E147B4" w:rsidRPr="00165CE8" w:rsidRDefault="00E147B4" w:rsidP="00BE30AE">
            <w:pPr>
              <w:spacing w:after="120"/>
              <w:rPr>
                <w:rFonts w:ascii="Arial" w:hAnsi="Arial" w:cs="Arial"/>
                <w:b/>
                <w:bCs/>
                <w:color w:val="000000"/>
              </w:rPr>
            </w:pPr>
            <w:r w:rsidRPr="00165CE8">
              <w:rPr>
                <w:rFonts w:ascii="Arial" w:hAnsi="Arial" w:cs="Arial"/>
                <w:b/>
                <w:bCs/>
                <w:color w:val="000000"/>
              </w:rPr>
              <w:t>What is the budget for each Group, and what is the expected number of awards for this funding opportunity?</w:t>
            </w:r>
          </w:p>
        </w:tc>
        <w:tc>
          <w:tcPr>
            <w:tcW w:w="8720" w:type="dxa"/>
          </w:tcPr>
          <w:p w14:paraId="6E75BFA7" w14:textId="277963E6" w:rsidR="00E147B4" w:rsidRDefault="00E147B4" w:rsidP="00BE30AE">
            <w:pPr>
              <w:spacing w:after="120"/>
              <w:rPr>
                <w:rFonts w:ascii="Arial" w:hAnsi="Arial" w:cs="Arial"/>
              </w:rPr>
            </w:pPr>
            <w:r w:rsidRPr="00165CE8">
              <w:rPr>
                <w:rFonts w:ascii="Arial" w:hAnsi="Arial" w:cs="Arial"/>
              </w:rPr>
              <w:t>Please review Amount Available and Minimum/Maximum Funding Amounts (Section I.D.1</w:t>
            </w:r>
            <w:r w:rsidR="004F23E6">
              <w:rPr>
                <w:rFonts w:ascii="Arial" w:hAnsi="Arial" w:cs="Arial"/>
              </w:rPr>
              <w:t xml:space="preserve"> of the Solicitation Manual</w:t>
            </w:r>
            <w:r w:rsidRPr="00165CE8">
              <w:rPr>
                <w:rFonts w:ascii="Arial" w:hAnsi="Arial" w:cs="Arial"/>
              </w:rPr>
              <w:t>). About 2-3 awards for Group 1, 2-4 awards for Group 2, and 2-4 awards for Group 3 are anticipated.</w:t>
            </w:r>
          </w:p>
        </w:tc>
      </w:tr>
      <w:tr w:rsidR="003939D5" w14:paraId="4BE03EB9" w14:textId="77777777" w:rsidTr="22E269BB">
        <w:tc>
          <w:tcPr>
            <w:tcW w:w="461" w:type="dxa"/>
          </w:tcPr>
          <w:p w14:paraId="401BCC36" w14:textId="51CE150C" w:rsidR="003939D5" w:rsidRDefault="004B0679" w:rsidP="00BE30AE">
            <w:pPr>
              <w:spacing w:after="120"/>
              <w:rPr>
                <w:rFonts w:ascii="Arial" w:hAnsi="Arial" w:cs="Arial"/>
              </w:rPr>
            </w:pPr>
            <w:r>
              <w:rPr>
                <w:rFonts w:ascii="Arial" w:hAnsi="Arial" w:cs="Arial"/>
              </w:rPr>
              <w:t>44</w:t>
            </w:r>
          </w:p>
        </w:tc>
        <w:tc>
          <w:tcPr>
            <w:tcW w:w="4494" w:type="dxa"/>
          </w:tcPr>
          <w:p w14:paraId="05761195" w14:textId="40FB3369" w:rsidR="003939D5" w:rsidRPr="00165CE8" w:rsidRDefault="003939D5" w:rsidP="00BE30AE">
            <w:pPr>
              <w:spacing w:after="120"/>
              <w:rPr>
                <w:rFonts w:ascii="Arial" w:hAnsi="Arial" w:cs="Arial"/>
                <w:b/>
                <w:bCs/>
                <w:color w:val="000000"/>
              </w:rPr>
            </w:pPr>
            <w:r w:rsidRPr="00165CE8">
              <w:rPr>
                <w:rFonts w:ascii="Arial" w:eastAsia="Times New Roman" w:hAnsi="Arial" w:cs="Arial"/>
                <w:b/>
                <w:bCs/>
              </w:rPr>
              <w:t>Can the CEC increase the funding level for Group 2?</w:t>
            </w:r>
          </w:p>
        </w:tc>
        <w:tc>
          <w:tcPr>
            <w:tcW w:w="8720" w:type="dxa"/>
          </w:tcPr>
          <w:p w14:paraId="1D8D2C11" w14:textId="2D64050A" w:rsidR="003939D5" w:rsidRPr="00165CE8" w:rsidRDefault="003939D5" w:rsidP="00BE30AE">
            <w:pPr>
              <w:spacing w:after="120"/>
              <w:rPr>
                <w:rFonts w:ascii="Arial" w:hAnsi="Arial" w:cs="Arial"/>
              </w:rPr>
            </w:pPr>
            <w:r>
              <w:rPr>
                <w:rFonts w:ascii="Arial" w:hAnsi="Arial" w:cs="Arial"/>
                <w:bCs/>
              </w:rPr>
              <w:t>The funding level for Group 2 will not be increased. The funding amount is comparable to other grant awards in this space. Supplementing with match funds is encouraged if the maximum CEC award amount is not sufficient to cover an applicant’s project scope.</w:t>
            </w:r>
          </w:p>
        </w:tc>
      </w:tr>
      <w:tr w:rsidR="00BF5D8D" w14:paraId="58EF7786" w14:textId="77777777" w:rsidTr="22E269BB">
        <w:tc>
          <w:tcPr>
            <w:tcW w:w="461" w:type="dxa"/>
          </w:tcPr>
          <w:p w14:paraId="42F95DD7" w14:textId="4EAA93EA" w:rsidR="00BF5D8D" w:rsidRDefault="004B0679" w:rsidP="00BE30AE">
            <w:pPr>
              <w:spacing w:after="120"/>
              <w:rPr>
                <w:rFonts w:ascii="Arial" w:hAnsi="Arial" w:cs="Arial"/>
              </w:rPr>
            </w:pPr>
            <w:r>
              <w:rPr>
                <w:rFonts w:ascii="Arial" w:hAnsi="Arial" w:cs="Arial"/>
              </w:rPr>
              <w:t>45</w:t>
            </w:r>
          </w:p>
        </w:tc>
        <w:tc>
          <w:tcPr>
            <w:tcW w:w="4494" w:type="dxa"/>
          </w:tcPr>
          <w:p w14:paraId="7391CA28" w14:textId="5234EFEB" w:rsidR="00BF5D8D" w:rsidRPr="00165CE8" w:rsidRDefault="00BF5D8D" w:rsidP="00BE30AE">
            <w:pPr>
              <w:spacing w:after="120"/>
              <w:rPr>
                <w:rFonts w:ascii="Arial" w:eastAsia="Times New Roman" w:hAnsi="Arial" w:cs="Arial"/>
                <w:b/>
                <w:bCs/>
              </w:rPr>
            </w:pPr>
            <w:r w:rsidRPr="00850FD9">
              <w:rPr>
                <w:rFonts w:ascii="Arial" w:eastAsia="Times New Roman" w:hAnsi="Arial" w:cs="Arial"/>
                <w:b/>
                <w:bCs/>
              </w:rPr>
              <w:t>What types of equipment and project costs are eligible for funding?</w:t>
            </w:r>
            <w:r>
              <w:rPr>
                <w:rFonts w:ascii="Arial" w:eastAsia="Times New Roman" w:hAnsi="Arial" w:cs="Arial"/>
                <w:b/>
                <w:bCs/>
              </w:rPr>
              <w:t xml:space="preserve"> </w:t>
            </w:r>
          </w:p>
        </w:tc>
        <w:tc>
          <w:tcPr>
            <w:tcW w:w="8720" w:type="dxa"/>
          </w:tcPr>
          <w:p w14:paraId="264E51F3" w14:textId="3B2F3AC4" w:rsidR="00BF5D8D" w:rsidRPr="00D07F4F" w:rsidRDefault="00BF5D8D" w:rsidP="00BE30AE">
            <w:pPr>
              <w:spacing w:after="120"/>
              <w:rPr>
                <w:rFonts w:ascii="Arial" w:eastAsia="Times New Roman" w:hAnsi="Arial" w:cs="Arial"/>
              </w:rPr>
            </w:pPr>
            <w:r w:rsidRPr="00D07F4F">
              <w:rPr>
                <w:rFonts w:ascii="Arial" w:eastAsia="Times New Roman" w:hAnsi="Arial" w:cs="Arial"/>
              </w:rPr>
              <w:t>Applicants should list all direct labor</w:t>
            </w:r>
            <w:r>
              <w:rPr>
                <w:rFonts w:ascii="Arial" w:eastAsia="Times New Roman" w:hAnsi="Arial" w:cs="Arial"/>
              </w:rPr>
              <w:t>,</w:t>
            </w:r>
            <w:r w:rsidRPr="00D07F4F">
              <w:rPr>
                <w:rFonts w:ascii="Arial" w:eastAsia="Times New Roman" w:hAnsi="Arial" w:cs="Arial"/>
              </w:rPr>
              <w:t xml:space="preserve"> fringe benefit</w:t>
            </w:r>
            <w:r>
              <w:rPr>
                <w:rFonts w:ascii="Arial" w:eastAsia="Times New Roman" w:hAnsi="Arial" w:cs="Arial"/>
              </w:rPr>
              <w:t>s</w:t>
            </w:r>
            <w:r w:rsidRPr="00D07F4F">
              <w:rPr>
                <w:rFonts w:ascii="Arial" w:eastAsia="Times New Roman" w:hAnsi="Arial" w:cs="Arial"/>
              </w:rPr>
              <w:t>,</w:t>
            </w:r>
            <w:r>
              <w:rPr>
                <w:rFonts w:ascii="Arial" w:eastAsia="Times New Roman" w:hAnsi="Arial" w:cs="Arial"/>
              </w:rPr>
              <w:t xml:space="preserve"> </w:t>
            </w:r>
            <w:r w:rsidRPr="00D07F4F">
              <w:rPr>
                <w:rFonts w:ascii="Arial" w:eastAsia="Times New Roman" w:hAnsi="Arial" w:cs="Arial"/>
              </w:rPr>
              <w:t xml:space="preserve">equipment, materials, </w:t>
            </w:r>
            <w:r>
              <w:rPr>
                <w:rFonts w:ascii="Arial" w:eastAsia="Times New Roman" w:hAnsi="Arial" w:cs="Arial"/>
              </w:rPr>
              <w:t>travel,</w:t>
            </w:r>
            <w:r w:rsidRPr="00D07F4F">
              <w:rPr>
                <w:rFonts w:ascii="Arial" w:eastAsia="Times New Roman" w:hAnsi="Arial" w:cs="Arial"/>
              </w:rPr>
              <w:t xml:space="preserve"> subrecipient and vendor costs, and indirect costs </w:t>
            </w:r>
            <w:r>
              <w:rPr>
                <w:rFonts w:ascii="Arial" w:eastAsia="Times New Roman" w:hAnsi="Arial" w:cs="Arial"/>
              </w:rPr>
              <w:t>in the template budget (Attachment 6). Please review Section III.C.6 for more details on eligible costs and guidance on budget categories. All costs in the budget must be directly</w:t>
            </w:r>
            <w:r w:rsidRPr="00D07F4F">
              <w:rPr>
                <w:rFonts w:ascii="Arial" w:eastAsia="Times New Roman" w:hAnsi="Arial" w:cs="Arial"/>
              </w:rPr>
              <w:t xml:space="preserve"> related to the project and necessary to accomplish tasks in the Scope of Work. </w:t>
            </w:r>
          </w:p>
          <w:p w14:paraId="25AAAB6C" w14:textId="77777777" w:rsidR="00BF5D8D" w:rsidRPr="00D07F4F" w:rsidRDefault="00BF5D8D" w:rsidP="00BE30AE">
            <w:pPr>
              <w:spacing w:after="120"/>
              <w:rPr>
                <w:rFonts w:ascii="Arial" w:eastAsia="Times New Roman" w:hAnsi="Arial" w:cs="Arial"/>
              </w:rPr>
            </w:pPr>
          </w:p>
          <w:p w14:paraId="3B05648E" w14:textId="188E93FC" w:rsidR="00BF5D8D" w:rsidRDefault="00BF5D8D" w:rsidP="00BE30AE">
            <w:pPr>
              <w:spacing w:after="120"/>
              <w:rPr>
                <w:rFonts w:ascii="Arial" w:hAnsi="Arial" w:cs="Arial"/>
                <w:bCs/>
              </w:rPr>
            </w:pPr>
            <w:r w:rsidRPr="00275F2C">
              <w:rPr>
                <w:rFonts w:ascii="Arial" w:hAnsi="Arial" w:cs="Arial"/>
              </w:rPr>
              <w:t xml:space="preserve">EPIC funds cannot be used to purchase or lease PEVs for the proposed project. Applicants may use match funds to purchase or lease PEVs (See </w:t>
            </w:r>
            <w:r w:rsidR="004F23E6">
              <w:rPr>
                <w:rFonts w:ascii="Arial" w:hAnsi="Arial" w:cs="Arial"/>
              </w:rPr>
              <w:t>S</w:t>
            </w:r>
            <w:r w:rsidRPr="00275F2C">
              <w:rPr>
                <w:rFonts w:ascii="Arial" w:hAnsi="Arial" w:cs="Arial"/>
              </w:rPr>
              <w:t xml:space="preserve">ection I.K </w:t>
            </w:r>
            <w:r w:rsidR="004F23E6">
              <w:rPr>
                <w:rFonts w:ascii="Arial" w:hAnsi="Arial" w:cs="Arial"/>
              </w:rPr>
              <w:t xml:space="preserve">of the Solicitation Manual </w:t>
            </w:r>
            <w:r w:rsidRPr="00275F2C">
              <w:rPr>
                <w:rFonts w:ascii="Arial" w:hAnsi="Arial" w:cs="Arial"/>
              </w:rPr>
              <w:t>for more information on Match Funds).</w:t>
            </w:r>
          </w:p>
        </w:tc>
      </w:tr>
      <w:tr w:rsidR="00BF5D8D" w14:paraId="592ADA43" w14:textId="77777777" w:rsidTr="22E269BB">
        <w:tc>
          <w:tcPr>
            <w:tcW w:w="461" w:type="dxa"/>
          </w:tcPr>
          <w:p w14:paraId="185B0A88" w14:textId="3F23EEE3" w:rsidR="00BF5D8D" w:rsidRDefault="004B0679" w:rsidP="00BE30AE">
            <w:pPr>
              <w:spacing w:after="120"/>
              <w:rPr>
                <w:rFonts w:ascii="Arial" w:hAnsi="Arial" w:cs="Arial"/>
              </w:rPr>
            </w:pPr>
            <w:r>
              <w:rPr>
                <w:rFonts w:ascii="Arial" w:hAnsi="Arial" w:cs="Arial"/>
              </w:rPr>
              <w:t>46</w:t>
            </w:r>
          </w:p>
        </w:tc>
        <w:tc>
          <w:tcPr>
            <w:tcW w:w="4494" w:type="dxa"/>
          </w:tcPr>
          <w:p w14:paraId="77AFC8C9" w14:textId="7430B21B" w:rsidR="00BF5D8D" w:rsidRPr="00165CE8" w:rsidRDefault="00BF5D8D" w:rsidP="00BE30AE">
            <w:pPr>
              <w:spacing w:after="120"/>
              <w:rPr>
                <w:rFonts w:ascii="Arial" w:eastAsia="Times New Roman" w:hAnsi="Arial" w:cs="Arial"/>
                <w:b/>
                <w:bCs/>
              </w:rPr>
            </w:pPr>
            <w:r w:rsidRPr="00725905">
              <w:rPr>
                <w:rFonts w:ascii="Arial" w:hAnsi="Arial" w:cs="Arial"/>
                <w:b/>
                <w:bCs/>
                <w:color w:val="000000"/>
              </w:rPr>
              <w:t>Are ‘soft’ costs like direct labor, outreach, and engagement considered eligible costs?</w:t>
            </w:r>
            <w:r>
              <w:rPr>
                <w:rFonts w:ascii="Arial" w:hAnsi="Arial" w:cs="Arial"/>
                <w:b/>
                <w:bCs/>
                <w:color w:val="000000"/>
              </w:rPr>
              <w:t xml:space="preserve"> </w:t>
            </w:r>
          </w:p>
        </w:tc>
        <w:tc>
          <w:tcPr>
            <w:tcW w:w="8720" w:type="dxa"/>
          </w:tcPr>
          <w:p w14:paraId="2DB6CEDE" w14:textId="6D5ADDC5" w:rsidR="00BF5D8D" w:rsidRDefault="00BF5D8D" w:rsidP="00BE30AE">
            <w:pPr>
              <w:spacing w:after="120"/>
              <w:rPr>
                <w:rFonts w:ascii="Arial" w:hAnsi="Arial" w:cs="Arial"/>
                <w:bCs/>
              </w:rPr>
            </w:pPr>
            <w:r>
              <w:rPr>
                <w:rFonts w:ascii="Arial" w:hAnsi="Arial" w:cs="Arial"/>
              </w:rPr>
              <w:t xml:space="preserve">Yes, eligible costs include all direct labor, outreach, and engagement </w:t>
            </w:r>
            <w:r>
              <w:rPr>
                <w:rFonts w:ascii="Arial" w:eastAsia="Times New Roman" w:hAnsi="Arial" w:cs="Arial"/>
              </w:rPr>
              <w:t>directly</w:t>
            </w:r>
            <w:r w:rsidRPr="00D07F4F">
              <w:rPr>
                <w:rFonts w:ascii="Arial" w:eastAsia="Times New Roman" w:hAnsi="Arial" w:cs="Arial"/>
              </w:rPr>
              <w:t xml:space="preserve"> related to the project and necessary to accomplish tasks in the Scope of Work.</w:t>
            </w:r>
          </w:p>
        </w:tc>
      </w:tr>
      <w:tr w:rsidR="00BF5D8D" w14:paraId="437BC6C1" w14:textId="77777777" w:rsidTr="22E269BB">
        <w:tc>
          <w:tcPr>
            <w:tcW w:w="461" w:type="dxa"/>
          </w:tcPr>
          <w:p w14:paraId="1A1AE081" w14:textId="0CFFCEE9" w:rsidR="00BF5D8D" w:rsidRDefault="004B0679" w:rsidP="00BE30AE">
            <w:pPr>
              <w:spacing w:after="120"/>
              <w:rPr>
                <w:rFonts w:ascii="Arial" w:hAnsi="Arial" w:cs="Arial"/>
              </w:rPr>
            </w:pPr>
            <w:r>
              <w:rPr>
                <w:rFonts w:ascii="Arial" w:hAnsi="Arial" w:cs="Arial"/>
              </w:rPr>
              <w:lastRenderedPageBreak/>
              <w:t>47</w:t>
            </w:r>
          </w:p>
        </w:tc>
        <w:tc>
          <w:tcPr>
            <w:tcW w:w="4494" w:type="dxa"/>
          </w:tcPr>
          <w:p w14:paraId="14237707" w14:textId="38FEFB9F" w:rsidR="00BF5D8D" w:rsidRPr="00165CE8" w:rsidRDefault="00BF5D8D" w:rsidP="00BE30AE">
            <w:pPr>
              <w:spacing w:after="120"/>
              <w:rPr>
                <w:rFonts w:ascii="Arial" w:eastAsia="Times New Roman" w:hAnsi="Arial" w:cs="Arial"/>
                <w:b/>
                <w:bCs/>
              </w:rPr>
            </w:pPr>
            <w:r w:rsidRPr="00C54BC9">
              <w:rPr>
                <w:rFonts w:ascii="Arial" w:hAnsi="Arial" w:cs="Arial"/>
                <w:b/>
                <w:bCs/>
              </w:rPr>
              <w:t>Will applicant-manufactured batteries for use in battery swapping stations be eligible for funding?</w:t>
            </w:r>
          </w:p>
        </w:tc>
        <w:tc>
          <w:tcPr>
            <w:tcW w:w="8720" w:type="dxa"/>
          </w:tcPr>
          <w:p w14:paraId="2F9A09EE" w14:textId="6026CC9D" w:rsidR="00BF5D8D" w:rsidRDefault="00BF5D8D" w:rsidP="00BE30AE">
            <w:pPr>
              <w:spacing w:after="120"/>
              <w:rPr>
                <w:rFonts w:ascii="Arial" w:hAnsi="Arial" w:cs="Arial"/>
                <w:bCs/>
              </w:rPr>
            </w:pPr>
            <w:r w:rsidRPr="00675C5F">
              <w:rPr>
                <w:rFonts w:ascii="Arial" w:eastAsia="Times New Roman" w:hAnsi="Arial" w:cs="Arial"/>
              </w:rPr>
              <w:t>CEC funds can be used to cover incremental costs associated with vehicle upgrades</w:t>
            </w:r>
            <w:r w:rsidR="001C1335">
              <w:rPr>
                <w:rFonts w:ascii="Arial" w:eastAsia="Times New Roman" w:hAnsi="Arial" w:cs="Arial"/>
              </w:rPr>
              <w:t xml:space="preserve">, including </w:t>
            </w:r>
            <w:r w:rsidR="006252E4">
              <w:rPr>
                <w:rFonts w:ascii="Arial" w:eastAsia="Times New Roman" w:hAnsi="Arial" w:cs="Arial"/>
              </w:rPr>
              <w:t>batteries suitable for swapping,</w:t>
            </w:r>
            <w:r w:rsidRPr="00675C5F">
              <w:rPr>
                <w:rFonts w:ascii="Arial" w:eastAsia="Times New Roman" w:hAnsi="Arial" w:cs="Arial"/>
              </w:rPr>
              <w:t xml:space="preserve"> needed to enable the project's core innovation and meet the solicitation requirements.</w:t>
            </w:r>
          </w:p>
        </w:tc>
      </w:tr>
      <w:tr w:rsidR="00BF5D8D" w14:paraId="0F97D7D4" w14:textId="77777777" w:rsidTr="22E269BB">
        <w:tc>
          <w:tcPr>
            <w:tcW w:w="461" w:type="dxa"/>
          </w:tcPr>
          <w:p w14:paraId="78081CA0" w14:textId="6A283631" w:rsidR="00BF5D8D" w:rsidRDefault="004B0679" w:rsidP="00BE30AE">
            <w:pPr>
              <w:spacing w:after="120"/>
              <w:rPr>
                <w:rFonts w:ascii="Arial" w:hAnsi="Arial" w:cs="Arial"/>
              </w:rPr>
            </w:pPr>
            <w:r>
              <w:rPr>
                <w:rFonts w:ascii="Arial" w:hAnsi="Arial" w:cs="Arial"/>
              </w:rPr>
              <w:t>48</w:t>
            </w:r>
          </w:p>
        </w:tc>
        <w:tc>
          <w:tcPr>
            <w:tcW w:w="4494" w:type="dxa"/>
          </w:tcPr>
          <w:p w14:paraId="6A3F26ED" w14:textId="1778510A" w:rsidR="00BF5D8D" w:rsidRPr="00165CE8" w:rsidRDefault="00BF5D8D" w:rsidP="00BE30AE">
            <w:pPr>
              <w:spacing w:after="120"/>
              <w:rPr>
                <w:rFonts w:ascii="Arial" w:hAnsi="Arial" w:cs="Arial"/>
                <w:b/>
                <w:bCs/>
                <w:color w:val="000000"/>
              </w:rPr>
            </w:pPr>
            <w:r w:rsidRPr="00165CE8">
              <w:rPr>
                <w:rFonts w:ascii="Arial" w:hAnsi="Arial" w:cs="Arial"/>
                <w:b/>
                <w:bCs/>
                <w:color w:val="000000"/>
              </w:rPr>
              <w:t>Is there a restriction on using CEC funds to purchase charging equipment from a state outside of California?</w:t>
            </w:r>
          </w:p>
        </w:tc>
        <w:tc>
          <w:tcPr>
            <w:tcW w:w="8720" w:type="dxa"/>
          </w:tcPr>
          <w:p w14:paraId="13C5353B" w14:textId="0A453F5B" w:rsidR="00BF5D8D" w:rsidRDefault="00BF5D8D" w:rsidP="00BE30AE">
            <w:pPr>
              <w:spacing w:after="120"/>
              <w:rPr>
                <w:rFonts w:ascii="Arial" w:hAnsi="Arial" w:cs="Arial"/>
              </w:rPr>
            </w:pPr>
            <w:r w:rsidRPr="00165CE8">
              <w:rPr>
                <w:rFonts w:ascii="Arial" w:hAnsi="Arial" w:cs="Arial"/>
              </w:rPr>
              <w:t xml:space="preserve">There is no restriction on using CEC funds to purchase charging equipment from an </w:t>
            </w:r>
            <w:r w:rsidRPr="1D2214BB">
              <w:rPr>
                <w:rFonts w:ascii="Arial" w:hAnsi="Arial" w:cs="Arial"/>
              </w:rPr>
              <w:t xml:space="preserve">out-of-state </w:t>
            </w:r>
            <w:r w:rsidRPr="00165CE8">
              <w:rPr>
                <w:rFonts w:ascii="Arial" w:hAnsi="Arial" w:cs="Arial"/>
              </w:rPr>
              <w:t>entity</w:t>
            </w:r>
            <w:r w:rsidR="00EF651A">
              <w:rPr>
                <w:rFonts w:ascii="Arial" w:hAnsi="Arial" w:cs="Arial"/>
              </w:rPr>
              <w:t>; however, the</w:t>
            </w:r>
            <w:r w:rsidR="00EB1C2E">
              <w:rPr>
                <w:rFonts w:ascii="Arial" w:hAnsi="Arial" w:cs="Arial"/>
              </w:rPr>
              <w:t xml:space="preserve">re is a preference for </w:t>
            </w:r>
            <w:r w:rsidR="00B175F1">
              <w:rPr>
                <w:rFonts w:ascii="Arial" w:hAnsi="Arial" w:cs="Arial"/>
              </w:rPr>
              <w:t xml:space="preserve">funds spent in California. </w:t>
            </w:r>
            <w:r w:rsidRPr="00165CE8">
              <w:rPr>
                <w:rFonts w:ascii="Arial" w:hAnsi="Arial" w:cs="Arial"/>
              </w:rPr>
              <w:t xml:space="preserve"> </w:t>
            </w:r>
            <w:r>
              <w:rPr>
                <w:rFonts w:ascii="Arial" w:hAnsi="Arial" w:cs="Arial"/>
              </w:rPr>
              <w:t>A</w:t>
            </w:r>
            <w:r w:rsidRPr="00165CE8">
              <w:rPr>
                <w:rFonts w:ascii="Arial" w:hAnsi="Arial" w:cs="Arial"/>
              </w:rPr>
              <w:t>pplicants</w:t>
            </w:r>
            <w:r w:rsidR="008E3145">
              <w:rPr>
                <w:rFonts w:ascii="Arial" w:hAnsi="Arial" w:cs="Arial"/>
              </w:rPr>
              <w:t xml:space="preserve"> </w:t>
            </w:r>
            <w:r w:rsidRPr="00165CE8">
              <w:rPr>
                <w:rFonts w:ascii="Arial" w:hAnsi="Arial" w:cs="Arial"/>
              </w:rPr>
              <w:t xml:space="preserve">are encouraged to review the Scoring Criteria (section IV.F) to see how funds spent in California affect </w:t>
            </w:r>
            <w:r>
              <w:rPr>
                <w:rFonts w:ascii="Arial" w:hAnsi="Arial" w:cs="Arial"/>
              </w:rPr>
              <w:t>application scoring</w:t>
            </w:r>
            <w:r w:rsidRPr="00165CE8">
              <w:rPr>
                <w:rFonts w:ascii="Arial" w:hAnsi="Arial" w:cs="Arial"/>
              </w:rPr>
              <w:t>.</w:t>
            </w:r>
          </w:p>
        </w:tc>
      </w:tr>
      <w:tr w:rsidR="00BF5D8D" w14:paraId="0132A105" w14:textId="77777777" w:rsidTr="22E269BB">
        <w:tc>
          <w:tcPr>
            <w:tcW w:w="461" w:type="dxa"/>
          </w:tcPr>
          <w:p w14:paraId="1338D193" w14:textId="67AE911C" w:rsidR="00BF5D8D" w:rsidRDefault="004B0679" w:rsidP="00BE30AE">
            <w:pPr>
              <w:spacing w:after="120"/>
              <w:rPr>
                <w:rFonts w:ascii="Arial" w:hAnsi="Arial" w:cs="Arial"/>
              </w:rPr>
            </w:pPr>
            <w:r>
              <w:rPr>
                <w:rFonts w:ascii="Arial" w:hAnsi="Arial" w:cs="Arial"/>
              </w:rPr>
              <w:t>49</w:t>
            </w:r>
          </w:p>
        </w:tc>
        <w:tc>
          <w:tcPr>
            <w:tcW w:w="4494" w:type="dxa"/>
          </w:tcPr>
          <w:p w14:paraId="05CCC0E8" w14:textId="6C7787AF" w:rsidR="00BF5D8D" w:rsidRPr="00165CE8" w:rsidRDefault="00BF5D8D" w:rsidP="00BE30AE">
            <w:pPr>
              <w:spacing w:after="120"/>
              <w:rPr>
                <w:rFonts w:ascii="Arial" w:hAnsi="Arial" w:cs="Arial"/>
                <w:b/>
                <w:bCs/>
                <w:color w:val="000000"/>
              </w:rPr>
            </w:pPr>
            <w:r w:rsidRPr="00B8690A">
              <w:rPr>
                <w:rFonts w:ascii="Arial" w:hAnsi="Arial" w:cs="Arial"/>
                <w:b/>
                <w:bCs/>
                <w:color w:val="000000"/>
              </w:rPr>
              <w:t>Can funding be used to purchase vehicles (for example, electric school buses) that will utilize the charging system?</w:t>
            </w:r>
          </w:p>
        </w:tc>
        <w:tc>
          <w:tcPr>
            <w:tcW w:w="8720" w:type="dxa"/>
          </w:tcPr>
          <w:p w14:paraId="1B114938" w14:textId="10D94A0B" w:rsidR="00BF5D8D" w:rsidRDefault="00BF5D8D" w:rsidP="00BE30AE">
            <w:pPr>
              <w:spacing w:after="120"/>
              <w:rPr>
                <w:rFonts w:ascii="Arial" w:hAnsi="Arial" w:cs="Arial"/>
              </w:rPr>
            </w:pPr>
            <w:r w:rsidRPr="005125ED">
              <w:rPr>
                <w:rFonts w:ascii="Arial" w:hAnsi="Arial" w:cs="Arial"/>
              </w:rPr>
              <w:t xml:space="preserve">EPIC funds cannot be used to purchase or lease </w:t>
            </w:r>
            <w:r>
              <w:rPr>
                <w:rFonts w:ascii="Arial" w:hAnsi="Arial" w:cs="Arial"/>
              </w:rPr>
              <w:t>electric vehicles</w:t>
            </w:r>
            <w:r w:rsidRPr="005125ED">
              <w:rPr>
                <w:rFonts w:ascii="Arial" w:hAnsi="Arial" w:cs="Arial"/>
              </w:rPr>
              <w:t xml:space="preserve"> for the proposed project. Applicants may use match funds to purchase or lease </w:t>
            </w:r>
            <w:r>
              <w:rPr>
                <w:rFonts w:ascii="Arial" w:hAnsi="Arial" w:cs="Arial"/>
              </w:rPr>
              <w:t>electric vehicles.</w:t>
            </w:r>
          </w:p>
        </w:tc>
      </w:tr>
      <w:tr w:rsidR="00BF5D8D" w14:paraId="1291C72C" w14:textId="77777777" w:rsidTr="22E269BB">
        <w:tc>
          <w:tcPr>
            <w:tcW w:w="461" w:type="dxa"/>
          </w:tcPr>
          <w:p w14:paraId="6CFAB874" w14:textId="65D7A3A1" w:rsidR="00BF5D8D" w:rsidRDefault="004B0679" w:rsidP="00BE30AE">
            <w:pPr>
              <w:spacing w:after="120"/>
              <w:rPr>
                <w:rFonts w:ascii="Arial" w:hAnsi="Arial" w:cs="Arial"/>
              </w:rPr>
            </w:pPr>
            <w:r>
              <w:rPr>
                <w:rFonts w:ascii="Arial" w:hAnsi="Arial" w:cs="Arial"/>
              </w:rPr>
              <w:t>50</w:t>
            </w:r>
          </w:p>
        </w:tc>
        <w:tc>
          <w:tcPr>
            <w:tcW w:w="4494" w:type="dxa"/>
          </w:tcPr>
          <w:p w14:paraId="69833984" w14:textId="1F93FCFF" w:rsidR="00BF5D8D" w:rsidRPr="00B8690A" w:rsidRDefault="00BF5D8D" w:rsidP="00BE30AE">
            <w:pPr>
              <w:spacing w:after="120"/>
              <w:rPr>
                <w:rFonts w:ascii="Arial" w:hAnsi="Arial" w:cs="Arial"/>
                <w:b/>
                <w:bCs/>
                <w:color w:val="000000"/>
              </w:rPr>
            </w:pPr>
            <w:r w:rsidRPr="00264708">
              <w:rPr>
                <w:rFonts w:ascii="Arial" w:eastAsia="Times New Roman" w:hAnsi="Arial" w:cs="Arial"/>
                <w:b/>
                <w:bCs/>
              </w:rPr>
              <w:t>For vehicles being adapted for battery swapping technology, can the cost of purchase of the vehicle be separate from the cost of integration of modular battery and adaptor plate?</w:t>
            </w:r>
          </w:p>
        </w:tc>
        <w:tc>
          <w:tcPr>
            <w:tcW w:w="8720" w:type="dxa"/>
          </w:tcPr>
          <w:p w14:paraId="6A427510" w14:textId="0C10648B" w:rsidR="00BF5D8D" w:rsidRPr="005125ED" w:rsidRDefault="00BF5D8D" w:rsidP="00BE30AE">
            <w:pPr>
              <w:spacing w:after="120"/>
              <w:rPr>
                <w:rFonts w:ascii="Arial" w:hAnsi="Arial" w:cs="Arial"/>
              </w:rPr>
            </w:pPr>
            <w:r>
              <w:rPr>
                <w:rFonts w:ascii="Arial" w:hAnsi="Arial" w:cs="Arial"/>
              </w:rPr>
              <w:t xml:space="preserve">Yes, the cost of the vehicle (not eligible for CEC funds) can be separate from the cost of integration of the modular battery and adaptor plate (eligible for CEC funds). </w:t>
            </w:r>
          </w:p>
        </w:tc>
      </w:tr>
      <w:tr w:rsidR="00BF5D8D" w14:paraId="5EA1A5A3" w14:textId="77777777" w:rsidTr="22E269BB">
        <w:tc>
          <w:tcPr>
            <w:tcW w:w="461" w:type="dxa"/>
          </w:tcPr>
          <w:p w14:paraId="40EA4803" w14:textId="2AFFA1D2" w:rsidR="00BF5D8D" w:rsidRDefault="004B0679" w:rsidP="00BE30AE">
            <w:pPr>
              <w:spacing w:after="120"/>
              <w:rPr>
                <w:rFonts w:ascii="Arial" w:hAnsi="Arial" w:cs="Arial"/>
              </w:rPr>
            </w:pPr>
            <w:r>
              <w:rPr>
                <w:rFonts w:ascii="Arial" w:hAnsi="Arial" w:cs="Arial"/>
              </w:rPr>
              <w:t>51</w:t>
            </w:r>
          </w:p>
        </w:tc>
        <w:tc>
          <w:tcPr>
            <w:tcW w:w="4494" w:type="dxa"/>
          </w:tcPr>
          <w:p w14:paraId="76D968B6" w14:textId="46EDD5EB" w:rsidR="00BF5D8D" w:rsidRPr="00B8690A" w:rsidRDefault="00BF5D8D" w:rsidP="00BE30AE">
            <w:pPr>
              <w:spacing w:after="120"/>
              <w:rPr>
                <w:rFonts w:ascii="Arial" w:hAnsi="Arial" w:cs="Arial"/>
                <w:b/>
                <w:bCs/>
                <w:color w:val="000000"/>
              </w:rPr>
            </w:pPr>
            <w:r w:rsidRPr="00396CC4">
              <w:rPr>
                <w:rFonts w:ascii="Arial" w:eastAsia="Times New Roman" w:hAnsi="Arial" w:cs="Arial"/>
                <w:b/>
                <w:bCs/>
              </w:rPr>
              <w:t>Are manufacturing costs for battery swapping stations eligible for funding?</w:t>
            </w:r>
          </w:p>
        </w:tc>
        <w:tc>
          <w:tcPr>
            <w:tcW w:w="8720" w:type="dxa"/>
          </w:tcPr>
          <w:p w14:paraId="0D931537" w14:textId="67164F40" w:rsidR="00BF5D8D" w:rsidRPr="005125ED" w:rsidRDefault="00AC1D00" w:rsidP="00BE30AE">
            <w:pPr>
              <w:spacing w:after="120"/>
              <w:rPr>
                <w:rFonts w:ascii="Arial" w:hAnsi="Arial" w:cs="Arial"/>
              </w:rPr>
            </w:pPr>
            <w:r>
              <w:rPr>
                <w:rFonts w:ascii="Arial" w:hAnsi="Arial" w:cs="Arial"/>
              </w:rPr>
              <w:t>Yes, m</w:t>
            </w:r>
            <w:r w:rsidR="00BF5D8D">
              <w:rPr>
                <w:rFonts w:ascii="Arial" w:hAnsi="Arial" w:cs="Arial"/>
              </w:rPr>
              <w:t>anufacturing costs are eligible for funding.</w:t>
            </w:r>
          </w:p>
        </w:tc>
      </w:tr>
      <w:tr w:rsidR="00BF5D8D" w14:paraId="56648F8D" w14:textId="77777777" w:rsidTr="22E269BB">
        <w:tc>
          <w:tcPr>
            <w:tcW w:w="461" w:type="dxa"/>
          </w:tcPr>
          <w:p w14:paraId="571A652C" w14:textId="27725DEE" w:rsidR="00BF5D8D" w:rsidRDefault="00166D3C" w:rsidP="00BE30AE">
            <w:pPr>
              <w:spacing w:after="120"/>
              <w:rPr>
                <w:rFonts w:ascii="Arial" w:hAnsi="Arial" w:cs="Arial"/>
              </w:rPr>
            </w:pPr>
            <w:r>
              <w:rPr>
                <w:rFonts w:ascii="Arial" w:hAnsi="Arial" w:cs="Arial"/>
              </w:rPr>
              <w:t>52</w:t>
            </w:r>
          </w:p>
        </w:tc>
        <w:tc>
          <w:tcPr>
            <w:tcW w:w="4494" w:type="dxa"/>
          </w:tcPr>
          <w:p w14:paraId="2AA83602" w14:textId="39300215" w:rsidR="00BF5D8D" w:rsidRPr="00165CE8" w:rsidRDefault="00BF5D8D" w:rsidP="00BE30AE">
            <w:pPr>
              <w:spacing w:after="120"/>
              <w:rPr>
                <w:rFonts w:ascii="Arial" w:hAnsi="Arial" w:cs="Arial"/>
                <w:b/>
                <w:bCs/>
                <w:color w:val="000000"/>
              </w:rPr>
            </w:pPr>
            <w:r w:rsidRPr="00F10748">
              <w:rPr>
                <w:rFonts w:ascii="Arial" w:hAnsi="Arial" w:cs="Arial"/>
                <w:b/>
                <w:bCs/>
                <w:color w:val="000000"/>
              </w:rPr>
              <w:t xml:space="preserve">From an equity/CBO perspective, can you confirm that the primary “requirement” is partnering with a CBO? And if we go the extra step of locating the project in a disadvantaged community (DAC)/low-income community (LIC)/Tribal area, then the match requirement falls from 25% to 10%? </w:t>
            </w:r>
            <w:r>
              <w:rPr>
                <w:rFonts w:ascii="Arial" w:hAnsi="Arial" w:cs="Arial"/>
                <w:b/>
                <w:bCs/>
                <w:color w:val="000000"/>
              </w:rPr>
              <w:t>C</w:t>
            </w:r>
            <w:r w:rsidRPr="00F10748">
              <w:rPr>
                <w:rFonts w:ascii="Arial" w:hAnsi="Arial" w:cs="Arial"/>
                <w:b/>
                <w:bCs/>
                <w:color w:val="000000"/>
              </w:rPr>
              <w:t xml:space="preserve">larifying because on page 19 of the </w:t>
            </w:r>
            <w:r>
              <w:rPr>
                <w:rFonts w:ascii="Arial" w:hAnsi="Arial" w:cs="Arial"/>
                <w:b/>
                <w:bCs/>
                <w:color w:val="000000"/>
              </w:rPr>
              <w:t>S</w:t>
            </w:r>
            <w:r w:rsidRPr="00F10748">
              <w:rPr>
                <w:rFonts w:ascii="Arial" w:hAnsi="Arial" w:cs="Arial"/>
                <w:b/>
                <w:bCs/>
                <w:color w:val="000000"/>
              </w:rPr>
              <w:t xml:space="preserve">olicitation </w:t>
            </w:r>
            <w:r>
              <w:rPr>
                <w:rFonts w:ascii="Arial" w:hAnsi="Arial" w:cs="Arial"/>
                <w:b/>
                <w:bCs/>
                <w:color w:val="000000"/>
              </w:rPr>
              <w:t>M</w:t>
            </w:r>
            <w:r w:rsidRPr="00F10748">
              <w:rPr>
                <w:rFonts w:ascii="Arial" w:hAnsi="Arial" w:cs="Arial"/>
                <w:b/>
                <w:bCs/>
                <w:color w:val="000000"/>
              </w:rPr>
              <w:t>anual, it says that EPIC requires 25% of funding to be located in DACs plus additional 10% in LICs.</w:t>
            </w:r>
          </w:p>
        </w:tc>
        <w:tc>
          <w:tcPr>
            <w:tcW w:w="8720" w:type="dxa"/>
          </w:tcPr>
          <w:p w14:paraId="66F2E9BC" w14:textId="2D94BC60" w:rsidR="00BF5D8D" w:rsidRPr="00D97391" w:rsidRDefault="00BF5D8D" w:rsidP="00BE30AE">
            <w:pPr>
              <w:spacing w:after="120"/>
              <w:rPr>
                <w:rFonts w:ascii="Arial" w:hAnsi="Arial" w:cs="Arial"/>
              </w:rPr>
            </w:pPr>
            <w:r>
              <w:rPr>
                <w:rFonts w:ascii="Arial" w:hAnsi="Arial" w:cs="Arial"/>
              </w:rPr>
              <w:t>All p</w:t>
            </w:r>
            <w:r w:rsidRPr="00165CE8">
              <w:rPr>
                <w:rFonts w:ascii="Arial" w:hAnsi="Arial" w:cs="Arial"/>
              </w:rPr>
              <w:t>rojects are required to partner with at least one community-based organization (CBO).</w:t>
            </w:r>
            <w:r w:rsidR="000C7A63">
              <w:rPr>
                <w:rFonts w:ascii="Arial" w:hAnsi="Arial" w:cs="Arial"/>
                <w:color w:val="000000"/>
                <w:shd w:val="clear" w:color="auto" w:fill="FFFFFF"/>
              </w:rPr>
              <w:t xml:space="preserve"> </w:t>
            </w:r>
            <w:r w:rsidR="000C7A63" w:rsidRPr="00D97391">
              <w:rPr>
                <w:rFonts w:ascii="Arial" w:hAnsi="Arial" w:cs="Arial"/>
                <w:color w:val="000000"/>
                <w:shd w:val="clear" w:color="auto" w:fill="FFFFFF"/>
              </w:rPr>
              <w:t xml:space="preserve">The </w:t>
            </w:r>
            <w:r w:rsidR="00D97391" w:rsidRPr="00D97391">
              <w:rPr>
                <w:rFonts w:ascii="Arial" w:hAnsi="Arial" w:cs="Arial"/>
                <w:color w:val="000000"/>
                <w:shd w:val="clear" w:color="auto" w:fill="FFFFFF"/>
              </w:rPr>
              <w:t>p</w:t>
            </w:r>
            <w:r w:rsidR="000C7A63" w:rsidRPr="00D97391">
              <w:rPr>
                <w:rFonts w:ascii="Arial" w:hAnsi="Arial" w:cs="Arial"/>
                <w:color w:val="000000"/>
                <w:shd w:val="clear" w:color="auto" w:fill="FFFFFF"/>
              </w:rPr>
              <w:t xml:space="preserve">roject </w:t>
            </w:r>
            <w:r w:rsidR="00D97391" w:rsidRPr="00D97391">
              <w:rPr>
                <w:rFonts w:ascii="Arial" w:hAnsi="Arial" w:cs="Arial"/>
                <w:color w:val="000000"/>
                <w:shd w:val="clear" w:color="auto" w:fill="FFFFFF"/>
              </w:rPr>
              <w:t>n</w:t>
            </w:r>
            <w:r w:rsidR="000C7A63" w:rsidRPr="00D97391">
              <w:rPr>
                <w:rFonts w:ascii="Arial" w:hAnsi="Arial" w:cs="Arial"/>
                <w:color w:val="000000"/>
                <w:shd w:val="clear" w:color="auto" w:fill="FFFFFF"/>
              </w:rPr>
              <w:t xml:space="preserve">arrative (Attachment </w:t>
            </w:r>
            <w:r w:rsidR="00D97391" w:rsidRPr="00D97391">
              <w:rPr>
                <w:rFonts w:ascii="Arial" w:hAnsi="Arial" w:cs="Arial"/>
                <w:color w:val="000000"/>
                <w:shd w:val="clear" w:color="auto" w:fill="FFFFFF"/>
              </w:rPr>
              <w:t xml:space="preserve">2) </w:t>
            </w:r>
            <w:r w:rsidR="000C7A63" w:rsidRPr="00D97391">
              <w:rPr>
                <w:rFonts w:ascii="Arial" w:hAnsi="Arial" w:cs="Arial"/>
                <w:color w:val="000000"/>
                <w:shd w:val="clear" w:color="auto" w:fill="FFFFFF"/>
              </w:rPr>
              <w:t>must (</w:t>
            </w:r>
            <w:r w:rsidR="009A6224">
              <w:rPr>
                <w:rFonts w:ascii="Arial" w:hAnsi="Arial" w:cs="Arial"/>
                <w:color w:val="000000"/>
                <w:shd w:val="clear" w:color="auto" w:fill="FFFFFF"/>
              </w:rPr>
              <w:t>1</w:t>
            </w:r>
            <w:r w:rsidR="000C7A63" w:rsidRPr="00D97391">
              <w:rPr>
                <w:rFonts w:ascii="Arial" w:hAnsi="Arial" w:cs="Arial"/>
                <w:color w:val="000000"/>
                <w:shd w:val="clear" w:color="auto" w:fill="FFFFFF"/>
              </w:rPr>
              <w:t>) identify</w:t>
            </w:r>
            <w:r w:rsidR="000C7A63" w:rsidRPr="00D97391">
              <w:rPr>
                <w:rStyle w:val="normaltextrun"/>
                <w:rFonts w:ascii="Arial" w:hAnsi="Arial" w:cs="Arial"/>
                <w:color w:val="000000"/>
                <w:shd w:val="clear" w:color="auto" w:fill="FFFFFF"/>
              </w:rPr>
              <w:t xml:space="preserve"> the </w:t>
            </w:r>
            <w:r w:rsidR="000C7A63" w:rsidRPr="00D97391">
              <w:rPr>
                <w:rStyle w:val="findhit"/>
                <w:rFonts w:ascii="Arial" w:hAnsi="Arial" w:cs="Arial"/>
                <w:color w:val="000000"/>
              </w:rPr>
              <w:t>CBO</w:t>
            </w:r>
            <w:r w:rsidR="000C7A63" w:rsidRPr="00D97391">
              <w:rPr>
                <w:rStyle w:val="normaltextrun"/>
                <w:rFonts w:ascii="Arial" w:hAnsi="Arial" w:cs="Arial"/>
                <w:color w:val="000000"/>
                <w:shd w:val="clear" w:color="auto" w:fill="FFFFFF"/>
              </w:rPr>
              <w:t>(s), and (</w:t>
            </w:r>
            <w:r w:rsidR="000C7A63" w:rsidRPr="0047407B">
              <w:rPr>
                <w:rStyle w:val="normaltextrun"/>
                <w:rFonts w:ascii="Arial" w:hAnsi="Arial" w:cs="Arial"/>
              </w:rPr>
              <w:t xml:space="preserve">2) </w:t>
            </w:r>
            <w:r w:rsidR="000C7A63" w:rsidRPr="00D97391">
              <w:rPr>
                <w:rStyle w:val="normaltextrun"/>
                <w:rFonts w:ascii="Arial" w:hAnsi="Arial" w:cs="Arial"/>
                <w:color w:val="000000"/>
                <w:shd w:val="clear" w:color="auto" w:fill="FFFFFF"/>
              </w:rPr>
              <w:t>describe their role in the project and the benefits their partnership will bring. The project budget</w:t>
            </w:r>
            <w:r w:rsidR="00D97391" w:rsidRPr="00D97391">
              <w:rPr>
                <w:rStyle w:val="normaltextrun"/>
                <w:rFonts w:ascii="Arial" w:hAnsi="Arial" w:cs="Arial"/>
                <w:color w:val="000000"/>
                <w:shd w:val="clear" w:color="auto" w:fill="FFFFFF"/>
              </w:rPr>
              <w:t xml:space="preserve"> </w:t>
            </w:r>
            <w:r w:rsidR="00D97391" w:rsidRPr="0047407B">
              <w:rPr>
                <w:rStyle w:val="normaltextrun"/>
                <w:rFonts w:ascii="Arial" w:hAnsi="Arial" w:cs="Arial"/>
              </w:rPr>
              <w:t xml:space="preserve">(Attachment 6) </w:t>
            </w:r>
            <w:r w:rsidR="000C7A63" w:rsidRPr="00D97391">
              <w:rPr>
                <w:rStyle w:val="normaltextrun"/>
                <w:rFonts w:ascii="Arial" w:hAnsi="Arial" w:cs="Arial"/>
                <w:color w:val="000000"/>
                <w:shd w:val="clear" w:color="auto" w:fill="FFFFFF"/>
              </w:rPr>
              <w:t xml:space="preserve">should include </w:t>
            </w:r>
            <w:r w:rsidR="000C7A63" w:rsidRPr="00D97391">
              <w:rPr>
                <w:rStyle w:val="findhit"/>
                <w:rFonts w:ascii="Arial" w:hAnsi="Arial" w:cs="Arial"/>
                <w:color w:val="000000"/>
              </w:rPr>
              <w:t>CBO</w:t>
            </w:r>
            <w:r w:rsidR="000C7A63" w:rsidRPr="00D97391">
              <w:rPr>
                <w:rStyle w:val="normaltextrun"/>
                <w:rFonts w:ascii="Arial" w:hAnsi="Arial" w:cs="Arial"/>
                <w:color w:val="000000"/>
                <w:shd w:val="clear" w:color="auto" w:fill="FFFFFF"/>
              </w:rPr>
              <w:t>(s) participation in the project.</w:t>
            </w:r>
          </w:p>
          <w:p w14:paraId="0FFDD0D4" w14:textId="77777777" w:rsidR="00BF5D8D" w:rsidRDefault="00BF5D8D" w:rsidP="00BE30AE">
            <w:pPr>
              <w:spacing w:after="120"/>
              <w:rPr>
                <w:rFonts w:ascii="Arial" w:hAnsi="Arial" w:cs="Arial"/>
              </w:rPr>
            </w:pPr>
          </w:p>
          <w:p w14:paraId="17410E57" w14:textId="1994F3DA" w:rsidR="00BF5D8D" w:rsidRDefault="00BF5D8D" w:rsidP="00BE30AE">
            <w:pPr>
              <w:spacing w:after="120"/>
              <w:rPr>
                <w:rFonts w:ascii="Arial" w:hAnsi="Arial" w:cs="Arial"/>
              </w:rPr>
            </w:pPr>
            <w:r w:rsidRPr="7AAC24A6">
              <w:rPr>
                <w:rFonts w:ascii="Arial" w:hAnsi="Arial" w:cs="Arial"/>
              </w:rPr>
              <w:t xml:space="preserve">Section D.2 of the Solicitation Manual describes the match funding </w:t>
            </w:r>
            <w:r w:rsidR="005E1C51" w:rsidRPr="7AAC24A6">
              <w:rPr>
                <w:rFonts w:ascii="Arial" w:hAnsi="Arial" w:cs="Arial"/>
              </w:rPr>
              <w:t>requirement.</w:t>
            </w:r>
            <w:r w:rsidR="005E1C51" w:rsidRPr="7AAC24A6">
              <w:rPr>
                <w:rFonts w:ascii="Arial" w:eastAsia="Arial" w:hAnsi="Arial" w:cs="Arial"/>
              </w:rPr>
              <w:t xml:space="preserve"> The</w:t>
            </w:r>
            <w:r w:rsidRPr="7AAC24A6">
              <w:rPr>
                <w:rFonts w:ascii="Arial" w:eastAsia="Arial" w:hAnsi="Arial" w:cs="Arial"/>
              </w:rPr>
              <w:t xml:space="preserve"> match funding requirement is reduced to at least 10% of the requested CEC funds for projects located in and benefiting a California Native American Tribe, Disadvantaged Community, and/or Low Income Community.</w:t>
            </w:r>
          </w:p>
          <w:p w14:paraId="35CFD15C" w14:textId="77777777" w:rsidR="00BF5D8D" w:rsidRDefault="00BF5D8D" w:rsidP="00BE30AE">
            <w:pPr>
              <w:spacing w:after="120"/>
              <w:rPr>
                <w:rFonts w:ascii="Arial" w:hAnsi="Arial" w:cs="Arial"/>
              </w:rPr>
            </w:pPr>
          </w:p>
          <w:p w14:paraId="122CA938" w14:textId="009F8148" w:rsidR="00BF5D8D" w:rsidRDefault="00BF5D8D" w:rsidP="00BE30AE">
            <w:pPr>
              <w:spacing w:after="120"/>
              <w:rPr>
                <w:rFonts w:ascii="Arial" w:hAnsi="Arial" w:cs="Arial"/>
              </w:rPr>
            </w:pPr>
            <w:r w:rsidRPr="7AAC24A6">
              <w:rPr>
                <w:rFonts w:ascii="Arial" w:hAnsi="Arial" w:cs="Arial"/>
              </w:rPr>
              <w:t xml:space="preserve">The question also refers to, “at least 25% of available Electric Program Investment Charge (EPIC) technology demonstration and deployment funding must be allocated to project sites located in, and benefiting, disadvantaged communities; and an additional minimum 10% of funds must be allocated to projects sites located in and benefiting </w:t>
            </w:r>
            <w:r w:rsidRPr="7AAC24A6">
              <w:rPr>
                <w:rFonts w:ascii="Arial" w:hAnsi="Arial" w:cs="Arial"/>
              </w:rPr>
              <w:lastRenderedPageBreak/>
              <w:t xml:space="preserve">low-income communities,” under section I.J.1 of the </w:t>
            </w:r>
            <w:r>
              <w:rPr>
                <w:rFonts w:ascii="Arial" w:hAnsi="Arial" w:cs="Arial"/>
              </w:rPr>
              <w:t>S</w:t>
            </w:r>
            <w:r w:rsidRPr="7AAC24A6">
              <w:rPr>
                <w:rFonts w:ascii="Arial" w:hAnsi="Arial" w:cs="Arial"/>
              </w:rPr>
              <w:t xml:space="preserve">olicitation </w:t>
            </w:r>
            <w:r>
              <w:rPr>
                <w:rFonts w:ascii="Arial" w:hAnsi="Arial" w:cs="Arial"/>
              </w:rPr>
              <w:t>M</w:t>
            </w:r>
            <w:r w:rsidRPr="7AAC24A6">
              <w:rPr>
                <w:rFonts w:ascii="Arial" w:hAnsi="Arial" w:cs="Arial"/>
              </w:rPr>
              <w:t xml:space="preserve">anual. The 25% and 10% funding requirement applies to the EPIC program as a whole and is unrelated to the match funding requirement for this solicitation. </w:t>
            </w:r>
          </w:p>
        </w:tc>
      </w:tr>
      <w:tr w:rsidR="00344128" w14:paraId="609AA076" w14:textId="77777777" w:rsidTr="22E269BB">
        <w:tc>
          <w:tcPr>
            <w:tcW w:w="461" w:type="dxa"/>
          </w:tcPr>
          <w:p w14:paraId="02455DC0" w14:textId="5B62A462" w:rsidR="00344128" w:rsidRDefault="00166D3C" w:rsidP="00BE30AE">
            <w:pPr>
              <w:spacing w:after="120"/>
              <w:rPr>
                <w:rFonts w:ascii="Arial" w:hAnsi="Arial" w:cs="Arial"/>
              </w:rPr>
            </w:pPr>
            <w:r>
              <w:rPr>
                <w:rFonts w:ascii="Arial" w:hAnsi="Arial" w:cs="Arial"/>
              </w:rPr>
              <w:lastRenderedPageBreak/>
              <w:t>53</w:t>
            </w:r>
          </w:p>
        </w:tc>
        <w:tc>
          <w:tcPr>
            <w:tcW w:w="4494" w:type="dxa"/>
          </w:tcPr>
          <w:p w14:paraId="3A2A4440" w14:textId="0A7BDD55" w:rsidR="00344128" w:rsidRPr="000B32A8" w:rsidRDefault="00344128" w:rsidP="00BE30AE">
            <w:pPr>
              <w:spacing w:after="120"/>
              <w:rPr>
                <w:rFonts w:ascii="Arial" w:hAnsi="Arial" w:cs="Arial"/>
                <w:b/>
                <w:bCs/>
                <w:color w:val="000000"/>
              </w:rPr>
            </w:pPr>
            <w:r w:rsidRPr="00BD1F15">
              <w:rPr>
                <w:rFonts w:ascii="Arial" w:hAnsi="Arial" w:cs="Arial"/>
                <w:b/>
                <w:bCs/>
              </w:rPr>
              <w:t>[In the Solicitation Manual], Section K, “</w:t>
            </w:r>
            <w:r w:rsidR="005511DA">
              <w:rPr>
                <w:rFonts w:ascii="Arial" w:hAnsi="Arial" w:cs="Arial"/>
                <w:b/>
                <w:bCs/>
              </w:rPr>
              <w:t>[Match</w:t>
            </w:r>
            <w:r w:rsidR="00EA7FD5">
              <w:rPr>
                <w:rFonts w:ascii="Arial" w:hAnsi="Arial" w:cs="Arial"/>
                <w:b/>
                <w:bCs/>
              </w:rPr>
              <w:t xml:space="preserve"> funds do not include] </w:t>
            </w:r>
            <w:r w:rsidRPr="00BD1F15">
              <w:rPr>
                <w:rFonts w:ascii="Arial" w:hAnsi="Arial" w:cs="Arial"/>
                <w:b/>
                <w:bCs/>
              </w:rPr>
              <w:t>the cost or value of the project work site, or the cost or value of structures or other improvements affixed to the project work site permanently or for an indefinite period of time (for example, photovoltaic systems).” Here, “cost or value of the project work site” is clearly stated, however, in the next paragraph in the “In-Kind” Match section, “donated space, existing equipment, existing supplies, services provided by a third-party” are clearly listed as applicable in-kind match contributions. Can you clarify this?</w:t>
            </w:r>
          </w:p>
        </w:tc>
        <w:tc>
          <w:tcPr>
            <w:tcW w:w="8720" w:type="dxa"/>
          </w:tcPr>
          <w:p w14:paraId="01FF2AEA" w14:textId="5E582E41" w:rsidR="00D52294" w:rsidRDefault="0F281AE1" w:rsidP="00BE30AE">
            <w:pPr>
              <w:spacing w:after="120"/>
              <w:rPr>
                <w:rFonts w:ascii="Arial" w:eastAsia="Times New Roman" w:hAnsi="Arial" w:cs="Arial"/>
              </w:rPr>
            </w:pPr>
            <w:r w:rsidRPr="22E269BB">
              <w:rPr>
                <w:rFonts w:ascii="Arial" w:eastAsia="Times New Roman" w:hAnsi="Arial" w:cs="Arial"/>
              </w:rPr>
              <w:t>Match fund</w:t>
            </w:r>
            <w:r w:rsidR="56849D06" w:rsidRPr="22E269BB">
              <w:rPr>
                <w:rFonts w:ascii="Arial" w:eastAsia="Times New Roman" w:hAnsi="Arial" w:cs="Arial"/>
              </w:rPr>
              <w:t>ing</w:t>
            </w:r>
            <w:r w:rsidRPr="22E269BB">
              <w:rPr>
                <w:rFonts w:ascii="Arial" w:eastAsia="Times New Roman" w:hAnsi="Arial" w:cs="Arial"/>
              </w:rPr>
              <w:t xml:space="preserve"> includes</w:t>
            </w:r>
            <w:r w:rsidR="54C53A45" w:rsidRPr="22E269BB">
              <w:rPr>
                <w:rFonts w:ascii="Arial" w:eastAsia="Times New Roman" w:hAnsi="Arial" w:cs="Arial"/>
              </w:rPr>
              <w:t xml:space="preserve"> </w:t>
            </w:r>
            <w:r w:rsidR="3FF121E0" w:rsidRPr="22E269BB">
              <w:rPr>
                <w:rFonts w:ascii="Arial" w:eastAsia="Times New Roman" w:hAnsi="Arial" w:cs="Arial"/>
              </w:rPr>
              <w:t>cash or in-kind (non-cash) contributions</w:t>
            </w:r>
            <w:r w:rsidR="4F512AC0" w:rsidRPr="22E269BB">
              <w:rPr>
                <w:rFonts w:ascii="Arial" w:eastAsia="Times New Roman" w:hAnsi="Arial" w:cs="Arial"/>
              </w:rPr>
              <w:t xml:space="preserve"> that will be used </w:t>
            </w:r>
            <w:r w:rsidR="03111543" w:rsidRPr="22E269BB">
              <w:rPr>
                <w:rFonts w:ascii="Arial" w:eastAsia="Times New Roman" w:hAnsi="Arial" w:cs="Arial"/>
              </w:rPr>
              <w:t>for the purpose of the project</w:t>
            </w:r>
            <w:r w:rsidR="342FF096" w:rsidRPr="22E269BB">
              <w:rPr>
                <w:rFonts w:ascii="Arial" w:eastAsia="Times New Roman" w:hAnsi="Arial" w:cs="Arial"/>
              </w:rPr>
              <w:t xml:space="preserve"> within the agreement term.</w:t>
            </w:r>
          </w:p>
          <w:p w14:paraId="7EC5078C" w14:textId="77777777" w:rsidR="00D52294" w:rsidRDefault="00D52294" w:rsidP="00BE30AE">
            <w:pPr>
              <w:spacing w:after="120"/>
              <w:rPr>
                <w:rFonts w:ascii="Arial" w:eastAsia="Times New Roman" w:hAnsi="Arial" w:cs="Arial"/>
              </w:rPr>
            </w:pPr>
          </w:p>
          <w:p w14:paraId="380ED8DE" w14:textId="32A57EEA" w:rsidR="00344128" w:rsidRDefault="00CB2AEA" w:rsidP="00BE30AE">
            <w:pPr>
              <w:spacing w:after="120"/>
              <w:rPr>
                <w:rFonts w:ascii="Arial" w:eastAsia="Times New Roman" w:hAnsi="Arial" w:cs="Arial"/>
              </w:rPr>
            </w:pPr>
            <w:r w:rsidRPr="00CB2AEA">
              <w:rPr>
                <w:rFonts w:ascii="Arial" w:eastAsia="Times New Roman" w:hAnsi="Arial" w:cs="Arial"/>
              </w:rPr>
              <w:t>“Cash” match means funds that are in the grant recipient’s possession or proposed by a match partner and clearly identified in a support letter, and are reserved for the proposed project, meaning that they have not been committed for use or pledged as match for any other project.</w:t>
            </w:r>
            <w:r w:rsidR="006C573A">
              <w:rPr>
                <w:rFonts w:ascii="Arial" w:eastAsia="Times New Roman" w:hAnsi="Arial" w:cs="Arial"/>
              </w:rPr>
              <w:t xml:space="preserve"> This could include </w:t>
            </w:r>
            <w:r w:rsidR="006E5693">
              <w:rPr>
                <w:rFonts w:ascii="Arial" w:eastAsia="Times New Roman" w:hAnsi="Arial" w:cs="Arial"/>
              </w:rPr>
              <w:t>funds</w:t>
            </w:r>
            <w:r w:rsidR="00E00770">
              <w:rPr>
                <w:rFonts w:ascii="Arial" w:eastAsia="Times New Roman" w:hAnsi="Arial" w:cs="Arial"/>
              </w:rPr>
              <w:t xml:space="preserve"> </w:t>
            </w:r>
            <w:r w:rsidR="00CA010C">
              <w:rPr>
                <w:rFonts w:ascii="Arial" w:eastAsia="Times New Roman" w:hAnsi="Arial" w:cs="Arial"/>
              </w:rPr>
              <w:t xml:space="preserve">reserved for </w:t>
            </w:r>
            <w:r w:rsidR="00EB5E2E">
              <w:rPr>
                <w:rFonts w:ascii="Arial" w:eastAsia="Times New Roman" w:hAnsi="Arial" w:cs="Arial"/>
              </w:rPr>
              <w:t>costs to lease a</w:t>
            </w:r>
            <w:r w:rsidR="008C30F2">
              <w:rPr>
                <w:rFonts w:ascii="Arial" w:eastAsia="Times New Roman" w:hAnsi="Arial" w:cs="Arial"/>
              </w:rPr>
              <w:t xml:space="preserve"> project</w:t>
            </w:r>
            <w:r w:rsidR="00EB5E2E">
              <w:rPr>
                <w:rFonts w:ascii="Arial" w:eastAsia="Times New Roman" w:hAnsi="Arial" w:cs="Arial"/>
              </w:rPr>
              <w:t xml:space="preserve"> site</w:t>
            </w:r>
            <w:r w:rsidR="00CA010C">
              <w:rPr>
                <w:rFonts w:ascii="Arial" w:eastAsia="Times New Roman" w:hAnsi="Arial" w:cs="Arial"/>
              </w:rPr>
              <w:t xml:space="preserve"> </w:t>
            </w:r>
            <w:r w:rsidR="00EB5876">
              <w:rPr>
                <w:rFonts w:ascii="Arial" w:eastAsia="Times New Roman" w:hAnsi="Arial" w:cs="Arial"/>
              </w:rPr>
              <w:t>within the agreement term.</w:t>
            </w:r>
          </w:p>
          <w:p w14:paraId="01955943" w14:textId="77777777" w:rsidR="00EB5876" w:rsidRDefault="00EB5876" w:rsidP="00BE30AE">
            <w:pPr>
              <w:spacing w:after="120"/>
              <w:rPr>
                <w:rFonts w:ascii="Arial" w:hAnsi="Arial" w:cs="Arial"/>
              </w:rPr>
            </w:pPr>
          </w:p>
          <w:p w14:paraId="02891942" w14:textId="5626115D" w:rsidR="00EB5876" w:rsidRDefault="008D020F" w:rsidP="00BE30AE">
            <w:pPr>
              <w:spacing w:after="120"/>
              <w:rPr>
                <w:rFonts w:ascii="Arial" w:hAnsi="Arial" w:cs="Arial"/>
              </w:rPr>
            </w:pPr>
            <w:r>
              <w:rPr>
                <w:rFonts w:ascii="Arial" w:hAnsi="Arial" w:cs="Arial"/>
              </w:rPr>
              <w:t xml:space="preserve">“In-kind” </w:t>
            </w:r>
            <w:r w:rsidR="00BC0074">
              <w:rPr>
                <w:rFonts w:ascii="Arial" w:hAnsi="Arial" w:cs="Arial"/>
              </w:rPr>
              <w:t>mat</w:t>
            </w:r>
            <w:r w:rsidR="0033065C">
              <w:rPr>
                <w:rFonts w:ascii="Arial" w:hAnsi="Arial" w:cs="Arial"/>
              </w:rPr>
              <w:t>ch</w:t>
            </w:r>
            <w:r w:rsidR="00A52631">
              <w:rPr>
                <w:rFonts w:ascii="Arial" w:hAnsi="Arial" w:cs="Arial"/>
              </w:rPr>
              <w:t xml:space="preserve"> </w:t>
            </w:r>
            <w:r w:rsidR="00A52631" w:rsidRPr="00A52631">
              <w:rPr>
                <w:rFonts w:ascii="Arial" w:hAnsi="Arial" w:cs="Arial"/>
              </w:rPr>
              <w:t>can be in the form of goods or services that are not reimbursed with CEC funds such as</w:t>
            </w:r>
            <w:r w:rsidR="00A52631">
              <w:rPr>
                <w:rFonts w:ascii="Arial" w:hAnsi="Arial" w:cs="Arial"/>
              </w:rPr>
              <w:t xml:space="preserve"> donated space</w:t>
            </w:r>
            <w:r w:rsidR="00EC7FE9">
              <w:rPr>
                <w:rFonts w:ascii="Arial" w:hAnsi="Arial" w:cs="Arial"/>
              </w:rPr>
              <w:t xml:space="preserve"> or project work site</w:t>
            </w:r>
            <w:r w:rsidR="00A52631">
              <w:rPr>
                <w:rFonts w:ascii="Arial" w:hAnsi="Arial" w:cs="Arial"/>
              </w:rPr>
              <w:t xml:space="preserve">. </w:t>
            </w:r>
            <w:r w:rsidR="001C2C2F" w:rsidRPr="001C2C2F">
              <w:rPr>
                <w:rFonts w:ascii="Arial" w:hAnsi="Arial" w:cs="Arial"/>
              </w:rPr>
              <w:t>The value of in-kind match is based on the fair market value of the goods and services provided at the time it is claimed as match.</w:t>
            </w:r>
            <w:r w:rsidR="00F17911">
              <w:rPr>
                <w:rFonts w:ascii="Arial" w:hAnsi="Arial" w:cs="Arial"/>
              </w:rPr>
              <w:t xml:space="preserve"> </w:t>
            </w:r>
          </w:p>
        </w:tc>
      </w:tr>
      <w:tr w:rsidR="00344128" w14:paraId="46CC7162" w14:textId="77777777" w:rsidTr="22E269BB">
        <w:tc>
          <w:tcPr>
            <w:tcW w:w="461" w:type="dxa"/>
          </w:tcPr>
          <w:p w14:paraId="360B60FC" w14:textId="52211A9E" w:rsidR="00344128" w:rsidRDefault="00166D3C" w:rsidP="00BE30AE">
            <w:pPr>
              <w:spacing w:after="120"/>
              <w:rPr>
                <w:rFonts w:ascii="Arial" w:hAnsi="Arial" w:cs="Arial"/>
              </w:rPr>
            </w:pPr>
            <w:r>
              <w:rPr>
                <w:rFonts w:ascii="Arial" w:hAnsi="Arial" w:cs="Arial"/>
              </w:rPr>
              <w:t>54</w:t>
            </w:r>
          </w:p>
        </w:tc>
        <w:tc>
          <w:tcPr>
            <w:tcW w:w="4494" w:type="dxa"/>
          </w:tcPr>
          <w:p w14:paraId="6D9478BD" w14:textId="0B9DF115" w:rsidR="00344128" w:rsidRPr="00165CE8" w:rsidRDefault="00344128" w:rsidP="00BE30AE">
            <w:pPr>
              <w:spacing w:after="120"/>
              <w:rPr>
                <w:rFonts w:ascii="Arial" w:hAnsi="Arial" w:cs="Arial"/>
                <w:b/>
                <w:bCs/>
                <w:color w:val="000000"/>
              </w:rPr>
            </w:pPr>
            <w:r w:rsidRPr="002A696C">
              <w:rPr>
                <w:rFonts w:ascii="Arial" w:hAnsi="Arial" w:cs="Arial"/>
                <w:b/>
                <w:bCs/>
              </w:rPr>
              <w:t>Can the CEC clarify their “Match” requirement. For example, if a $2,000,000 grant is requested from the CEC for the project, will that mean a subsequent $500,000 will need to be matched, making it a $2,500,000 project budget?</w:t>
            </w:r>
          </w:p>
        </w:tc>
        <w:tc>
          <w:tcPr>
            <w:tcW w:w="8720" w:type="dxa"/>
          </w:tcPr>
          <w:p w14:paraId="3313F4E9" w14:textId="2930E2A1" w:rsidR="00344128" w:rsidRDefault="476669AE" w:rsidP="00BE30AE">
            <w:pPr>
              <w:spacing w:after="120"/>
              <w:rPr>
                <w:rFonts w:ascii="Arial" w:hAnsi="Arial" w:cs="Arial"/>
              </w:rPr>
            </w:pPr>
            <w:r w:rsidRPr="22E269BB">
              <w:rPr>
                <w:rFonts w:ascii="Arial" w:hAnsi="Arial" w:cs="Arial"/>
              </w:rPr>
              <w:t>Match funding is required in the amount of at least 25% of the requested CEC funds. If $2,000,000 is requested f</w:t>
            </w:r>
            <w:r w:rsidR="308E81FF" w:rsidRPr="22E269BB">
              <w:rPr>
                <w:rFonts w:ascii="Arial" w:hAnsi="Arial" w:cs="Arial"/>
              </w:rPr>
              <w:t>ro</w:t>
            </w:r>
            <w:r w:rsidRPr="22E269BB">
              <w:rPr>
                <w:rFonts w:ascii="Arial" w:hAnsi="Arial" w:cs="Arial"/>
              </w:rPr>
              <w:t xml:space="preserve">m the CEC, the applicant will need to commit $500,000 in match for a total project budget of $2,500,000. </w:t>
            </w:r>
          </w:p>
          <w:p w14:paraId="1FA7548E" w14:textId="77777777" w:rsidR="00344128" w:rsidRDefault="00344128" w:rsidP="00BE30AE">
            <w:pPr>
              <w:spacing w:after="120"/>
              <w:rPr>
                <w:rFonts w:ascii="Arial" w:hAnsi="Arial" w:cs="Arial"/>
              </w:rPr>
            </w:pPr>
          </w:p>
          <w:p w14:paraId="73E8D8A7" w14:textId="092E3E90" w:rsidR="00344128" w:rsidRDefault="476669AE" w:rsidP="00BE30AE">
            <w:pPr>
              <w:spacing w:after="120"/>
              <w:rPr>
                <w:rFonts w:ascii="Arial" w:hAnsi="Arial" w:cs="Arial"/>
              </w:rPr>
            </w:pPr>
            <w:r w:rsidRPr="22E269BB">
              <w:rPr>
                <w:rFonts w:ascii="Arial" w:eastAsia="Times New Roman" w:hAnsi="Arial" w:cs="Arial"/>
              </w:rPr>
              <w:t xml:space="preserve">The match funding requirement is reduced to at least 10% of the requested CEC funds for projects located in and benefiting a California Native American Tribe, Disadvantaged Community, and/or Low Income Community. In this case, </w:t>
            </w:r>
            <w:r w:rsidRPr="22E269BB">
              <w:rPr>
                <w:rFonts w:ascii="Arial" w:hAnsi="Arial" w:cs="Arial"/>
              </w:rPr>
              <w:t>if $2,000,000 is requested f</w:t>
            </w:r>
            <w:r w:rsidR="65B4C592" w:rsidRPr="22E269BB">
              <w:rPr>
                <w:rFonts w:ascii="Arial" w:hAnsi="Arial" w:cs="Arial"/>
              </w:rPr>
              <w:t>ro</w:t>
            </w:r>
            <w:r w:rsidRPr="22E269BB">
              <w:rPr>
                <w:rFonts w:ascii="Arial" w:hAnsi="Arial" w:cs="Arial"/>
              </w:rPr>
              <w:t xml:space="preserve">m the CEC, the applicant will need to commit $200,000 in match for a total project budget of $2,200,000. </w:t>
            </w:r>
          </w:p>
        </w:tc>
      </w:tr>
      <w:tr w:rsidR="00344128" w14:paraId="2D40FF8B" w14:textId="77777777" w:rsidTr="22E269BB">
        <w:tc>
          <w:tcPr>
            <w:tcW w:w="461" w:type="dxa"/>
          </w:tcPr>
          <w:p w14:paraId="4DBC2325" w14:textId="7C63FD15" w:rsidR="00344128" w:rsidRDefault="00166D3C" w:rsidP="00BE30AE">
            <w:pPr>
              <w:spacing w:after="120"/>
              <w:rPr>
                <w:rFonts w:ascii="Arial" w:hAnsi="Arial" w:cs="Arial"/>
              </w:rPr>
            </w:pPr>
            <w:r>
              <w:rPr>
                <w:rFonts w:ascii="Arial" w:hAnsi="Arial" w:cs="Arial"/>
              </w:rPr>
              <w:t>55</w:t>
            </w:r>
          </w:p>
        </w:tc>
        <w:tc>
          <w:tcPr>
            <w:tcW w:w="4494" w:type="dxa"/>
          </w:tcPr>
          <w:p w14:paraId="459D13F7" w14:textId="293ED1FB" w:rsidR="00344128" w:rsidRPr="002A696C" w:rsidRDefault="00344128" w:rsidP="00BE30AE">
            <w:pPr>
              <w:spacing w:after="120"/>
              <w:rPr>
                <w:rFonts w:ascii="Arial" w:hAnsi="Arial" w:cs="Arial"/>
                <w:b/>
                <w:bCs/>
              </w:rPr>
            </w:pPr>
            <w:r w:rsidRPr="00165CE8">
              <w:rPr>
                <w:rFonts w:ascii="Arial" w:hAnsi="Arial" w:cs="Arial"/>
                <w:b/>
                <w:bCs/>
                <w:color w:val="000000"/>
              </w:rPr>
              <w:t>What is the minimum spending percentage in California required for grant eligibility?  What is its impact in the overall scoring?</w:t>
            </w:r>
          </w:p>
        </w:tc>
        <w:tc>
          <w:tcPr>
            <w:tcW w:w="8720" w:type="dxa"/>
          </w:tcPr>
          <w:p w14:paraId="63ACABBB" w14:textId="77777777" w:rsidR="00344128" w:rsidRDefault="00344128" w:rsidP="00BE30AE">
            <w:pPr>
              <w:spacing w:after="120"/>
              <w:rPr>
                <w:rFonts w:ascii="Arial" w:hAnsi="Arial" w:cs="Arial"/>
              </w:rPr>
            </w:pPr>
            <w:r>
              <w:rPr>
                <w:rFonts w:ascii="Arial" w:hAnsi="Arial" w:cs="Arial"/>
              </w:rPr>
              <w:t>There is no minimum requirement for grant eligibility related to the percentage of CEC funds spent in California. P</w:t>
            </w:r>
            <w:r w:rsidRPr="004C6158">
              <w:rPr>
                <w:rFonts w:ascii="Arial" w:hAnsi="Arial" w:cs="Arial"/>
              </w:rPr>
              <w:t>rojects that maximize the spending of CEC funds in California will receive points as indicated in the table</w:t>
            </w:r>
            <w:r>
              <w:rPr>
                <w:rFonts w:ascii="Arial" w:hAnsi="Arial" w:cs="Arial"/>
              </w:rPr>
              <w:t xml:space="preserve"> below from Section IV.F. Scoring Criterion 6. CEC Funds Spent in California in the Solicitation Manual: </w:t>
            </w:r>
          </w:p>
          <w:p w14:paraId="18CB355D" w14:textId="77777777" w:rsidR="004B0755" w:rsidRDefault="004B0755" w:rsidP="00BE30AE">
            <w:pPr>
              <w:spacing w:after="120"/>
              <w:rPr>
                <w:rFonts w:ascii="Arial" w:hAnsi="Arial" w:cs="Arial"/>
              </w:rPr>
            </w:pPr>
          </w:p>
          <w:p w14:paraId="7A67E375" w14:textId="60E5D9B5" w:rsidR="00B627A4" w:rsidRDefault="00B627A4" w:rsidP="00AA084F">
            <w:pPr>
              <w:spacing w:after="120"/>
              <w:jc w:val="center"/>
              <w:rPr>
                <w:rFonts w:ascii="Arial" w:hAnsi="Arial" w:cs="Arial"/>
              </w:rPr>
            </w:pPr>
            <w:r w:rsidRPr="00B627A4">
              <w:rPr>
                <w:rFonts w:ascii="Arial" w:hAnsi="Arial" w:cs="Arial"/>
                <w:noProof/>
              </w:rPr>
              <w:lastRenderedPageBreak/>
              <w:drawing>
                <wp:inline distT="0" distB="0" distL="0" distR="0" wp14:anchorId="6CDDCBE5" wp14:editId="6C16B37E">
                  <wp:extent cx="4038600" cy="2646611"/>
                  <wp:effectExtent l="0" t="0" r="0" b="1905"/>
                  <wp:docPr id="1808100173" name="Picture 1808100173" descr="Table describing percentage of funds spent in California vs total funds requested and percentage of possible poi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100173" name="Picture 1" descr="Table describing percentage of funds spent in California vs total funds requested and percentage of possible points. "/>
                          <pic:cNvPicPr/>
                        </pic:nvPicPr>
                        <pic:blipFill>
                          <a:blip r:embed="rId10"/>
                          <a:stretch>
                            <a:fillRect/>
                          </a:stretch>
                        </pic:blipFill>
                        <pic:spPr>
                          <a:xfrm>
                            <a:off x="0" y="0"/>
                            <a:ext cx="4049493" cy="2653750"/>
                          </a:xfrm>
                          <a:prstGeom prst="rect">
                            <a:avLst/>
                          </a:prstGeom>
                        </pic:spPr>
                      </pic:pic>
                    </a:graphicData>
                  </a:graphic>
                </wp:inline>
              </w:drawing>
            </w:r>
          </w:p>
          <w:p w14:paraId="3613B62F" w14:textId="5BBA2A13" w:rsidR="00344128" w:rsidRPr="00386C30" w:rsidRDefault="00344128" w:rsidP="00BE30AE">
            <w:pPr>
              <w:spacing w:after="120"/>
              <w:rPr>
                <w:rFonts w:ascii="Arial" w:hAnsi="Arial" w:cs="Arial"/>
              </w:rPr>
            </w:pPr>
            <w:r>
              <w:rPr>
                <w:rFonts w:ascii="Arial" w:hAnsi="Arial" w:cs="Arial"/>
              </w:rPr>
              <w:t xml:space="preserve"> </w:t>
            </w:r>
          </w:p>
        </w:tc>
      </w:tr>
      <w:tr w:rsidR="00344128" w14:paraId="4D4BC29E" w14:textId="77777777" w:rsidTr="22E269BB">
        <w:tc>
          <w:tcPr>
            <w:tcW w:w="461" w:type="dxa"/>
          </w:tcPr>
          <w:p w14:paraId="0B101DF6" w14:textId="5A890385" w:rsidR="00344128" w:rsidRDefault="00166D3C" w:rsidP="00BE30AE">
            <w:pPr>
              <w:spacing w:after="120"/>
              <w:rPr>
                <w:rFonts w:ascii="Arial" w:hAnsi="Arial" w:cs="Arial"/>
              </w:rPr>
            </w:pPr>
            <w:r>
              <w:rPr>
                <w:rFonts w:ascii="Arial" w:hAnsi="Arial" w:cs="Arial"/>
              </w:rPr>
              <w:lastRenderedPageBreak/>
              <w:t>56</w:t>
            </w:r>
          </w:p>
        </w:tc>
        <w:tc>
          <w:tcPr>
            <w:tcW w:w="4494" w:type="dxa"/>
          </w:tcPr>
          <w:p w14:paraId="045A2982" w14:textId="0E01E196" w:rsidR="00344128" w:rsidRPr="002A696C" w:rsidRDefault="00344128" w:rsidP="00BE30AE">
            <w:pPr>
              <w:spacing w:after="120"/>
              <w:rPr>
                <w:rFonts w:ascii="Arial" w:hAnsi="Arial" w:cs="Arial"/>
                <w:b/>
                <w:bCs/>
              </w:rPr>
            </w:pPr>
            <w:r w:rsidRPr="00165CE8">
              <w:rPr>
                <w:rFonts w:ascii="Arial" w:hAnsi="Arial" w:cs="Arial"/>
                <w:b/>
                <w:bCs/>
                <w:color w:val="000000"/>
              </w:rPr>
              <w:t>Are commercially available EVSE eligible for funding?</w:t>
            </w:r>
          </w:p>
        </w:tc>
        <w:tc>
          <w:tcPr>
            <w:tcW w:w="8720" w:type="dxa"/>
          </w:tcPr>
          <w:p w14:paraId="11F70A1D" w14:textId="75BF2744" w:rsidR="00344128" w:rsidRPr="00386C30" w:rsidRDefault="00344128" w:rsidP="00BE30AE">
            <w:pPr>
              <w:spacing w:after="120"/>
              <w:rPr>
                <w:rFonts w:ascii="Arial" w:hAnsi="Arial" w:cs="Arial"/>
              </w:rPr>
            </w:pPr>
            <w:r w:rsidRPr="00165CE8">
              <w:rPr>
                <w:rFonts w:ascii="Arial" w:hAnsi="Arial" w:cs="Arial"/>
              </w:rPr>
              <w:t>Commercially</w:t>
            </w:r>
            <w:r>
              <w:rPr>
                <w:rFonts w:ascii="Arial" w:hAnsi="Arial" w:cs="Arial"/>
              </w:rPr>
              <w:t xml:space="preserve"> </w:t>
            </w:r>
            <w:r w:rsidRPr="00165CE8">
              <w:rPr>
                <w:rFonts w:ascii="Arial" w:hAnsi="Arial" w:cs="Arial"/>
              </w:rPr>
              <w:t>available EVSE is eligible for funding</w:t>
            </w:r>
            <w:r>
              <w:rPr>
                <w:rFonts w:ascii="Arial" w:hAnsi="Arial" w:cs="Arial"/>
              </w:rPr>
              <w:t>.</w:t>
            </w:r>
          </w:p>
        </w:tc>
      </w:tr>
      <w:tr w:rsidR="00344128" w14:paraId="03912A5C" w14:textId="77777777" w:rsidTr="22E269BB">
        <w:tc>
          <w:tcPr>
            <w:tcW w:w="461" w:type="dxa"/>
          </w:tcPr>
          <w:p w14:paraId="7590DE25" w14:textId="4C2E2248" w:rsidR="00344128" w:rsidRDefault="00166D3C" w:rsidP="00BE30AE">
            <w:pPr>
              <w:spacing w:after="120"/>
              <w:rPr>
                <w:rFonts w:ascii="Arial" w:hAnsi="Arial" w:cs="Arial"/>
              </w:rPr>
            </w:pPr>
            <w:r>
              <w:rPr>
                <w:rFonts w:ascii="Arial" w:hAnsi="Arial" w:cs="Arial"/>
              </w:rPr>
              <w:t>57</w:t>
            </w:r>
          </w:p>
        </w:tc>
        <w:tc>
          <w:tcPr>
            <w:tcW w:w="4494" w:type="dxa"/>
          </w:tcPr>
          <w:p w14:paraId="51A72AC0" w14:textId="07221A11" w:rsidR="00344128" w:rsidRPr="002A696C" w:rsidRDefault="00344128" w:rsidP="00BE30AE">
            <w:pPr>
              <w:spacing w:after="120"/>
              <w:rPr>
                <w:rFonts w:ascii="Arial" w:hAnsi="Arial" w:cs="Arial"/>
                <w:b/>
                <w:bCs/>
              </w:rPr>
            </w:pPr>
            <w:r w:rsidRPr="00C70D88">
              <w:rPr>
                <w:rFonts w:ascii="Arial" w:eastAsia="Times New Roman" w:hAnsi="Arial" w:cs="Arial"/>
                <w:b/>
                <w:bCs/>
              </w:rPr>
              <w:t>Are R&amp;D efforts for new customer adoption eligible for funding? If a new vehicle model wishes to adopt battery swapping, can costs such as viability studies, integration testing, and product certification be included?</w:t>
            </w:r>
            <w:r>
              <w:rPr>
                <w:rFonts w:ascii="Arial" w:eastAsia="Times New Roman" w:hAnsi="Arial" w:cs="Arial"/>
                <w:b/>
                <w:bCs/>
              </w:rPr>
              <w:t xml:space="preserve"> </w:t>
            </w:r>
          </w:p>
        </w:tc>
        <w:tc>
          <w:tcPr>
            <w:tcW w:w="8720" w:type="dxa"/>
          </w:tcPr>
          <w:p w14:paraId="151FE497" w14:textId="3EFFB3FB" w:rsidR="00344128" w:rsidRPr="00386C30" w:rsidRDefault="00344128" w:rsidP="00BE30AE">
            <w:pPr>
              <w:spacing w:after="120"/>
              <w:rPr>
                <w:rFonts w:ascii="Arial" w:hAnsi="Arial" w:cs="Arial"/>
              </w:rPr>
            </w:pPr>
            <w:r>
              <w:rPr>
                <w:rFonts w:ascii="Arial" w:hAnsi="Arial" w:cs="Arial"/>
              </w:rPr>
              <w:t xml:space="preserve">R&amp;D efforts for new customer adoption is eligible for funding if it is necessary to meet the requirements of the solicitation. For example, a battery swapping technology developed under Group 3 must demonstrate with a use case </w:t>
            </w:r>
            <w:r w:rsidRPr="00E76EAC">
              <w:rPr>
                <w:rFonts w:ascii="Arial" w:hAnsi="Arial" w:cs="Arial"/>
              </w:rPr>
              <w:t>(</w:t>
            </w:r>
            <w:r>
              <w:rPr>
                <w:rFonts w:ascii="Arial" w:hAnsi="Arial" w:cs="Arial"/>
              </w:rPr>
              <w:t>for example</w:t>
            </w:r>
            <w:r w:rsidRPr="00E76EAC">
              <w:rPr>
                <w:rFonts w:ascii="Arial" w:hAnsi="Arial" w:cs="Arial"/>
              </w:rPr>
              <w:t>, public transit, port drayage, construction equipment, ridesharing) that would benefit from the proposed opportunity charging solution</w:t>
            </w:r>
            <w:r>
              <w:rPr>
                <w:rFonts w:ascii="Arial" w:hAnsi="Arial" w:cs="Arial"/>
              </w:rPr>
              <w:t>. If that use case requires R&amp;D efforts for adoption, these expenses can be added to the budget with justification included in the project narrative. R&amp;D efforts for electric vehicle models that have no tie to the demonstration/deployment will not be eligible for funding.</w:t>
            </w:r>
          </w:p>
        </w:tc>
      </w:tr>
      <w:tr w:rsidR="00344128" w14:paraId="5B35BF5B" w14:textId="77777777" w:rsidTr="22E269BB">
        <w:tc>
          <w:tcPr>
            <w:tcW w:w="461" w:type="dxa"/>
          </w:tcPr>
          <w:p w14:paraId="14066371" w14:textId="50F8BC36" w:rsidR="00344128" w:rsidRDefault="00166D3C" w:rsidP="00BE30AE">
            <w:pPr>
              <w:spacing w:after="120"/>
              <w:rPr>
                <w:rFonts w:ascii="Arial" w:hAnsi="Arial" w:cs="Arial"/>
              </w:rPr>
            </w:pPr>
            <w:r>
              <w:rPr>
                <w:rFonts w:ascii="Arial" w:hAnsi="Arial" w:cs="Arial"/>
              </w:rPr>
              <w:t>58</w:t>
            </w:r>
          </w:p>
        </w:tc>
        <w:tc>
          <w:tcPr>
            <w:tcW w:w="4494" w:type="dxa"/>
          </w:tcPr>
          <w:p w14:paraId="5421A00B" w14:textId="1A7C7A73" w:rsidR="00344128" w:rsidRPr="00165CE8" w:rsidRDefault="00344128" w:rsidP="00BE30AE">
            <w:pPr>
              <w:spacing w:after="120"/>
              <w:rPr>
                <w:rFonts w:ascii="Arial" w:hAnsi="Arial" w:cs="Arial"/>
                <w:b/>
                <w:bCs/>
                <w:color w:val="000000"/>
              </w:rPr>
            </w:pPr>
            <w:r w:rsidRPr="00165CE8">
              <w:rPr>
                <w:rFonts w:ascii="Arial" w:hAnsi="Arial" w:cs="Arial"/>
                <w:b/>
                <w:bCs/>
                <w:color w:val="000000"/>
              </w:rPr>
              <w:t>For Group 1, what are eligible funding categories? Are EVSE and Make Ready/site preparation included?</w:t>
            </w:r>
            <w:r>
              <w:rPr>
                <w:rFonts w:ascii="Arial" w:hAnsi="Arial" w:cs="Arial"/>
                <w:b/>
                <w:bCs/>
                <w:color w:val="000000"/>
              </w:rPr>
              <w:t xml:space="preserve"> </w:t>
            </w:r>
          </w:p>
        </w:tc>
        <w:tc>
          <w:tcPr>
            <w:tcW w:w="8720" w:type="dxa"/>
          </w:tcPr>
          <w:p w14:paraId="2905B677" w14:textId="439D2C14" w:rsidR="00344128" w:rsidRDefault="00344128" w:rsidP="00BE30AE">
            <w:pPr>
              <w:spacing w:after="120"/>
              <w:rPr>
                <w:rFonts w:ascii="Arial" w:hAnsi="Arial" w:cs="Arial"/>
              </w:rPr>
            </w:pPr>
            <w:r>
              <w:rPr>
                <w:rFonts w:ascii="Arial" w:hAnsi="Arial" w:cs="Arial"/>
              </w:rPr>
              <w:t xml:space="preserve">EVSE and </w:t>
            </w:r>
            <w:r w:rsidR="002B3427">
              <w:rPr>
                <w:rFonts w:ascii="Arial" w:hAnsi="Arial" w:cs="Arial"/>
              </w:rPr>
              <w:t>make ready</w:t>
            </w:r>
            <w:r>
              <w:rPr>
                <w:rFonts w:ascii="Arial" w:hAnsi="Arial" w:cs="Arial"/>
              </w:rPr>
              <w:t xml:space="preserve">/site preparation </w:t>
            </w:r>
            <w:r w:rsidR="00896EA4">
              <w:rPr>
                <w:rFonts w:ascii="Arial" w:hAnsi="Arial" w:cs="Arial"/>
              </w:rPr>
              <w:t xml:space="preserve">costs </w:t>
            </w:r>
            <w:r>
              <w:rPr>
                <w:rFonts w:ascii="Arial" w:hAnsi="Arial" w:cs="Arial"/>
              </w:rPr>
              <w:t xml:space="preserve">are eligible for funding. </w:t>
            </w:r>
            <w:r>
              <w:rPr>
                <w:rFonts w:ascii="Arial" w:eastAsia="Times New Roman" w:hAnsi="Arial" w:cs="Arial"/>
              </w:rPr>
              <w:t>All costs in the budget must be directly</w:t>
            </w:r>
            <w:r w:rsidRPr="00D07F4F">
              <w:rPr>
                <w:rFonts w:ascii="Arial" w:eastAsia="Times New Roman" w:hAnsi="Arial" w:cs="Arial"/>
              </w:rPr>
              <w:t xml:space="preserve"> related to the project and necessary to accomplish tasks in the Scope of Work.</w:t>
            </w:r>
          </w:p>
        </w:tc>
      </w:tr>
      <w:tr w:rsidR="00344128" w14:paraId="326DF0F5" w14:textId="77777777" w:rsidTr="22E269BB">
        <w:tc>
          <w:tcPr>
            <w:tcW w:w="461" w:type="dxa"/>
          </w:tcPr>
          <w:p w14:paraId="5B0903DE" w14:textId="04832ABE" w:rsidR="00344128" w:rsidRDefault="00166D3C" w:rsidP="00BE30AE">
            <w:pPr>
              <w:spacing w:after="120"/>
              <w:rPr>
                <w:rFonts w:ascii="Arial" w:hAnsi="Arial" w:cs="Arial"/>
              </w:rPr>
            </w:pPr>
            <w:r>
              <w:rPr>
                <w:rFonts w:ascii="Arial" w:hAnsi="Arial" w:cs="Arial"/>
              </w:rPr>
              <w:t>59</w:t>
            </w:r>
          </w:p>
        </w:tc>
        <w:tc>
          <w:tcPr>
            <w:tcW w:w="4494" w:type="dxa"/>
          </w:tcPr>
          <w:p w14:paraId="03E632CB" w14:textId="61D58349" w:rsidR="00344128" w:rsidRPr="00165CE8" w:rsidRDefault="00344128" w:rsidP="00BE30AE">
            <w:pPr>
              <w:spacing w:after="120"/>
              <w:rPr>
                <w:rFonts w:ascii="Arial" w:hAnsi="Arial" w:cs="Arial"/>
                <w:b/>
                <w:bCs/>
                <w:color w:val="000000"/>
              </w:rPr>
            </w:pPr>
            <w:r w:rsidRPr="00BC573D">
              <w:rPr>
                <w:rFonts w:ascii="Arial" w:eastAsia="Times New Roman" w:hAnsi="Arial" w:cs="Arial"/>
                <w:b/>
                <w:bCs/>
              </w:rPr>
              <w:t>Are products manufactured as part of a separate CEC-funded project eligible for funding under this solicitation?</w:t>
            </w:r>
          </w:p>
        </w:tc>
        <w:tc>
          <w:tcPr>
            <w:tcW w:w="8720" w:type="dxa"/>
          </w:tcPr>
          <w:p w14:paraId="313752BD" w14:textId="506A0E40" w:rsidR="00344128" w:rsidRDefault="476669AE" w:rsidP="00BE30AE">
            <w:pPr>
              <w:spacing w:after="120"/>
              <w:rPr>
                <w:rFonts w:ascii="Arial" w:hAnsi="Arial" w:cs="Arial"/>
              </w:rPr>
            </w:pPr>
            <w:r w:rsidRPr="22E269BB">
              <w:rPr>
                <w:rFonts w:ascii="Arial" w:hAnsi="Arial" w:cs="Arial"/>
              </w:rPr>
              <w:t xml:space="preserve">CEC-funded equipment from another project can be utilized in this project but cannot be </w:t>
            </w:r>
            <w:r w:rsidR="4184056C" w:rsidRPr="22E269BB">
              <w:rPr>
                <w:rFonts w:ascii="Arial" w:hAnsi="Arial" w:cs="Arial"/>
              </w:rPr>
              <w:t xml:space="preserve">additionally </w:t>
            </w:r>
            <w:r w:rsidRPr="22E269BB">
              <w:rPr>
                <w:rFonts w:ascii="Arial" w:hAnsi="Arial" w:cs="Arial"/>
              </w:rPr>
              <w:t xml:space="preserve">funded by the CEC or qualify as match. “Match funds” do not include CEC awards, EPIC funds received from other sources, future/contingent awards from </w:t>
            </w:r>
            <w:r w:rsidRPr="22E269BB">
              <w:rPr>
                <w:rFonts w:ascii="Arial" w:hAnsi="Arial" w:cs="Arial"/>
              </w:rPr>
              <w:lastRenderedPageBreak/>
              <w:t>other entities (public or private). Please see Section I.K. Match Funding in the Solicitation Manual for additional details.</w:t>
            </w:r>
          </w:p>
        </w:tc>
      </w:tr>
      <w:tr w:rsidR="00344128" w14:paraId="4E1BB8F3" w14:textId="77777777" w:rsidTr="22E269BB">
        <w:tc>
          <w:tcPr>
            <w:tcW w:w="461" w:type="dxa"/>
          </w:tcPr>
          <w:p w14:paraId="53412BF9" w14:textId="4F7A26E6" w:rsidR="00344128" w:rsidRDefault="00166D3C" w:rsidP="00BE30AE">
            <w:pPr>
              <w:spacing w:after="120"/>
              <w:rPr>
                <w:rFonts w:ascii="Arial" w:hAnsi="Arial" w:cs="Arial"/>
              </w:rPr>
            </w:pPr>
            <w:r>
              <w:rPr>
                <w:rFonts w:ascii="Arial" w:hAnsi="Arial" w:cs="Arial"/>
              </w:rPr>
              <w:lastRenderedPageBreak/>
              <w:t>60</w:t>
            </w:r>
          </w:p>
        </w:tc>
        <w:tc>
          <w:tcPr>
            <w:tcW w:w="4494" w:type="dxa"/>
          </w:tcPr>
          <w:p w14:paraId="0640E3C0" w14:textId="0FE6F8B3" w:rsidR="00344128" w:rsidRPr="00BC573D" w:rsidRDefault="00344128" w:rsidP="00BE30AE">
            <w:pPr>
              <w:spacing w:after="120"/>
              <w:rPr>
                <w:rFonts w:ascii="Arial" w:eastAsia="Times New Roman" w:hAnsi="Arial" w:cs="Arial"/>
                <w:b/>
                <w:bCs/>
              </w:rPr>
            </w:pPr>
            <w:r w:rsidRPr="00165CE8">
              <w:rPr>
                <w:rFonts w:ascii="Arial" w:hAnsi="Arial" w:cs="Arial"/>
                <w:b/>
                <w:bCs/>
                <w:color w:val="000000"/>
              </w:rPr>
              <w:t>Can [a recipient] use CEC funds for workforce development and other community-based programs alongside the charging solutions?</w:t>
            </w:r>
          </w:p>
        </w:tc>
        <w:tc>
          <w:tcPr>
            <w:tcW w:w="8720" w:type="dxa"/>
          </w:tcPr>
          <w:p w14:paraId="026DECA2" w14:textId="2ADF924B" w:rsidR="00344128" w:rsidRDefault="00344128" w:rsidP="00BE30AE">
            <w:pPr>
              <w:spacing w:after="120"/>
              <w:rPr>
                <w:rFonts w:ascii="Arial" w:hAnsi="Arial" w:cs="Arial"/>
              </w:rPr>
            </w:pPr>
            <w:r w:rsidRPr="00165CE8">
              <w:rPr>
                <w:rFonts w:ascii="Arial" w:hAnsi="Arial" w:cs="Arial"/>
              </w:rPr>
              <w:t xml:space="preserve">Yes. </w:t>
            </w:r>
            <w:r w:rsidRPr="00165CE8">
              <w:rPr>
                <w:rFonts w:ascii="Arial" w:hAnsi="Arial" w:cs="Arial"/>
                <w:bCs/>
              </w:rPr>
              <w:t xml:space="preserve">It is a requirement of all groups to develop an equitable workforce development plan and partner with a CBO. These efforts should be reflected in the project budget. </w:t>
            </w:r>
          </w:p>
        </w:tc>
      </w:tr>
      <w:tr w:rsidR="00344128" w14:paraId="161B4758" w14:textId="77777777" w:rsidTr="22E269BB">
        <w:tc>
          <w:tcPr>
            <w:tcW w:w="461" w:type="dxa"/>
          </w:tcPr>
          <w:p w14:paraId="3840C76F" w14:textId="5F68A5DB" w:rsidR="00344128" w:rsidRDefault="00166D3C" w:rsidP="00BE30AE">
            <w:pPr>
              <w:spacing w:after="120"/>
              <w:rPr>
                <w:rFonts w:ascii="Arial" w:hAnsi="Arial" w:cs="Arial"/>
              </w:rPr>
            </w:pPr>
            <w:r>
              <w:rPr>
                <w:rFonts w:ascii="Arial" w:hAnsi="Arial" w:cs="Arial"/>
              </w:rPr>
              <w:t>61</w:t>
            </w:r>
          </w:p>
        </w:tc>
        <w:tc>
          <w:tcPr>
            <w:tcW w:w="4494" w:type="dxa"/>
          </w:tcPr>
          <w:p w14:paraId="282FB662" w14:textId="28A53969" w:rsidR="00344128" w:rsidRPr="00165CE8" w:rsidRDefault="00344128" w:rsidP="00BE30AE">
            <w:pPr>
              <w:spacing w:after="120"/>
              <w:rPr>
                <w:rFonts w:ascii="Arial" w:hAnsi="Arial" w:cs="Arial"/>
                <w:b/>
                <w:bCs/>
                <w:color w:val="000000"/>
              </w:rPr>
            </w:pPr>
            <w:r w:rsidRPr="00E31FE6">
              <w:rPr>
                <w:rFonts w:ascii="Arial" w:eastAsia="Times New Roman" w:hAnsi="Arial" w:cs="Arial"/>
                <w:b/>
                <w:bCs/>
              </w:rPr>
              <w:t>Battery swapping stations will be manufactured in California utilizing components sourced both locally and internationally. An EV charger manufactured in California would be “made in California” regardless of the supply chain. Can we apply this same logic to battery swapping stations?</w:t>
            </w:r>
          </w:p>
        </w:tc>
        <w:tc>
          <w:tcPr>
            <w:tcW w:w="8720" w:type="dxa"/>
          </w:tcPr>
          <w:p w14:paraId="47EE8FDD" w14:textId="77777777" w:rsidR="00344128" w:rsidRDefault="00344128" w:rsidP="00BE30AE">
            <w:pPr>
              <w:spacing w:after="120"/>
              <w:rPr>
                <w:rFonts w:ascii="Arial" w:hAnsi="Arial" w:cs="Arial"/>
              </w:rPr>
            </w:pPr>
            <w:r>
              <w:rPr>
                <w:rFonts w:ascii="Arial" w:hAnsi="Arial" w:cs="Arial"/>
              </w:rPr>
              <w:t>To qualify material and equipment purchases as “Funds Spent in California,” the b</w:t>
            </w:r>
            <w:r w:rsidRPr="00E63E3B">
              <w:rPr>
                <w:rFonts w:ascii="Arial" w:hAnsi="Arial" w:cs="Arial"/>
              </w:rPr>
              <w:t xml:space="preserve">usiness transaction </w:t>
            </w:r>
            <w:r>
              <w:rPr>
                <w:rFonts w:ascii="Arial" w:hAnsi="Arial" w:cs="Arial"/>
              </w:rPr>
              <w:t xml:space="preserve">must be </w:t>
            </w:r>
            <w:r w:rsidRPr="00E63E3B">
              <w:rPr>
                <w:rFonts w:ascii="Arial" w:hAnsi="Arial" w:cs="Arial"/>
              </w:rPr>
              <w:t>entered into with a business located in California</w:t>
            </w:r>
            <w:r>
              <w:rPr>
                <w:rFonts w:ascii="Arial" w:hAnsi="Arial" w:cs="Arial"/>
              </w:rPr>
              <w:t xml:space="preserve">. </w:t>
            </w:r>
          </w:p>
          <w:p w14:paraId="2611E821" w14:textId="77777777" w:rsidR="00344128" w:rsidRDefault="00344128" w:rsidP="00BE30AE">
            <w:pPr>
              <w:spacing w:after="120"/>
              <w:rPr>
                <w:rFonts w:ascii="Arial" w:hAnsi="Arial" w:cs="Arial"/>
              </w:rPr>
            </w:pPr>
          </w:p>
          <w:p w14:paraId="497484E6" w14:textId="59B07771" w:rsidR="00344128" w:rsidRDefault="00344128" w:rsidP="00BE30AE">
            <w:pPr>
              <w:spacing w:after="120"/>
              <w:rPr>
                <w:rFonts w:ascii="Arial" w:hAnsi="Arial" w:cs="Arial"/>
              </w:rPr>
            </w:pPr>
            <w:r>
              <w:rPr>
                <w:rFonts w:ascii="Arial" w:hAnsi="Arial" w:cs="Arial"/>
              </w:rPr>
              <w:t>See Section I.L for additional details and a related example: “C</w:t>
            </w:r>
            <w:r w:rsidRPr="00DC07F9">
              <w:rPr>
                <w:rFonts w:ascii="Arial" w:hAnsi="Arial" w:cs="Arial"/>
              </w:rPr>
              <w:t>EC funds will be spent on temperature sensors. The temperature sensors are manufactured in Washington. The grant recipient orders the temperature sensors directly from a CA based supply house. The invoice shows that the transaction occurred with the CA based supply house. This transaction is eligible and can be counted as funds spent in CA.</w:t>
            </w:r>
            <w:r>
              <w:rPr>
                <w:rFonts w:ascii="Arial" w:hAnsi="Arial" w:cs="Arial"/>
              </w:rPr>
              <w:t>”</w:t>
            </w:r>
          </w:p>
        </w:tc>
      </w:tr>
      <w:tr w:rsidR="00344128" w14:paraId="5D80E87F" w14:textId="77777777" w:rsidTr="22E269BB">
        <w:tc>
          <w:tcPr>
            <w:tcW w:w="461" w:type="dxa"/>
          </w:tcPr>
          <w:p w14:paraId="51503EC0" w14:textId="420DF589" w:rsidR="00344128" w:rsidRDefault="00E511CE" w:rsidP="00BE30AE">
            <w:pPr>
              <w:spacing w:after="120"/>
              <w:rPr>
                <w:rFonts w:ascii="Arial" w:hAnsi="Arial" w:cs="Arial"/>
              </w:rPr>
            </w:pPr>
            <w:r>
              <w:rPr>
                <w:rFonts w:ascii="Arial" w:hAnsi="Arial" w:cs="Arial"/>
              </w:rPr>
              <w:t>62</w:t>
            </w:r>
          </w:p>
        </w:tc>
        <w:tc>
          <w:tcPr>
            <w:tcW w:w="4494" w:type="dxa"/>
          </w:tcPr>
          <w:p w14:paraId="0E842D16" w14:textId="30B23433" w:rsidR="00344128" w:rsidRPr="00E31FE6" w:rsidRDefault="00344128" w:rsidP="00BE30AE">
            <w:pPr>
              <w:spacing w:after="120"/>
              <w:rPr>
                <w:rFonts w:ascii="Arial" w:eastAsia="Times New Roman" w:hAnsi="Arial" w:cs="Arial"/>
                <w:b/>
                <w:bCs/>
              </w:rPr>
            </w:pPr>
            <w:r w:rsidRPr="00270A3C">
              <w:rPr>
                <w:rFonts w:ascii="Arial" w:hAnsi="Arial" w:cs="Arial"/>
                <w:b/>
                <w:bCs/>
                <w:color w:val="000000"/>
              </w:rPr>
              <w:t>We have read Section L</w:t>
            </w:r>
            <w:r>
              <w:rPr>
                <w:rFonts w:ascii="Arial" w:hAnsi="Arial" w:cs="Arial"/>
                <w:b/>
                <w:bCs/>
                <w:color w:val="000000"/>
              </w:rPr>
              <w:t>,</w:t>
            </w:r>
            <w:r w:rsidRPr="00270A3C">
              <w:rPr>
                <w:rFonts w:ascii="Arial" w:hAnsi="Arial" w:cs="Arial"/>
                <w:b/>
                <w:bCs/>
                <w:color w:val="000000"/>
              </w:rPr>
              <w:t xml:space="preserve"> "Funds Spent in California." Is there a CEC resource we could contact to address specific examples of prior to submitting our application? </w:t>
            </w:r>
          </w:p>
        </w:tc>
        <w:tc>
          <w:tcPr>
            <w:tcW w:w="8720" w:type="dxa"/>
          </w:tcPr>
          <w:p w14:paraId="4D7CCAA2" w14:textId="61E31C2A" w:rsidR="00344128" w:rsidRDefault="00344128" w:rsidP="00BE30AE">
            <w:pPr>
              <w:spacing w:after="120"/>
              <w:rPr>
                <w:rFonts w:ascii="Arial" w:hAnsi="Arial" w:cs="Arial"/>
              </w:rPr>
            </w:pPr>
            <w:r>
              <w:rPr>
                <w:rFonts w:ascii="Arial" w:hAnsi="Arial" w:cs="Arial"/>
              </w:rPr>
              <w:t>To qualify a purchase for “Funds Spent in California,” the b</w:t>
            </w:r>
            <w:r w:rsidRPr="00E63E3B">
              <w:rPr>
                <w:rFonts w:ascii="Arial" w:hAnsi="Arial" w:cs="Arial"/>
              </w:rPr>
              <w:t xml:space="preserve">usiness transaction </w:t>
            </w:r>
            <w:r>
              <w:rPr>
                <w:rFonts w:ascii="Arial" w:hAnsi="Arial" w:cs="Arial"/>
              </w:rPr>
              <w:t xml:space="preserve">must be </w:t>
            </w:r>
            <w:r w:rsidRPr="00E63E3B">
              <w:rPr>
                <w:rFonts w:ascii="Arial" w:hAnsi="Arial" w:cs="Arial"/>
              </w:rPr>
              <w:t>entered into with a business located in California</w:t>
            </w:r>
            <w:r>
              <w:rPr>
                <w:rFonts w:ascii="Arial" w:hAnsi="Arial" w:cs="Arial"/>
              </w:rPr>
              <w:t>. See Section I.L. G</w:t>
            </w:r>
            <w:r w:rsidRPr="00370F3C">
              <w:rPr>
                <w:rFonts w:ascii="Arial" w:hAnsi="Arial" w:cs="Arial"/>
              </w:rPr>
              <w:t>rant recipients will document their funds spent in California on the basis of transactions with businesses located in California</w:t>
            </w:r>
            <w:r>
              <w:rPr>
                <w:rFonts w:ascii="Arial" w:hAnsi="Arial" w:cs="Arial"/>
              </w:rPr>
              <w:t xml:space="preserve">. </w:t>
            </w:r>
            <w:r w:rsidRPr="00BF3BFE">
              <w:rPr>
                <w:rFonts w:ascii="Arial" w:hAnsi="Arial" w:cs="Arial"/>
              </w:rPr>
              <w:t>If a company is registered with the California Secretary of State and pays California taxes, it is interpreted to be “a business located in California.”</w:t>
            </w:r>
            <w:r>
              <w:rPr>
                <w:rFonts w:ascii="Arial" w:hAnsi="Arial" w:cs="Arial"/>
              </w:rPr>
              <w:t xml:space="preserve"> </w:t>
            </w:r>
          </w:p>
          <w:p w14:paraId="47767C06" w14:textId="77777777" w:rsidR="00344128" w:rsidRDefault="00344128" w:rsidP="00BE30AE">
            <w:pPr>
              <w:spacing w:after="120"/>
              <w:rPr>
                <w:rFonts w:ascii="Arial" w:hAnsi="Arial" w:cs="Arial"/>
              </w:rPr>
            </w:pPr>
          </w:p>
          <w:p w14:paraId="7FC25697" w14:textId="2780BD7C" w:rsidR="00344128" w:rsidRDefault="00344128" w:rsidP="00BE30AE">
            <w:pPr>
              <w:spacing w:after="120"/>
              <w:rPr>
                <w:rFonts w:ascii="Arial" w:hAnsi="Arial" w:cs="Arial"/>
              </w:rPr>
            </w:pPr>
            <w:r>
              <w:rPr>
                <w:rFonts w:ascii="Arial" w:hAnsi="Arial" w:cs="Arial"/>
              </w:rPr>
              <w:t xml:space="preserve">Applicants can send questions </w:t>
            </w:r>
            <w:r w:rsidRPr="00EF4A5F">
              <w:rPr>
                <w:rFonts w:ascii="Arial" w:hAnsi="Arial" w:cs="Arial"/>
              </w:rPr>
              <w:t>that address an ambiguity, conflict, discrepancy, omission, or other possible errors in the solicitation</w:t>
            </w:r>
            <w:r>
              <w:rPr>
                <w:rFonts w:ascii="Arial" w:hAnsi="Arial" w:cs="Arial"/>
              </w:rPr>
              <w:t xml:space="preserve"> to the Commission Agreement Officer, </w:t>
            </w:r>
            <w:hyperlink r:id="rId11" w:history="1">
              <w:r w:rsidRPr="00705073">
                <w:rPr>
                  <w:rStyle w:val="Hyperlink"/>
                  <w:rFonts w:ascii="Arial" w:hAnsi="Arial" w:cs="Arial"/>
                </w:rPr>
                <w:t>Natalie.Johnson@energy.ca.gov</w:t>
              </w:r>
            </w:hyperlink>
            <w:r>
              <w:rPr>
                <w:rFonts w:ascii="Arial" w:hAnsi="Arial" w:cs="Arial"/>
              </w:rPr>
              <w:t xml:space="preserve">, any time prior to the application deadline. If questions are outside this </w:t>
            </w:r>
            <w:r w:rsidRPr="00F050BB">
              <w:rPr>
                <w:rFonts w:ascii="Arial" w:hAnsi="Arial" w:cs="Arial"/>
              </w:rPr>
              <w:t>scope, applicant</w:t>
            </w:r>
            <w:r>
              <w:rPr>
                <w:rFonts w:ascii="Arial" w:hAnsi="Arial" w:cs="Arial"/>
              </w:rPr>
              <w:t>s</w:t>
            </w:r>
            <w:r w:rsidRPr="00F050BB">
              <w:rPr>
                <w:rFonts w:ascii="Arial" w:hAnsi="Arial" w:cs="Arial"/>
              </w:rPr>
              <w:t xml:space="preserve"> </w:t>
            </w:r>
            <w:r>
              <w:rPr>
                <w:rFonts w:ascii="Arial" w:hAnsi="Arial" w:cs="Arial"/>
              </w:rPr>
              <w:t>can</w:t>
            </w:r>
            <w:r w:rsidRPr="00F050BB">
              <w:rPr>
                <w:rFonts w:ascii="Arial" w:hAnsi="Arial" w:cs="Arial"/>
              </w:rPr>
              <w:t xml:space="preserve"> contact the </w:t>
            </w:r>
            <w:hyperlink r:id="rId12" w:history="1">
              <w:r>
                <w:rPr>
                  <w:rStyle w:val="Hyperlink"/>
                  <w:rFonts w:ascii="Arial" w:hAnsi="Arial" w:cs="Arial"/>
                </w:rPr>
                <w:t>Grants Ombudsman</w:t>
              </w:r>
            </w:hyperlink>
            <w:r w:rsidRPr="00270A3C">
              <w:rPr>
                <w:rFonts w:ascii="Arial" w:hAnsi="Arial" w:cs="Arial"/>
              </w:rPr>
              <w:t>.</w:t>
            </w:r>
            <w:r>
              <w:rPr>
                <w:rFonts w:ascii="Arial" w:hAnsi="Arial" w:cs="Arial"/>
              </w:rPr>
              <w:t xml:space="preserve">    </w:t>
            </w:r>
          </w:p>
        </w:tc>
      </w:tr>
      <w:tr w:rsidR="00344128" w14:paraId="40DB5DA3" w14:textId="77777777" w:rsidTr="22E269BB">
        <w:tc>
          <w:tcPr>
            <w:tcW w:w="461" w:type="dxa"/>
          </w:tcPr>
          <w:p w14:paraId="5F4B1774" w14:textId="35024F93" w:rsidR="00344128" w:rsidRDefault="00E511CE" w:rsidP="00BE30AE">
            <w:pPr>
              <w:spacing w:after="120"/>
              <w:rPr>
                <w:rFonts w:ascii="Arial" w:hAnsi="Arial" w:cs="Arial"/>
              </w:rPr>
            </w:pPr>
            <w:r>
              <w:rPr>
                <w:rFonts w:ascii="Arial" w:hAnsi="Arial" w:cs="Arial"/>
              </w:rPr>
              <w:t>63</w:t>
            </w:r>
          </w:p>
        </w:tc>
        <w:tc>
          <w:tcPr>
            <w:tcW w:w="4494" w:type="dxa"/>
          </w:tcPr>
          <w:p w14:paraId="5ECF97E1" w14:textId="0FDBF737" w:rsidR="00344128" w:rsidRPr="00E31FE6" w:rsidRDefault="00344128" w:rsidP="00BE30AE">
            <w:pPr>
              <w:spacing w:after="120"/>
              <w:rPr>
                <w:rFonts w:ascii="Arial" w:eastAsia="Times New Roman" w:hAnsi="Arial" w:cs="Arial"/>
                <w:b/>
                <w:bCs/>
              </w:rPr>
            </w:pPr>
            <w:r w:rsidRPr="00E11305">
              <w:rPr>
                <w:rFonts w:ascii="Arial" w:hAnsi="Arial" w:cs="Arial"/>
                <w:b/>
                <w:bCs/>
                <w:color w:val="000000"/>
              </w:rPr>
              <w:t xml:space="preserve">[The </w:t>
            </w:r>
            <w:r>
              <w:rPr>
                <w:rFonts w:ascii="Arial" w:hAnsi="Arial" w:cs="Arial"/>
                <w:b/>
                <w:bCs/>
                <w:color w:val="000000"/>
              </w:rPr>
              <w:t>S</w:t>
            </w:r>
            <w:r w:rsidRPr="00E11305">
              <w:rPr>
                <w:rFonts w:ascii="Arial" w:hAnsi="Arial" w:cs="Arial"/>
                <w:b/>
                <w:bCs/>
                <w:color w:val="000000"/>
              </w:rPr>
              <w:t xml:space="preserve">olicitation </w:t>
            </w:r>
            <w:r>
              <w:rPr>
                <w:rFonts w:ascii="Arial" w:hAnsi="Arial" w:cs="Arial"/>
                <w:b/>
                <w:bCs/>
                <w:color w:val="000000"/>
              </w:rPr>
              <w:t>M</w:t>
            </w:r>
            <w:r w:rsidRPr="00E11305">
              <w:rPr>
                <w:rFonts w:ascii="Arial" w:hAnsi="Arial" w:cs="Arial"/>
                <w:b/>
                <w:bCs/>
                <w:color w:val="000000"/>
              </w:rPr>
              <w:t>anual] states that, “the budget must NOT identify that CEC funds will be spent outside of the United States or for out-of-country travel.” This is under the heading of “Russia Sanctions.” Is this rule specific to Russia? Would a recipient be barred from purchasing components abroad?</w:t>
            </w:r>
            <w:r>
              <w:rPr>
                <w:rFonts w:ascii="Arial" w:hAnsi="Arial" w:cs="Arial"/>
                <w:b/>
                <w:bCs/>
                <w:color w:val="000000"/>
              </w:rPr>
              <w:t xml:space="preserve"> </w:t>
            </w:r>
          </w:p>
        </w:tc>
        <w:tc>
          <w:tcPr>
            <w:tcW w:w="8720" w:type="dxa"/>
          </w:tcPr>
          <w:p w14:paraId="720F8898" w14:textId="27B37A41" w:rsidR="00344128" w:rsidRDefault="00344128" w:rsidP="00BE30AE">
            <w:pPr>
              <w:spacing w:after="120"/>
              <w:rPr>
                <w:rFonts w:ascii="Arial" w:hAnsi="Arial" w:cs="Arial"/>
              </w:rPr>
            </w:pPr>
            <w:r>
              <w:rPr>
                <w:rFonts w:ascii="Arial" w:hAnsi="Arial" w:cs="Arial"/>
              </w:rPr>
              <w:t xml:space="preserve">This rule is not specific to Russia. </w:t>
            </w:r>
          </w:p>
          <w:p w14:paraId="3E708B14" w14:textId="77777777" w:rsidR="00344128" w:rsidRDefault="00344128" w:rsidP="00BE30AE">
            <w:pPr>
              <w:spacing w:after="120"/>
              <w:rPr>
                <w:rFonts w:ascii="Arial" w:hAnsi="Arial" w:cs="Arial"/>
              </w:rPr>
            </w:pPr>
          </w:p>
          <w:p w14:paraId="74E0EE32" w14:textId="6CA3D7DB" w:rsidR="00197854" w:rsidRDefault="00344128" w:rsidP="00BE30AE">
            <w:pPr>
              <w:spacing w:after="120"/>
              <w:rPr>
                <w:rFonts w:ascii="Arial" w:hAnsi="Arial" w:cs="Arial"/>
                <w:color w:val="FF0000"/>
              </w:rPr>
            </w:pPr>
            <w:r>
              <w:rPr>
                <w:rFonts w:ascii="Arial" w:hAnsi="Arial" w:cs="Arial"/>
              </w:rPr>
              <w:t>Section III.C.6</w:t>
            </w:r>
            <w:r w:rsidR="00017347">
              <w:rPr>
                <w:rFonts w:ascii="Arial" w:hAnsi="Arial" w:cs="Arial"/>
              </w:rPr>
              <w:t xml:space="preserve"> of the Solicitation Manual</w:t>
            </w:r>
            <w:r>
              <w:rPr>
                <w:rFonts w:ascii="Arial" w:hAnsi="Arial" w:cs="Arial"/>
              </w:rPr>
              <w:t xml:space="preserve"> states that t</w:t>
            </w:r>
            <w:r w:rsidRPr="00242EDD">
              <w:rPr>
                <w:rFonts w:ascii="Arial" w:hAnsi="Arial" w:cs="Arial"/>
              </w:rPr>
              <w:t>he budget must NOT identify that CEC funds will be spent outside of the United States or for out-of-country travel. However, match funds may cover these costs if there are no legal restrictions.</w:t>
            </w:r>
          </w:p>
          <w:p w14:paraId="5D026B4D" w14:textId="6329C25B" w:rsidR="00344128" w:rsidRDefault="00344128" w:rsidP="00BE30AE">
            <w:pPr>
              <w:spacing w:after="120"/>
              <w:rPr>
                <w:rFonts w:ascii="Arial" w:hAnsi="Arial" w:cs="Arial"/>
              </w:rPr>
            </w:pPr>
          </w:p>
        </w:tc>
      </w:tr>
      <w:tr w:rsidR="00344128" w14:paraId="57C7CD4B" w14:textId="77777777" w:rsidTr="22E269BB">
        <w:tc>
          <w:tcPr>
            <w:tcW w:w="461" w:type="dxa"/>
          </w:tcPr>
          <w:p w14:paraId="26BFE34C" w14:textId="331B55E1" w:rsidR="00344128" w:rsidRDefault="00E511CE" w:rsidP="00BE30AE">
            <w:pPr>
              <w:spacing w:after="120"/>
              <w:rPr>
                <w:rFonts w:ascii="Arial" w:hAnsi="Arial" w:cs="Arial"/>
              </w:rPr>
            </w:pPr>
            <w:r>
              <w:rPr>
                <w:rFonts w:ascii="Arial" w:hAnsi="Arial" w:cs="Arial"/>
              </w:rPr>
              <w:lastRenderedPageBreak/>
              <w:t>64</w:t>
            </w:r>
          </w:p>
        </w:tc>
        <w:tc>
          <w:tcPr>
            <w:tcW w:w="4494" w:type="dxa"/>
          </w:tcPr>
          <w:p w14:paraId="2A7F9DBF" w14:textId="26A732D2" w:rsidR="00344128" w:rsidRPr="00165CE8" w:rsidRDefault="00344128" w:rsidP="00BE30AE">
            <w:pPr>
              <w:spacing w:after="120"/>
              <w:rPr>
                <w:rFonts w:ascii="Arial" w:hAnsi="Arial" w:cs="Arial"/>
                <w:b/>
                <w:bCs/>
                <w:color w:val="000000"/>
              </w:rPr>
            </w:pPr>
            <w:r w:rsidRPr="00252128">
              <w:rPr>
                <w:rFonts w:ascii="Arial" w:hAnsi="Arial" w:cs="Arial"/>
                <w:b/>
                <w:bCs/>
              </w:rPr>
              <w:t>Can the CEC clarify when and how the funding will be released for successful applicants? Will the funds be released at one single time? Regarding the operations and implementation of the project, it is reasonable to expect that there will be unforeseen expenses which arise. It is reasonable to expect that these expenses were not budgeted for. Will CEC funds be allowed to be in a liquid manner, meaning that the funds will be able to be spent without the CEC’s pre-approved budget?</w:t>
            </w:r>
          </w:p>
        </w:tc>
        <w:tc>
          <w:tcPr>
            <w:tcW w:w="8720" w:type="dxa"/>
          </w:tcPr>
          <w:p w14:paraId="273404F5" w14:textId="4CFBC0CA" w:rsidR="00344128" w:rsidRDefault="00344128" w:rsidP="00BE30AE">
            <w:pPr>
              <w:spacing w:after="120"/>
              <w:rPr>
                <w:rFonts w:ascii="Arial" w:eastAsia="Times New Roman" w:hAnsi="Arial" w:cs="Arial"/>
              </w:rPr>
            </w:pPr>
            <w:r>
              <w:rPr>
                <w:rFonts w:ascii="Arial" w:eastAsia="Times New Roman" w:hAnsi="Arial" w:cs="Arial"/>
              </w:rPr>
              <w:t xml:space="preserve">Applicants should refer to the relevant EPIC Grant terms and conditions (located at </w:t>
            </w:r>
            <w:hyperlink r:id="rId13" w:history="1">
              <w:r w:rsidRPr="00D93B94">
                <w:rPr>
                  <w:rStyle w:val="Hyperlink"/>
                  <w:rFonts w:ascii="Arial" w:eastAsia="Times New Roman" w:hAnsi="Arial" w:cs="Arial"/>
                </w:rPr>
                <w:t>https://www.energy.ca.gov/funding-opportunities/funding-resources</w:t>
              </w:r>
            </w:hyperlink>
            <w:r>
              <w:rPr>
                <w:rFonts w:ascii="Arial" w:eastAsia="Times New Roman" w:hAnsi="Arial" w:cs="Arial"/>
              </w:rPr>
              <w:t xml:space="preserve"> under Research and Development Funding Information) for details on how CEC funds will be paid to successful applicants (grant recipients). </w:t>
            </w:r>
          </w:p>
          <w:p w14:paraId="11AEE500" w14:textId="77777777" w:rsidR="00344128" w:rsidRDefault="00344128" w:rsidP="00BE30AE">
            <w:pPr>
              <w:spacing w:after="120"/>
              <w:rPr>
                <w:rFonts w:ascii="Arial" w:eastAsia="Times New Roman" w:hAnsi="Arial" w:cs="Arial"/>
              </w:rPr>
            </w:pPr>
          </w:p>
          <w:p w14:paraId="7D93FB1A" w14:textId="77777777" w:rsidR="00344128" w:rsidRDefault="00344128" w:rsidP="00BE30AE">
            <w:pPr>
              <w:spacing w:after="120"/>
              <w:rPr>
                <w:rFonts w:ascii="Arial" w:eastAsia="Times New Roman" w:hAnsi="Arial" w:cs="Arial"/>
              </w:rPr>
            </w:pPr>
            <w:r>
              <w:rPr>
                <w:rFonts w:ascii="Arial" w:eastAsia="Times New Roman" w:hAnsi="Arial" w:cs="Arial"/>
              </w:rPr>
              <w:t xml:space="preserve">The recipient will invoice periodically, according to expenses listed in the agreement budget, and they will be reimbursed for those expenses at the time of invoice submission. </w:t>
            </w:r>
          </w:p>
          <w:p w14:paraId="311506F0" w14:textId="77777777" w:rsidR="00344128" w:rsidRDefault="00344128" w:rsidP="00BE30AE">
            <w:pPr>
              <w:spacing w:after="120"/>
              <w:rPr>
                <w:rFonts w:ascii="Arial" w:eastAsia="Times New Roman" w:hAnsi="Arial" w:cs="Arial"/>
              </w:rPr>
            </w:pPr>
          </w:p>
          <w:p w14:paraId="7CD378A2" w14:textId="0EB7EDA6" w:rsidR="00344128" w:rsidRDefault="00344128" w:rsidP="00BE30AE">
            <w:pPr>
              <w:spacing w:after="120"/>
              <w:rPr>
                <w:rFonts w:ascii="Arial" w:hAnsi="Arial" w:cs="Arial"/>
              </w:rPr>
            </w:pPr>
            <w:r>
              <w:rPr>
                <w:rFonts w:ascii="Arial" w:eastAsia="Times New Roman" w:hAnsi="Arial" w:cs="Arial"/>
              </w:rPr>
              <w:t xml:space="preserve">The CEC only reimburses for expenses listed in the agreement budget. The recipient and commission agreement manager will meet monthly to discuss unforeseen expenses. If these expenses are reasonable and approved, a budget reallocation can take place. </w:t>
            </w:r>
          </w:p>
        </w:tc>
      </w:tr>
      <w:tr w:rsidR="00344128" w14:paraId="2CB0F26E" w14:textId="77777777" w:rsidTr="22E269BB">
        <w:tc>
          <w:tcPr>
            <w:tcW w:w="461" w:type="dxa"/>
          </w:tcPr>
          <w:p w14:paraId="4450EEAB" w14:textId="2A34A327" w:rsidR="00344128" w:rsidRDefault="00E511CE" w:rsidP="00BE30AE">
            <w:pPr>
              <w:spacing w:after="120"/>
              <w:rPr>
                <w:rFonts w:ascii="Arial" w:hAnsi="Arial" w:cs="Arial"/>
              </w:rPr>
            </w:pPr>
            <w:r>
              <w:rPr>
                <w:rFonts w:ascii="Arial" w:hAnsi="Arial" w:cs="Arial"/>
              </w:rPr>
              <w:t>65</w:t>
            </w:r>
          </w:p>
        </w:tc>
        <w:tc>
          <w:tcPr>
            <w:tcW w:w="4494" w:type="dxa"/>
          </w:tcPr>
          <w:p w14:paraId="6FE0F31B" w14:textId="53726E7F" w:rsidR="00344128" w:rsidRPr="00165CE8" w:rsidRDefault="00344128" w:rsidP="00BE30AE">
            <w:pPr>
              <w:spacing w:after="120"/>
              <w:rPr>
                <w:rFonts w:ascii="Arial" w:hAnsi="Arial" w:cs="Arial"/>
                <w:b/>
                <w:bCs/>
                <w:color w:val="000000"/>
              </w:rPr>
            </w:pPr>
            <w:r w:rsidRPr="00165CE8">
              <w:rPr>
                <w:rFonts w:ascii="Arial" w:hAnsi="Arial" w:cs="Arial"/>
                <w:b/>
                <w:bCs/>
                <w:color w:val="000000"/>
              </w:rPr>
              <w:t>Are there any restrictions on stacking CEC funding with EPA, utility make ready, or other funding sources?</w:t>
            </w:r>
          </w:p>
        </w:tc>
        <w:tc>
          <w:tcPr>
            <w:tcW w:w="8720" w:type="dxa"/>
          </w:tcPr>
          <w:p w14:paraId="23DB3C9C" w14:textId="09666EE0" w:rsidR="00344128" w:rsidRDefault="476669AE" w:rsidP="00BE30AE">
            <w:pPr>
              <w:spacing w:after="120"/>
              <w:rPr>
                <w:rFonts w:ascii="Arial" w:hAnsi="Arial" w:cs="Arial"/>
              </w:rPr>
            </w:pPr>
            <w:r w:rsidRPr="22E269BB">
              <w:rPr>
                <w:rFonts w:ascii="Arial" w:hAnsi="Arial" w:cs="Arial"/>
              </w:rPr>
              <w:t xml:space="preserve">Staff assumes “stacking” means using other funding sources as match. “Match Funds” </w:t>
            </w:r>
            <w:r w:rsidR="227D2628" w:rsidRPr="22E269BB">
              <w:rPr>
                <w:rFonts w:ascii="Arial" w:hAnsi="Arial" w:cs="Arial"/>
              </w:rPr>
              <w:t>can</w:t>
            </w:r>
            <w:r w:rsidRPr="22E269BB">
              <w:rPr>
                <w:rFonts w:ascii="Arial" w:hAnsi="Arial" w:cs="Arial"/>
              </w:rPr>
              <w:t xml:space="preserve">not </w:t>
            </w:r>
            <w:r w:rsidR="5D53DB80" w:rsidRPr="22E269BB">
              <w:rPr>
                <w:rFonts w:ascii="Arial" w:hAnsi="Arial" w:cs="Arial"/>
              </w:rPr>
              <w:t>include</w:t>
            </w:r>
            <w:r w:rsidRPr="22E269BB">
              <w:rPr>
                <w:rFonts w:ascii="Arial" w:hAnsi="Arial" w:cs="Arial"/>
              </w:rPr>
              <w:t xml:space="preserve"> CEC awards, EPIC funds received from other sources,</w:t>
            </w:r>
            <w:r w:rsidR="171793CF" w:rsidRPr="22E269BB">
              <w:rPr>
                <w:rFonts w:ascii="Arial" w:hAnsi="Arial" w:cs="Arial"/>
              </w:rPr>
              <w:t xml:space="preserve"> or</w:t>
            </w:r>
            <w:r w:rsidRPr="22E269BB">
              <w:rPr>
                <w:rFonts w:ascii="Arial" w:hAnsi="Arial" w:cs="Arial"/>
              </w:rPr>
              <w:t xml:space="preserve"> future/contingent awards from other entities (public or private). Please </w:t>
            </w:r>
            <w:r w:rsidR="5D53DB80" w:rsidRPr="22E269BB">
              <w:rPr>
                <w:rFonts w:ascii="Arial" w:hAnsi="Arial" w:cs="Arial"/>
              </w:rPr>
              <w:t>review</w:t>
            </w:r>
            <w:r w:rsidRPr="22E269BB">
              <w:rPr>
                <w:rFonts w:ascii="Arial" w:hAnsi="Arial" w:cs="Arial"/>
              </w:rPr>
              <w:t xml:space="preserve"> Section I.K. Match Funding for additional details. </w:t>
            </w:r>
          </w:p>
        </w:tc>
      </w:tr>
      <w:tr w:rsidR="00344128" w14:paraId="70611D24" w14:textId="77777777" w:rsidTr="22E269BB">
        <w:tc>
          <w:tcPr>
            <w:tcW w:w="461" w:type="dxa"/>
          </w:tcPr>
          <w:p w14:paraId="55C07209" w14:textId="0D6F8E1A" w:rsidR="00344128" w:rsidRDefault="00E511CE" w:rsidP="00BE30AE">
            <w:pPr>
              <w:spacing w:after="120"/>
              <w:rPr>
                <w:rFonts w:ascii="Arial" w:hAnsi="Arial" w:cs="Arial"/>
              </w:rPr>
            </w:pPr>
            <w:r>
              <w:rPr>
                <w:rFonts w:ascii="Arial" w:hAnsi="Arial" w:cs="Arial"/>
              </w:rPr>
              <w:t>66</w:t>
            </w:r>
          </w:p>
        </w:tc>
        <w:tc>
          <w:tcPr>
            <w:tcW w:w="4494" w:type="dxa"/>
          </w:tcPr>
          <w:p w14:paraId="52E3A473" w14:textId="5D166F6B" w:rsidR="00344128" w:rsidRPr="00165CE8" w:rsidRDefault="00344128" w:rsidP="00BE30AE">
            <w:pPr>
              <w:spacing w:after="120"/>
              <w:rPr>
                <w:rFonts w:ascii="Arial" w:hAnsi="Arial" w:cs="Arial"/>
                <w:b/>
                <w:bCs/>
                <w:color w:val="000000"/>
              </w:rPr>
            </w:pPr>
            <w:r w:rsidRPr="00165CE8">
              <w:rPr>
                <w:rFonts w:ascii="Arial" w:hAnsi="Arial" w:cs="Arial"/>
                <w:b/>
                <w:bCs/>
                <w:color w:val="000000"/>
              </w:rPr>
              <w:t>It was mentioned funding cannot be spent until signed contract with CEC, even the match funding. What is included in this spending amount? Can the site be purchased? Any long-lead equipment?</w:t>
            </w:r>
          </w:p>
        </w:tc>
        <w:tc>
          <w:tcPr>
            <w:tcW w:w="8720" w:type="dxa"/>
          </w:tcPr>
          <w:p w14:paraId="0228C02D" w14:textId="2A7B19A5" w:rsidR="00344128" w:rsidRDefault="476669AE" w:rsidP="00BE30AE">
            <w:pPr>
              <w:spacing w:after="120"/>
              <w:rPr>
                <w:rFonts w:ascii="Arial" w:hAnsi="Arial" w:cs="Arial"/>
              </w:rPr>
            </w:pPr>
            <w:r w:rsidRPr="22E269BB">
              <w:rPr>
                <w:rFonts w:ascii="Arial" w:hAnsi="Arial" w:cs="Arial"/>
              </w:rPr>
              <w:t>Section III.C. Application Content of the Solicitation Manual states that “all project expenditures (match share and reimbursable) must be made within the Anticipated Agreement Start and End dates listed in the “Key Activities Schedule” of this Solicitation Manual.</w:t>
            </w:r>
            <w:r w:rsidR="00051363">
              <w:rPr>
                <w:rFonts w:ascii="Arial" w:hAnsi="Arial" w:cs="Arial"/>
              </w:rPr>
              <w:t xml:space="preserve"> </w:t>
            </w:r>
            <w:r w:rsidR="00051363">
              <w:rPr>
                <w:rStyle w:val="normaltextrun"/>
                <w:rFonts w:ascii="Arial" w:hAnsi="Arial" w:cs="Arial"/>
                <w:color w:val="000000"/>
                <w:shd w:val="clear" w:color="auto" w:fill="FFFFFF"/>
              </w:rPr>
              <w:t>Match share requirements are discussed in Part I.D and I.K of this solicitation.</w:t>
            </w:r>
            <w:r w:rsidRPr="22E269BB">
              <w:rPr>
                <w:rFonts w:ascii="Arial" w:hAnsi="Arial" w:cs="Arial"/>
              </w:rPr>
              <w:t>” Purchases made before a grant agreement is signed cannot be counted toward match share or reimbursed with CEC funds.</w:t>
            </w:r>
          </w:p>
        </w:tc>
      </w:tr>
      <w:tr w:rsidR="00344128" w14:paraId="20DB3365" w14:textId="77777777" w:rsidTr="22E269BB">
        <w:tc>
          <w:tcPr>
            <w:tcW w:w="461" w:type="dxa"/>
          </w:tcPr>
          <w:p w14:paraId="31C682F6" w14:textId="07513DE6" w:rsidR="00344128" w:rsidRDefault="00E511CE" w:rsidP="00BE30AE">
            <w:pPr>
              <w:spacing w:after="120"/>
              <w:rPr>
                <w:rFonts w:ascii="Arial" w:hAnsi="Arial" w:cs="Arial"/>
              </w:rPr>
            </w:pPr>
            <w:r>
              <w:rPr>
                <w:rFonts w:ascii="Arial" w:hAnsi="Arial" w:cs="Arial"/>
              </w:rPr>
              <w:t>67</w:t>
            </w:r>
          </w:p>
        </w:tc>
        <w:tc>
          <w:tcPr>
            <w:tcW w:w="4494" w:type="dxa"/>
          </w:tcPr>
          <w:p w14:paraId="279AF1F5" w14:textId="2BB9BEAD" w:rsidR="00344128" w:rsidRPr="00165CE8" w:rsidRDefault="00344128" w:rsidP="00BE30AE">
            <w:pPr>
              <w:spacing w:after="120"/>
              <w:rPr>
                <w:rFonts w:ascii="Arial" w:hAnsi="Arial" w:cs="Arial"/>
                <w:b/>
                <w:bCs/>
                <w:color w:val="000000"/>
              </w:rPr>
            </w:pPr>
            <w:r w:rsidRPr="00092770">
              <w:rPr>
                <w:rFonts w:ascii="Arial" w:hAnsi="Arial" w:cs="Arial"/>
                <w:b/>
                <w:bCs/>
                <w:color w:val="000000"/>
              </w:rPr>
              <w:t>Will there be funding for IOU support of this grant solicitation?</w:t>
            </w:r>
          </w:p>
        </w:tc>
        <w:tc>
          <w:tcPr>
            <w:tcW w:w="8720" w:type="dxa"/>
          </w:tcPr>
          <w:p w14:paraId="7E410EA1" w14:textId="558C2235" w:rsidR="00344128" w:rsidRDefault="476669AE" w:rsidP="00BE30AE">
            <w:pPr>
              <w:spacing w:after="120"/>
              <w:rPr>
                <w:rFonts w:ascii="Arial" w:hAnsi="Arial" w:cs="Arial"/>
              </w:rPr>
            </w:pPr>
            <w:r w:rsidRPr="22E269BB">
              <w:rPr>
                <w:rFonts w:ascii="Arial" w:hAnsi="Arial" w:cs="Arial"/>
              </w:rPr>
              <w:t>Yes, IOUs could apply to this GFO as a prime</w:t>
            </w:r>
            <w:r w:rsidR="5ABB74F5" w:rsidRPr="22E269BB">
              <w:rPr>
                <w:rFonts w:ascii="Arial" w:hAnsi="Arial" w:cs="Arial"/>
              </w:rPr>
              <w:t>.</w:t>
            </w:r>
            <w:r w:rsidRPr="22E269BB">
              <w:rPr>
                <w:rFonts w:ascii="Arial" w:hAnsi="Arial" w:cs="Arial"/>
              </w:rPr>
              <w:t xml:space="preserve"> </w:t>
            </w:r>
            <w:r w:rsidR="375DC079" w:rsidRPr="22E269BB">
              <w:rPr>
                <w:rFonts w:ascii="Arial" w:hAnsi="Arial" w:cs="Arial"/>
              </w:rPr>
              <w:t xml:space="preserve">They may also </w:t>
            </w:r>
            <w:r w:rsidRPr="22E269BB">
              <w:rPr>
                <w:rFonts w:ascii="Arial" w:hAnsi="Arial" w:cs="Arial"/>
              </w:rPr>
              <w:t>participate as project partners providing support in obtaining sites, accessing meter data, providing match funds, facilitating CPUC approvals, and contributing technical and program expertise.</w:t>
            </w:r>
          </w:p>
        </w:tc>
      </w:tr>
    </w:tbl>
    <w:p w14:paraId="0ED94075" w14:textId="77777777" w:rsidR="00FA2D1C" w:rsidRDefault="00FA2D1C" w:rsidP="00BE30AE">
      <w:pPr>
        <w:spacing w:after="120"/>
        <w:rPr>
          <w:rFonts w:ascii="Arial" w:hAnsi="Arial" w:cs="Arial"/>
        </w:rPr>
      </w:pPr>
    </w:p>
    <w:p w14:paraId="5FF0C5E5" w14:textId="0EFCDB9C" w:rsidR="008F1561" w:rsidRPr="00270A3C" w:rsidRDefault="008F1561" w:rsidP="00BE30AE">
      <w:pPr>
        <w:pStyle w:val="Heading1"/>
        <w:spacing w:before="0" w:after="120"/>
        <w:jc w:val="center"/>
        <w:rPr>
          <w:rFonts w:ascii="Arial" w:hAnsi="Arial" w:cs="Arial"/>
          <w:b/>
          <w:sz w:val="24"/>
          <w:szCs w:val="24"/>
          <w:u w:val="single"/>
        </w:rPr>
      </w:pPr>
      <w:r>
        <w:rPr>
          <w:rFonts w:ascii="Arial" w:hAnsi="Arial" w:cs="Arial"/>
          <w:b/>
          <w:bCs/>
          <w:color w:val="auto"/>
          <w:sz w:val="24"/>
          <w:szCs w:val="24"/>
          <w:u w:val="single"/>
        </w:rPr>
        <w:t>General Project Requirements/Miscellaneous Questions</w:t>
      </w:r>
      <w:r w:rsidRPr="00270A3C">
        <w:rPr>
          <w:rFonts w:ascii="Arial" w:hAnsi="Arial" w:cs="Arial"/>
          <w:b/>
          <w:bCs/>
          <w:color w:val="auto"/>
          <w:sz w:val="24"/>
          <w:szCs w:val="24"/>
          <w:u w:val="single"/>
        </w:rPr>
        <w:t xml:space="preserve"> </w:t>
      </w:r>
    </w:p>
    <w:tbl>
      <w:tblPr>
        <w:tblStyle w:val="TableGrid"/>
        <w:tblW w:w="13675" w:type="dxa"/>
        <w:tblLook w:val="04A0" w:firstRow="1" w:lastRow="0" w:firstColumn="1" w:lastColumn="0" w:noHBand="0" w:noVBand="1"/>
      </w:tblPr>
      <w:tblGrid>
        <w:gridCol w:w="584"/>
        <w:gridCol w:w="4451"/>
        <w:gridCol w:w="8640"/>
      </w:tblGrid>
      <w:tr w:rsidR="008E799E" w14:paraId="0FBFCA5F" w14:textId="77777777" w:rsidTr="22E269BB">
        <w:tc>
          <w:tcPr>
            <w:tcW w:w="584" w:type="dxa"/>
          </w:tcPr>
          <w:p w14:paraId="26039429" w14:textId="65C1A56C" w:rsidR="008E799E" w:rsidRDefault="00894DB4" w:rsidP="00BE30AE">
            <w:pPr>
              <w:spacing w:after="120"/>
              <w:rPr>
                <w:rFonts w:ascii="Arial" w:hAnsi="Arial" w:cs="Arial"/>
              </w:rPr>
            </w:pPr>
            <w:r>
              <w:rPr>
                <w:rFonts w:ascii="Arial" w:hAnsi="Arial" w:cs="Arial"/>
              </w:rPr>
              <w:t>68</w:t>
            </w:r>
          </w:p>
        </w:tc>
        <w:tc>
          <w:tcPr>
            <w:tcW w:w="4451" w:type="dxa"/>
          </w:tcPr>
          <w:p w14:paraId="7257A4C2" w14:textId="087EA78D" w:rsidR="008E799E" w:rsidRPr="00165CE8" w:rsidRDefault="008E799E" w:rsidP="00BE30AE">
            <w:pPr>
              <w:spacing w:after="120"/>
              <w:rPr>
                <w:rFonts w:ascii="Arial" w:hAnsi="Arial" w:cs="Arial"/>
                <w:b/>
                <w:bCs/>
                <w:color w:val="000000"/>
              </w:rPr>
            </w:pPr>
            <w:r w:rsidRPr="00165CE8">
              <w:rPr>
                <w:rFonts w:ascii="Arial" w:hAnsi="Arial" w:cs="Arial"/>
                <w:b/>
                <w:bCs/>
                <w:color w:val="000000"/>
              </w:rPr>
              <w:t>Where can the pre-application presentation slides, recording, and attendee list be found?</w:t>
            </w:r>
          </w:p>
        </w:tc>
        <w:tc>
          <w:tcPr>
            <w:tcW w:w="8640" w:type="dxa"/>
          </w:tcPr>
          <w:p w14:paraId="2758ABB3" w14:textId="6167FBF3" w:rsidR="008E799E" w:rsidRDefault="008E799E" w:rsidP="00BE30AE">
            <w:pPr>
              <w:spacing w:after="120"/>
              <w:rPr>
                <w:rFonts w:ascii="Arial" w:hAnsi="Arial" w:cs="Arial"/>
              </w:rPr>
            </w:pPr>
            <w:r w:rsidRPr="00165CE8">
              <w:rPr>
                <w:rFonts w:ascii="Arial" w:hAnsi="Arial" w:cs="Arial"/>
              </w:rPr>
              <w:t xml:space="preserve">All pre-application workshop materials can be found on the </w:t>
            </w:r>
            <w:hyperlink r:id="rId14" w:history="1">
              <w:r w:rsidRPr="00A9250B">
                <w:rPr>
                  <w:rStyle w:val="Hyperlink"/>
                  <w:rFonts w:ascii="Arial" w:hAnsi="Arial" w:cs="Arial"/>
                </w:rPr>
                <w:t>GFO-23-306 webpage</w:t>
              </w:r>
            </w:hyperlink>
            <w:r w:rsidRPr="00165CE8">
              <w:rPr>
                <w:rFonts w:ascii="Arial" w:hAnsi="Arial" w:cs="Arial"/>
              </w:rPr>
              <w:t xml:space="preserve">. </w:t>
            </w:r>
          </w:p>
        </w:tc>
      </w:tr>
      <w:tr w:rsidR="008E799E" w14:paraId="28C0145D" w14:textId="77777777" w:rsidTr="22E269BB">
        <w:tc>
          <w:tcPr>
            <w:tcW w:w="584" w:type="dxa"/>
          </w:tcPr>
          <w:p w14:paraId="3E23A01E" w14:textId="0D4FF5AD" w:rsidR="008E799E" w:rsidRDefault="00894DB4" w:rsidP="00BE30AE">
            <w:pPr>
              <w:spacing w:after="120"/>
              <w:rPr>
                <w:rFonts w:ascii="Arial" w:hAnsi="Arial" w:cs="Arial"/>
              </w:rPr>
            </w:pPr>
            <w:r>
              <w:rPr>
                <w:rFonts w:ascii="Arial" w:hAnsi="Arial" w:cs="Arial"/>
              </w:rPr>
              <w:lastRenderedPageBreak/>
              <w:t>69</w:t>
            </w:r>
          </w:p>
        </w:tc>
        <w:tc>
          <w:tcPr>
            <w:tcW w:w="4451" w:type="dxa"/>
          </w:tcPr>
          <w:p w14:paraId="77C27E34" w14:textId="6804273B" w:rsidR="008E799E" w:rsidRPr="00165CE8" w:rsidRDefault="008E799E" w:rsidP="00BE30AE">
            <w:pPr>
              <w:spacing w:after="120"/>
              <w:rPr>
                <w:rFonts w:ascii="Arial" w:hAnsi="Arial" w:cs="Arial"/>
                <w:b/>
                <w:bCs/>
                <w:color w:val="000000"/>
              </w:rPr>
            </w:pPr>
            <w:r w:rsidRPr="00165CE8">
              <w:rPr>
                <w:rFonts w:ascii="Arial" w:hAnsi="Arial" w:cs="Arial"/>
                <w:b/>
                <w:bCs/>
                <w:color w:val="000000"/>
              </w:rPr>
              <w:t>Are applicants considered for one group only, or can they qualify for multiple project groups?</w:t>
            </w:r>
          </w:p>
        </w:tc>
        <w:tc>
          <w:tcPr>
            <w:tcW w:w="8640" w:type="dxa"/>
          </w:tcPr>
          <w:p w14:paraId="7B7092E3" w14:textId="57A75A0A" w:rsidR="008E799E" w:rsidRPr="00165CE8" w:rsidRDefault="008E799E" w:rsidP="00BE30AE">
            <w:pPr>
              <w:spacing w:after="120"/>
              <w:rPr>
                <w:rFonts w:ascii="Arial" w:hAnsi="Arial" w:cs="Arial"/>
              </w:rPr>
            </w:pPr>
            <w:r w:rsidRPr="00165CE8">
              <w:rPr>
                <w:rFonts w:ascii="Arial" w:hAnsi="Arial" w:cs="Arial"/>
              </w:rPr>
              <w:t>Applicants may submit multiple applications, though each application must address only one of the project groups. If an applicant submits multiple applications that address the same project group, each application must be for a distinct project (</w:t>
            </w:r>
            <w:r>
              <w:rPr>
                <w:rFonts w:ascii="Arial" w:hAnsi="Arial" w:cs="Arial"/>
              </w:rPr>
              <w:t>that is</w:t>
            </w:r>
            <w:r w:rsidRPr="00165CE8">
              <w:rPr>
                <w:rFonts w:ascii="Arial" w:hAnsi="Arial" w:cs="Arial"/>
              </w:rPr>
              <w:t>, no overlap with respect to the technical tasks described in the Scope of Work).</w:t>
            </w:r>
          </w:p>
        </w:tc>
      </w:tr>
      <w:tr w:rsidR="008E799E" w14:paraId="12DFE70A" w14:textId="77777777" w:rsidTr="22E269BB">
        <w:tc>
          <w:tcPr>
            <w:tcW w:w="584" w:type="dxa"/>
          </w:tcPr>
          <w:p w14:paraId="643DC407" w14:textId="57F3D3E9" w:rsidR="008E799E" w:rsidRDefault="00894DB4" w:rsidP="00BE30AE">
            <w:pPr>
              <w:spacing w:after="120"/>
              <w:rPr>
                <w:rFonts w:ascii="Arial" w:hAnsi="Arial" w:cs="Arial"/>
              </w:rPr>
            </w:pPr>
            <w:r>
              <w:rPr>
                <w:rFonts w:ascii="Arial" w:hAnsi="Arial" w:cs="Arial"/>
              </w:rPr>
              <w:t>70</w:t>
            </w:r>
          </w:p>
        </w:tc>
        <w:tc>
          <w:tcPr>
            <w:tcW w:w="4451" w:type="dxa"/>
          </w:tcPr>
          <w:p w14:paraId="30963655" w14:textId="02A96C67" w:rsidR="008E799E" w:rsidRPr="00165CE8" w:rsidRDefault="008E799E" w:rsidP="00BE30AE">
            <w:pPr>
              <w:spacing w:after="120"/>
              <w:rPr>
                <w:rFonts w:ascii="Arial" w:hAnsi="Arial" w:cs="Arial"/>
                <w:b/>
                <w:bCs/>
                <w:color w:val="000000"/>
              </w:rPr>
            </w:pPr>
            <w:r w:rsidRPr="00165CE8">
              <w:rPr>
                <w:rFonts w:ascii="Arial" w:hAnsi="Arial" w:cs="Arial"/>
                <w:b/>
                <w:bCs/>
                <w:color w:val="000000"/>
              </w:rPr>
              <w:t>Are applicants required to be located in California?</w:t>
            </w:r>
          </w:p>
        </w:tc>
        <w:tc>
          <w:tcPr>
            <w:tcW w:w="8640" w:type="dxa"/>
          </w:tcPr>
          <w:p w14:paraId="0DAF230A" w14:textId="3272122A" w:rsidR="008E799E" w:rsidRPr="006864A8" w:rsidRDefault="008E799E" w:rsidP="00AA084F">
            <w:pPr>
              <w:pStyle w:val="paragraph"/>
              <w:spacing w:before="0" w:beforeAutospacing="0" w:after="0" w:afterAutospacing="0"/>
              <w:textAlignment w:val="baseline"/>
              <w:rPr>
                <w:rFonts w:ascii="Arial" w:hAnsi="Arial" w:cs="Arial"/>
              </w:rPr>
            </w:pPr>
            <w:r w:rsidRPr="00AA084F">
              <w:rPr>
                <w:rFonts w:ascii="Arial" w:hAnsi="Arial" w:cs="Arial"/>
                <w:sz w:val="22"/>
                <w:szCs w:val="22"/>
              </w:rPr>
              <w:t>Applicants are not required to be located in California.</w:t>
            </w:r>
            <w:r w:rsidR="00AB20D0" w:rsidRPr="00AA084F">
              <w:rPr>
                <w:rFonts w:ascii="Arial" w:hAnsi="Arial" w:cs="Arial"/>
                <w:sz w:val="22"/>
                <w:szCs w:val="22"/>
              </w:rPr>
              <w:t xml:space="preserve"> However,</w:t>
            </w:r>
            <w:r w:rsidR="003665D8" w:rsidRPr="00AA084F">
              <w:rPr>
                <w:rStyle w:val="normaltextrun"/>
                <w:rFonts w:ascii="Arial" w:hAnsi="Arial" w:cs="Arial"/>
                <w:sz w:val="22"/>
                <w:szCs w:val="22"/>
              </w:rPr>
              <w:t xml:space="preserve"> </w:t>
            </w:r>
            <w:r w:rsidR="00681906" w:rsidRPr="00AA084F">
              <w:rPr>
                <w:rStyle w:val="normaltextrun"/>
                <w:rFonts w:ascii="Arial" w:hAnsi="Arial" w:cs="Arial"/>
                <w:sz w:val="22"/>
                <w:szCs w:val="22"/>
              </w:rPr>
              <w:t xml:space="preserve">the applicant will need </w:t>
            </w:r>
            <w:r w:rsidR="00616596" w:rsidRPr="00AA084F">
              <w:rPr>
                <w:rStyle w:val="normaltextrun"/>
                <w:rFonts w:ascii="Arial" w:hAnsi="Arial" w:cs="Arial"/>
                <w:sz w:val="22"/>
                <w:szCs w:val="22"/>
              </w:rPr>
              <w:t xml:space="preserve">to </w:t>
            </w:r>
            <w:r w:rsidR="00616596">
              <w:rPr>
                <w:rStyle w:val="normaltextrun"/>
                <w:rFonts w:ascii="Arial" w:hAnsi="Arial" w:cs="Arial"/>
                <w:sz w:val="22"/>
                <w:szCs w:val="22"/>
              </w:rPr>
              <w:t>ensure</w:t>
            </w:r>
            <w:r w:rsidR="00616596" w:rsidRPr="00AA084F">
              <w:rPr>
                <w:rStyle w:val="normaltextrun"/>
                <w:rFonts w:ascii="Arial" w:hAnsi="Arial" w:cs="Arial"/>
                <w:sz w:val="22"/>
                <w:szCs w:val="22"/>
              </w:rPr>
              <w:t xml:space="preserve"> that the proposed </w:t>
            </w:r>
            <w:r w:rsidR="003665D8" w:rsidRPr="00AA084F">
              <w:rPr>
                <w:rStyle w:val="normaltextrun"/>
                <w:rFonts w:ascii="Arial" w:hAnsi="Arial" w:cs="Arial"/>
                <w:sz w:val="22"/>
                <w:szCs w:val="22"/>
              </w:rPr>
              <w:t>project (1) b</w:t>
            </w:r>
            <w:r w:rsidR="003665D8" w:rsidRPr="00AA084F">
              <w:rPr>
                <w:rStyle w:val="findhit"/>
                <w:rFonts w:ascii="Arial" w:hAnsi="Arial" w:cs="Arial"/>
                <w:sz w:val="22"/>
                <w:szCs w:val="22"/>
              </w:rPr>
              <w:t>enefi</w:t>
            </w:r>
            <w:r w:rsidR="00616596" w:rsidRPr="00AA084F">
              <w:rPr>
                <w:rStyle w:val="findhit"/>
                <w:rFonts w:ascii="Arial" w:hAnsi="Arial" w:cs="Arial"/>
                <w:sz w:val="22"/>
                <w:szCs w:val="22"/>
              </w:rPr>
              <w:t>ts</w:t>
            </w:r>
            <w:r w:rsidR="003665D8" w:rsidRPr="00AA084F">
              <w:rPr>
                <w:rStyle w:val="normaltextrun"/>
                <w:rFonts w:ascii="Arial" w:hAnsi="Arial" w:cs="Arial"/>
                <w:sz w:val="22"/>
                <w:szCs w:val="22"/>
              </w:rPr>
              <w:t xml:space="preserve"> California electricity ratepayers; and </w:t>
            </w:r>
            <w:r w:rsidR="003665D8" w:rsidRPr="00AA084F">
              <w:rPr>
                <w:rStyle w:val="eop"/>
                <w:rFonts w:ascii="Arial" w:hAnsi="Arial" w:cs="Arial"/>
                <w:sz w:val="22"/>
                <w:szCs w:val="22"/>
              </w:rPr>
              <w:t>(2) l</w:t>
            </w:r>
            <w:r w:rsidR="003665D8" w:rsidRPr="00AA084F">
              <w:rPr>
                <w:rStyle w:val="normaltextrun"/>
                <w:rFonts w:ascii="Arial" w:hAnsi="Arial" w:cs="Arial"/>
                <w:sz w:val="22"/>
                <w:szCs w:val="22"/>
              </w:rPr>
              <w:t>ead</w:t>
            </w:r>
            <w:r w:rsidR="00616596">
              <w:rPr>
                <w:rStyle w:val="normaltextrun"/>
                <w:rFonts w:ascii="Arial" w:hAnsi="Arial" w:cs="Arial"/>
                <w:sz w:val="22"/>
                <w:szCs w:val="22"/>
              </w:rPr>
              <w:t>s</w:t>
            </w:r>
            <w:r w:rsidR="003665D8" w:rsidRPr="00AA084F">
              <w:rPr>
                <w:rStyle w:val="normaltextrun"/>
                <w:rFonts w:ascii="Arial" w:hAnsi="Arial" w:cs="Arial"/>
                <w:sz w:val="22"/>
                <w:szCs w:val="22"/>
              </w:rPr>
              <w:t xml:space="preserve"> to technological advancement and breakthroughs to overcome the barriers that prevent the achievement of the California’s statutory energy goals</w:t>
            </w:r>
            <w:r w:rsidR="00616596" w:rsidRPr="00AA084F">
              <w:rPr>
                <w:rStyle w:val="normaltextrun"/>
                <w:rFonts w:ascii="Arial" w:hAnsi="Arial" w:cs="Arial"/>
                <w:sz w:val="22"/>
                <w:szCs w:val="22"/>
              </w:rPr>
              <w:t>, as required under S</w:t>
            </w:r>
            <w:r w:rsidR="003665D8" w:rsidRPr="00AA084F">
              <w:rPr>
                <w:rStyle w:val="normaltextrun"/>
                <w:rFonts w:ascii="Arial" w:hAnsi="Arial" w:cs="Arial"/>
                <w:sz w:val="22"/>
                <w:szCs w:val="22"/>
              </w:rPr>
              <w:t>ection II. B. 2. </w:t>
            </w:r>
          </w:p>
        </w:tc>
      </w:tr>
      <w:tr w:rsidR="008F39AD" w14:paraId="0C370CDF" w14:textId="77777777" w:rsidTr="22E269BB">
        <w:tc>
          <w:tcPr>
            <w:tcW w:w="584" w:type="dxa"/>
          </w:tcPr>
          <w:p w14:paraId="6060DF60" w14:textId="73B62289" w:rsidR="008F39AD" w:rsidRDefault="00894DB4" w:rsidP="00BE30AE">
            <w:pPr>
              <w:spacing w:after="120"/>
              <w:rPr>
                <w:rFonts w:ascii="Arial" w:hAnsi="Arial" w:cs="Arial"/>
              </w:rPr>
            </w:pPr>
            <w:r>
              <w:rPr>
                <w:rFonts w:ascii="Arial" w:hAnsi="Arial" w:cs="Arial"/>
              </w:rPr>
              <w:t>71</w:t>
            </w:r>
          </w:p>
        </w:tc>
        <w:tc>
          <w:tcPr>
            <w:tcW w:w="4451" w:type="dxa"/>
          </w:tcPr>
          <w:p w14:paraId="7F664508" w14:textId="2C1B4304" w:rsidR="008F39AD" w:rsidRPr="00165CE8" w:rsidRDefault="008F39AD" w:rsidP="00BE30AE">
            <w:pPr>
              <w:spacing w:after="120"/>
              <w:rPr>
                <w:rFonts w:ascii="Arial" w:hAnsi="Arial" w:cs="Arial"/>
                <w:b/>
                <w:bCs/>
                <w:color w:val="000000"/>
              </w:rPr>
            </w:pPr>
            <w:r w:rsidRPr="00165CE8">
              <w:rPr>
                <w:rFonts w:ascii="Arial" w:hAnsi="Arial" w:cs="Arial"/>
                <w:b/>
                <w:bCs/>
                <w:color w:val="000000"/>
              </w:rPr>
              <w:t>Is it required to partner with a California company to apply and run a project?</w:t>
            </w:r>
          </w:p>
        </w:tc>
        <w:tc>
          <w:tcPr>
            <w:tcW w:w="8640" w:type="dxa"/>
          </w:tcPr>
          <w:p w14:paraId="5E204EC3" w14:textId="0C57AB50" w:rsidR="008F39AD" w:rsidRDefault="00C35104" w:rsidP="00BE30AE">
            <w:pPr>
              <w:spacing w:after="120"/>
              <w:rPr>
                <w:rFonts w:ascii="Arial" w:hAnsi="Arial" w:cs="Arial"/>
              </w:rPr>
            </w:pPr>
            <w:r>
              <w:rPr>
                <w:rFonts w:ascii="Arial" w:hAnsi="Arial" w:cs="Arial"/>
              </w:rPr>
              <w:t>The prime or o</w:t>
            </w:r>
            <w:r w:rsidR="008F39AD" w:rsidRPr="00165CE8">
              <w:rPr>
                <w:rFonts w:ascii="Arial" w:hAnsi="Arial" w:cs="Arial"/>
              </w:rPr>
              <w:t xml:space="preserve">ther project partners do not have to be located in California. </w:t>
            </w:r>
            <w:r w:rsidR="000809CF">
              <w:rPr>
                <w:rFonts w:ascii="Arial" w:hAnsi="Arial" w:cs="Arial"/>
              </w:rPr>
              <w:t>A</w:t>
            </w:r>
            <w:r w:rsidR="008F39AD" w:rsidRPr="00165CE8">
              <w:rPr>
                <w:rFonts w:ascii="Arial" w:hAnsi="Arial" w:cs="Arial"/>
              </w:rPr>
              <w:t xml:space="preserve">pplicants are encouraged to review the Scoring Criteria (section IV.F) to see how funds spent in California affects </w:t>
            </w:r>
            <w:r w:rsidR="008F39AD">
              <w:rPr>
                <w:rFonts w:ascii="Arial" w:hAnsi="Arial" w:cs="Arial"/>
              </w:rPr>
              <w:t>application scoring</w:t>
            </w:r>
            <w:r w:rsidR="008F39AD" w:rsidRPr="00165CE8">
              <w:rPr>
                <w:rFonts w:ascii="Arial" w:hAnsi="Arial" w:cs="Arial"/>
              </w:rPr>
              <w:t>.</w:t>
            </w:r>
          </w:p>
          <w:p w14:paraId="63639ACE" w14:textId="77777777" w:rsidR="00483470" w:rsidRDefault="00483470" w:rsidP="00BE30AE">
            <w:pPr>
              <w:spacing w:after="120"/>
              <w:rPr>
                <w:rFonts w:ascii="Arial" w:hAnsi="Arial" w:cs="Arial"/>
              </w:rPr>
            </w:pPr>
          </w:p>
          <w:p w14:paraId="117337F9" w14:textId="346ECA72" w:rsidR="00483470" w:rsidRPr="00165CE8" w:rsidRDefault="000809CF" w:rsidP="00BE30AE">
            <w:pPr>
              <w:spacing w:after="120"/>
              <w:rPr>
                <w:rFonts w:ascii="Arial" w:hAnsi="Arial" w:cs="Arial"/>
              </w:rPr>
            </w:pPr>
            <w:r>
              <w:rPr>
                <w:rFonts w:ascii="Arial" w:hAnsi="Arial" w:cs="Arial"/>
              </w:rPr>
              <w:t>However, p</w:t>
            </w:r>
            <w:r w:rsidR="00483470" w:rsidRPr="22E269BB">
              <w:rPr>
                <w:rFonts w:ascii="Arial" w:hAnsi="Arial" w:cs="Arial"/>
              </w:rPr>
              <w:t xml:space="preserve">rojects are required to partner with at least one CBO. A CBO must have deployed projects and/or outreach efforts within the region (for example, air basin or county) of the proposed disadvantaged or low-income community or similar community. </w:t>
            </w:r>
          </w:p>
        </w:tc>
      </w:tr>
      <w:tr w:rsidR="001B2780" w14:paraId="5AC255F5" w14:textId="77777777" w:rsidTr="22E269BB">
        <w:tc>
          <w:tcPr>
            <w:tcW w:w="584" w:type="dxa"/>
          </w:tcPr>
          <w:p w14:paraId="7F2DF0EF" w14:textId="70DAE4D4" w:rsidR="001B2780" w:rsidRDefault="00894DB4" w:rsidP="00BE30AE">
            <w:pPr>
              <w:spacing w:after="120"/>
              <w:rPr>
                <w:rFonts w:ascii="Arial" w:hAnsi="Arial" w:cs="Arial"/>
              </w:rPr>
            </w:pPr>
            <w:r>
              <w:rPr>
                <w:rFonts w:ascii="Arial" w:hAnsi="Arial" w:cs="Arial"/>
              </w:rPr>
              <w:t>72</w:t>
            </w:r>
          </w:p>
        </w:tc>
        <w:tc>
          <w:tcPr>
            <w:tcW w:w="4451" w:type="dxa"/>
          </w:tcPr>
          <w:p w14:paraId="2080FE7B" w14:textId="16A15310" w:rsidR="001B2780" w:rsidRPr="00165CE8" w:rsidRDefault="001B2780" w:rsidP="00BE30AE">
            <w:pPr>
              <w:spacing w:after="120"/>
              <w:rPr>
                <w:rFonts w:ascii="Arial" w:hAnsi="Arial" w:cs="Arial"/>
                <w:b/>
                <w:bCs/>
                <w:color w:val="000000"/>
              </w:rPr>
            </w:pPr>
            <w:r w:rsidRPr="00165CE8">
              <w:rPr>
                <w:rFonts w:ascii="Arial" w:hAnsi="Arial" w:cs="Arial"/>
                <w:b/>
                <w:bCs/>
                <w:color w:val="000000"/>
              </w:rPr>
              <w:t>Would applicants be deemed ineligible if they apply without a partner(s)?</w:t>
            </w:r>
          </w:p>
        </w:tc>
        <w:tc>
          <w:tcPr>
            <w:tcW w:w="8640" w:type="dxa"/>
          </w:tcPr>
          <w:p w14:paraId="0FAF7FB1" w14:textId="0C662F2C" w:rsidR="001B2780" w:rsidRPr="00165CE8" w:rsidRDefault="001B2780" w:rsidP="00BE30AE">
            <w:pPr>
              <w:spacing w:after="120"/>
              <w:rPr>
                <w:rFonts w:ascii="Arial" w:hAnsi="Arial" w:cs="Arial"/>
              </w:rPr>
            </w:pPr>
            <w:r>
              <w:rPr>
                <w:rFonts w:ascii="Arial" w:hAnsi="Arial" w:cs="Arial"/>
              </w:rPr>
              <w:t xml:space="preserve">Yes. </w:t>
            </w:r>
            <w:r w:rsidRPr="00165CE8">
              <w:rPr>
                <w:rFonts w:ascii="Arial" w:hAnsi="Arial" w:cs="Arial"/>
              </w:rPr>
              <w:t>Projects are required to partner with at least one CBO.</w:t>
            </w:r>
            <w:r>
              <w:rPr>
                <w:rFonts w:ascii="Arial" w:hAnsi="Arial" w:cs="Arial"/>
              </w:rPr>
              <w:t xml:space="preserve"> Beyond a CBO, p</w:t>
            </w:r>
            <w:r w:rsidRPr="00FF7C41">
              <w:rPr>
                <w:rFonts w:ascii="Arial" w:hAnsi="Arial" w:cs="Arial"/>
              </w:rPr>
              <w:t>rojects are encouraged to engage broad project partners</w:t>
            </w:r>
            <w:r>
              <w:rPr>
                <w:rFonts w:ascii="Arial" w:hAnsi="Arial" w:cs="Arial"/>
              </w:rPr>
              <w:t>, but this is not a requirement.</w:t>
            </w:r>
          </w:p>
        </w:tc>
      </w:tr>
      <w:tr w:rsidR="001B2780" w14:paraId="1DF9E8F2" w14:textId="77777777" w:rsidTr="22E269BB">
        <w:tc>
          <w:tcPr>
            <w:tcW w:w="584" w:type="dxa"/>
          </w:tcPr>
          <w:p w14:paraId="740159CD" w14:textId="7B5EAD55" w:rsidR="001B2780" w:rsidRDefault="00894DB4" w:rsidP="00BE30AE">
            <w:pPr>
              <w:spacing w:after="120"/>
              <w:rPr>
                <w:rFonts w:ascii="Arial" w:hAnsi="Arial" w:cs="Arial"/>
              </w:rPr>
            </w:pPr>
            <w:r>
              <w:rPr>
                <w:rFonts w:ascii="Arial" w:hAnsi="Arial" w:cs="Arial"/>
              </w:rPr>
              <w:t>73</w:t>
            </w:r>
          </w:p>
        </w:tc>
        <w:tc>
          <w:tcPr>
            <w:tcW w:w="4451" w:type="dxa"/>
          </w:tcPr>
          <w:p w14:paraId="72DF07E7" w14:textId="4EE4A998" w:rsidR="001B2780" w:rsidRPr="00165CE8" w:rsidRDefault="001B2780" w:rsidP="00BE30AE">
            <w:pPr>
              <w:spacing w:after="120"/>
              <w:rPr>
                <w:rFonts w:ascii="Arial" w:hAnsi="Arial" w:cs="Arial"/>
                <w:b/>
                <w:bCs/>
                <w:color w:val="000000"/>
              </w:rPr>
            </w:pPr>
            <w:r w:rsidRPr="00165CE8">
              <w:rPr>
                <w:rFonts w:ascii="Arial" w:hAnsi="Arial" w:cs="Arial"/>
                <w:b/>
                <w:bCs/>
                <w:color w:val="000000"/>
              </w:rPr>
              <w:t>Can you expand on "this solicitation is open to all public and private entities with the exception of local publicly owned electric utilities?" Can you provide rationale behind excluding local publicly owned electric utilities [reference to pre-app slide 24]?</w:t>
            </w:r>
          </w:p>
        </w:tc>
        <w:tc>
          <w:tcPr>
            <w:tcW w:w="8640" w:type="dxa"/>
          </w:tcPr>
          <w:p w14:paraId="713F21A0" w14:textId="518BDA28" w:rsidR="001B2780" w:rsidRPr="00165CE8" w:rsidRDefault="001B2780" w:rsidP="00BE30AE">
            <w:pPr>
              <w:spacing w:after="120"/>
              <w:rPr>
                <w:rFonts w:ascii="Arial" w:hAnsi="Arial" w:cs="Arial"/>
              </w:rPr>
            </w:pPr>
            <w:r w:rsidRPr="00BA41C5">
              <w:rPr>
                <w:rFonts w:ascii="Arial" w:hAnsi="Arial" w:cs="Arial"/>
              </w:rPr>
              <w:t>The Electric Program Investment Charge (EPIC) program is funded by an electricity ratepayer surcharge established by the California Public Utilities Commission (CPUC) in December 2011.</w:t>
            </w:r>
            <w:r w:rsidRPr="00165CE8">
              <w:rPr>
                <w:rFonts w:ascii="Arial" w:hAnsi="Arial" w:cs="Arial"/>
              </w:rPr>
              <w:t xml:space="preserve"> Developed technologies must benefit electricity ratepayers of California’s three largest investor-owned electric utilities</w:t>
            </w:r>
            <w:r w:rsidR="000A2D01">
              <w:rPr>
                <w:rFonts w:ascii="Arial" w:hAnsi="Arial" w:cs="Arial"/>
              </w:rPr>
              <w:t xml:space="preserve"> </w:t>
            </w:r>
            <w:r w:rsidR="000A2D01" w:rsidRPr="00AA084F">
              <w:rPr>
                <w:rFonts w:ascii="Arial" w:hAnsi="Arial" w:cs="Arial"/>
              </w:rPr>
              <w:t>(IOUs)</w:t>
            </w:r>
            <w:r w:rsidR="00A643A9" w:rsidRPr="00503D2F">
              <w:rPr>
                <w:rFonts w:ascii="Arial" w:hAnsi="Arial" w:cs="Arial"/>
              </w:rPr>
              <w:t xml:space="preserve"> </w:t>
            </w:r>
            <w:r w:rsidR="00A643A9" w:rsidRPr="00AA084F">
              <w:rPr>
                <w:rFonts w:ascii="Arial" w:hAnsi="Arial" w:cs="Arial"/>
              </w:rPr>
              <w:t xml:space="preserve">(i.e., </w:t>
            </w:r>
            <w:r w:rsidR="00D2079C" w:rsidRPr="00503D2F">
              <w:rPr>
                <w:rStyle w:val="normaltextrun"/>
                <w:rFonts w:ascii="Arial" w:hAnsi="Arial" w:cs="Arial"/>
                <w:color w:val="000000"/>
                <w:shd w:val="clear" w:color="auto" w:fill="FFFFFF"/>
              </w:rPr>
              <w:t>Pacific Gas and Electric Co., San Diego Gas and Electric Co., and Southern California</w:t>
            </w:r>
            <w:r w:rsidR="00D2079C">
              <w:rPr>
                <w:rStyle w:val="normaltextrun"/>
                <w:rFonts w:ascii="Arial" w:hAnsi="Arial" w:cs="Arial"/>
                <w:color w:val="000000"/>
                <w:shd w:val="clear" w:color="auto" w:fill="FFFFFF"/>
              </w:rPr>
              <w:t xml:space="preserve"> </w:t>
            </w:r>
            <w:r w:rsidR="00D2079C">
              <w:rPr>
                <w:rStyle w:val="findhit"/>
                <w:rFonts w:ascii="Arial" w:hAnsi="Arial" w:cs="Arial"/>
                <w:color w:val="000000"/>
              </w:rPr>
              <w:t>Edison</w:t>
            </w:r>
            <w:r w:rsidR="00D2079C">
              <w:rPr>
                <w:rStyle w:val="normaltextrun"/>
                <w:rFonts w:ascii="Arial" w:hAnsi="Arial" w:cs="Arial"/>
                <w:color w:val="000000"/>
                <w:shd w:val="clear" w:color="auto" w:fill="FFFFFF"/>
              </w:rPr>
              <w:t xml:space="preserve"> Co)</w:t>
            </w:r>
            <w:r w:rsidRPr="00165CE8">
              <w:rPr>
                <w:rFonts w:ascii="Arial" w:hAnsi="Arial" w:cs="Arial"/>
              </w:rPr>
              <w:t xml:space="preserve">. </w:t>
            </w:r>
            <w:r w:rsidR="000A2D01">
              <w:rPr>
                <w:rStyle w:val="normaltextrun"/>
                <w:rFonts w:ascii="Arial" w:hAnsi="Arial" w:cs="Arial"/>
                <w:color w:val="000000"/>
                <w:shd w:val="clear" w:color="auto" w:fill="FFFFFF"/>
              </w:rPr>
              <w:t>The EPIC program is administered by the CEC and the IOUs.</w:t>
            </w:r>
            <w:r w:rsidR="000A2D01">
              <w:rPr>
                <w:rStyle w:val="eop"/>
                <w:rFonts w:ascii="Arial" w:hAnsi="Arial" w:cs="Arial"/>
                <w:color w:val="000000"/>
                <w:shd w:val="clear" w:color="auto" w:fill="FFFFFF"/>
              </w:rPr>
              <w:t> </w:t>
            </w:r>
            <w:r w:rsidRPr="00165CE8">
              <w:rPr>
                <w:rFonts w:ascii="Arial" w:hAnsi="Arial" w:cs="Arial"/>
              </w:rPr>
              <w:t>In accordance with CPUC Decision 12-05-037, EPIC funds administered by the CEC may not be used for any purposes associated with local publicly owned electric utility activities.</w:t>
            </w:r>
          </w:p>
        </w:tc>
      </w:tr>
      <w:tr w:rsidR="001B2780" w14:paraId="0187F9D2" w14:textId="77777777" w:rsidTr="22E269BB">
        <w:tc>
          <w:tcPr>
            <w:tcW w:w="584" w:type="dxa"/>
          </w:tcPr>
          <w:p w14:paraId="3AB9C787" w14:textId="2719F7EC" w:rsidR="001B2780" w:rsidRDefault="00894DB4" w:rsidP="00BE30AE">
            <w:pPr>
              <w:spacing w:after="120"/>
              <w:rPr>
                <w:rFonts w:ascii="Arial" w:hAnsi="Arial" w:cs="Arial"/>
              </w:rPr>
            </w:pPr>
            <w:r>
              <w:rPr>
                <w:rFonts w:ascii="Arial" w:hAnsi="Arial" w:cs="Arial"/>
              </w:rPr>
              <w:t>74</w:t>
            </w:r>
          </w:p>
        </w:tc>
        <w:tc>
          <w:tcPr>
            <w:tcW w:w="4451" w:type="dxa"/>
          </w:tcPr>
          <w:p w14:paraId="042858B1" w14:textId="5D2B73FB" w:rsidR="001B2780" w:rsidRPr="00165CE8" w:rsidRDefault="001B2780" w:rsidP="00BE30AE">
            <w:pPr>
              <w:spacing w:after="120"/>
              <w:rPr>
                <w:rFonts w:ascii="Arial" w:hAnsi="Arial" w:cs="Arial"/>
                <w:b/>
                <w:bCs/>
                <w:color w:val="000000"/>
              </w:rPr>
            </w:pPr>
            <w:r w:rsidRPr="00165CE8">
              <w:rPr>
                <w:rFonts w:ascii="Arial" w:hAnsi="Arial" w:cs="Arial"/>
                <w:b/>
                <w:bCs/>
                <w:color w:val="000000"/>
              </w:rPr>
              <w:t>Is it true an entity can only be prime for one proposal/group but can be a subcontractor for unlimited number of proposals?</w:t>
            </w:r>
          </w:p>
        </w:tc>
        <w:tc>
          <w:tcPr>
            <w:tcW w:w="8640" w:type="dxa"/>
          </w:tcPr>
          <w:p w14:paraId="1505CAA5" w14:textId="08A700C1" w:rsidR="001B2780" w:rsidRPr="00165CE8" w:rsidRDefault="001B2780" w:rsidP="00BE30AE">
            <w:pPr>
              <w:spacing w:after="120"/>
              <w:rPr>
                <w:rFonts w:ascii="Arial" w:hAnsi="Arial" w:cs="Arial"/>
              </w:rPr>
            </w:pPr>
            <w:r w:rsidRPr="00165CE8">
              <w:rPr>
                <w:rFonts w:ascii="Arial" w:hAnsi="Arial" w:cs="Arial"/>
              </w:rPr>
              <w:t>Applicants may submit multiple applications, though each application must address only one of the project groups. If an applicant submits multiple applications that address the same project group, each application must be for a distinct project (</w:t>
            </w:r>
            <w:r w:rsidR="0094492B">
              <w:rPr>
                <w:rFonts w:ascii="Arial" w:hAnsi="Arial" w:cs="Arial"/>
              </w:rPr>
              <w:t>that is</w:t>
            </w:r>
            <w:r w:rsidRPr="00165CE8">
              <w:rPr>
                <w:rFonts w:ascii="Arial" w:hAnsi="Arial" w:cs="Arial"/>
              </w:rPr>
              <w:t>, no overlap with respect to the technical tasks described in the Scope of Work).</w:t>
            </w:r>
          </w:p>
          <w:p w14:paraId="1A3BC96D" w14:textId="77777777" w:rsidR="001B2780" w:rsidRPr="00165CE8" w:rsidRDefault="001B2780" w:rsidP="00BE30AE">
            <w:pPr>
              <w:spacing w:after="120"/>
              <w:rPr>
                <w:rFonts w:ascii="Arial" w:hAnsi="Arial" w:cs="Arial"/>
              </w:rPr>
            </w:pPr>
          </w:p>
          <w:p w14:paraId="1ADF3F31" w14:textId="4B8F95C9" w:rsidR="001B2780" w:rsidRPr="00165CE8" w:rsidRDefault="6DCB958F" w:rsidP="00BE30AE">
            <w:pPr>
              <w:spacing w:after="120"/>
              <w:rPr>
                <w:rFonts w:ascii="Arial" w:hAnsi="Arial" w:cs="Arial"/>
              </w:rPr>
            </w:pPr>
            <w:r w:rsidRPr="22E269BB">
              <w:rPr>
                <w:rFonts w:ascii="Arial" w:hAnsi="Arial" w:cs="Arial"/>
              </w:rPr>
              <w:lastRenderedPageBreak/>
              <w:t xml:space="preserve">There is no restriction on the number of applications </w:t>
            </w:r>
            <w:r w:rsidR="42C8BCD6" w:rsidRPr="22E269BB">
              <w:rPr>
                <w:rFonts w:ascii="Arial" w:hAnsi="Arial" w:cs="Arial"/>
              </w:rPr>
              <w:t xml:space="preserve">for which </w:t>
            </w:r>
            <w:r w:rsidRPr="22E269BB">
              <w:rPr>
                <w:rFonts w:ascii="Arial" w:hAnsi="Arial" w:cs="Arial"/>
              </w:rPr>
              <w:t xml:space="preserve">an entity can </w:t>
            </w:r>
            <w:r w:rsidR="60FAA7A1" w:rsidRPr="22E269BB">
              <w:rPr>
                <w:rFonts w:ascii="Arial" w:hAnsi="Arial" w:cs="Arial"/>
              </w:rPr>
              <w:t>serve as</w:t>
            </w:r>
            <w:r w:rsidRPr="22E269BB">
              <w:rPr>
                <w:rFonts w:ascii="Arial" w:hAnsi="Arial" w:cs="Arial"/>
              </w:rPr>
              <w:t xml:space="preserve"> a subcontractor.</w:t>
            </w:r>
          </w:p>
        </w:tc>
      </w:tr>
      <w:tr w:rsidR="001B2780" w14:paraId="1E0E00B0" w14:textId="77777777" w:rsidTr="22E269BB">
        <w:tc>
          <w:tcPr>
            <w:tcW w:w="584" w:type="dxa"/>
          </w:tcPr>
          <w:p w14:paraId="1A368091" w14:textId="71B8ED35" w:rsidR="001B2780" w:rsidRDefault="00894DB4" w:rsidP="00BE30AE">
            <w:pPr>
              <w:spacing w:after="120"/>
              <w:rPr>
                <w:rFonts w:ascii="Arial" w:hAnsi="Arial" w:cs="Arial"/>
              </w:rPr>
            </w:pPr>
            <w:r>
              <w:rPr>
                <w:rFonts w:ascii="Arial" w:hAnsi="Arial" w:cs="Arial"/>
              </w:rPr>
              <w:lastRenderedPageBreak/>
              <w:t>7</w:t>
            </w:r>
            <w:r w:rsidR="00FC2AA3">
              <w:rPr>
                <w:rFonts w:ascii="Arial" w:hAnsi="Arial" w:cs="Arial"/>
              </w:rPr>
              <w:t>5</w:t>
            </w:r>
          </w:p>
        </w:tc>
        <w:tc>
          <w:tcPr>
            <w:tcW w:w="4451" w:type="dxa"/>
          </w:tcPr>
          <w:p w14:paraId="37EEF63F" w14:textId="551ACACE" w:rsidR="001B2780" w:rsidRPr="00165CE8" w:rsidRDefault="001B2780" w:rsidP="00BE30AE">
            <w:pPr>
              <w:spacing w:after="120"/>
              <w:rPr>
                <w:rFonts w:ascii="Arial" w:hAnsi="Arial" w:cs="Arial"/>
                <w:b/>
                <w:bCs/>
                <w:color w:val="000000"/>
              </w:rPr>
            </w:pPr>
            <w:r w:rsidRPr="00DA5013">
              <w:rPr>
                <w:rFonts w:ascii="Arial" w:hAnsi="Arial" w:cs="Arial"/>
                <w:b/>
                <w:bCs/>
                <w:color w:val="000000"/>
              </w:rPr>
              <w:t>Is there any reason a Community Choice Aggregator would be ineligible as a partner? Could they be considered a CBO?</w:t>
            </w:r>
          </w:p>
        </w:tc>
        <w:tc>
          <w:tcPr>
            <w:tcW w:w="8640" w:type="dxa"/>
          </w:tcPr>
          <w:p w14:paraId="131D883E" w14:textId="221E2A96" w:rsidR="00BC7FFE" w:rsidRPr="00503D2F" w:rsidRDefault="009A68F1" w:rsidP="00BE30AE">
            <w:pPr>
              <w:spacing w:after="120"/>
              <w:rPr>
                <w:rFonts w:ascii="Arial" w:hAnsi="Arial" w:cs="Arial"/>
              </w:rPr>
            </w:pPr>
            <w:r w:rsidRPr="00AA084F">
              <w:rPr>
                <w:rStyle w:val="normaltextrun"/>
                <w:rFonts w:ascii="Arial" w:hAnsi="Arial" w:cs="Arial"/>
                <w:color w:val="000000"/>
                <w:shd w:val="clear" w:color="auto" w:fill="FFFFFF"/>
              </w:rPr>
              <w:t>A p</w:t>
            </w:r>
            <w:r w:rsidR="00CC65D2" w:rsidRPr="00AA084F">
              <w:rPr>
                <w:rStyle w:val="normaltextrun"/>
                <w:rFonts w:ascii="Arial" w:hAnsi="Arial" w:cs="Arial"/>
                <w:color w:val="000000"/>
                <w:shd w:val="clear" w:color="auto" w:fill="FFFFFF"/>
              </w:rPr>
              <w:t>roject partner is</w:t>
            </w:r>
            <w:r w:rsidR="00BC7FFE" w:rsidRPr="00AA084F">
              <w:rPr>
                <w:rStyle w:val="normaltextrun"/>
                <w:rFonts w:ascii="Arial" w:hAnsi="Arial" w:cs="Arial"/>
                <w:color w:val="000000"/>
                <w:shd w:val="clear" w:color="auto" w:fill="FFFFFF"/>
              </w:rPr>
              <w:t xml:space="preserve"> </w:t>
            </w:r>
            <w:r w:rsidR="00BC7FFE" w:rsidRPr="00503D2F">
              <w:rPr>
                <w:rStyle w:val="normaltextrun"/>
                <w:rFonts w:ascii="Arial" w:hAnsi="Arial" w:cs="Arial"/>
                <w:color w:val="000000"/>
                <w:shd w:val="clear" w:color="auto" w:fill="FFFFFF"/>
              </w:rPr>
              <w:t>a</w:t>
            </w:r>
            <w:r w:rsidR="00CE59D1" w:rsidRPr="00AA084F">
              <w:rPr>
                <w:rStyle w:val="normaltextrun"/>
                <w:rFonts w:ascii="Arial" w:hAnsi="Arial" w:cs="Arial"/>
                <w:color w:val="000000"/>
                <w:shd w:val="clear" w:color="auto" w:fill="FFFFFF"/>
              </w:rPr>
              <w:t xml:space="preserve"> </w:t>
            </w:r>
            <w:r w:rsidR="00BC7FFE" w:rsidRPr="00503D2F">
              <w:rPr>
                <w:rStyle w:val="normaltextrun"/>
                <w:rFonts w:ascii="Arial" w:hAnsi="Arial" w:cs="Arial"/>
                <w:color w:val="000000"/>
                <w:shd w:val="clear" w:color="auto" w:fill="FFFFFF"/>
              </w:rPr>
              <w:t>person or entity that contributes financially or otherwise to the project (e.g., match funding, provision of a test, demonstration or deployment site), and does not receive CEC funds. </w:t>
            </w:r>
            <w:r w:rsidR="00BC7FFE" w:rsidRPr="00503D2F">
              <w:rPr>
                <w:rStyle w:val="eop"/>
                <w:rFonts w:ascii="Arial" w:hAnsi="Arial" w:cs="Arial"/>
                <w:color w:val="000000"/>
                <w:shd w:val="clear" w:color="auto" w:fill="FFFFFF"/>
              </w:rPr>
              <w:t> </w:t>
            </w:r>
          </w:p>
          <w:p w14:paraId="0C803C5C" w14:textId="77777777" w:rsidR="00BC7FFE" w:rsidRDefault="00BC7FFE" w:rsidP="00BE30AE">
            <w:pPr>
              <w:spacing w:after="120"/>
              <w:rPr>
                <w:rFonts w:ascii="Arial" w:hAnsi="Arial" w:cs="Arial"/>
              </w:rPr>
            </w:pPr>
          </w:p>
          <w:p w14:paraId="5E8CB173" w14:textId="77777777" w:rsidR="009A68F1" w:rsidRDefault="001B2780" w:rsidP="00BE30AE">
            <w:pPr>
              <w:spacing w:after="120"/>
              <w:rPr>
                <w:rFonts w:ascii="Arial" w:hAnsi="Arial" w:cs="Arial"/>
              </w:rPr>
            </w:pPr>
            <w:r>
              <w:rPr>
                <w:rFonts w:ascii="Arial" w:hAnsi="Arial" w:cs="Arial"/>
              </w:rPr>
              <w:t>All CBOs must meet the requirements outlined in Section I.B. These include: (1) h</w:t>
            </w:r>
            <w:r w:rsidRPr="007C2A50">
              <w:rPr>
                <w:rFonts w:ascii="Arial" w:hAnsi="Arial" w:cs="Arial"/>
              </w:rPr>
              <w:t>as deployed projects and/or outreach efforts within the region (</w:t>
            </w:r>
            <w:r w:rsidR="00D45B50">
              <w:rPr>
                <w:rFonts w:ascii="Arial" w:hAnsi="Arial" w:cs="Arial"/>
              </w:rPr>
              <w:t>for example</w:t>
            </w:r>
            <w:r w:rsidRPr="007C2A50">
              <w:rPr>
                <w:rFonts w:ascii="Arial" w:hAnsi="Arial" w:cs="Arial"/>
              </w:rPr>
              <w:t>, air basin or county) of the proposed disadvantaged or low-income community or similar community</w:t>
            </w:r>
            <w:r>
              <w:rPr>
                <w:rFonts w:ascii="Arial" w:hAnsi="Arial" w:cs="Arial"/>
              </w:rPr>
              <w:t>; (2) h</w:t>
            </w:r>
            <w:r w:rsidRPr="00972E7E">
              <w:rPr>
                <w:rFonts w:ascii="Arial" w:hAnsi="Arial" w:cs="Arial"/>
              </w:rPr>
              <w:t>as an official mission and vision statements that expressly identifies serving disadvantaged and/or low-income communities</w:t>
            </w:r>
            <w:r>
              <w:rPr>
                <w:rFonts w:ascii="Arial" w:hAnsi="Arial" w:cs="Arial"/>
              </w:rPr>
              <w:t>; and (3) c</w:t>
            </w:r>
            <w:r w:rsidRPr="00DA5013">
              <w:rPr>
                <w:rFonts w:ascii="Arial" w:hAnsi="Arial" w:cs="Arial"/>
              </w:rPr>
              <w:t>urrently employs staff member(s) who specialized in and are dedicated to – diversity, or equity, or inclusion, or is a 501(c)(3) non-profit</w:t>
            </w:r>
            <w:r>
              <w:rPr>
                <w:rFonts w:ascii="Arial" w:hAnsi="Arial" w:cs="Arial"/>
              </w:rPr>
              <w:t>.</w:t>
            </w:r>
          </w:p>
          <w:p w14:paraId="19C0D1A1" w14:textId="77777777" w:rsidR="009A68F1" w:rsidRDefault="009A68F1" w:rsidP="00BE30AE">
            <w:pPr>
              <w:spacing w:after="120"/>
            </w:pPr>
          </w:p>
          <w:p w14:paraId="656991DF" w14:textId="213136B8" w:rsidR="001B2780" w:rsidRPr="00165CE8" w:rsidRDefault="009426C1" w:rsidP="00BE30AE">
            <w:pPr>
              <w:spacing w:after="120"/>
              <w:rPr>
                <w:rFonts w:ascii="Arial" w:hAnsi="Arial" w:cs="Arial"/>
              </w:rPr>
            </w:pPr>
            <w:r>
              <w:rPr>
                <w:rFonts w:ascii="Arial" w:hAnsi="Arial" w:cs="Arial"/>
              </w:rPr>
              <w:t>Nothing, in this solicitation, prevent</w:t>
            </w:r>
            <w:r w:rsidR="00503D2F">
              <w:rPr>
                <w:rFonts w:ascii="Arial" w:hAnsi="Arial" w:cs="Arial"/>
              </w:rPr>
              <w:t>s</w:t>
            </w:r>
            <w:r>
              <w:rPr>
                <w:rFonts w:ascii="Arial" w:hAnsi="Arial" w:cs="Arial"/>
              </w:rPr>
              <w:t xml:space="preserve"> a Community Choice Agreement from being </w:t>
            </w:r>
            <w:r w:rsidR="00503D2F">
              <w:rPr>
                <w:rFonts w:ascii="Arial" w:hAnsi="Arial" w:cs="Arial"/>
              </w:rPr>
              <w:t xml:space="preserve">eligible as </w:t>
            </w:r>
            <w:r>
              <w:rPr>
                <w:rFonts w:ascii="Arial" w:hAnsi="Arial" w:cs="Arial"/>
              </w:rPr>
              <w:t>a partner. Consequently, i</w:t>
            </w:r>
            <w:r w:rsidR="00E61BA2">
              <w:rPr>
                <w:rFonts w:ascii="Arial" w:hAnsi="Arial" w:cs="Arial"/>
              </w:rPr>
              <w:t>f a Community Choice Aggregator meets the definition of</w:t>
            </w:r>
            <w:r w:rsidR="005575AC">
              <w:rPr>
                <w:rFonts w:ascii="Arial" w:hAnsi="Arial" w:cs="Arial"/>
              </w:rPr>
              <w:t xml:space="preserve"> Project Partner or </w:t>
            </w:r>
            <w:r w:rsidR="00E61BA2">
              <w:rPr>
                <w:rFonts w:ascii="Arial" w:hAnsi="Arial" w:cs="Arial"/>
              </w:rPr>
              <w:t xml:space="preserve">CBO, then it </w:t>
            </w:r>
            <w:r w:rsidR="005E7ED9">
              <w:rPr>
                <w:rFonts w:ascii="Arial" w:hAnsi="Arial" w:cs="Arial"/>
              </w:rPr>
              <w:t xml:space="preserve">could </w:t>
            </w:r>
            <w:r w:rsidR="005575AC">
              <w:rPr>
                <w:rFonts w:ascii="Arial" w:hAnsi="Arial" w:cs="Arial"/>
              </w:rPr>
              <w:t>qualify as such</w:t>
            </w:r>
            <w:r w:rsidR="002828A3">
              <w:rPr>
                <w:rFonts w:ascii="Arial" w:hAnsi="Arial" w:cs="Arial"/>
              </w:rPr>
              <w:t xml:space="preserve">. </w:t>
            </w:r>
          </w:p>
        </w:tc>
      </w:tr>
      <w:tr w:rsidR="001B2780" w14:paraId="38072E77" w14:textId="77777777" w:rsidTr="22E269BB">
        <w:tc>
          <w:tcPr>
            <w:tcW w:w="584" w:type="dxa"/>
          </w:tcPr>
          <w:p w14:paraId="5C6E9AF0" w14:textId="2DD9A839" w:rsidR="001B2780" w:rsidRDefault="00894DB4" w:rsidP="00BE30AE">
            <w:pPr>
              <w:spacing w:after="120"/>
              <w:rPr>
                <w:rFonts w:ascii="Arial" w:hAnsi="Arial" w:cs="Arial"/>
              </w:rPr>
            </w:pPr>
            <w:r>
              <w:rPr>
                <w:rFonts w:ascii="Arial" w:hAnsi="Arial" w:cs="Arial"/>
              </w:rPr>
              <w:t>7</w:t>
            </w:r>
            <w:r w:rsidR="00FC2AA3">
              <w:rPr>
                <w:rFonts w:ascii="Arial" w:hAnsi="Arial" w:cs="Arial"/>
              </w:rPr>
              <w:t>6</w:t>
            </w:r>
          </w:p>
        </w:tc>
        <w:tc>
          <w:tcPr>
            <w:tcW w:w="4451" w:type="dxa"/>
          </w:tcPr>
          <w:p w14:paraId="1A3AC713" w14:textId="46EDC0F5" w:rsidR="001B2780" w:rsidRPr="00165CE8" w:rsidRDefault="001B2780" w:rsidP="00BE30AE">
            <w:pPr>
              <w:spacing w:after="120"/>
              <w:rPr>
                <w:rFonts w:ascii="Arial" w:hAnsi="Arial" w:cs="Arial"/>
                <w:b/>
                <w:bCs/>
                <w:color w:val="000000"/>
              </w:rPr>
            </w:pPr>
            <w:r w:rsidRPr="002B3C87">
              <w:rPr>
                <w:rFonts w:ascii="Arial" w:hAnsi="Arial" w:cs="Arial"/>
                <w:b/>
                <w:bCs/>
                <w:color w:val="000000"/>
              </w:rPr>
              <w:t>Does “located in” [in reference to the match reduction qualification requirement] mean R&amp;D, deployment, either, or both?</w:t>
            </w:r>
            <w:r>
              <w:rPr>
                <w:rFonts w:ascii="Arial" w:hAnsi="Arial" w:cs="Arial"/>
                <w:b/>
                <w:bCs/>
                <w:color w:val="000000"/>
              </w:rPr>
              <w:t xml:space="preserve"> </w:t>
            </w:r>
          </w:p>
        </w:tc>
        <w:tc>
          <w:tcPr>
            <w:tcW w:w="8640" w:type="dxa"/>
          </w:tcPr>
          <w:p w14:paraId="5BF3EE3B" w14:textId="083B2C4B" w:rsidR="001B2780" w:rsidRPr="00165CE8" w:rsidRDefault="001B2780" w:rsidP="00BE30AE">
            <w:pPr>
              <w:spacing w:after="120"/>
              <w:rPr>
                <w:rFonts w:ascii="Arial" w:hAnsi="Arial" w:cs="Arial"/>
              </w:rPr>
            </w:pPr>
            <w:r>
              <w:rPr>
                <w:rFonts w:ascii="Arial" w:hAnsi="Arial" w:cs="Arial"/>
              </w:rPr>
              <w:t>The question is referring to, “</w:t>
            </w:r>
            <w:r w:rsidRPr="00A21D3B">
              <w:rPr>
                <w:rFonts w:ascii="Arial" w:hAnsi="Arial" w:cs="Arial"/>
              </w:rPr>
              <w:t>The match funding requirement is reduced to at least 10% of the requested CEC funds for projects located in and benefiting a California Native American Tribe, Disadvantaged Community, and/or Low Income Community</w:t>
            </w:r>
            <w:r>
              <w:rPr>
                <w:rFonts w:ascii="Arial" w:hAnsi="Arial" w:cs="Arial"/>
              </w:rPr>
              <w:t xml:space="preserve">,” under Match Funding Requirement (Section I.D.2). </w:t>
            </w:r>
            <w:r w:rsidR="00023135" w:rsidRPr="3808C4E5">
              <w:rPr>
                <w:rFonts w:ascii="Arial" w:hAnsi="Arial" w:cs="Arial"/>
              </w:rPr>
              <w:t xml:space="preserve">Addendum 2 has revised the </w:t>
            </w:r>
            <w:r w:rsidR="00023135" w:rsidRPr="75E20A09">
              <w:rPr>
                <w:rFonts w:ascii="Arial" w:hAnsi="Arial" w:cs="Arial"/>
              </w:rPr>
              <w:t>Solicitation Manual</w:t>
            </w:r>
            <w:r w:rsidR="00023135">
              <w:rPr>
                <w:rFonts w:ascii="Arial" w:hAnsi="Arial" w:cs="Arial"/>
              </w:rPr>
              <w:t xml:space="preserve"> (Section I.</w:t>
            </w:r>
            <w:r w:rsidR="004F02D1">
              <w:rPr>
                <w:rFonts w:ascii="Arial" w:hAnsi="Arial" w:cs="Arial"/>
              </w:rPr>
              <w:t>D.2</w:t>
            </w:r>
            <w:r w:rsidR="00023135">
              <w:rPr>
                <w:rFonts w:ascii="Arial" w:hAnsi="Arial" w:cs="Arial"/>
              </w:rPr>
              <w:t>)</w:t>
            </w:r>
            <w:r w:rsidR="00023135" w:rsidRPr="75E20A09">
              <w:rPr>
                <w:rFonts w:ascii="Arial" w:hAnsi="Arial" w:cs="Arial"/>
              </w:rPr>
              <w:t xml:space="preserve"> to</w:t>
            </w:r>
            <w:r w:rsidR="004F02D1">
              <w:rPr>
                <w:rFonts w:ascii="Arial" w:hAnsi="Arial" w:cs="Arial"/>
              </w:rPr>
              <w:t xml:space="preserve"> clarify that the </w:t>
            </w:r>
            <w:r>
              <w:rPr>
                <w:rFonts w:ascii="Arial" w:hAnsi="Arial" w:cs="Arial"/>
              </w:rPr>
              <w:t>demonstration</w:t>
            </w:r>
            <w:r w:rsidR="00F53FC8">
              <w:rPr>
                <w:rFonts w:ascii="Arial" w:hAnsi="Arial" w:cs="Arial"/>
              </w:rPr>
              <w:t>/deployment</w:t>
            </w:r>
            <w:r>
              <w:rPr>
                <w:rFonts w:ascii="Arial" w:hAnsi="Arial" w:cs="Arial"/>
              </w:rPr>
              <w:t xml:space="preserve"> site must be located in these communities to qualify for match reduction. </w:t>
            </w:r>
          </w:p>
        </w:tc>
      </w:tr>
      <w:tr w:rsidR="001B2780" w14:paraId="1F3618DC" w14:textId="77777777" w:rsidTr="22E269BB">
        <w:tc>
          <w:tcPr>
            <w:tcW w:w="584" w:type="dxa"/>
          </w:tcPr>
          <w:p w14:paraId="05ABFC9B" w14:textId="25E8BCD6" w:rsidR="001B2780" w:rsidRDefault="00894DB4" w:rsidP="00BE30AE">
            <w:pPr>
              <w:spacing w:after="120"/>
              <w:rPr>
                <w:rFonts w:ascii="Arial" w:hAnsi="Arial" w:cs="Arial"/>
              </w:rPr>
            </w:pPr>
            <w:r>
              <w:rPr>
                <w:rFonts w:ascii="Arial" w:hAnsi="Arial" w:cs="Arial"/>
              </w:rPr>
              <w:t>7</w:t>
            </w:r>
            <w:r w:rsidR="00FC2AA3">
              <w:rPr>
                <w:rFonts w:ascii="Arial" w:hAnsi="Arial" w:cs="Arial"/>
              </w:rPr>
              <w:t>7</w:t>
            </w:r>
          </w:p>
        </w:tc>
        <w:tc>
          <w:tcPr>
            <w:tcW w:w="4451" w:type="dxa"/>
          </w:tcPr>
          <w:p w14:paraId="320672D1" w14:textId="27D91198" w:rsidR="001B2780" w:rsidRPr="00165CE8" w:rsidRDefault="001B2780" w:rsidP="00BE30AE">
            <w:pPr>
              <w:spacing w:after="120"/>
              <w:rPr>
                <w:rFonts w:ascii="Arial" w:hAnsi="Arial" w:cs="Arial"/>
                <w:b/>
                <w:bCs/>
                <w:color w:val="000000"/>
              </w:rPr>
            </w:pPr>
            <w:r w:rsidRPr="00B10951">
              <w:rPr>
                <w:rFonts w:ascii="Arial" w:hAnsi="Arial" w:cs="Arial"/>
                <w:b/>
                <w:bCs/>
              </w:rPr>
              <w:t>Can we finalize the cooperation with the related parties (CBO and contractor with EVITP certification), after the proposal submission but before the anticipated CEC business meeting, or is it a pre-requisite for application submission?</w:t>
            </w:r>
          </w:p>
        </w:tc>
        <w:tc>
          <w:tcPr>
            <w:tcW w:w="8640" w:type="dxa"/>
          </w:tcPr>
          <w:p w14:paraId="22E11533" w14:textId="0440E8AF" w:rsidR="001B2780" w:rsidRDefault="00297372" w:rsidP="00BE30AE">
            <w:pPr>
              <w:spacing w:after="120"/>
              <w:rPr>
                <w:rFonts w:ascii="Arial" w:hAnsi="Arial" w:cs="Arial"/>
              </w:rPr>
            </w:pPr>
            <w:r>
              <w:rPr>
                <w:rFonts w:ascii="Arial" w:hAnsi="Arial" w:cs="Arial"/>
              </w:rPr>
              <w:t>Applicants are required</w:t>
            </w:r>
            <w:r w:rsidR="001B2780">
              <w:rPr>
                <w:rFonts w:ascii="Arial" w:hAnsi="Arial" w:cs="Arial"/>
              </w:rPr>
              <w:t xml:space="preserve"> to identify a CBO and describe their role in the project and the benefits their partnership will bring</w:t>
            </w:r>
            <w:r>
              <w:rPr>
                <w:rFonts w:ascii="Arial" w:hAnsi="Arial" w:cs="Arial"/>
              </w:rPr>
              <w:t xml:space="preserve"> in the Project Narrative (Attachment 2)</w:t>
            </w:r>
            <w:r w:rsidR="001B2780">
              <w:rPr>
                <w:rFonts w:ascii="Arial" w:hAnsi="Arial" w:cs="Arial"/>
              </w:rPr>
              <w:t xml:space="preserve">. </w:t>
            </w:r>
          </w:p>
          <w:p w14:paraId="2FF70046" w14:textId="77777777" w:rsidR="001B2780" w:rsidRDefault="001B2780" w:rsidP="00BE30AE">
            <w:pPr>
              <w:spacing w:after="120"/>
              <w:rPr>
                <w:rFonts w:ascii="Arial" w:hAnsi="Arial" w:cs="Arial"/>
              </w:rPr>
            </w:pPr>
          </w:p>
          <w:p w14:paraId="3C6F91B8" w14:textId="31D2407E" w:rsidR="001B2780" w:rsidRPr="00165CE8" w:rsidRDefault="001B2780" w:rsidP="00BE30AE">
            <w:pPr>
              <w:spacing w:after="120"/>
              <w:rPr>
                <w:rFonts w:ascii="Arial" w:hAnsi="Arial" w:cs="Arial"/>
              </w:rPr>
            </w:pPr>
            <w:r>
              <w:rPr>
                <w:rFonts w:ascii="Arial" w:hAnsi="Arial" w:cs="Arial"/>
              </w:rPr>
              <w:t>Partnership with contractors with EVITP certification can be finalized during agreement development (the period after awarded projects are announced and before the CEC business meeting).</w:t>
            </w:r>
          </w:p>
        </w:tc>
      </w:tr>
      <w:tr w:rsidR="00D2120B" w14:paraId="13135D74" w14:textId="77777777" w:rsidTr="22E269BB">
        <w:tc>
          <w:tcPr>
            <w:tcW w:w="584" w:type="dxa"/>
          </w:tcPr>
          <w:p w14:paraId="64D02D9F" w14:textId="7F068A7F" w:rsidR="00D2120B" w:rsidRDefault="00894DB4" w:rsidP="00BE30AE">
            <w:pPr>
              <w:spacing w:after="120"/>
              <w:rPr>
                <w:rFonts w:ascii="Arial" w:hAnsi="Arial" w:cs="Arial"/>
              </w:rPr>
            </w:pPr>
            <w:r>
              <w:rPr>
                <w:rFonts w:ascii="Arial" w:hAnsi="Arial" w:cs="Arial"/>
              </w:rPr>
              <w:t>7</w:t>
            </w:r>
            <w:r w:rsidR="00FC2AA3">
              <w:rPr>
                <w:rFonts w:ascii="Arial" w:hAnsi="Arial" w:cs="Arial"/>
              </w:rPr>
              <w:t>8</w:t>
            </w:r>
          </w:p>
        </w:tc>
        <w:tc>
          <w:tcPr>
            <w:tcW w:w="4451" w:type="dxa"/>
          </w:tcPr>
          <w:p w14:paraId="2173148A" w14:textId="78D494D1" w:rsidR="00D2120B" w:rsidRPr="00B10951" w:rsidRDefault="00D2120B" w:rsidP="00BE30AE">
            <w:pPr>
              <w:spacing w:after="120"/>
              <w:rPr>
                <w:rFonts w:ascii="Arial" w:hAnsi="Arial" w:cs="Arial"/>
                <w:b/>
                <w:bCs/>
              </w:rPr>
            </w:pPr>
            <w:r w:rsidRPr="00E64316">
              <w:rPr>
                <w:rFonts w:ascii="Arial" w:hAnsi="Arial" w:cs="Arial"/>
                <w:b/>
                <w:bCs/>
                <w:color w:val="000000"/>
              </w:rPr>
              <w:t xml:space="preserve">From an equity/CBO perspective, can you confirm that the primary </w:t>
            </w:r>
            <w:r w:rsidRPr="00E64316">
              <w:rPr>
                <w:rFonts w:ascii="Arial" w:hAnsi="Arial" w:cs="Arial"/>
                <w:b/>
                <w:bCs/>
                <w:color w:val="000000"/>
              </w:rPr>
              <w:lastRenderedPageBreak/>
              <w:t>“requirement” is partnering with a CBO? And if we go the extra step of locating the project in a DAC/LIC/Tribal area, then the match requirement falls from 25% to 10%?</w:t>
            </w:r>
          </w:p>
        </w:tc>
        <w:tc>
          <w:tcPr>
            <w:tcW w:w="8640" w:type="dxa"/>
          </w:tcPr>
          <w:p w14:paraId="282F50AB" w14:textId="77777777" w:rsidR="00D2120B" w:rsidRDefault="00D2120B" w:rsidP="00BE30AE">
            <w:pPr>
              <w:spacing w:after="120"/>
              <w:rPr>
                <w:rFonts w:ascii="Arial" w:hAnsi="Arial" w:cs="Arial"/>
              </w:rPr>
            </w:pPr>
            <w:r>
              <w:rPr>
                <w:rFonts w:ascii="Arial" w:hAnsi="Arial" w:cs="Arial"/>
              </w:rPr>
              <w:lastRenderedPageBreak/>
              <w:t xml:space="preserve">Partnering with a CBO is a requirement for all groups. </w:t>
            </w:r>
          </w:p>
          <w:p w14:paraId="3A36853E" w14:textId="77777777" w:rsidR="00D2120B" w:rsidRDefault="00D2120B" w:rsidP="00BE30AE">
            <w:pPr>
              <w:spacing w:after="120"/>
              <w:rPr>
                <w:rFonts w:ascii="Arial" w:hAnsi="Arial" w:cs="Arial"/>
              </w:rPr>
            </w:pPr>
          </w:p>
          <w:p w14:paraId="58A25C2F" w14:textId="4B45CB26" w:rsidR="00D2120B" w:rsidRDefault="00D2120B" w:rsidP="00BE30AE">
            <w:pPr>
              <w:spacing w:after="120"/>
              <w:rPr>
                <w:rFonts w:ascii="Arial" w:hAnsi="Arial" w:cs="Arial"/>
              </w:rPr>
            </w:pPr>
            <w:r>
              <w:rPr>
                <w:rFonts w:ascii="Arial" w:hAnsi="Arial" w:cs="Arial"/>
              </w:rPr>
              <w:lastRenderedPageBreak/>
              <w:t xml:space="preserve">If the project is located in and benefiting a </w:t>
            </w:r>
            <w:r w:rsidRPr="00BA75F1">
              <w:rPr>
                <w:rFonts w:ascii="Arial" w:hAnsi="Arial" w:cs="Arial"/>
              </w:rPr>
              <w:t>DAC/LIC/</w:t>
            </w:r>
            <w:r w:rsidR="009A5F33">
              <w:rPr>
                <w:rFonts w:ascii="Arial" w:hAnsi="Arial" w:cs="Arial"/>
              </w:rPr>
              <w:t>Tribe</w:t>
            </w:r>
            <w:r>
              <w:rPr>
                <w:rFonts w:ascii="Arial" w:hAnsi="Arial" w:cs="Arial"/>
              </w:rPr>
              <w:t xml:space="preserve">, the match requirement is reduced from 25% to 10%. </w:t>
            </w:r>
          </w:p>
          <w:p w14:paraId="56E7BB90" w14:textId="4FF92432" w:rsidR="00D2120B" w:rsidRDefault="00D2120B" w:rsidP="00BE30AE">
            <w:pPr>
              <w:spacing w:after="120"/>
              <w:rPr>
                <w:rFonts w:ascii="Arial" w:hAnsi="Arial" w:cs="Arial"/>
              </w:rPr>
            </w:pPr>
          </w:p>
        </w:tc>
      </w:tr>
      <w:tr w:rsidR="001B2780" w14:paraId="0585EB6E" w14:textId="77777777" w:rsidTr="22E269BB">
        <w:tc>
          <w:tcPr>
            <w:tcW w:w="584" w:type="dxa"/>
          </w:tcPr>
          <w:p w14:paraId="12689374" w14:textId="2B50F60F" w:rsidR="001B2780" w:rsidRDefault="00FC2AA3" w:rsidP="00BE30AE">
            <w:pPr>
              <w:spacing w:after="120"/>
              <w:rPr>
                <w:rFonts w:ascii="Arial" w:hAnsi="Arial" w:cs="Arial"/>
              </w:rPr>
            </w:pPr>
            <w:r>
              <w:rPr>
                <w:rFonts w:ascii="Arial" w:hAnsi="Arial" w:cs="Arial"/>
              </w:rPr>
              <w:lastRenderedPageBreak/>
              <w:t>79</w:t>
            </w:r>
          </w:p>
        </w:tc>
        <w:tc>
          <w:tcPr>
            <w:tcW w:w="4451" w:type="dxa"/>
          </w:tcPr>
          <w:p w14:paraId="50ED9651" w14:textId="3EB0886A" w:rsidR="001B2780" w:rsidRPr="00165CE8" w:rsidRDefault="001B2780" w:rsidP="00BE30AE">
            <w:pPr>
              <w:spacing w:after="120"/>
              <w:rPr>
                <w:rFonts w:ascii="Arial" w:hAnsi="Arial" w:cs="Arial"/>
                <w:b/>
                <w:bCs/>
                <w:color w:val="000000"/>
              </w:rPr>
            </w:pPr>
            <w:r w:rsidRPr="002D34E8">
              <w:rPr>
                <w:rFonts w:ascii="Arial" w:hAnsi="Arial" w:cs="Arial"/>
                <w:b/>
                <w:bCs/>
              </w:rPr>
              <w:t>Is it possible to submit a proposal with a different/shorter schedule (</w:t>
            </w:r>
            <w:r w:rsidR="00D45B50">
              <w:rPr>
                <w:rFonts w:ascii="Arial" w:hAnsi="Arial" w:cs="Arial"/>
                <w:b/>
                <w:bCs/>
              </w:rPr>
              <w:t>for example</w:t>
            </w:r>
            <w:r w:rsidRPr="002D34E8">
              <w:rPr>
                <w:rFonts w:ascii="Arial" w:hAnsi="Arial" w:cs="Arial"/>
                <w:b/>
                <w:bCs/>
              </w:rPr>
              <w:t>, demonstrating the capability before October 2027). If yes, is it expected to be considered an advantage to this proposal?</w:t>
            </w:r>
          </w:p>
        </w:tc>
        <w:tc>
          <w:tcPr>
            <w:tcW w:w="8640" w:type="dxa"/>
          </w:tcPr>
          <w:p w14:paraId="45AC7EB6" w14:textId="36B58121" w:rsidR="001B2780" w:rsidRPr="00165CE8" w:rsidRDefault="001B2780" w:rsidP="00BE30AE">
            <w:pPr>
              <w:spacing w:after="120"/>
              <w:rPr>
                <w:rFonts w:ascii="Arial" w:hAnsi="Arial" w:cs="Arial"/>
              </w:rPr>
            </w:pPr>
            <w:r>
              <w:rPr>
                <w:rFonts w:ascii="Arial" w:hAnsi="Arial" w:cs="Arial"/>
              </w:rPr>
              <w:t xml:space="preserve">Yes, applicants can propose a shorter project term. Proposals will be evaluated based on scoring criteria described in Section IV.F. The </w:t>
            </w:r>
            <w:r w:rsidRPr="00370DB4">
              <w:rPr>
                <w:rFonts w:ascii="Arial" w:hAnsi="Arial" w:cs="Arial"/>
              </w:rPr>
              <w:t>degree to which the proposed work is technically feasible and achievable within the proposed Project Schedule</w:t>
            </w:r>
            <w:r>
              <w:rPr>
                <w:rFonts w:ascii="Arial" w:hAnsi="Arial" w:cs="Arial"/>
              </w:rPr>
              <w:t xml:space="preserve"> will be considered in Scoring Criterion 2. Technical Approach. CEC cannot advise on whether a shorter schedule will be advantageous or not for any particular proposal.  </w:t>
            </w:r>
          </w:p>
        </w:tc>
      </w:tr>
      <w:tr w:rsidR="001B2780" w14:paraId="5C0271D7" w14:textId="77777777" w:rsidTr="22E269BB">
        <w:tc>
          <w:tcPr>
            <w:tcW w:w="584" w:type="dxa"/>
          </w:tcPr>
          <w:p w14:paraId="6A96ACF4" w14:textId="7C4028AB" w:rsidR="001B2780" w:rsidRDefault="00894DB4" w:rsidP="00BE30AE">
            <w:pPr>
              <w:spacing w:after="120"/>
              <w:rPr>
                <w:rFonts w:ascii="Arial" w:hAnsi="Arial" w:cs="Arial"/>
              </w:rPr>
            </w:pPr>
            <w:r>
              <w:rPr>
                <w:rFonts w:ascii="Arial" w:hAnsi="Arial" w:cs="Arial"/>
              </w:rPr>
              <w:t>8</w:t>
            </w:r>
            <w:r w:rsidR="00FC2AA3">
              <w:rPr>
                <w:rFonts w:ascii="Arial" w:hAnsi="Arial" w:cs="Arial"/>
              </w:rPr>
              <w:t>0</w:t>
            </w:r>
          </w:p>
        </w:tc>
        <w:tc>
          <w:tcPr>
            <w:tcW w:w="4451" w:type="dxa"/>
          </w:tcPr>
          <w:p w14:paraId="3175EDC0" w14:textId="33FED5E7" w:rsidR="001B2780" w:rsidRPr="00165CE8" w:rsidRDefault="001B2780" w:rsidP="00BE30AE">
            <w:pPr>
              <w:spacing w:after="120"/>
              <w:rPr>
                <w:rFonts w:ascii="Arial" w:hAnsi="Arial" w:cs="Arial"/>
                <w:b/>
                <w:bCs/>
                <w:color w:val="000000"/>
              </w:rPr>
            </w:pPr>
            <w:r w:rsidRPr="00875C91">
              <w:rPr>
                <w:rFonts w:ascii="Arial" w:eastAsia="Times New Roman" w:hAnsi="Arial" w:cs="Arial"/>
                <w:b/>
                <w:bCs/>
              </w:rPr>
              <w:t>Is the Bay Area Community Colleges Advanced Manufacturing Program eligible as a Community Based Organization?</w:t>
            </w:r>
          </w:p>
        </w:tc>
        <w:tc>
          <w:tcPr>
            <w:tcW w:w="8640" w:type="dxa"/>
          </w:tcPr>
          <w:p w14:paraId="142EA1D0" w14:textId="3BEA3F3A" w:rsidR="001B2780" w:rsidRPr="00165CE8" w:rsidRDefault="001B2780" w:rsidP="00BE30AE">
            <w:pPr>
              <w:spacing w:after="120"/>
              <w:rPr>
                <w:rFonts w:ascii="Arial" w:hAnsi="Arial" w:cs="Arial"/>
              </w:rPr>
            </w:pPr>
            <w:r>
              <w:rPr>
                <w:rFonts w:ascii="Arial" w:hAnsi="Arial" w:cs="Arial"/>
              </w:rPr>
              <w:t xml:space="preserve">For the purposes of this solicitation, the definition of a CBO is outlined in Section I.B. Key Words/Terms in the Solicitation Manual. A CBO is a </w:t>
            </w:r>
            <w:r w:rsidRPr="009910A3">
              <w:rPr>
                <w:rFonts w:ascii="Arial" w:hAnsi="Arial" w:cs="Arial"/>
              </w:rPr>
              <w:t>public or private nonprofit organization of demonstrated effectiveness that</w:t>
            </w:r>
            <w:r>
              <w:rPr>
                <w:rFonts w:ascii="Arial" w:hAnsi="Arial" w:cs="Arial"/>
              </w:rPr>
              <w:t>: (1) h</w:t>
            </w:r>
            <w:r w:rsidRPr="007C2A50">
              <w:rPr>
                <w:rFonts w:ascii="Arial" w:hAnsi="Arial" w:cs="Arial"/>
              </w:rPr>
              <w:t>as deployed projects and/or outreach efforts within the region (</w:t>
            </w:r>
            <w:r w:rsidR="00D45B50">
              <w:rPr>
                <w:rFonts w:ascii="Arial" w:hAnsi="Arial" w:cs="Arial"/>
              </w:rPr>
              <w:t>for example</w:t>
            </w:r>
            <w:r w:rsidRPr="007C2A50">
              <w:rPr>
                <w:rFonts w:ascii="Arial" w:hAnsi="Arial" w:cs="Arial"/>
              </w:rPr>
              <w:t>, air basin or county) of the proposed disadvantaged or low-income community or similar community</w:t>
            </w:r>
            <w:r>
              <w:rPr>
                <w:rFonts w:ascii="Arial" w:hAnsi="Arial" w:cs="Arial"/>
              </w:rPr>
              <w:t>; (2) h</w:t>
            </w:r>
            <w:r w:rsidRPr="00972E7E">
              <w:rPr>
                <w:rFonts w:ascii="Arial" w:hAnsi="Arial" w:cs="Arial"/>
              </w:rPr>
              <w:t>as an official mission and vision statements that expressly identifies serving disadvantaged and/or low-income communities</w:t>
            </w:r>
            <w:r>
              <w:rPr>
                <w:rFonts w:ascii="Arial" w:hAnsi="Arial" w:cs="Arial"/>
              </w:rPr>
              <w:t>; and (3) c</w:t>
            </w:r>
            <w:r w:rsidRPr="00DA5013">
              <w:rPr>
                <w:rFonts w:ascii="Arial" w:hAnsi="Arial" w:cs="Arial"/>
              </w:rPr>
              <w:t>urrently employs staff member(s) who specialized in and are dedicated to – diversity, or equity, or inclusion, or is a 501(c)(3) non-profit</w:t>
            </w:r>
            <w:r>
              <w:rPr>
                <w:rFonts w:ascii="Arial" w:hAnsi="Arial" w:cs="Arial"/>
              </w:rPr>
              <w:t>.</w:t>
            </w:r>
            <w:r w:rsidR="003177A7">
              <w:rPr>
                <w:rFonts w:ascii="Arial" w:hAnsi="Arial" w:cs="Arial"/>
              </w:rPr>
              <w:t xml:space="preserve"> </w:t>
            </w:r>
            <w:r w:rsidR="0048055C">
              <w:rPr>
                <w:rFonts w:ascii="Arial" w:hAnsi="Arial" w:cs="Arial"/>
              </w:rPr>
              <w:t>If the Bay Area Community Colleges Advanced Manufacturing Program fits this definition</w:t>
            </w:r>
            <w:r w:rsidR="00F57B02">
              <w:rPr>
                <w:rFonts w:ascii="Arial" w:hAnsi="Arial" w:cs="Arial"/>
              </w:rPr>
              <w:t xml:space="preserve">, it could </w:t>
            </w:r>
            <w:r w:rsidR="00B12D7A">
              <w:rPr>
                <w:rFonts w:ascii="Arial" w:hAnsi="Arial" w:cs="Arial"/>
              </w:rPr>
              <w:t xml:space="preserve">qualify </w:t>
            </w:r>
            <w:r w:rsidR="003177A7">
              <w:rPr>
                <w:rFonts w:ascii="Arial" w:hAnsi="Arial" w:cs="Arial"/>
              </w:rPr>
              <w:t xml:space="preserve">as a CBO. </w:t>
            </w:r>
          </w:p>
        </w:tc>
      </w:tr>
      <w:tr w:rsidR="001B2780" w14:paraId="0C8302E5" w14:textId="77777777" w:rsidTr="22E269BB">
        <w:tc>
          <w:tcPr>
            <w:tcW w:w="584" w:type="dxa"/>
          </w:tcPr>
          <w:p w14:paraId="67B28CE0" w14:textId="4DB797FA" w:rsidR="001B2780" w:rsidRDefault="00894DB4" w:rsidP="00BE30AE">
            <w:pPr>
              <w:spacing w:after="120"/>
              <w:rPr>
                <w:rFonts w:ascii="Arial" w:hAnsi="Arial" w:cs="Arial"/>
              </w:rPr>
            </w:pPr>
            <w:r>
              <w:rPr>
                <w:rFonts w:ascii="Arial" w:hAnsi="Arial" w:cs="Arial"/>
              </w:rPr>
              <w:t>8</w:t>
            </w:r>
            <w:r w:rsidR="00FB70CB">
              <w:rPr>
                <w:rFonts w:ascii="Arial" w:hAnsi="Arial" w:cs="Arial"/>
              </w:rPr>
              <w:t>1</w:t>
            </w:r>
          </w:p>
        </w:tc>
        <w:tc>
          <w:tcPr>
            <w:tcW w:w="4451" w:type="dxa"/>
          </w:tcPr>
          <w:p w14:paraId="47D352FA" w14:textId="079D764F" w:rsidR="001B2780" w:rsidRPr="00165CE8" w:rsidRDefault="001B2780" w:rsidP="00BE30AE">
            <w:pPr>
              <w:spacing w:after="120"/>
              <w:rPr>
                <w:rFonts w:ascii="Arial" w:hAnsi="Arial" w:cs="Arial"/>
                <w:b/>
                <w:bCs/>
                <w:color w:val="000000"/>
              </w:rPr>
            </w:pPr>
            <w:r w:rsidRPr="003B2A87">
              <w:rPr>
                <w:rFonts w:ascii="Arial" w:hAnsi="Arial" w:cs="Arial"/>
                <w:b/>
                <w:bCs/>
              </w:rPr>
              <w:t>Are all commitment and support letters limited to two pages per letter or is two pages the total amount allowed for all commitment and support letters?</w:t>
            </w:r>
          </w:p>
        </w:tc>
        <w:tc>
          <w:tcPr>
            <w:tcW w:w="8640" w:type="dxa"/>
          </w:tcPr>
          <w:p w14:paraId="1123265A" w14:textId="140A9534" w:rsidR="001B2780" w:rsidRPr="00165CE8" w:rsidRDefault="001B2780" w:rsidP="00BE30AE">
            <w:pPr>
              <w:spacing w:after="120"/>
              <w:rPr>
                <w:rFonts w:ascii="Arial" w:hAnsi="Arial" w:cs="Arial"/>
              </w:rPr>
            </w:pPr>
            <w:r>
              <w:rPr>
                <w:rFonts w:ascii="Arial" w:eastAsia="Times New Roman" w:hAnsi="Arial" w:cs="Arial"/>
              </w:rPr>
              <w:t>Commitment and support letters are limited to two pages per letter, excluding the cover page.</w:t>
            </w:r>
          </w:p>
        </w:tc>
      </w:tr>
      <w:tr w:rsidR="001B2780" w14:paraId="303137CD" w14:textId="77777777" w:rsidTr="22E269BB">
        <w:tc>
          <w:tcPr>
            <w:tcW w:w="584" w:type="dxa"/>
          </w:tcPr>
          <w:p w14:paraId="124EC0CF" w14:textId="2DA5BBCA" w:rsidR="001B2780" w:rsidRDefault="00894DB4" w:rsidP="00BE30AE">
            <w:pPr>
              <w:spacing w:after="120"/>
              <w:rPr>
                <w:rFonts w:ascii="Arial" w:hAnsi="Arial" w:cs="Arial"/>
              </w:rPr>
            </w:pPr>
            <w:r>
              <w:rPr>
                <w:rFonts w:ascii="Arial" w:hAnsi="Arial" w:cs="Arial"/>
              </w:rPr>
              <w:t>8</w:t>
            </w:r>
            <w:r w:rsidR="00FB70CB">
              <w:rPr>
                <w:rFonts w:ascii="Arial" w:hAnsi="Arial" w:cs="Arial"/>
              </w:rPr>
              <w:t>2</w:t>
            </w:r>
          </w:p>
        </w:tc>
        <w:tc>
          <w:tcPr>
            <w:tcW w:w="4451" w:type="dxa"/>
          </w:tcPr>
          <w:p w14:paraId="72477E24" w14:textId="3FEC35F9" w:rsidR="001B2780" w:rsidRPr="00165CE8" w:rsidRDefault="001B2780" w:rsidP="00BE30AE">
            <w:pPr>
              <w:spacing w:after="120"/>
              <w:rPr>
                <w:rFonts w:ascii="Arial" w:hAnsi="Arial" w:cs="Arial"/>
                <w:b/>
                <w:bCs/>
                <w:color w:val="000000"/>
              </w:rPr>
            </w:pPr>
            <w:r w:rsidRPr="005B520A">
              <w:rPr>
                <w:rFonts w:ascii="Arial" w:hAnsi="Arial" w:cs="Arial"/>
                <w:b/>
                <w:bCs/>
              </w:rPr>
              <w:t>Can you provide more information on whether Past Projects Information (</w:t>
            </w:r>
            <w:r>
              <w:rPr>
                <w:rFonts w:ascii="Arial" w:hAnsi="Arial" w:cs="Arial"/>
                <w:b/>
                <w:bCs/>
              </w:rPr>
              <w:t>A</w:t>
            </w:r>
            <w:r w:rsidRPr="005B520A">
              <w:rPr>
                <w:rFonts w:ascii="Arial" w:hAnsi="Arial" w:cs="Arial"/>
                <w:b/>
                <w:bCs/>
              </w:rPr>
              <w:t>ttachment 8) is only for previous agreements with the CEC or if the CEC is seeking information on relevant projects the applicants have conducted?</w:t>
            </w:r>
          </w:p>
        </w:tc>
        <w:tc>
          <w:tcPr>
            <w:tcW w:w="8640" w:type="dxa"/>
          </w:tcPr>
          <w:p w14:paraId="3BBF2D14" w14:textId="36F640BE" w:rsidR="001B2780" w:rsidRPr="00165CE8" w:rsidRDefault="001B2780" w:rsidP="00BE30AE">
            <w:pPr>
              <w:spacing w:after="120"/>
              <w:rPr>
                <w:rFonts w:ascii="Arial" w:hAnsi="Arial" w:cs="Arial"/>
              </w:rPr>
            </w:pPr>
            <w:r>
              <w:rPr>
                <w:rFonts w:ascii="Arial" w:hAnsi="Arial" w:cs="Arial"/>
              </w:rPr>
              <w:t>The Past Projects Information (Attachment 8) requires applicants to list past agreements with the CEC; list past agreements with other entities (</w:t>
            </w:r>
            <w:r w:rsidR="0094492B">
              <w:rPr>
                <w:rFonts w:ascii="Arial" w:hAnsi="Arial" w:cs="Arial"/>
              </w:rPr>
              <w:t>that is</w:t>
            </w:r>
            <w:r>
              <w:rPr>
                <w:rFonts w:ascii="Arial" w:hAnsi="Arial" w:cs="Arial"/>
              </w:rPr>
              <w:t>, other public agencies, California utilities, Department of Energy, or other agreements that included public funding); describe in detail relevant past projects; and list recent publications.</w:t>
            </w:r>
          </w:p>
        </w:tc>
      </w:tr>
      <w:tr w:rsidR="001B2780" w14:paraId="1803A938" w14:textId="77777777" w:rsidTr="22E269BB">
        <w:tc>
          <w:tcPr>
            <w:tcW w:w="584" w:type="dxa"/>
          </w:tcPr>
          <w:p w14:paraId="242ED60D" w14:textId="182F2AE1" w:rsidR="001B2780" w:rsidRDefault="00894DB4" w:rsidP="00BE30AE">
            <w:pPr>
              <w:spacing w:after="120"/>
              <w:rPr>
                <w:rFonts w:ascii="Arial" w:hAnsi="Arial" w:cs="Arial"/>
              </w:rPr>
            </w:pPr>
            <w:r>
              <w:rPr>
                <w:rFonts w:ascii="Arial" w:hAnsi="Arial" w:cs="Arial"/>
              </w:rPr>
              <w:lastRenderedPageBreak/>
              <w:t>8</w:t>
            </w:r>
            <w:r w:rsidR="00FB70CB">
              <w:rPr>
                <w:rFonts w:ascii="Arial" w:hAnsi="Arial" w:cs="Arial"/>
              </w:rPr>
              <w:t>3</w:t>
            </w:r>
          </w:p>
        </w:tc>
        <w:tc>
          <w:tcPr>
            <w:tcW w:w="4451" w:type="dxa"/>
          </w:tcPr>
          <w:p w14:paraId="33D6676C" w14:textId="12A899EC" w:rsidR="001B2780" w:rsidRPr="00165CE8" w:rsidRDefault="001B2780" w:rsidP="00BE30AE">
            <w:pPr>
              <w:spacing w:after="120"/>
              <w:rPr>
                <w:rFonts w:ascii="Arial" w:hAnsi="Arial" w:cs="Arial"/>
                <w:b/>
                <w:bCs/>
                <w:color w:val="000000"/>
              </w:rPr>
            </w:pPr>
            <w:r w:rsidRPr="007576F9">
              <w:rPr>
                <w:rFonts w:ascii="Arial" w:eastAsia="Times New Roman" w:hAnsi="Arial" w:cs="Arial"/>
                <w:b/>
                <w:bCs/>
              </w:rPr>
              <w:t>If a proposed project will deploy a software technology over a broader distribution-constrained geographic area that contains qualified DAC or LIC areas but also non-DAC and non-LIC areas, would this project qualify for the 10% match instead of the 25% match?</w:t>
            </w:r>
          </w:p>
        </w:tc>
        <w:tc>
          <w:tcPr>
            <w:tcW w:w="8640" w:type="dxa"/>
          </w:tcPr>
          <w:p w14:paraId="434A64A3" w14:textId="43070740" w:rsidR="001B2780" w:rsidRPr="00165CE8" w:rsidRDefault="001B2780" w:rsidP="00BE30AE">
            <w:pPr>
              <w:spacing w:after="120"/>
              <w:rPr>
                <w:rFonts w:ascii="Arial" w:hAnsi="Arial" w:cs="Arial"/>
              </w:rPr>
            </w:pPr>
            <w:r>
              <w:rPr>
                <w:rFonts w:ascii="Arial" w:eastAsia="Times New Roman" w:hAnsi="Arial" w:cs="Arial"/>
              </w:rPr>
              <w:t>Yes, a project with multiple demonstration</w:t>
            </w:r>
            <w:r w:rsidR="00F53FC8">
              <w:rPr>
                <w:rFonts w:ascii="Arial" w:eastAsia="Times New Roman" w:hAnsi="Arial" w:cs="Arial"/>
              </w:rPr>
              <w:t>/deployment</w:t>
            </w:r>
            <w:r>
              <w:rPr>
                <w:rFonts w:ascii="Arial" w:eastAsia="Times New Roman" w:hAnsi="Arial" w:cs="Arial"/>
              </w:rPr>
              <w:t xml:space="preserve"> sites in both qualified disadvantaged, low-income, and/or tribal areas and sites outside of these areas will qualify for the match reduction.</w:t>
            </w:r>
          </w:p>
        </w:tc>
      </w:tr>
      <w:tr w:rsidR="001B2780" w14:paraId="77BC935D" w14:textId="77777777" w:rsidTr="22E269BB">
        <w:tc>
          <w:tcPr>
            <w:tcW w:w="584" w:type="dxa"/>
          </w:tcPr>
          <w:p w14:paraId="148C8F67" w14:textId="0839367A" w:rsidR="001B2780" w:rsidRDefault="00894DB4" w:rsidP="00BE30AE">
            <w:pPr>
              <w:spacing w:after="120"/>
              <w:rPr>
                <w:rFonts w:ascii="Arial" w:hAnsi="Arial" w:cs="Arial"/>
              </w:rPr>
            </w:pPr>
            <w:r>
              <w:rPr>
                <w:rFonts w:ascii="Arial" w:hAnsi="Arial" w:cs="Arial"/>
              </w:rPr>
              <w:t>8</w:t>
            </w:r>
            <w:r w:rsidR="00FB70CB">
              <w:rPr>
                <w:rFonts w:ascii="Arial" w:hAnsi="Arial" w:cs="Arial"/>
              </w:rPr>
              <w:t>4</w:t>
            </w:r>
          </w:p>
        </w:tc>
        <w:tc>
          <w:tcPr>
            <w:tcW w:w="4451" w:type="dxa"/>
          </w:tcPr>
          <w:p w14:paraId="6F6621CE" w14:textId="194DA09A" w:rsidR="001B2780" w:rsidRPr="00165CE8" w:rsidRDefault="001B2780" w:rsidP="00BE30AE">
            <w:pPr>
              <w:spacing w:after="120"/>
              <w:rPr>
                <w:rFonts w:ascii="Arial" w:hAnsi="Arial" w:cs="Arial"/>
                <w:b/>
                <w:bCs/>
                <w:color w:val="000000"/>
              </w:rPr>
            </w:pPr>
            <w:r w:rsidRPr="00EA618A">
              <w:rPr>
                <w:rFonts w:ascii="Arial" w:eastAsia="Times New Roman" w:hAnsi="Arial" w:cs="Arial"/>
                <w:b/>
                <w:bCs/>
              </w:rPr>
              <w:t>Can an applicant submit two applications that propose to demonstrate the same technologies and general project design, but in different utility service territories and with different project partners? Would this difference in territory and partners constitute enough of a project distinction to be eligible as separate applications?</w:t>
            </w:r>
          </w:p>
        </w:tc>
        <w:tc>
          <w:tcPr>
            <w:tcW w:w="8640" w:type="dxa"/>
          </w:tcPr>
          <w:p w14:paraId="1FA010E2" w14:textId="5BAA54E5" w:rsidR="001B2780" w:rsidRDefault="001B2780" w:rsidP="00BE30AE">
            <w:pPr>
              <w:spacing w:after="120"/>
              <w:rPr>
                <w:rFonts w:ascii="Arial" w:hAnsi="Arial" w:cs="Arial"/>
              </w:rPr>
            </w:pPr>
            <w:r w:rsidRPr="00165CE8">
              <w:rPr>
                <w:rFonts w:ascii="Arial" w:hAnsi="Arial" w:cs="Arial"/>
              </w:rPr>
              <w:t>Applicants may submit multiple applications, though each application must address only one of the project groups. If an applicant submits multiple applications that address the same project group, each application must be for a distinct project (</w:t>
            </w:r>
            <w:r w:rsidR="0094492B">
              <w:rPr>
                <w:rFonts w:ascii="Arial" w:hAnsi="Arial" w:cs="Arial"/>
              </w:rPr>
              <w:t>that is</w:t>
            </w:r>
            <w:r w:rsidRPr="00165CE8">
              <w:rPr>
                <w:rFonts w:ascii="Arial" w:hAnsi="Arial" w:cs="Arial"/>
              </w:rPr>
              <w:t>, no overlap with respect to the technical tasks described in the Scope of Work).</w:t>
            </w:r>
          </w:p>
          <w:p w14:paraId="5AB47B47" w14:textId="77777777" w:rsidR="001B2780" w:rsidRDefault="001B2780" w:rsidP="00BE30AE">
            <w:pPr>
              <w:spacing w:after="120"/>
              <w:rPr>
                <w:rFonts w:ascii="Arial" w:hAnsi="Arial" w:cs="Arial"/>
              </w:rPr>
            </w:pPr>
          </w:p>
          <w:p w14:paraId="3C2BCF4D" w14:textId="28FAAD78" w:rsidR="001B2780" w:rsidRPr="00165CE8" w:rsidRDefault="001B2780" w:rsidP="00BE30AE">
            <w:pPr>
              <w:spacing w:after="120"/>
              <w:rPr>
                <w:rFonts w:ascii="Arial" w:hAnsi="Arial" w:cs="Arial"/>
              </w:rPr>
            </w:pPr>
            <w:r>
              <w:rPr>
                <w:rFonts w:ascii="Arial" w:hAnsi="Arial" w:cs="Arial"/>
              </w:rPr>
              <w:t xml:space="preserve">Applicants cannot submit multiple applications if the service territory and project partners are different, but the technical tasks in the SOW remain the same. </w:t>
            </w:r>
            <w:r w:rsidR="006E7B81">
              <w:rPr>
                <w:rFonts w:ascii="Arial" w:hAnsi="Arial" w:cs="Arial"/>
              </w:rPr>
              <w:t xml:space="preserve">An alternative approach would be to submit one application </w:t>
            </w:r>
            <w:r w:rsidR="00D95C69">
              <w:rPr>
                <w:rFonts w:ascii="Arial" w:hAnsi="Arial" w:cs="Arial"/>
              </w:rPr>
              <w:t xml:space="preserve">where the technology is demonstrated </w:t>
            </w:r>
            <w:r w:rsidR="00BA443B">
              <w:rPr>
                <w:rFonts w:ascii="Arial" w:hAnsi="Arial" w:cs="Arial"/>
              </w:rPr>
              <w:t xml:space="preserve">at multiple sites </w:t>
            </w:r>
            <w:r w:rsidR="005F1644">
              <w:rPr>
                <w:rFonts w:ascii="Arial" w:hAnsi="Arial" w:cs="Arial"/>
              </w:rPr>
              <w:t xml:space="preserve">(can be different </w:t>
            </w:r>
            <w:r w:rsidR="009F62C1">
              <w:rPr>
                <w:rFonts w:ascii="Arial" w:hAnsi="Arial" w:cs="Arial"/>
              </w:rPr>
              <w:t>service territories</w:t>
            </w:r>
            <w:r w:rsidR="00B47DCC">
              <w:rPr>
                <w:rFonts w:ascii="Arial" w:hAnsi="Arial" w:cs="Arial"/>
              </w:rPr>
              <w:t xml:space="preserve">) </w:t>
            </w:r>
            <w:r w:rsidR="00EF593E">
              <w:rPr>
                <w:rFonts w:ascii="Arial" w:hAnsi="Arial" w:cs="Arial"/>
              </w:rPr>
              <w:t xml:space="preserve">with different project partners. </w:t>
            </w:r>
          </w:p>
        </w:tc>
      </w:tr>
      <w:tr w:rsidR="001B2780" w14:paraId="1EF2147B" w14:textId="77777777" w:rsidTr="22E269BB">
        <w:tc>
          <w:tcPr>
            <w:tcW w:w="584" w:type="dxa"/>
          </w:tcPr>
          <w:p w14:paraId="1F9BB4B0" w14:textId="0C3E245A" w:rsidR="001B2780" w:rsidRDefault="004421BD" w:rsidP="00BE30AE">
            <w:pPr>
              <w:spacing w:after="120"/>
              <w:rPr>
                <w:rFonts w:ascii="Arial" w:hAnsi="Arial" w:cs="Arial"/>
              </w:rPr>
            </w:pPr>
            <w:r>
              <w:rPr>
                <w:rFonts w:ascii="Arial" w:hAnsi="Arial" w:cs="Arial"/>
              </w:rPr>
              <w:t>8</w:t>
            </w:r>
            <w:r w:rsidR="00FB70CB">
              <w:rPr>
                <w:rFonts w:ascii="Arial" w:hAnsi="Arial" w:cs="Arial"/>
              </w:rPr>
              <w:t>5</w:t>
            </w:r>
          </w:p>
        </w:tc>
        <w:tc>
          <w:tcPr>
            <w:tcW w:w="4451" w:type="dxa"/>
          </w:tcPr>
          <w:p w14:paraId="336F9A1B" w14:textId="27CF94C8" w:rsidR="001B2780" w:rsidRPr="00EA618A" w:rsidRDefault="001B2780" w:rsidP="00BE30AE">
            <w:pPr>
              <w:spacing w:after="120"/>
              <w:rPr>
                <w:rFonts w:ascii="Arial" w:eastAsia="Times New Roman" w:hAnsi="Arial" w:cs="Arial"/>
                <w:b/>
                <w:bCs/>
              </w:rPr>
            </w:pPr>
            <w:r w:rsidRPr="00D100C8">
              <w:rPr>
                <w:rFonts w:ascii="Arial" w:eastAsia="Times New Roman" w:hAnsi="Arial" w:cs="Arial"/>
                <w:b/>
                <w:bCs/>
              </w:rPr>
              <w:t>How does the role of a CCA differ from that of an IOU under the context of this solicitation?</w:t>
            </w:r>
          </w:p>
        </w:tc>
        <w:tc>
          <w:tcPr>
            <w:tcW w:w="8640" w:type="dxa"/>
          </w:tcPr>
          <w:p w14:paraId="78A94002" w14:textId="77777777" w:rsidR="001B2780" w:rsidRDefault="001B2780" w:rsidP="00BE30AE">
            <w:pPr>
              <w:spacing w:after="120"/>
              <w:rPr>
                <w:rFonts w:ascii="Arial" w:eastAsia="Times New Roman" w:hAnsi="Arial" w:cs="Arial"/>
              </w:rPr>
            </w:pPr>
            <w:r>
              <w:rPr>
                <w:rFonts w:ascii="Arial" w:eastAsia="Times New Roman" w:hAnsi="Arial" w:cs="Arial"/>
              </w:rPr>
              <w:t xml:space="preserve">Electric investor-owned utilities (IOUs) in California include Pacific Gas and Electric Company (PG&amp;E), Southern California Electric (SCE), and San Diego Gas &amp; Electric Company (SDG&amp;E). The Electric Program Investment Charge (EPIC) program is funded by ratepayers of these utilities, which is why the projects funded under this solicitation must benefit these ratepayers. </w:t>
            </w:r>
          </w:p>
          <w:p w14:paraId="10099686" w14:textId="77777777" w:rsidR="001B2780" w:rsidRDefault="001B2780" w:rsidP="00BE30AE">
            <w:pPr>
              <w:spacing w:after="120"/>
              <w:rPr>
                <w:rFonts w:ascii="Arial" w:eastAsia="Times New Roman" w:hAnsi="Arial" w:cs="Arial"/>
              </w:rPr>
            </w:pPr>
          </w:p>
          <w:p w14:paraId="5B77D34D" w14:textId="182802F5" w:rsidR="001B2780" w:rsidRPr="00165CE8" w:rsidRDefault="001B2780" w:rsidP="00BE30AE">
            <w:pPr>
              <w:spacing w:after="120"/>
              <w:rPr>
                <w:rFonts w:ascii="Arial" w:hAnsi="Arial" w:cs="Arial"/>
              </w:rPr>
            </w:pPr>
            <w:r>
              <w:rPr>
                <w:rFonts w:ascii="Arial" w:eastAsia="Times New Roman" w:hAnsi="Arial" w:cs="Arial"/>
              </w:rPr>
              <w:t xml:space="preserve">Community Choice Aggregations (CCAs) are public entities formed by local communities and available within the service territories of IOUs. </w:t>
            </w:r>
            <w:r w:rsidR="0088446C">
              <w:rPr>
                <w:rFonts w:ascii="Arial" w:hAnsi="Arial" w:cs="Arial"/>
              </w:rPr>
              <w:t>Customers using a CCA served by an IOU are still considered to be in IOU territory.</w:t>
            </w:r>
          </w:p>
        </w:tc>
      </w:tr>
      <w:tr w:rsidR="001B2780" w14:paraId="2FCB268C" w14:textId="77777777" w:rsidTr="22E269BB">
        <w:tc>
          <w:tcPr>
            <w:tcW w:w="584" w:type="dxa"/>
          </w:tcPr>
          <w:p w14:paraId="49B2A82E" w14:textId="302C1C9F" w:rsidR="001B2780" w:rsidRDefault="004421BD" w:rsidP="00BE30AE">
            <w:pPr>
              <w:spacing w:after="120"/>
              <w:rPr>
                <w:rFonts w:ascii="Arial" w:hAnsi="Arial" w:cs="Arial"/>
              </w:rPr>
            </w:pPr>
            <w:r>
              <w:rPr>
                <w:rFonts w:ascii="Arial" w:hAnsi="Arial" w:cs="Arial"/>
              </w:rPr>
              <w:t>8</w:t>
            </w:r>
            <w:r w:rsidR="00FB70CB">
              <w:rPr>
                <w:rFonts w:ascii="Arial" w:hAnsi="Arial" w:cs="Arial"/>
              </w:rPr>
              <w:t>6</w:t>
            </w:r>
          </w:p>
        </w:tc>
        <w:tc>
          <w:tcPr>
            <w:tcW w:w="4451" w:type="dxa"/>
          </w:tcPr>
          <w:p w14:paraId="65EABB9C" w14:textId="116B5EF8" w:rsidR="001B2780" w:rsidRPr="00EA618A" w:rsidRDefault="001B2780" w:rsidP="00BE30AE">
            <w:pPr>
              <w:spacing w:after="120"/>
              <w:rPr>
                <w:rFonts w:ascii="Arial" w:eastAsia="Times New Roman" w:hAnsi="Arial" w:cs="Arial"/>
                <w:b/>
                <w:bCs/>
              </w:rPr>
            </w:pPr>
            <w:r w:rsidRPr="00D8332D">
              <w:rPr>
                <w:rFonts w:ascii="Arial" w:hAnsi="Arial" w:cs="Arial"/>
                <w:b/>
                <w:bCs/>
              </w:rPr>
              <w:t>Are there requirements for the project to take place in specific IOU service territories?</w:t>
            </w:r>
          </w:p>
        </w:tc>
        <w:tc>
          <w:tcPr>
            <w:tcW w:w="8640" w:type="dxa"/>
          </w:tcPr>
          <w:p w14:paraId="792C33C6" w14:textId="330021EE" w:rsidR="001B2780" w:rsidRPr="00165CE8" w:rsidRDefault="001B2780" w:rsidP="00BE30AE">
            <w:pPr>
              <w:spacing w:after="120"/>
              <w:rPr>
                <w:rFonts w:ascii="Arial" w:hAnsi="Arial" w:cs="Arial"/>
              </w:rPr>
            </w:pPr>
            <w:r>
              <w:rPr>
                <w:rFonts w:ascii="Arial" w:eastAsia="Times New Roman" w:hAnsi="Arial" w:cs="Arial"/>
              </w:rPr>
              <w:t>Yes, the</w:t>
            </w:r>
            <w:r w:rsidRPr="007714F9">
              <w:rPr>
                <w:rFonts w:ascii="Arial" w:eastAsia="Times New Roman" w:hAnsi="Arial" w:cs="Arial"/>
              </w:rPr>
              <w:t xml:space="preserve"> demonstration</w:t>
            </w:r>
            <w:r w:rsidR="00F53FC8">
              <w:rPr>
                <w:rFonts w:ascii="Arial" w:eastAsia="Times New Roman" w:hAnsi="Arial" w:cs="Arial"/>
              </w:rPr>
              <w:t>/deployment</w:t>
            </w:r>
            <w:r w:rsidRPr="007714F9">
              <w:rPr>
                <w:rFonts w:ascii="Arial" w:eastAsia="Times New Roman" w:hAnsi="Arial" w:cs="Arial"/>
              </w:rPr>
              <w:t xml:space="preserve"> site(s) </w:t>
            </w:r>
            <w:r>
              <w:rPr>
                <w:rFonts w:ascii="Arial" w:eastAsia="Times New Roman" w:hAnsi="Arial" w:cs="Arial"/>
              </w:rPr>
              <w:t xml:space="preserve">must be </w:t>
            </w:r>
            <w:r w:rsidRPr="007714F9">
              <w:rPr>
                <w:rFonts w:ascii="Arial" w:eastAsia="Times New Roman" w:hAnsi="Arial" w:cs="Arial"/>
              </w:rPr>
              <w:t>located in a California IOU service territory</w:t>
            </w:r>
            <w:r>
              <w:rPr>
                <w:rFonts w:ascii="Arial" w:eastAsia="Times New Roman" w:hAnsi="Arial" w:cs="Arial"/>
              </w:rPr>
              <w:t xml:space="preserve"> (</w:t>
            </w:r>
            <w:r w:rsidR="00B63A76">
              <w:rPr>
                <w:rFonts w:ascii="Arial" w:eastAsia="Times New Roman" w:hAnsi="Arial" w:cs="Arial"/>
              </w:rPr>
              <w:t xml:space="preserve">i.e., </w:t>
            </w:r>
            <w:r>
              <w:rPr>
                <w:rFonts w:ascii="Arial" w:eastAsia="Times New Roman" w:hAnsi="Arial" w:cs="Arial"/>
              </w:rPr>
              <w:t>PG&amp;E, SDG&amp;E, or SCE).</w:t>
            </w:r>
          </w:p>
        </w:tc>
      </w:tr>
      <w:tr w:rsidR="00FB517D" w14:paraId="687BFC66" w14:textId="77777777" w:rsidTr="22E269BB">
        <w:tc>
          <w:tcPr>
            <w:tcW w:w="584" w:type="dxa"/>
          </w:tcPr>
          <w:p w14:paraId="11AC5D8A" w14:textId="31307215" w:rsidR="00FB517D" w:rsidRDefault="004421BD" w:rsidP="00BE30AE">
            <w:pPr>
              <w:spacing w:after="120"/>
              <w:rPr>
                <w:rFonts w:ascii="Arial" w:hAnsi="Arial" w:cs="Arial"/>
              </w:rPr>
            </w:pPr>
            <w:r>
              <w:rPr>
                <w:rFonts w:ascii="Arial" w:hAnsi="Arial" w:cs="Arial"/>
              </w:rPr>
              <w:t>8</w:t>
            </w:r>
            <w:r w:rsidR="00FB70CB">
              <w:rPr>
                <w:rFonts w:ascii="Arial" w:hAnsi="Arial" w:cs="Arial"/>
              </w:rPr>
              <w:t>7</w:t>
            </w:r>
          </w:p>
        </w:tc>
        <w:tc>
          <w:tcPr>
            <w:tcW w:w="4451" w:type="dxa"/>
          </w:tcPr>
          <w:p w14:paraId="1C8D43F0" w14:textId="5E854339" w:rsidR="00FB517D" w:rsidRPr="00EA618A" w:rsidRDefault="00FB517D" w:rsidP="00BE30AE">
            <w:pPr>
              <w:spacing w:after="120"/>
              <w:rPr>
                <w:rFonts w:ascii="Arial" w:eastAsia="Times New Roman" w:hAnsi="Arial" w:cs="Arial"/>
                <w:b/>
                <w:bCs/>
              </w:rPr>
            </w:pPr>
            <w:r w:rsidRPr="00AE5B00">
              <w:rPr>
                <w:rFonts w:ascii="Arial" w:eastAsia="Times New Roman" w:hAnsi="Arial" w:cs="Arial"/>
                <w:b/>
                <w:bCs/>
              </w:rPr>
              <w:t xml:space="preserve">Can the CEC provide more details about the “Technical Advisory Committee” in the Scope of Work? How many </w:t>
            </w:r>
            <w:r w:rsidRPr="00AE5B00">
              <w:rPr>
                <w:rFonts w:ascii="Arial" w:eastAsia="Times New Roman" w:hAnsi="Arial" w:cs="Arial"/>
                <w:b/>
                <w:bCs/>
              </w:rPr>
              <w:lastRenderedPageBreak/>
              <w:t>members are expected to be on the committee? Can committee members be employees of the Applicant? Are committee members expected to be compensated for their participation? Is it acceptable for committee members to be compensated using CEC funds?</w:t>
            </w:r>
          </w:p>
        </w:tc>
        <w:tc>
          <w:tcPr>
            <w:tcW w:w="8640" w:type="dxa"/>
          </w:tcPr>
          <w:p w14:paraId="727408A1" w14:textId="433AE874" w:rsidR="00FB517D" w:rsidRPr="00165CE8" w:rsidRDefault="00FB517D" w:rsidP="00BE30AE">
            <w:pPr>
              <w:spacing w:after="120"/>
              <w:rPr>
                <w:rFonts w:ascii="Arial" w:hAnsi="Arial" w:cs="Arial"/>
              </w:rPr>
            </w:pPr>
            <w:r>
              <w:rPr>
                <w:rFonts w:ascii="Arial" w:hAnsi="Arial" w:cs="Arial"/>
              </w:rPr>
              <w:lastRenderedPageBreak/>
              <w:t xml:space="preserve">The number and composition of Technical Advisory Committee (TAC) members will vary depending on interest, availability, and need for the particular project. The List of Potential TAC Members is prepared by the recipient before the Kick-off Meeting and </w:t>
            </w:r>
            <w:r>
              <w:rPr>
                <w:rFonts w:ascii="Arial" w:hAnsi="Arial" w:cs="Arial"/>
              </w:rPr>
              <w:lastRenderedPageBreak/>
              <w:t xml:space="preserve">approved by the CEC Agreement Manager. TAC members can include employees of the recipient and project partners. The CEC Agreement Manager will work with </w:t>
            </w:r>
            <w:r w:rsidR="00FB57C6">
              <w:rPr>
                <w:rFonts w:ascii="Arial" w:hAnsi="Arial" w:cs="Arial"/>
              </w:rPr>
              <w:t xml:space="preserve">grant </w:t>
            </w:r>
            <w:r>
              <w:rPr>
                <w:rFonts w:ascii="Arial" w:hAnsi="Arial" w:cs="Arial"/>
              </w:rPr>
              <w:t xml:space="preserve">recipients to build a diverse TAC </w:t>
            </w:r>
            <w:r w:rsidRPr="00BB3210">
              <w:rPr>
                <w:rFonts w:ascii="Arial" w:hAnsi="Arial" w:cs="Arial"/>
              </w:rPr>
              <w:t>composed of qualified professional</w:t>
            </w:r>
            <w:r>
              <w:rPr>
                <w:rFonts w:ascii="Arial" w:hAnsi="Arial" w:cs="Arial"/>
              </w:rPr>
              <w:t>s. There are no restrictions for compensating TAC members with CEC funds, but TAC members are not usually compensated and are asked to volunteer their time to attend TAC meetings and comment on certain deliverables including the Performance Metrics Summary, Project Case Study Plan, and Final Report.</w:t>
            </w:r>
          </w:p>
        </w:tc>
      </w:tr>
      <w:tr w:rsidR="00FB517D" w14:paraId="0735FF44" w14:textId="77777777" w:rsidTr="22E269BB">
        <w:tc>
          <w:tcPr>
            <w:tcW w:w="584" w:type="dxa"/>
          </w:tcPr>
          <w:p w14:paraId="79DD764B" w14:textId="406678FE" w:rsidR="00FB517D" w:rsidRDefault="004421BD" w:rsidP="00BE30AE">
            <w:pPr>
              <w:spacing w:after="120"/>
              <w:rPr>
                <w:rFonts w:ascii="Arial" w:hAnsi="Arial" w:cs="Arial"/>
              </w:rPr>
            </w:pPr>
            <w:r>
              <w:rPr>
                <w:rFonts w:ascii="Arial" w:hAnsi="Arial" w:cs="Arial"/>
              </w:rPr>
              <w:lastRenderedPageBreak/>
              <w:t>8</w:t>
            </w:r>
            <w:r w:rsidR="00FB70CB">
              <w:rPr>
                <w:rFonts w:ascii="Arial" w:hAnsi="Arial" w:cs="Arial"/>
              </w:rPr>
              <w:t>8</w:t>
            </w:r>
          </w:p>
        </w:tc>
        <w:tc>
          <w:tcPr>
            <w:tcW w:w="4451" w:type="dxa"/>
          </w:tcPr>
          <w:p w14:paraId="401024E4" w14:textId="720370AC" w:rsidR="00FB517D" w:rsidRPr="00EA618A" w:rsidRDefault="00FB517D" w:rsidP="00BE30AE">
            <w:pPr>
              <w:spacing w:after="120"/>
              <w:rPr>
                <w:rFonts w:ascii="Arial" w:eastAsia="Times New Roman" w:hAnsi="Arial" w:cs="Arial"/>
                <w:b/>
                <w:bCs/>
              </w:rPr>
            </w:pPr>
            <w:r w:rsidRPr="00AE5B00">
              <w:rPr>
                <w:rFonts w:ascii="Arial" w:eastAsia="Times New Roman" w:hAnsi="Arial" w:cs="Arial"/>
                <w:b/>
                <w:bCs/>
              </w:rPr>
              <w:t>Does a customer using a CCA served by an IOU still meet the requirement of an IOU customer?</w:t>
            </w:r>
          </w:p>
        </w:tc>
        <w:tc>
          <w:tcPr>
            <w:tcW w:w="8640" w:type="dxa"/>
          </w:tcPr>
          <w:p w14:paraId="46640C3B" w14:textId="19B1A9F4" w:rsidR="00FB517D" w:rsidRPr="00165CE8" w:rsidRDefault="00FB517D" w:rsidP="00BE30AE">
            <w:pPr>
              <w:spacing w:after="120"/>
              <w:rPr>
                <w:rFonts w:ascii="Arial" w:hAnsi="Arial" w:cs="Arial"/>
              </w:rPr>
            </w:pPr>
            <w:r>
              <w:rPr>
                <w:rFonts w:ascii="Arial" w:hAnsi="Arial" w:cs="Arial"/>
              </w:rPr>
              <w:t>Yes, customers using a CCA served by an IOU are still considered to be in IOU territory, as the IOU remains responsible for delivery of electricity and maintenance of infrastructure.</w:t>
            </w:r>
          </w:p>
        </w:tc>
      </w:tr>
      <w:tr w:rsidR="00FB517D" w14:paraId="7ED86949" w14:textId="77777777" w:rsidTr="22E269BB">
        <w:tc>
          <w:tcPr>
            <w:tcW w:w="584" w:type="dxa"/>
          </w:tcPr>
          <w:p w14:paraId="13FE981B" w14:textId="75ED21F6" w:rsidR="00FB517D" w:rsidRDefault="00FB70CB" w:rsidP="00BE30AE">
            <w:pPr>
              <w:spacing w:after="120"/>
              <w:rPr>
                <w:rFonts w:ascii="Arial" w:hAnsi="Arial" w:cs="Arial"/>
              </w:rPr>
            </w:pPr>
            <w:r>
              <w:rPr>
                <w:rFonts w:ascii="Arial" w:hAnsi="Arial" w:cs="Arial"/>
              </w:rPr>
              <w:t>89</w:t>
            </w:r>
          </w:p>
        </w:tc>
        <w:tc>
          <w:tcPr>
            <w:tcW w:w="4451" w:type="dxa"/>
          </w:tcPr>
          <w:p w14:paraId="291E0021" w14:textId="4EDA5423" w:rsidR="00FB517D" w:rsidRPr="00EA618A" w:rsidRDefault="00FB517D" w:rsidP="00BE30AE">
            <w:pPr>
              <w:spacing w:after="120"/>
              <w:rPr>
                <w:rFonts w:ascii="Arial" w:eastAsia="Times New Roman" w:hAnsi="Arial" w:cs="Arial"/>
                <w:b/>
                <w:bCs/>
              </w:rPr>
            </w:pPr>
            <w:r w:rsidRPr="000F7EB8">
              <w:rPr>
                <w:rFonts w:ascii="Arial" w:hAnsi="Arial" w:cs="Arial"/>
                <w:b/>
                <w:bCs/>
                <w:color w:val="000000"/>
              </w:rPr>
              <w:t>Was the [pre-application workshop] CBO slide listing requirements or part of the scoring methodology? What is defined as community engagement?</w:t>
            </w:r>
          </w:p>
        </w:tc>
        <w:tc>
          <w:tcPr>
            <w:tcW w:w="8640" w:type="dxa"/>
          </w:tcPr>
          <w:p w14:paraId="7CE097F3" w14:textId="795DA364" w:rsidR="006023D2" w:rsidRDefault="006023D2" w:rsidP="00BE30AE">
            <w:pPr>
              <w:spacing w:after="120"/>
              <w:rPr>
                <w:rFonts w:ascii="Arial" w:hAnsi="Arial" w:cs="Arial"/>
              </w:rPr>
            </w:pPr>
            <w:r>
              <w:rPr>
                <w:rFonts w:ascii="Arial" w:hAnsi="Arial" w:cs="Arial"/>
              </w:rPr>
              <w:t>The pre-application CBO slide (slide #40) listed the requirements that need to be met for an organization to qualify as a CBO. These include: (1) h</w:t>
            </w:r>
            <w:r w:rsidRPr="007C2A50">
              <w:rPr>
                <w:rFonts w:ascii="Arial" w:hAnsi="Arial" w:cs="Arial"/>
              </w:rPr>
              <w:t>as deployed projects and/or outreach efforts within the region (</w:t>
            </w:r>
            <w:r w:rsidR="0094492B">
              <w:rPr>
                <w:rFonts w:ascii="Arial" w:hAnsi="Arial" w:cs="Arial"/>
              </w:rPr>
              <w:t>for example</w:t>
            </w:r>
            <w:r w:rsidRPr="007C2A50">
              <w:rPr>
                <w:rFonts w:ascii="Arial" w:hAnsi="Arial" w:cs="Arial"/>
              </w:rPr>
              <w:t>, air basin or county) of the proposed disadvantaged or low-income community or similar community</w:t>
            </w:r>
            <w:r>
              <w:rPr>
                <w:rFonts w:ascii="Arial" w:hAnsi="Arial" w:cs="Arial"/>
              </w:rPr>
              <w:t>; (2) h</w:t>
            </w:r>
            <w:r w:rsidRPr="00972E7E">
              <w:rPr>
                <w:rFonts w:ascii="Arial" w:hAnsi="Arial" w:cs="Arial"/>
              </w:rPr>
              <w:t>as an official mission and vision statements that expressly identifies serving disadvantaged and/or low-income communities</w:t>
            </w:r>
            <w:r>
              <w:rPr>
                <w:rFonts w:ascii="Arial" w:hAnsi="Arial" w:cs="Arial"/>
              </w:rPr>
              <w:t>; and (3) c</w:t>
            </w:r>
            <w:r w:rsidRPr="00DA5013">
              <w:rPr>
                <w:rFonts w:ascii="Arial" w:hAnsi="Arial" w:cs="Arial"/>
              </w:rPr>
              <w:t>urrently employs staff member(s) who specialized in and are dedicated to – diversity, or equity, or inclusion, or is a 501(c)(3) non-profit</w:t>
            </w:r>
            <w:r>
              <w:rPr>
                <w:rFonts w:ascii="Arial" w:hAnsi="Arial" w:cs="Arial"/>
              </w:rPr>
              <w:t xml:space="preserve">. </w:t>
            </w:r>
          </w:p>
          <w:p w14:paraId="4F3249AD" w14:textId="77777777" w:rsidR="006023D2" w:rsidRDefault="006023D2" w:rsidP="00BE30AE">
            <w:pPr>
              <w:spacing w:after="120"/>
              <w:rPr>
                <w:rFonts w:ascii="Arial" w:hAnsi="Arial" w:cs="Arial"/>
              </w:rPr>
            </w:pPr>
          </w:p>
          <w:p w14:paraId="7EF7ADED" w14:textId="57414A30" w:rsidR="00FB517D" w:rsidRPr="00165CE8" w:rsidRDefault="006023D2" w:rsidP="00BE30AE">
            <w:pPr>
              <w:spacing w:after="120"/>
              <w:rPr>
                <w:rFonts w:ascii="Arial" w:hAnsi="Arial" w:cs="Arial"/>
              </w:rPr>
            </w:pPr>
            <w:r>
              <w:rPr>
                <w:rFonts w:ascii="Arial" w:hAnsi="Arial" w:cs="Arial"/>
              </w:rPr>
              <w:t xml:space="preserve">Community engagement includes soliciting and considering community input in the design of a project, engaging the impacted community in project implementation, </w:t>
            </w:r>
            <w:r w:rsidRPr="00510109">
              <w:rPr>
                <w:rFonts w:ascii="Arial" w:hAnsi="Arial" w:cs="Arial"/>
              </w:rPr>
              <w:t>disseminat</w:t>
            </w:r>
            <w:r>
              <w:rPr>
                <w:rFonts w:ascii="Arial" w:hAnsi="Arial" w:cs="Arial"/>
              </w:rPr>
              <w:t>ing</w:t>
            </w:r>
            <w:r w:rsidRPr="00510109">
              <w:rPr>
                <w:rFonts w:ascii="Arial" w:hAnsi="Arial" w:cs="Arial"/>
              </w:rPr>
              <w:t xml:space="preserve"> educational materials and career information to best support community understanding and engagement as applicable</w:t>
            </w:r>
            <w:r>
              <w:rPr>
                <w:rFonts w:ascii="Arial" w:hAnsi="Arial" w:cs="Arial"/>
              </w:rPr>
              <w:t>. Please review scoring criterion 8.2, Community Engagement Efforts.</w:t>
            </w:r>
          </w:p>
        </w:tc>
      </w:tr>
      <w:tr w:rsidR="006023D2" w14:paraId="211A53F2" w14:textId="77777777" w:rsidTr="22E269BB">
        <w:tc>
          <w:tcPr>
            <w:tcW w:w="584" w:type="dxa"/>
          </w:tcPr>
          <w:p w14:paraId="1925A149" w14:textId="288EBC53" w:rsidR="006023D2" w:rsidRDefault="004421BD" w:rsidP="00BE30AE">
            <w:pPr>
              <w:spacing w:after="120"/>
              <w:rPr>
                <w:rFonts w:ascii="Arial" w:hAnsi="Arial" w:cs="Arial"/>
              </w:rPr>
            </w:pPr>
            <w:r>
              <w:rPr>
                <w:rFonts w:ascii="Arial" w:hAnsi="Arial" w:cs="Arial"/>
              </w:rPr>
              <w:t>9</w:t>
            </w:r>
            <w:r w:rsidR="00FB70CB">
              <w:rPr>
                <w:rFonts w:ascii="Arial" w:hAnsi="Arial" w:cs="Arial"/>
              </w:rPr>
              <w:t>0</w:t>
            </w:r>
          </w:p>
        </w:tc>
        <w:tc>
          <w:tcPr>
            <w:tcW w:w="4451" w:type="dxa"/>
          </w:tcPr>
          <w:p w14:paraId="53A93706" w14:textId="44243DA7" w:rsidR="006023D2" w:rsidRPr="00EA618A" w:rsidRDefault="006023D2" w:rsidP="00BE30AE">
            <w:pPr>
              <w:spacing w:after="120"/>
              <w:rPr>
                <w:rFonts w:ascii="Arial" w:eastAsia="Times New Roman" w:hAnsi="Arial" w:cs="Arial"/>
                <w:b/>
                <w:bCs/>
              </w:rPr>
            </w:pPr>
            <w:r w:rsidRPr="00165CE8">
              <w:rPr>
                <w:rFonts w:ascii="Arial" w:hAnsi="Arial" w:cs="Arial"/>
                <w:b/>
                <w:bCs/>
                <w:color w:val="000000"/>
              </w:rPr>
              <w:t>CEC states that “a minimum of 5 percent of CEC funds requested should go towards technology transfer activities.” What exactly does this mean?</w:t>
            </w:r>
          </w:p>
        </w:tc>
        <w:tc>
          <w:tcPr>
            <w:tcW w:w="8640" w:type="dxa"/>
          </w:tcPr>
          <w:p w14:paraId="1DB0C24A" w14:textId="28D94C42" w:rsidR="006023D2" w:rsidRPr="00165CE8" w:rsidRDefault="451126E0" w:rsidP="00BE30AE">
            <w:pPr>
              <w:spacing w:after="120"/>
              <w:rPr>
                <w:rFonts w:ascii="Arial" w:hAnsi="Arial" w:cs="Arial"/>
              </w:rPr>
            </w:pPr>
            <w:r w:rsidRPr="22E269BB">
              <w:rPr>
                <w:rFonts w:ascii="Arial" w:hAnsi="Arial" w:cs="Arial"/>
              </w:rPr>
              <w:t>There is a mandatory task in the Scope of Work Template (Attachment 4) titled Technology/Knowledge Transfer Activities. The goal of this task is to ensure the technological learning</w:t>
            </w:r>
            <w:r w:rsidR="091A3738" w:rsidRPr="22E269BB">
              <w:rPr>
                <w:rFonts w:ascii="Arial" w:hAnsi="Arial" w:cs="Arial"/>
              </w:rPr>
              <w:t>s</w:t>
            </w:r>
            <w:r w:rsidRPr="22E269BB">
              <w:rPr>
                <w:rFonts w:ascii="Arial" w:hAnsi="Arial" w:cs="Arial"/>
              </w:rPr>
              <w:t xml:space="preserve"> resulted from the project demonstration(s)</w:t>
            </w:r>
            <w:r w:rsidR="00816C66" w:rsidRPr="22E269BB">
              <w:rPr>
                <w:rFonts w:ascii="Arial" w:hAnsi="Arial" w:cs="Arial"/>
              </w:rPr>
              <w:t>/deployment(s)</w:t>
            </w:r>
            <w:r w:rsidRPr="22E269BB">
              <w:rPr>
                <w:rFonts w:ascii="Arial" w:hAnsi="Arial" w:cs="Arial"/>
              </w:rPr>
              <w:t xml:space="preserve"> </w:t>
            </w:r>
            <w:r w:rsidR="091A3738" w:rsidRPr="22E269BB">
              <w:rPr>
                <w:rFonts w:ascii="Arial" w:hAnsi="Arial" w:cs="Arial"/>
              </w:rPr>
              <w:t>are</w:t>
            </w:r>
            <w:r w:rsidRPr="22E269BB">
              <w:rPr>
                <w:rFonts w:ascii="Arial" w:hAnsi="Arial" w:cs="Arial"/>
              </w:rPr>
              <w:t xml:space="preserve"> captured and disseminated to the range of professions that will be responsible for future deployments of this technology or similar technologies. A minimum of 5% of CEC funds should go toward the completion of this task. </w:t>
            </w:r>
          </w:p>
        </w:tc>
      </w:tr>
      <w:tr w:rsidR="006023D2" w14:paraId="685FC4FF" w14:textId="77777777" w:rsidTr="22E269BB">
        <w:tc>
          <w:tcPr>
            <w:tcW w:w="584" w:type="dxa"/>
          </w:tcPr>
          <w:p w14:paraId="21AF047A" w14:textId="2F7AF571" w:rsidR="006023D2" w:rsidRDefault="004421BD" w:rsidP="00BE30AE">
            <w:pPr>
              <w:spacing w:after="120"/>
              <w:rPr>
                <w:rFonts w:ascii="Arial" w:hAnsi="Arial" w:cs="Arial"/>
              </w:rPr>
            </w:pPr>
            <w:r>
              <w:rPr>
                <w:rFonts w:ascii="Arial" w:hAnsi="Arial" w:cs="Arial"/>
              </w:rPr>
              <w:t>9</w:t>
            </w:r>
            <w:r w:rsidR="00FB70CB">
              <w:rPr>
                <w:rFonts w:ascii="Arial" w:hAnsi="Arial" w:cs="Arial"/>
              </w:rPr>
              <w:t>1</w:t>
            </w:r>
          </w:p>
        </w:tc>
        <w:tc>
          <w:tcPr>
            <w:tcW w:w="4451" w:type="dxa"/>
          </w:tcPr>
          <w:p w14:paraId="524B6DC6" w14:textId="3329336A" w:rsidR="006023D2" w:rsidRPr="00EA618A" w:rsidRDefault="006023D2" w:rsidP="00BE30AE">
            <w:pPr>
              <w:spacing w:after="120"/>
              <w:rPr>
                <w:rFonts w:ascii="Arial" w:eastAsia="Times New Roman" w:hAnsi="Arial" w:cs="Arial"/>
                <w:b/>
                <w:bCs/>
              </w:rPr>
            </w:pPr>
            <w:r w:rsidRPr="00C70D88">
              <w:rPr>
                <w:rFonts w:ascii="Arial" w:eastAsia="Times New Roman" w:hAnsi="Arial" w:cs="Arial"/>
                <w:b/>
                <w:bCs/>
              </w:rPr>
              <w:t xml:space="preserve">Can CEC provide clarity regarding how it defines “community input” under the “Community Engagement” portion of </w:t>
            </w:r>
            <w:r w:rsidRPr="00C70D88">
              <w:rPr>
                <w:rFonts w:ascii="Arial" w:eastAsia="Times New Roman" w:hAnsi="Arial" w:cs="Arial"/>
                <w:b/>
                <w:bCs/>
              </w:rPr>
              <w:lastRenderedPageBreak/>
              <w:t>the scoring rubric? What type of entities does CEC define as “community” to meet the requirement?</w:t>
            </w:r>
          </w:p>
        </w:tc>
        <w:tc>
          <w:tcPr>
            <w:tcW w:w="8640" w:type="dxa"/>
          </w:tcPr>
          <w:p w14:paraId="786C2965" w14:textId="212F9A15" w:rsidR="006023D2" w:rsidRDefault="451126E0" w:rsidP="00BE30AE">
            <w:pPr>
              <w:spacing w:after="120"/>
              <w:rPr>
                <w:rFonts w:ascii="Arial" w:hAnsi="Arial" w:cs="Arial"/>
              </w:rPr>
            </w:pPr>
            <w:r w:rsidRPr="22E269BB">
              <w:rPr>
                <w:rFonts w:ascii="Arial" w:hAnsi="Arial" w:cs="Arial"/>
              </w:rPr>
              <w:lastRenderedPageBreak/>
              <w:t>The “community” in the context of “community engagement” can include stakeholders who have an interest or are affected by the project (for example, local organizations,</w:t>
            </w:r>
            <w:r w:rsidR="265857F8" w:rsidRPr="22E269BB">
              <w:rPr>
                <w:rFonts w:ascii="Arial" w:hAnsi="Arial" w:cs="Arial"/>
              </w:rPr>
              <w:t xml:space="preserve"> residents,</w:t>
            </w:r>
            <w:r w:rsidRPr="22E269BB">
              <w:rPr>
                <w:rFonts w:ascii="Arial" w:hAnsi="Arial" w:cs="Arial"/>
              </w:rPr>
              <w:t xml:space="preserve"> businesses, and government). The public’s perspectives and concerns can </w:t>
            </w:r>
            <w:r w:rsidRPr="22E269BB">
              <w:rPr>
                <w:rFonts w:ascii="Arial" w:hAnsi="Arial" w:cs="Arial"/>
              </w:rPr>
              <w:lastRenderedPageBreak/>
              <w:t xml:space="preserve">also be taken into consideration during the engagement process to fully understand the impact of the project. </w:t>
            </w:r>
          </w:p>
          <w:p w14:paraId="687CFFF3" w14:textId="77777777" w:rsidR="006023D2" w:rsidRDefault="006023D2" w:rsidP="00BE30AE">
            <w:pPr>
              <w:spacing w:after="120"/>
              <w:rPr>
                <w:rFonts w:ascii="Arial" w:hAnsi="Arial" w:cs="Arial"/>
              </w:rPr>
            </w:pPr>
          </w:p>
          <w:p w14:paraId="32BF1A46" w14:textId="0215D864" w:rsidR="006023D2" w:rsidRPr="00165CE8" w:rsidRDefault="451126E0" w:rsidP="00BE30AE">
            <w:pPr>
              <w:spacing w:after="120"/>
              <w:rPr>
                <w:rFonts w:ascii="Arial" w:hAnsi="Arial" w:cs="Arial"/>
              </w:rPr>
            </w:pPr>
            <w:r w:rsidRPr="22E269BB">
              <w:rPr>
                <w:rFonts w:ascii="Arial" w:hAnsi="Arial" w:cs="Arial"/>
              </w:rPr>
              <w:t xml:space="preserve">Community input can be solicited through public meetings/workshops, surveys, interviews, focus groups, </w:t>
            </w:r>
            <w:r w:rsidR="7D4F75AD" w:rsidRPr="22E269BB">
              <w:rPr>
                <w:rFonts w:ascii="Arial" w:hAnsi="Arial" w:cs="Arial"/>
              </w:rPr>
              <w:t>and other means</w:t>
            </w:r>
            <w:r w:rsidRPr="22E269BB">
              <w:rPr>
                <w:rFonts w:ascii="Arial" w:hAnsi="Arial" w:cs="Arial"/>
              </w:rPr>
              <w:t>. Previous research that has already collected community input can also be leveraged.</w:t>
            </w:r>
          </w:p>
        </w:tc>
      </w:tr>
      <w:tr w:rsidR="006023D2" w14:paraId="661151DF" w14:textId="77777777" w:rsidTr="22E269BB">
        <w:tc>
          <w:tcPr>
            <w:tcW w:w="584" w:type="dxa"/>
          </w:tcPr>
          <w:p w14:paraId="4609D4E5" w14:textId="365ECC91" w:rsidR="006023D2" w:rsidRDefault="004421BD" w:rsidP="00BE30AE">
            <w:pPr>
              <w:spacing w:after="120"/>
              <w:rPr>
                <w:rFonts w:ascii="Arial" w:hAnsi="Arial" w:cs="Arial"/>
              </w:rPr>
            </w:pPr>
            <w:r>
              <w:rPr>
                <w:rFonts w:ascii="Arial" w:hAnsi="Arial" w:cs="Arial"/>
              </w:rPr>
              <w:lastRenderedPageBreak/>
              <w:t>9</w:t>
            </w:r>
            <w:r w:rsidR="00FB70CB">
              <w:rPr>
                <w:rFonts w:ascii="Arial" w:hAnsi="Arial" w:cs="Arial"/>
              </w:rPr>
              <w:t>2</w:t>
            </w:r>
          </w:p>
        </w:tc>
        <w:tc>
          <w:tcPr>
            <w:tcW w:w="4451" w:type="dxa"/>
          </w:tcPr>
          <w:p w14:paraId="02392C7D" w14:textId="1503DF8E" w:rsidR="006023D2" w:rsidRPr="00EA618A" w:rsidRDefault="00B17226" w:rsidP="00BE30AE">
            <w:pPr>
              <w:spacing w:after="120"/>
              <w:rPr>
                <w:rFonts w:ascii="Arial" w:eastAsia="Times New Roman" w:hAnsi="Arial" w:cs="Arial"/>
                <w:b/>
                <w:bCs/>
              </w:rPr>
            </w:pPr>
            <w:r w:rsidRPr="000B57B3">
              <w:rPr>
                <w:rFonts w:ascii="Arial" w:hAnsi="Arial" w:cs="Arial"/>
                <w:b/>
                <w:bCs/>
                <w:color w:val="000000"/>
              </w:rPr>
              <w:t>Can we make proposed projects part of larger projects outside the parameters of the solicitation?</w:t>
            </w:r>
          </w:p>
        </w:tc>
        <w:tc>
          <w:tcPr>
            <w:tcW w:w="8640" w:type="dxa"/>
          </w:tcPr>
          <w:p w14:paraId="666C5BF9" w14:textId="30FFEDE4" w:rsidR="006023D2" w:rsidRPr="00165CE8" w:rsidRDefault="63241C30" w:rsidP="00BE30AE">
            <w:pPr>
              <w:spacing w:after="120"/>
              <w:rPr>
                <w:rFonts w:ascii="Arial" w:hAnsi="Arial" w:cs="Arial"/>
              </w:rPr>
            </w:pPr>
            <w:r w:rsidRPr="22E269BB">
              <w:rPr>
                <w:rFonts w:ascii="Arial" w:hAnsi="Arial" w:cs="Arial"/>
              </w:rPr>
              <w:t>Applicants may propose a project that builds on an existing project outside the parameters of the solicitation. However, all labor and equipment expenses (including both CEC-funded and covered by match) have to go toward development and demonstration</w:t>
            </w:r>
            <w:r w:rsidR="00816C66" w:rsidRPr="22E269BB">
              <w:rPr>
                <w:rFonts w:ascii="Arial" w:hAnsi="Arial" w:cs="Arial"/>
              </w:rPr>
              <w:t>/deployment</w:t>
            </w:r>
            <w:r w:rsidRPr="22E269BB">
              <w:rPr>
                <w:rFonts w:ascii="Arial" w:hAnsi="Arial" w:cs="Arial"/>
              </w:rPr>
              <w:t xml:space="preserve"> of the technology that meets all requirements of the solicitation.</w:t>
            </w:r>
          </w:p>
        </w:tc>
      </w:tr>
      <w:tr w:rsidR="006023D2" w14:paraId="484F18A0" w14:textId="77777777" w:rsidTr="22E269BB">
        <w:tc>
          <w:tcPr>
            <w:tcW w:w="584" w:type="dxa"/>
          </w:tcPr>
          <w:p w14:paraId="3220BC77" w14:textId="7850F987" w:rsidR="006023D2" w:rsidRDefault="004421BD" w:rsidP="00BE30AE">
            <w:pPr>
              <w:spacing w:after="120"/>
              <w:rPr>
                <w:rFonts w:ascii="Arial" w:hAnsi="Arial" w:cs="Arial"/>
              </w:rPr>
            </w:pPr>
            <w:r>
              <w:rPr>
                <w:rFonts w:ascii="Arial" w:hAnsi="Arial" w:cs="Arial"/>
              </w:rPr>
              <w:t>9</w:t>
            </w:r>
            <w:r w:rsidR="00FB70CB">
              <w:rPr>
                <w:rFonts w:ascii="Arial" w:hAnsi="Arial" w:cs="Arial"/>
              </w:rPr>
              <w:t>3</w:t>
            </w:r>
          </w:p>
        </w:tc>
        <w:tc>
          <w:tcPr>
            <w:tcW w:w="4451" w:type="dxa"/>
          </w:tcPr>
          <w:p w14:paraId="2CEAEFAF" w14:textId="319C3853" w:rsidR="006023D2" w:rsidRPr="00EA618A" w:rsidRDefault="009F0BC1" w:rsidP="00BE30AE">
            <w:pPr>
              <w:spacing w:after="120"/>
              <w:rPr>
                <w:rFonts w:ascii="Arial" w:eastAsia="Times New Roman" w:hAnsi="Arial" w:cs="Arial"/>
                <w:b/>
                <w:bCs/>
              </w:rPr>
            </w:pPr>
            <w:r w:rsidRPr="00270A3C">
              <w:rPr>
                <w:rFonts w:ascii="Arial" w:hAnsi="Arial" w:cs="Arial"/>
                <w:b/>
                <w:bCs/>
                <w:color w:val="000000"/>
              </w:rPr>
              <w:t>Section 1(g) and 2(i) both require “information described in Section I.C.” Do applicants have to provide the information described in Section I.C. twice?</w:t>
            </w:r>
          </w:p>
        </w:tc>
        <w:tc>
          <w:tcPr>
            <w:tcW w:w="8640" w:type="dxa"/>
          </w:tcPr>
          <w:p w14:paraId="0BDEE187" w14:textId="63090BA9" w:rsidR="009F0BC1" w:rsidRDefault="009F0BC1" w:rsidP="00BE30AE">
            <w:pPr>
              <w:spacing w:after="120"/>
              <w:rPr>
                <w:rFonts w:ascii="Arial" w:hAnsi="Arial" w:cs="Arial"/>
              </w:rPr>
            </w:pPr>
            <w:r>
              <w:rPr>
                <w:rFonts w:ascii="Arial" w:hAnsi="Arial" w:cs="Arial"/>
              </w:rPr>
              <w:t>Question is referring to, “</w:t>
            </w:r>
            <w:r w:rsidRPr="00215573">
              <w:rPr>
                <w:rFonts w:ascii="Arial" w:hAnsi="Arial" w:cs="Arial"/>
              </w:rPr>
              <w:t>Provides information described in Section I.C</w:t>
            </w:r>
            <w:r>
              <w:rPr>
                <w:rFonts w:ascii="Arial" w:hAnsi="Arial" w:cs="Arial"/>
              </w:rPr>
              <w:t xml:space="preserve">,” under </w:t>
            </w:r>
            <w:r w:rsidR="00224650">
              <w:rPr>
                <w:rFonts w:ascii="Arial" w:hAnsi="Arial" w:cs="Arial"/>
              </w:rPr>
              <w:t xml:space="preserve">Scoring Criteria </w:t>
            </w:r>
            <w:r>
              <w:rPr>
                <w:rFonts w:ascii="Arial" w:hAnsi="Arial" w:cs="Arial"/>
              </w:rPr>
              <w:t xml:space="preserve">1. Technical Merit and 2. Technical Approach. These scoring criteria will consider the proposal’s responsiveness to the requested information described in Section I.C. Project Focus as it relates to Technical Merit and Technical Approach. </w:t>
            </w:r>
          </w:p>
          <w:p w14:paraId="007EB20B" w14:textId="77777777" w:rsidR="009F0BC1" w:rsidRDefault="009F0BC1" w:rsidP="00BE30AE">
            <w:pPr>
              <w:spacing w:after="120"/>
              <w:rPr>
                <w:rFonts w:ascii="Arial" w:hAnsi="Arial" w:cs="Arial"/>
              </w:rPr>
            </w:pPr>
          </w:p>
          <w:p w14:paraId="4BF9C6DE" w14:textId="1780F3BD" w:rsidR="006023D2" w:rsidRPr="00165CE8" w:rsidRDefault="009F0BC1" w:rsidP="00BE30AE">
            <w:pPr>
              <w:spacing w:after="120"/>
              <w:rPr>
                <w:rFonts w:ascii="Arial" w:hAnsi="Arial" w:cs="Arial"/>
              </w:rPr>
            </w:pPr>
            <w:r>
              <w:rPr>
                <w:rFonts w:ascii="Arial" w:hAnsi="Arial" w:cs="Arial"/>
              </w:rPr>
              <w:t>The applicant can choose which project narrative section to place the requested information from Section I.C. Project Focus. Applicants do not need to provide this information twice.</w:t>
            </w:r>
          </w:p>
        </w:tc>
      </w:tr>
      <w:tr w:rsidR="009F0BC1" w14:paraId="3A028651" w14:textId="77777777" w:rsidTr="22E269BB">
        <w:tc>
          <w:tcPr>
            <w:tcW w:w="584" w:type="dxa"/>
          </w:tcPr>
          <w:p w14:paraId="6B5C88EB" w14:textId="6C7E252E" w:rsidR="009F0BC1" w:rsidRDefault="004421BD" w:rsidP="00BE30AE">
            <w:pPr>
              <w:spacing w:after="120"/>
              <w:rPr>
                <w:rFonts w:ascii="Arial" w:hAnsi="Arial" w:cs="Arial"/>
              </w:rPr>
            </w:pPr>
            <w:r>
              <w:rPr>
                <w:rFonts w:ascii="Arial" w:hAnsi="Arial" w:cs="Arial"/>
              </w:rPr>
              <w:t>9</w:t>
            </w:r>
            <w:r w:rsidR="00FB70CB">
              <w:rPr>
                <w:rFonts w:ascii="Arial" w:hAnsi="Arial" w:cs="Arial"/>
              </w:rPr>
              <w:t>4</w:t>
            </w:r>
          </w:p>
        </w:tc>
        <w:tc>
          <w:tcPr>
            <w:tcW w:w="4451" w:type="dxa"/>
          </w:tcPr>
          <w:p w14:paraId="57FD9CBA" w14:textId="03D126C3" w:rsidR="009F0BC1" w:rsidRPr="00EA618A" w:rsidRDefault="009F0BC1" w:rsidP="00BE30AE">
            <w:pPr>
              <w:spacing w:after="120"/>
              <w:rPr>
                <w:rFonts w:ascii="Arial" w:eastAsia="Times New Roman" w:hAnsi="Arial" w:cs="Arial"/>
                <w:b/>
                <w:bCs/>
              </w:rPr>
            </w:pPr>
            <w:r>
              <w:rPr>
                <w:rFonts w:ascii="Arial" w:hAnsi="Arial" w:cs="Arial"/>
                <w:b/>
                <w:bCs/>
              </w:rPr>
              <w:t>[For Group 3]</w:t>
            </w:r>
            <w:r w:rsidRPr="003171AC">
              <w:rPr>
                <w:rFonts w:ascii="Arial" w:hAnsi="Arial" w:cs="Arial"/>
                <w:b/>
                <w:bCs/>
              </w:rPr>
              <w:t>, under Project Narrative, “Describe how the site(s) was selected, if the site(s) is in a low-income and/or disadvantaged community, and any communication with the community to determine site needs.” Would this communication with the community need to go through the LI/DAC organization we partner with or does it need to occur through different methods?</w:t>
            </w:r>
          </w:p>
        </w:tc>
        <w:tc>
          <w:tcPr>
            <w:tcW w:w="8640" w:type="dxa"/>
          </w:tcPr>
          <w:p w14:paraId="39FD72AE" w14:textId="5E4E800F" w:rsidR="009F0BC1" w:rsidRDefault="03B60C12" w:rsidP="00BE30AE">
            <w:pPr>
              <w:spacing w:after="120"/>
              <w:rPr>
                <w:rFonts w:ascii="Arial" w:hAnsi="Arial" w:cs="Arial"/>
              </w:rPr>
            </w:pPr>
            <w:r w:rsidRPr="22E269BB">
              <w:rPr>
                <w:rFonts w:ascii="Arial" w:hAnsi="Arial" w:cs="Arial"/>
              </w:rPr>
              <w:t xml:space="preserve">This section of the project narrative provides an opportunity for the applicant to share how they have incorporated community input and needs into the </w:t>
            </w:r>
            <w:r w:rsidR="0E1FF927" w:rsidRPr="22E269BB">
              <w:rPr>
                <w:rFonts w:ascii="Arial" w:hAnsi="Arial" w:cs="Arial"/>
              </w:rPr>
              <w:t>site selection fo</w:t>
            </w:r>
            <w:r w:rsidR="5DF44C2B" w:rsidRPr="22E269BB">
              <w:rPr>
                <w:rFonts w:ascii="Arial" w:hAnsi="Arial" w:cs="Arial"/>
              </w:rPr>
              <w:t>r their proposed</w:t>
            </w:r>
            <w:r w:rsidRPr="22E269BB">
              <w:rPr>
                <w:rFonts w:ascii="Arial" w:hAnsi="Arial" w:cs="Arial"/>
              </w:rPr>
              <w:t xml:space="preserve"> demonstration</w:t>
            </w:r>
            <w:r w:rsidR="00816C66" w:rsidRPr="22E269BB">
              <w:rPr>
                <w:rFonts w:ascii="Arial" w:hAnsi="Arial" w:cs="Arial"/>
              </w:rPr>
              <w:t>/deployment</w:t>
            </w:r>
            <w:r w:rsidRPr="22E269BB">
              <w:rPr>
                <w:rFonts w:ascii="Arial" w:hAnsi="Arial" w:cs="Arial"/>
              </w:rPr>
              <w:t xml:space="preserve">. Community input can be solicited through </w:t>
            </w:r>
            <w:r w:rsidR="5DF44C2B" w:rsidRPr="22E269BB">
              <w:rPr>
                <w:rFonts w:ascii="Arial" w:hAnsi="Arial" w:cs="Arial"/>
              </w:rPr>
              <w:t xml:space="preserve">the CBO partner for the proposed project or through other means </w:t>
            </w:r>
            <w:r w:rsidR="0D1B2064" w:rsidRPr="22E269BB">
              <w:rPr>
                <w:rFonts w:ascii="Arial" w:hAnsi="Arial" w:cs="Arial"/>
              </w:rPr>
              <w:t>such as</w:t>
            </w:r>
            <w:r w:rsidRPr="22E269BB">
              <w:rPr>
                <w:rFonts w:ascii="Arial" w:hAnsi="Arial" w:cs="Arial"/>
              </w:rPr>
              <w:t xml:space="preserve"> public meetings/workshops, surveys, interviews, </w:t>
            </w:r>
            <w:r w:rsidR="4245D002" w:rsidRPr="22E269BB">
              <w:rPr>
                <w:rFonts w:ascii="Arial" w:hAnsi="Arial" w:cs="Arial"/>
              </w:rPr>
              <w:t xml:space="preserve">and </w:t>
            </w:r>
            <w:r w:rsidRPr="22E269BB">
              <w:rPr>
                <w:rFonts w:ascii="Arial" w:hAnsi="Arial" w:cs="Arial"/>
              </w:rPr>
              <w:t>focus groups. Previous research that has already collected community input can also be leveraged.</w:t>
            </w:r>
          </w:p>
          <w:p w14:paraId="4B2547EA" w14:textId="77777777" w:rsidR="009F0BC1" w:rsidRDefault="009F0BC1" w:rsidP="00BE30AE">
            <w:pPr>
              <w:spacing w:after="120"/>
              <w:rPr>
                <w:rFonts w:ascii="Arial" w:hAnsi="Arial" w:cs="Arial"/>
              </w:rPr>
            </w:pPr>
          </w:p>
          <w:p w14:paraId="37726110" w14:textId="45BE001E" w:rsidR="009F0BC1" w:rsidRPr="00165CE8" w:rsidRDefault="009F0BC1" w:rsidP="00BE30AE">
            <w:pPr>
              <w:spacing w:after="120"/>
              <w:rPr>
                <w:rFonts w:ascii="Arial" w:hAnsi="Arial" w:cs="Arial"/>
              </w:rPr>
            </w:pPr>
            <w:r>
              <w:rPr>
                <w:rFonts w:ascii="Arial" w:hAnsi="Arial" w:cs="Arial"/>
              </w:rPr>
              <w:t xml:space="preserve">Please also review </w:t>
            </w:r>
            <w:r w:rsidR="00AA7B3D">
              <w:rPr>
                <w:rFonts w:ascii="Arial" w:hAnsi="Arial" w:cs="Arial"/>
              </w:rPr>
              <w:t xml:space="preserve">Scoring Criterion </w:t>
            </w:r>
            <w:r>
              <w:rPr>
                <w:rFonts w:ascii="Arial" w:hAnsi="Arial" w:cs="Arial"/>
              </w:rPr>
              <w:t>8.2, Community Engagement Efforts.</w:t>
            </w:r>
          </w:p>
        </w:tc>
      </w:tr>
      <w:tr w:rsidR="009F0BC1" w14:paraId="6F2D7FAC" w14:textId="77777777" w:rsidTr="22E269BB">
        <w:tc>
          <w:tcPr>
            <w:tcW w:w="584" w:type="dxa"/>
          </w:tcPr>
          <w:p w14:paraId="76F1F7E4" w14:textId="509AE3F5" w:rsidR="009F0BC1" w:rsidRDefault="004421BD" w:rsidP="00BE30AE">
            <w:pPr>
              <w:spacing w:after="120"/>
              <w:rPr>
                <w:rFonts w:ascii="Arial" w:hAnsi="Arial" w:cs="Arial"/>
              </w:rPr>
            </w:pPr>
            <w:r>
              <w:rPr>
                <w:rFonts w:ascii="Arial" w:hAnsi="Arial" w:cs="Arial"/>
              </w:rPr>
              <w:lastRenderedPageBreak/>
              <w:t>9</w:t>
            </w:r>
            <w:r w:rsidR="00FB70CB">
              <w:rPr>
                <w:rFonts w:ascii="Arial" w:hAnsi="Arial" w:cs="Arial"/>
              </w:rPr>
              <w:t>5</w:t>
            </w:r>
          </w:p>
        </w:tc>
        <w:tc>
          <w:tcPr>
            <w:tcW w:w="4451" w:type="dxa"/>
          </w:tcPr>
          <w:p w14:paraId="3BBFEDE6" w14:textId="0181A7A0" w:rsidR="009F0BC1" w:rsidRPr="00EA618A" w:rsidRDefault="0049097B" w:rsidP="00BE30AE">
            <w:pPr>
              <w:spacing w:after="120"/>
              <w:rPr>
                <w:rFonts w:ascii="Arial" w:eastAsia="Times New Roman" w:hAnsi="Arial" w:cs="Arial"/>
                <w:b/>
                <w:bCs/>
              </w:rPr>
            </w:pPr>
            <w:r w:rsidRPr="003515B4">
              <w:rPr>
                <w:rFonts w:ascii="Arial" w:hAnsi="Arial" w:cs="Arial"/>
                <w:b/>
                <w:bCs/>
              </w:rPr>
              <w:t xml:space="preserve">Can a local publicly owned utility be a </w:t>
            </w:r>
            <w:r>
              <w:rPr>
                <w:rFonts w:ascii="Arial" w:hAnsi="Arial" w:cs="Arial"/>
                <w:b/>
                <w:bCs/>
              </w:rPr>
              <w:t>p</w:t>
            </w:r>
            <w:r w:rsidRPr="003515B4">
              <w:rPr>
                <w:rFonts w:ascii="Arial" w:hAnsi="Arial" w:cs="Arial"/>
                <w:b/>
                <w:bCs/>
              </w:rPr>
              <w:t xml:space="preserve">roject </w:t>
            </w:r>
            <w:r>
              <w:rPr>
                <w:rFonts w:ascii="Arial" w:hAnsi="Arial" w:cs="Arial"/>
                <w:b/>
                <w:bCs/>
              </w:rPr>
              <w:t>p</w:t>
            </w:r>
            <w:r w:rsidRPr="003515B4">
              <w:rPr>
                <w:rFonts w:ascii="Arial" w:hAnsi="Arial" w:cs="Arial"/>
                <w:b/>
                <w:bCs/>
              </w:rPr>
              <w:t>artner on a public or private entity’s application?</w:t>
            </w:r>
          </w:p>
        </w:tc>
        <w:tc>
          <w:tcPr>
            <w:tcW w:w="8640" w:type="dxa"/>
          </w:tcPr>
          <w:p w14:paraId="4D166500" w14:textId="50E20430" w:rsidR="009F0BC1" w:rsidRPr="00165CE8" w:rsidRDefault="0049097B" w:rsidP="00BE30AE">
            <w:pPr>
              <w:spacing w:after="120"/>
              <w:rPr>
                <w:rFonts w:ascii="Arial" w:hAnsi="Arial" w:cs="Arial"/>
              </w:rPr>
            </w:pPr>
            <w:r>
              <w:rPr>
                <w:rFonts w:ascii="Arial" w:eastAsia="Times New Roman" w:hAnsi="Arial" w:cs="Arial"/>
              </w:rPr>
              <w:t>A local publicly owned utility can</w:t>
            </w:r>
            <w:r w:rsidR="00A91FEF">
              <w:rPr>
                <w:rFonts w:ascii="Arial" w:eastAsia="Times New Roman" w:hAnsi="Arial" w:cs="Arial"/>
              </w:rPr>
              <w:t xml:space="preserve"> </w:t>
            </w:r>
            <w:r>
              <w:rPr>
                <w:rFonts w:ascii="Arial" w:eastAsia="Times New Roman" w:hAnsi="Arial" w:cs="Arial"/>
              </w:rPr>
              <w:t>be a project partner</w:t>
            </w:r>
            <w:r w:rsidR="00CE5D4A">
              <w:rPr>
                <w:rFonts w:ascii="Arial" w:eastAsia="Times New Roman" w:hAnsi="Arial" w:cs="Arial"/>
              </w:rPr>
              <w:t>, but they cannot receive CEC funds</w:t>
            </w:r>
            <w:r>
              <w:rPr>
                <w:rFonts w:ascii="Arial" w:eastAsia="Times New Roman" w:hAnsi="Arial" w:cs="Arial"/>
              </w:rPr>
              <w:t>.</w:t>
            </w:r>
            <w:r w:rsidRPr="00473482">
              <w:rPr>
                <w:rFonts w:ascii="Arial" w:eastAsia="Times New Roman" w:hAnsi="Arial" w:cs="Arial"/>
              </w:rPr>
              <w:t xml:space="preserve"> In accordance with CPUC Decision 12-05-037,</w:t>
            </w:r>
            <w:r w:rsidR="00A8427E">
              <w:rPr>
                <w:rFonts w:ascii="Arial" w:eastAsia="Times New Roman" w:hAnsi="Arial" w:cs="Arial"/>
              </w:rPr>
              <w:t xml:space="preserve"> [EPIC]</w:t>
            </w:r>
            <w:r w:rsidRPr="00473482">
              <w:rPr>
                <w:rFonts w:ascii="Arial" w:eastAsia="Times New Roman" w:hAnsi="Arial" w:cs="Arial"/>
              </w:rPr>
              <w:t xml:space="preserve"> funds administered by the CEC may not be used for any purposes associated with local publicly owned electric utility activities.</w:t>
            </w:r>
          </w:p>
        </w:tc>
      </w:tr>
      <w:tr w:rsidR="0049097B" w14:paraId="52AA3B84" w14:textId="77777777" w:rsidTr="22E269BB">
        <w:tc>
          <w:tcPr>
            <w:tcW w:w="584" w:type="dxa"/>
          </w:tcPr>
          <w:p w14:paraId="0C3A9127" w14:textId="5A653CBF" w:rsidR="0049097B" w:rsidRDefault="004421BD" w:rsidP="00BE30AE">
            <w:pPr>
              <w:spacing w:after="120"/>
              <w:rPr>
                <w:rFonts w:ascii="Arial" w:hAnsi="Arial" w:cs="Arial"/>
              </w:rPr>
            </w:pPr>
            <w:r>
              <w:rPr>
                <w:rFonts w:ascii="Arial" w:hAnsi="Arial" w:cs="Arial"/>
              </w:rPr>
              <w:t>9</w:t>
            </w:r>
            <w:r w:rsidR="00FB70CB">
              <w:rPr>
                <w:rFonts w:ascii="Arial" w:hAnsi="Arial" w:cs="Arial"/>
              </w:rPr>
              <w:t>6</w:t>
            </w:r>
          </w:p>
        </w:tc>
        <w:tc>
          <w:tcPr>
            <w:tcW w:w="4451" w:type="dxa"/>
          </w:tcPr>
          <w:p w14:paraId="3DDF3319" w14:textId="56D2116A" w:rsidR="0049097B" w:rsidRPr="003515B4" w:rsidRDefault="00722D3D" w:rsidP="00BE30AE">
            <w:pPr>
              <w:spacing w:after="120"/>
              <w:rPr>
                <w:rFonts w:ascii="Arial" w:hAnsi="Arial" w:cs="Arial"/>
                <w:b/>
                <w:bCs/>
              </w:rPr>
            </w:pPr>
            <w:r w:rsidRPr="00270A3C">
              <w:rPr>
                <w:rFonts w:ascii="Arial" w:hAnsi="Arial" w:cs="Arial"/>
                <w:b/>
                <w:bCs/>
              </w:rPr>
              <w:t xml:space="preserve">Do project team members </w:t>
            </w:r>
            <w:r w:rsidRPr="00E21DEF">
              <w:rPr>
                <w:rFonts w:ascii="Arial" w:hAnsi="Arial" w:cs="Arial"/>
                <w:b/>
                <w:bCs/>
              </w:rPr>
              <w:t>consist of</w:t>
            </w:r>
            <w:r w:rsidRPr="00270A3C">
              <w:rPr>
                <w:rFonts w:ascii="Arial" w:hAnsi="Arial" w:cs="Arial"/>
                <w:b/>
                <w:bCs/>
              </w:rPr>
              <w:t xml:space="preserve"> all entities, partners, and sub-contractors who will be employed with and/or donating their services/labor to the project? Can you specify which project team members will need to provide their resumes?</w:t>
            </w:r>
          </w:p>
        </w:tc>
        <w:tc>
          <w:tcPr>
            <w:tcW w:w="8640" w:type="dxa"/>
          </w:tcPr>
          <w:p w14:paraId="62EB1B7C" w14:textId="77777777" w:rsidR="00722D3D" w:rsidRDefault="00722D3D" w:rsidP="00BE30AE">
            <w:pPr>
              <w:spacing w:after="120"/>
              <w:rPr>
                <w:rFonts w:ascii="Arial" w:eastAsia="Times New Roman" w:hAnsi="Arial" w:cs="Arial"/>
              </w:rPr>
            </w:pPr>
            <w:r>
              <w:rPr>
                <w:rFonts w:ascii="Arial" w:eastAsia="Times New Roman" w:hAnsi="Arial" w:cs="Arial"/>
              </w:rPr>
              <w:t xml:space="preserve">Yes, </w:t>
            </w:r>
            <w:r w:rsidRPr="007C45E8">
              <w:rPr>
                <w:rFonts w:ascii="Arial" w:eastAsia="Times New Roman" w:hAnsi="Arial" w:cs="Arial"/>
              </w:rPr>
              <w:t>project team members consist of all sub</w:t>
            </w:r>
            <w:r>
              <w:rPr>
                <w:rFonts w:ascii="Arial" w:eastAsia="Times New Roman" w:hAnsi="Arial" w:cs="Arial"/>
              </w:rPr>
              <w:t>recipients</w:t>
            </w:r>
            <w:r w:rsidRPr="007C45E8">
              <w:rPr>
                <w:rFonts w:ascii="Arial" w:eastAsia="Times New Roman" w:hAnsi="Arial" w:cs="Arial"/>
              </w:rPr>
              <w:t xml:space="preserve"> </w:t>
            </w:r>
            <w:r>
              <w:rPr>
                <w:rFonts w:ascii="Arial" w:eastAsia="Times New Roman" w:hAnsi="Arial" w:cs="Arial"/>
              </w:rPr>
              <w:t xml:space="preserve">(and match fund partners) </w:t>
            </w:r>
            <w:r w:rsidRPr="007C45E8">
              <w:rPr>
                <w:rFonts w:ascii="Arial" w:eastAsia="Times New Roman" w:hAnsi="Arial" w:cs="Arial"/>
              </w:rPr>
              <w:t>who will be employed with and/or donating their services/labor to the project</w:t>
            </w:r>
            <w:r>
              <w:rPr>
                <w:rFonts w:ascii="Arial" w:eastAsia="Times New Roman" w:hAnsi="Arial" w:cs="Arial"/>
              </w:rPr>
              <w:t>.</w:t>
            </w:r>
          </w:p>
          <w:p w14:paraId="708A4A8C" w14:textId="77777777" w:rsidR="00722D3D" w:rsidRDefault="00722D3D" w:rsidP="00BE30AE">
            <w:pPr>
              <w:spacing w:after="120"/>
              <w:rPr>
                <w:rFonts w:ascii="Arial" w:eastAsia="Times New Roman" w:hAnsi="Arial" w:cs="Arial"/>
              </w:rPr>
            </w:pPr>
          </w:p>
          <w:p w14:paraId="36B82D2F" w14:textId="045AC949" w:rsidR="0049097B" w:rsidRPr="00165CE8" w:rsidRDefault="00722D3D" w:rsidP="00BE30AE">
            <w:pPr>
              <w:spacing w:after="120"/>
              <w:rPr>
                <w:rFonts w:ascii="Arial" w:hAnsi="Arial" w:cs="Arial"/>
              </w:rPr>
            </w:pPr>
            <w:r>
              <w:rPr>
                <w:rFonts w:ascii="Arial" w:eastAsia="Times New Roman" w:hAnsi="Arial" w:cs="Arial"/>
              </w:rPr>
              <w:t xml:space="preserve">Resumes are required for all key personnel, which </w:t>
            </w:r>
            <w:r w:rsidRPr="005114E4">
              <w:rPr>
                <w:rFonts w:ascii="Arial" w:eastAsia="Times New Roman" w:hAnsi="Arial" w:cs="Arial"/>
              </w:rPr>
              <w:t>are individuals that are critical to the project due to their experience, knowledge, and/or capabilities.</w:t>
            </w:r>
            <w:r>
              <w:rPr>
                <w:rFonts w:ascii="Arial" w:eastAsia="Times New Roman" w:hAnsi="Arial" w:cs="Arial"/>
              </w:rPr>
              <w:t xml:space="preserve"> This includes personnel</w:t>
            </w:r>
            <w:r w:rsidRPr="0030640D">
              <w:rPr>
                <w:rFonts w:ascii="Arial" w:eastAsia="Times New Roman" w:hAnsi="Arial" w:cs="Arial"/>
              </w:rPr>
              <w:t xml:space="preserve"> employed by the applicant, a subrecipient</w:t>
            </w:r>
            <w:r>
              <w:rPr>
                <w:rFonts w:ascii="Arial" w:eastAsia="Times New Roman" w:hAnsi="Arial" w:cs="Arial"/>
              </w:rPr>
              <w:t>,</w:t>
            </w:r>
            <w:r w:rsidRPr="0030640D">
              <w:rPr>
                <w:rFonts w:ascii="Arial" w:eastAsia="Times New Roman" w:hAnsi="Arial" w:cs="Arial"/>
              </w:rPr>
              <w:t xml:space="preserve"> or sub-subrecipien</w:t>
            </w:r>
            <w:r>
              <w:rPr>
                <w:rFonts w:ascii="Arial" w:eastAsia="Times New Roman" w:hAnsi="Arial" w:cs="Arial"/>
              </w:rPr>
              <w:t>t (if applicable).</w:t>
            </w:r>
          </w:p>
        </w:tc>
      </w:tr>
      <w:tr w:rsidR="0049097B" w14:paraId="3BC0D645" w14:textId="77777777" w:rsidTr="22E269BB">
        <w:tc>
          <w:tcPr>
            <w:tcW w:w="584" w:type="dxa"/>
          </w:tcPr>
          <w:p w14:paraId="3ED41D88" w14:textId="202BC279" w:rsidR="0049097B" w:rsidRDefault="004421BD" w:rsidP="00BE30AE">
            <w:pPr>
              <w:spacing w:after="120"/>
              <w:rPr>
                <w:rFonts w:ascii="Arial" w:hAnsi="Arial" w:cs="Arial"/>
              </w:rPr>
            </w:pPr>
            <w:r>
              <w:rPr>
                <w:rFonts w:ascii="Arial" w:hAnsi="Arial" w:cs="Arial"/>
              </w:rPr>
              <w:t>9</w:t>
            </w:r>
            <w:r w:rsidR="00FB70CB">
              <w:rPr>
                <w:rFonts w:ascii="Arial" w:hAnsi="Arial" w:cs="Arial"/>
              </w:rPr>
              <w:t>7</w:t>
            </w:r>
          </w:p>
        </w:tc>
        <w:tc>
          <w:tcPr>
            <w:tcW w:w="4451" w:type="dxa"/>
          </w:tcPr>
          <w:p w14:paraId="6A7DB329" w14:textId="4C35C87E" w:rsidR="0049097B" w:rsidRPr="003515B4" w:rsidRDefault="00722D3D" w:rsidP="00BE30AE">
            <w:pPr>
              <w:spacing w:after="120"/>
              <w:rPr>
                <w:rFonts w:ascii="Arial" w:hAnsi="Arial" w:cs="Arial"/>
                <w:b/>
                <w:bCs/>
              </w:rPr>
            </w:pPr>
            <w:r w:rsidRPr="00165CE8">
              <w:rPr>
                <w:rFonts w:ascii="Arial" w:hAnsi="Arial" w:cs="Arial"/>
                <w:b/>
                <w:bCs/>
                <w:color w:val="000000"/>
              </w:rPr>
              <w:t>Is the anticipated agreement end date fixed at 10/01/2027, or can the agreement term be extended?</w:t>
            </w:r>
          </w:p>
        </w:tc>
        <w:tc>
          <w:tcPr>
            <w:tcW w:w="8640" w:type="dxa"/>
          </w:tcPr>
          <w:p w14:paraId="734F140B" w14:textId="20401249" w:rsidR="0049097B" w:rsidRPr="00165CE8" w:rsidRDefault="7DD3A7CF" w:rsidP="00BE30AE">
            <w:pPr>
              <w:spacing w:after="120"/>
              <w:rPr>
                <w:rFonts w:ascii="Arial" w:hAnsi="Arial" w:cs="Arial"/>
              </w:rPr>
            </w:pPr>
            <w:r w:rsidRPr="22E269BB">
              <w:rPr>
                <w:rFonts w:ascii="Arial" w:hAnsi="Arial" w:cs="Arial"/>
              </w:rPr>
              <w:t xml:space="preserve">Section III.C. Application Content </w:t>
            </w:r>
            <w:r w:rsidR="63863E6C" w:rsidRPr="22E269BB">
              <w:rPr>
                <w:rFonts w:ascii="Arial" w:hAnsi="Arial" w:cs="Arial"/>
              </w:rPr>
              <w:t xml:space="preserve">of the Solicitation Manual </w:t>
            </w:r>
            <w:r w:rsidRPr="22E269BB">
              <w:rPr>
                <w:rFonts w:ascii="Arial" w:hAnsi="Arial" w:cs="Arial"/>
              </w:rPr>
              <w:t>states that “All work must be scheduled for completion by the “Key Dates” section of this Solicitation Manual</w:t>
            </w:r>
            <w:r w:rsidR="35AFABBE" w:rsidRPr="22E269BB">
              <w:rPr>
                <w:rFonts w:ascii="Arial" w:hAnsi="Arial" w:cs="Arial"/>
              </w:rPr>
              <w:t>,</w:t>
            </w:r>
            <w:r w:rsidRPr="22E269BB">
              <w:rPr>
                <w:rFonts w:ascii="Arial" w:hAnsi="Arial" w:cs="Arial"/>
              </w:rPr>
              <w:t>” which includes the Anticipated Agreement End Date of 10/01/2027. The agreement term can be extended during agreement development or after the agreement is executed through an amendment as defined in the grant T&amp;Cs.</w:t>
            </w:r>
          </w:p>
        </w:tc>
      </w:tr>
      <w:tr w:rsidR="00E25C3B" w14:paraId="1F348ACA" w14:textId="77777777" w:rsidTr="22E269BB">
        <w:tc>
          <w:tcPr>
            <w:tcW w:w="584" w:type="dxa"/>
          </w:tcPr>
          <w:p w14:paraId="1A768009" w14:textId="57E022DB" w:rsidR="00E25C3B" w:rsidRDefault="004421BD" w:rsidP="00BE30AE">
            <w:pPr>
              <w:spacing w:after="120"/>
              <w:rPr>
                <w:rFonts w:ascii="Arial" w:hAnsi="Arial" w:cs="Arial"/>
              </w:rPr>
            </w:pPr>
            <w:r>
              <w:rPr>
                <w:rFonts w:ascii="Arial" w:hAnsi="Arial" w:cs="Arial"/>
              </w:rPr>
              <w:t>9</w:t>
            </w:r>
            <w:r w:rsidR="00FB70CB">
              <w:rPr>
                <w:rFonts w:ascii="Arial" w:hAnsi="Arial" w:cs="Arial"/>
              </w:rPr>
              <w:t>8</w:t>
            </w:r>
          </w:p>
        </w:tc>
        <w:tc>
          <w:tcPr>
            <w:tcW w:w="4451" w:type="dxa"/>
          </w:tcPr>
          <w:p w14:paraId="4F1AA206" w14:textId="148892E8" w:rsidR="00E25C3B" w:rsidRPr="003515B4" w:rsidRDefault="00E25C3B" w:rsidP="00BE30AE">
            <w:pPr>
              <w:spacing w:after="120"/>
              <w:rPr>
                <w:rFonts w:ascii="Arial" w:hAnsi="Arial" w:cs="Arial"/>
                <w:b/>
                <w:bCs/>
              </w:rPr>
            </w:pPr>
            <w:r w:rsidRPr="00165CE8">
              <w:rPr>
                <w:rFonts w:ascii="Arial" w:hAnsi="Arial" w:cs="Arial"/>
                <w:b/>
                <w:bCs/>
                <w:color w:val="000000"/>
              </w:rPr>
              <w:t>Within the 3 year performance period, are there time requirements on design, build, and operate? For example, does the charging infra</w:t>
            </w:r>
            <w:r>
              <w:rPr>
                <w:rFonts w:ascii="Arial" w:hAnsi="Arial" w:cs="Arial"/>
                <w:b/>
                <w:bCs/>
                <w:color w:val="000000"/>
              </w:rPr>
              <w:t>structure</w:t>
            </w:r>
            <w:r w:rsidRPr="00165CE8">
              <w:rPr>
                <w:rFonts w:ascii="Arial" w:hAnsi="Arial" w:cs="Arial"/>
                <w:b/>
                <w:bCs/>
                <w:color w:val="000000"/>
              </w:rPr>
              <w:t xml:space="preserve"> need to be operating for at least 12 months within the performance period, or some other duration?</w:t>
            </w:r>
            <w:r>
              <w:rPr>
                <w:rFonts w:ascii="Arial" w:hAnsi="Arial" w:cs="Arial"/>
                <w:b/>
                <w:bCs/>
                <w:color w:val="000000"/>
              </w:rPr>
              <w:t xml:space="preserve"> </w:t>
            </w:r>
          </w:p>
        </w:tc>
        <w:tc>
          <w:tcPr>
            <w:tcW w:w="8640" w:type="dxa"/>
          </w:tcPr>
          <w:p w14:paraId="5CAC6528" w14:textId="7013A1A6" w:rsidR="00E25C3B" w:rsidRDefault="00946363" w:rsidP="00BE30AE">
            <w:pPr>
              <w:spacing w:after="120"/>
              <w:rPr>
                <w:rFonts w:ascii="Arial" w:hAnsi="Arial" w:cs="Arial"/>
              </w:rPr>
            </w:pPr>
            <w:r w:rsidRPr="3808C4E5">
              <w:rPr>
                <w:rFonts w:ascii="Arial" w:hAnsi="Arial" w:cs="Arial"/>
              </w:rPr>
              <w:t xml:space="preserve">Addendum 2 has revised the </w:t>
            </w:r>
            <w:r w:rsidRPr="75E20A09">
              <w:rPr>
                <w:rFonts w:ascii="Arial" w:hAnsi="Arial" w:cs="Arial"/>
              </w:rPr>
              <w:t>Solicitation Manual</w:t>
            </w:r>
            <w:r>
              <w:rPr>
                <w:rFonts w:ascii="Arial" w:hAnsi="Arial" w:cs="Arial"/>
              </w:rPr>
              <w:t xml:space="preserve"> (Section I.C)</w:t>
            </w:r>
            <w:r w:rsidRPr="75E20A09">
              <w:rPr>
                <w:rFonts w:ascii="Arial" w:hAnsi="Arial" w:cs="Arial"/>
              </w:rPr>
              <w:t xml:space="preserve"> to include the </w:t>
            </w:r>
            <w:r w:rsidRPr="00843727">
              <w:rPr>
                <w:rFonts w:ascii="Arial" w:hAnsi="Arial" w:cs="Arial"/>
              </w:rPr>
              <w:t>following</w:t>
            </w:r>
            <w:r>
              <w:rPr>
                <w:rFonts w:ascii="Arial" w:hAnsi="Arial" w:cs="Arial"/>
              </w:rPr>
              <w:t>, “</w:t>
            </w:r>
            <w:r w:rsidR="00351F69" w:rsidRPr="00351F69">
              <w:rPr>
                <w:rFonts w:ascii="Arial" w:hAnsi="Arial" w:cs="Arial"/>
              </w:rPr>
              <w:t>Demonstration or deployment length must be at minimum 6 months and meet all group data collection requirements</w:t>
            </w:r>
            <w:r w:rsidR="000D4C2E">
              <w:rPr>
                <w:rFonts w:ascii="Arial" w:hAnsi="Arial" w:cs="Arial"/>
              </w:rPr>
              <w:t xml:space="preserve">.” </w:t>
            </w:r>
          </w:p>
          <w:p w14:paraId="607F7970" w14:textId="77777777" w:rsidR="000110FD" w:rsidRDefault="000110FD" w:rsidP="00BE30AE">
            <w:pPr>
              <w:spacing w:after="120"/>
              <w:rPr>
                <w:rFonts w:ascii="Arial" w:hAnsi="Arial" w:cs="Arial"/>
              </w:rPr>
            </w:pPr>
          </w:p>
          <w:p w14:paraId="4BC6A854" w14:textId="7437F1D7" w:rsidR="000110FD" w:rsidRPr="00165CE8" w:rsidRDefault="004D1BE3" w:rsidP="00BE30AE">
            <w:pPr>
              <w:spacing w:after="120"/>
              <w:rPr>
                <w:rFonts w:ascii="Arial" w:hAnsi="Arial" w:cs="Arial"/>
              </w:rPr>
            </w:pPr>
            <w:r>
              <w:rPr>
                <w:rFonts w:ascii="Arial" w:hAnsi="Arial" w:cs="Arial"/>
              </w:rPr>
              <w:t>There are no other time requirements</w:t>
            </w:r>
            <w:r w:rsidR="00631063">
              <w:rPr>
                <w:rFonts w:ascii="Arial" w:hAnsi="Arial" w:cs="Arial"/>
              </w:rPr>
              <w:t xml:space="preserve">. </w:t>
            </w:r>
            <w:r w:rsidR="001F074F">
              <w:rPr>
                <w:rFonts w:ascii="Arial" w:hAnsi="Arial" w:cs="Arial"/>
              </w:rPr>
              <w:t>Design and build lengths will depend on the applicant</w:t>
            </w:r>
            <w:r w:rsidR="008E256E">
              <w:rPr>
                <w:rFonts w:ascii="Arial" w:hAnsi="Arial" w:cs="Arial"/>
              </w:rPr>
              <w:t xml:space="preserve">’s </w:t>
            </w:r>
            <w:r w:rsidR="00B87C0C">
              <w:rPr>
                <w:rFonts w:ascii="Arial" w:hAnsi="Arial" w:cs="Arial"/>
              </w:rPr>
              <w:t xml:space="preserve">scope of work. </w:t>
            </w:r>
            <w:r w:rsidR="006238A4">
              <w:rPr>
                <w:rFonts w:ascii="Arial" w:hAnsi="Arial" w:cs="Arial"/>
              </w:rPr>
              <w:t xml:space="preserve"> </w:t>
            </w:r>
          </w:p>
        </w:tc>
      </w:tr>
      <w:tr w:rsidR="00336E1E" w14:paraId="71420F5D" w14:textId="77777777" w:rsidTr="22E269BB">
        <w:tc>
          <w:tcPr>
            <w:tcW w:w="584" w:type="dxa"/>
          </w:tcPr>
          <w:p w14:paraId="434AB993" w14:textId="3CF7FF07" w:rsidR="00336E1E" w:rsidRDefault="00FB70CB" w:rsidP="00BE30AE">
            <w:pPr>
              <w:spacing w:after="120"/>
              <w:rPr>
                <w:rFonts w:ascii="Arial" w:hAnsi="Arial" w:cs="Arial"/>
              </w:rPr>
            </w:pPr>
            <w:r>
              <w:rPr>
                <w:rFonts w:ascii="Arial" w:hAnsi="Arial" w:cs="Arial"/>
              </w:rPr>
              <w:t>99</w:t>
            </w:r>
          </w:p>
        </w:tc>
        <w:tc>
          <w:tcPr>
            <w:tcW w:w="4451" w:type="dxa"/>
          </w:tcPr>
          <w:p w14:paraId="24BE17BE" w14:textId="2B058339" w:rsidR="00336E1E" w:rsidRPr="002A1631" w:rsidRDefault="00336E1E" w:rsidP="00BE30AE">
            <w:pPr>
              <w:spacing w:after="120"/>
              <w:rPr>
                <w:rFonts w:ascii="Arial" w:hAnsi="Arial" w:cs="Arial"/>
                <w:b/>
                <w:bCs/>
                <w:color w:val="000000"/>
              </w:rPr>
            </w:pPr>
            <w:r w:rsidRPr="002A1631">
              <w:rPr>
                <w:rFonts w:ascii="Arial" w:hAnsi="Arial" w:cs="Arial"/>
                <w:b/>
                <w:bCs/>
              </w:rPr>
              <w:t xml:space="preserve">What is the applicability of Section 2 in </w:t>
            </w:r>
            <w:r w:rsidR="002A1631" w:rsidRPr="00B5453B">
              <w:rPr>
                <w:rFonts w:ascii="Arial" w:hAnsi="Arial" w:cs="Arial"/>
                <w:b/>
                <w:bCs/>
              </w:rPr>
              <w:t>the Terms and Conditions</w:t>
            </w:r>
            <w:r w:rsidRPr="002A1631">
              <w:rPr>
                <w:rFonts w:ascii="Arial" w:hAnsi="Arial" w:cs="Arial"/>
                <w:b/>
                <w:bCs/>
              </w:rPr>
              <w:t xml:space="preserve"> if the grant is a commercial services award where adequate price competition was obtained?</w:t>
            </w:r>
          </w:p>
        </w:tc>
        <w:tc>
          <w:tcPr>
            <w:tcW w:w="8640" w:type="dxa"/>
          </w:tcPr>
          <w:p w14:paraId="2BA1979C" w14:textId="102747B4" w:rsidR="00336E1E" w:rsidRDefault="00CD74DA" w:rsidP="00BE30AE">
            <w:pPr>
              <w:spacing w:after="120"/>
              <w:rPr>
                <w:rFonts w:ascii="Arial" w:hAnsi="Arial" w:cs="Arial"/>
              </w:rPr>
            </w:pPr>
            <w:r>
              <w:rPr>
                <w:rFonts w:ascii="Arial" w:hAnsi="Arial" w:cs="Arial"/>
              </w:rPr>
              <w:t>All sections in the Terms and Conditions apply</w:t>
            </w:r>
            <w:r w:rsidR="00643A13">
              <w:rPr>
                <w:rFonts w:ascii="Arial" w:hAnsi="Arial" w:cs="Arial"/>
              </w:rPr>
              <w:t xml:space="preserve">. </w:t>
            </w:r>
          </w:p>
        </w:tc>
      </w:tr>
    </w:tbl>
    <w:p w14:paraId="03EBE147" w14:textId="01088A7A" w:rsidR="001329C4" w:rsidRPr="001604CE" w:rsidRDefault="001329C4" w:rsidP="00BE30AE">
      <w:pPr>
        <w:spacing w:after="120"/>
        <w:rPr>
          <w:rFonts w:ascii="Arial" w:hAnsi="Arial" w:cs="Arial"/>
          <w:color w:val="70AD47" w:themeColor="accent6"/>
          <w:sz w:val="24"/>
          <w:szCs w:val="24"/>
          <w:u w:val="single"/>
        </w:rPr>
      </w:pPr>
    </w:p>
    <w:p w14:paraId="6741744C" w14:textId="0892DAD2" w:rsidR="001329C4" w:rsidRPr="00B5453B" w:rsidRDefault="001329C4" w:rsidP="00BE30AE">
      <w:pPr>
        <w:spacing w:after="120"/>
        <w:rPr>
          <w:rFonts w:ascii="Arial" w:hAnsi="Arial" w:cs="Arial"/>
          <w:b/>
          <w:bCs/>
        </w:rPr>
      </w:pPr>
    </w:p>
    <w:p w14:paraId="5517881C" w14:textId="77777777" w:rsidR="001329C4" w:rsidRDefault="001329C4" w:rsidP="00BE30AE">
      <w:pPr>
        <w:spacing w:after="120"/>
        <w:rPr>
          <w:rFonts w:ascii="Arial" w:hAnsi="Arial" w:cs="Arial"/>
        </w:rPr>
      </w:pPr>
    </w:p>
    <w:p w14:paraId="02CD87B9" w14:textId="124E1311" w:rsidR="001329C4" w:rsidRDefault="001329C4" w:rsidP="00BE30AE">
      <w:pPr>
        <w:spacing w:after="120"/>
        <w:rPr>
          <w:rFonts w:ascii="Arial" w:hAnsi="Arial" w:cs="Arial"/>
        </w:rPr>
      </w:pPr>
    </w:p>
    <w:p w14:paraId="2C4B6829" w14:textId="2D172576" w:rsidR="001539AD" w:rsidRDefault="001539AD" w:rsidP="00BE30AE">
      <w:pPr>
        <w:spacing w:after="120"/>
      </w:pPr>
    </w:p>
    <w:sectPr w:rsidR="001539AD" w:rsidSect="00D034C1">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E967A" w14:textId="77777777" w:rsidR="00D034C1" w:rsidRDefault="00D034C1" w:rsidP="00026FD0">
      <w:pPr>
        <w:spacing w:after="0" w:line="240" w:lineRule="auto"/>
      </w:pPr>
      <w:r>
        <w:separator/>
      </w:r>
    </w:p>
  </w:endnote>
  <w:endnote w:type="continuationSeparator" w:id="0">
    <w:p w14:paraId="72BE0A18" w14:textId="77777777" w:rsidR="00D034C1" w:rsidRDefault="00D034C1" w:rsidP="00026FD0">
      <w:pPr>
        <w:spacing w:after="0" w:line="240" w:lineRule="auto"/>
      </w:pPr>
      <w:r>
        <w:continuationSeparator/>
      </w:r>
    </w:p>
  </w:endnote>
  <w:endnote w:type="continuationNotice" w:id="1">
    <w:p w14:paraId="3CD315EF" w14:textId="77777777" w:rsidR="00D034C1" w:rsidRDefault="00D034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C2B0D" w14:textId="77777777" w:rsidR="00D034C1" w:rsidRDefault="00D034C1" w:rsidP="00026FD0">
      <w:pPr>
        <w:spacing w:after="0" w:line="240" w:lineRule="auto"/>
      </w:pPr>
      <w:r>
        <w:separator/>
      </w:r>
    </w:p>
  </w:footnote>
  <w:footnote w:type="continuationSeparator" w:id="0">
    <w:p w14:paraId="1B25CB99" w14:textId="77777777" w:rsidR="00D034C1" w:rsidRDefault="00D034C1" w:rsidP="00026FD0">
      <w:pPr>
        <w:spacing w:after="0" w:line="240" w:lineRule="auto"/>
      </w:pPr>
      <w:r>
        <w:continuationSeparator/>
      </w:r>
    </w:p>
  </w:footnote>
  <w:footnote w:type="continuationNotice" w:id="1">
    <w:p w14:paraId="7120C6B3" w14:textId="77777777" w:rsidR="00D034C1" w:rsidRDefault="00D034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6E47"/>
    <w:multiLevelType w:val="multilevel"/>
    <w:tmpl w:val="C21426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85566D"/>
    <w:multiLevelType w:val="multilevel"/>
    <w:tmpl w:val="C2D85A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52002A0"/>
    <w:multiLevelType w:val="multilevel"/>
    <w:tmpl w:val="C2AC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D370DA"/>
    <w:multiLevelType w:val="multilevel"/>
    <w:tmpl w:val="675E1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05199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77202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87276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5425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C4"/>
    <w:rsid w:val="00001776"/>
    <w:rsid w:val="00002740"/>
    <w:rsid w:val="00002F30"/>
    <w:rsid w:val="0000553A"/>
    <w:rsid w:val="00006C03"/>
    <w:rsid w:val="00006EAC"/>
    <w:rsid w:val="000073B2"/>
    <w:rsid w:val="00007878"/>
    <w:rsid w:val="000110FD"/>
    <w:rsid w:val="00011173"/>
    <w:rsid w:val="00011489"/>
    <w:rsid w:val="000115F0"/>
    <w:rsid w:val="000128DC"/>
    <w:rsid w:val="00013177"/>
    <w:rsid w:val="000133FC"/>
    <w:rsid w:val="00013ABC"/>
    <w:rsid w:val="00016587"/>
    <w:rsid w:val="00017347"/>
    <w:rsid w:val="000174EA"/>
    <w:rsid w:val="00017C6D"/>
    <w:rsid w:val="0002063A"/>
    <w:rsid w:val="00020BA3"/>
    <w:rsid w:val="00022779"/>
    <w:rsid w:val="00022D6B"/>
    <w:rsid w:val="00023135"/>
    <w:rsid w:val="00023793"/>
    <w:rsid w:val="000240A0"/>
    <w:rsid w:val="0002504E"/>
    <w:rsid w:val="00025682"/>
    <w:rsid w:val="00025D66"/>
    <w:rsid w:val="00026799"/>
    <w:rsid w:val="00026FD0"/>
    <w:rsid w:val="00030374"/>
    <w:rsid w:val="00030AFC"/>
    <w:rsid w:val="000338B1"/>
    <w:rsid w:val="00033F31"/>
    <w:rsid w:val="00034E1B"/>
    <w:rsid w:val="00034EE2"/>
    <w:rsid w:val="0003518A"/>
    <w:rsid w:val="000355AA"/>
    <w:rsid w:val="00036A48"/>
    <w:rsid w:val="00037158"/>
    <w:rsid w:val="000371D9"/>
    <w:rsid w:val="00037524"/>
    <w:rsid w:val="00040275"/>
    <w:rsid w:val="0004084E"/>
    <w:rsid w:val="00041C8F"/>
    <w:rsid w:val="00041F86"/>
    <w:rsid w:val="00042387"/>
    <w:rsid w:val="00044B9E"/>
    <w:rsid w:val="000453EC"/>
    <w:rsid w:val="000456BD"/>
    <w:rsid w:val="00050582"/>
    <w:rsid w:val="000506FF"/>
    <w:rsid w:val="00051363"/>
    <w:rsid w:val="00052812"/>
    <w:rsid w:val="0005339A"/>
    <w:rsid w:val="000536D8"/>
    <w:rsid w:val="00054880"/>
    <w:rsid w:val="00054979"/>
    <w:rsid w:val="00054AC5"/>
    <w:rsid w:val="00054D98"/>
    <w:rsid w:val="00055379"/>
    <w:rsid w:val="00055FFD"/>
    <w:rsid w:val="00057707"/>
    <w:rsid w:val="00060123"/>
    <w:rsid w:val="000609F9"/>
    <w:rsid w:val="00060A63"/>
    <w:rsid w:val="00060FEC"/>
    <w:rsid w:val="0006190A"/>
    <w:rsid w:val="000619DB"/>
    <w:rsid w:val="000620AD"/>
    <w:rsid w:val="0006225E"/>
    <w:rsid w:val="00062959"/>
    <w:rsid w:val="000629AC"/>
    <w:rsid w:val="00063510"/>
    <w:rsid w:val="000647DE"/>
    <w:rsid w:val="00065221"/>
    <w:rsid w:val="00066833"/>
    <w:rsid w:val="00067A8C"/>
    <w:rsid w:val="000704F9"/>
    <w:rsid w:val="0007083D"/>
    <w:rsid w:val="00070EA4"/>
    <w:rsid w:val="00075A83"/>
    <w:rsid w:val="00076572"/>
    <w:rsid w:val="00076AAB"/>
    <w:rsid w:val="00076DC6"/>
    <w:rsid w:val="000803A9"/>
    <w:rsid w:val="000809CF"/>
    <w:rsid w:val="00080B5D"/>
    <w:rsid w:val="00080D78"/>
    <w:rsid w:val="00081349"/>
    <w:rsid w:val="000814B6"/>
    <w:rsid w:val="0008181A"/>
    <w:rsid w:val="000821A5"/>
    <w:rsid w:val="00083F39"/>
    <w:rsid w:val="00084B5C"/>
    <w:rsid w:val="000861C0"/>
    <w:rsid w:val="00087D94"/>
    <w:rsid w:val="00090287"/>
    <w:rsid w:val="0009041D"/>
    <w:rsid w:val="0009047D"/>
    <w:rsid w:val="00092552"/>
    <w:rsid w:val="00092764"/>
    <w:rsid w:val="000928B6"/>
    <w:rsid w:val="00092F8F"/>
    <w:rsid w:val="00095479"/>
    <w:rsid w:val="00096984"/>
    <w:rsid w:val="000A0585"/>
    <w:rsid w:val="000A067B"/>
    <w:rsid w:val="000A080E"/>
    <w:rsid w:val="000A17A7"/>
    <w:rsid w:val="000A1A9E"/>
    <w:rsid w:val="000A2D01"/>
    <w:rsid w:val="000A30FA"/>
    <w:rsid w:val="000A3C51"/>
    <w:rsid w:val="000A4307"/>
    <w:rsid w:val="000A6353"/>
    <w:rsid w:val="000A71F4"/>
    <w:rsid w:val="000A758A"/>
    <w:rsid w:val="000B12A0"/>
    <w:rsid w:val="000B22B9"/>
    <w:rsid w:val="000B32A8"/>
    <w:rsid w:val="000B47CC"/>
    <w:rsid w:val="000B56A0"/>
    <w:rsid w:val="000B60CB"/>
    <w:rsid w:val="000B702F"/>
    <w:rsid w:val="000C025A"/>
    <w:rsid w:val="000C099D"/>
    <w:rsid w:val="000C0D4E"/>
    <w:rsid w:val="000C308A"/>
    <w:rsid w:val="000C38F8"/>
    <w:rsid w:val="000C4258"/>
    <w:rsid w:val="000C4C3F"/>
    <w:rsid w:val="000C5A8D"/>
    <w:rsid w:val="000C7396"/>
    <w:rsid w:val="000C77D3"/>
    <w:rsid w:val="000C7A63"/>
    <w:rsid w:val="000D24C6"/>
    <w:rsid w:val="000D2A14"/>
    <w:rsid w:val="000D418F"/>
    <w:rsid w:val="000D4C2E"/>
    <w:rsid w:val="000D50B3"/>
    <w:rsid w:val="000D65C8"/>
    <w:rsid w:val="000E110A"/>
    <w:rsid w:val="000E191E"/>
    <w:rsid w:val="000E1954"/>
    <w:rsid w:val="000E21A7"/>
    <w:rsid w:val="000E24D1"/>
    <w:rsid w:val="000E34F4"/>
    <w:rsid w:val="000E3C63"/>
    <w:rsid w:val="000E3D75"/>
    <w:rsid w:val="000E411C"/>
    <w:rsid w:val="000E43A7"/>
    <w:rsid w:val="000E4BB0"/>
    <w:rsid w:val="000E7650"/>
    <w:rsid w:val="000F0446"/>
    <w:rsid w:val="000F0D24"/>
    <w:rsid w:val="000F0D58"/>
    <w:rsid w:val="000F148A"/>
    <w:rsid w:val="000F1BB7"/>
    <w:rsid w:val="000F2522"/>
    <w:rsid w:val="000F28D4"/>
    <w:rsid w:val="000F374C"/>
    <w:rsid w:val="000F4166"/>
    <w:rsid w:val="000F45AC"/>
    <w:rsid w:val="000F467F"/>
    <w:rsid w:val="000F4AA5"/>
    <w:rsid w:val="000F4B81"/>
    <w:rsid w:val="000F535E"/>
    <w:rsid w:val="000F60D8"/>
    <w:rsid w:val="000F6384"/>
    <w:rsid w:val="000F6BA4"/>
    <w:rsid w:val="000F6D98"/>
    <w:rsid w:val="000F7507"/>
    <w:rsid w:val="000F7EB8"/>
    <w:rsid w:val="0010173E"/>
    <w:rsid w:val="00103C64"/>
    <w:rsid w:val="00106036"/>
    <w:rsid w:val="001060FF"/>
    <w:rsid w:val="00106850"/>
    <w:rsid w:val="001077C0"/>
    <w:rsid w:val="001116CE"/>
    <w:rsid w:val="00111816"/>
    <w:rsid w:val="00111B01"/>
    <w:rsid w:val="00111E89"/>
    <w:rsid w:val="00115206"/>
    <w:rsid w:val="001175E2"/>
    <w:rsid w:val="00117AF2"/>
    <w:rsid w:val="00117E0D"/>
    <w:rsid w:val="00120A2E"/>
    <w:rsid w:val="00121D35"/>
    <w:rsid w:val="00122402"/>
    <w:rsid w:val="00123032"/>
    <w:rsid w:val="0012357C"/>
    <w:rsid w:val="00123FA9"/>
    <w:rsid w:val="001245B0"/>
    <w:rsid w:val="00125B62"/>
    <w:rsid w:val="00126D54"/>
    <w:rsid w:val="0012719E"/>
    <w:rsid w:val="0012728B"/>
    <w:rsid w:val="001278F9"/>
    <w:rsid w:val="00127C6B"/>
    <w:rsid w:val="00130364"/>
    <w:rsid w:val="0013047A"/>
    <w:rsid w:val="00130586"/>
    <w:rsid w:val="00131EB1"/>
    <w:rsid w:val="00132166"/>
    <w:rsid w:val="001329C4"/>
    <w:rsid w:val="00132CFE"/>
    <w:rsid w:val="00132DB1"/>
    <w:rsid w:val="00133105"/>
    <w:rsid w:val="001345A8"/>
    <w:rsid w:val="0013475B"/>
    <w:rsid w:val="001356D5"/>
    <w:rsid w:val="00135C81"/>
    <w:rsid w:val="001366A3"/>
    <w:rsid w:val="001369D8"/>
    <w:rsid w:val="00136B91"/>
    <w:rsid w:val="00140734"/>
    <w:rsid w:val="0014202D"/>
    <w:rsid w:val="0014233A"/>
    <w:rsid w:val="0014278F"/>
    <w:rsid w:val="00143192"/>
    <w:rsid w:val="00144024"/>
    <w:rsid w:val="00145660"/>
    <w:rsid w:val="001469E2"/>
    <w:rsid w:val="00147BF5"/>
    <w:rsid w:val="00147D10"/>
    <w:rsid w:val="00147EE2"/>
    <w:rsid w:val="00147F84"/>
    <w:rsid w:val="00150043"/>
    <w:rsid w:val="001500C1"/>
    <w:rsid w:val="0015068F"/>
    <w:rsid w:val="00150CC0"/>
    <w:rsid w:val="00151295"/>
    <w:rsid w:val="00152138"/>
    <w:rsid w:val="00152DFF"/>
    <w:rsid w:val="001539AD"/>
    <w:rsid w:val="00154E0D"/>
    <w:rsid w:val="00155F52"/>
    <w:rsid w:val="00157ED4"/>
    <w:rsid w:val="001600C5"/>
    <w:rsid w:val="001604DE"/>
    <w:rsid w:val="0016087C"/>
    <w:rsid w:val="00160982"/>
    <w:rsid w:val="00160B68"/>
    <w:rsid w:val="001645E7"/>
    <w:rsid w:val="00164CE2"/>
    <w:rsid w:val="00166D3C"/>
    <w:rsid w:val="00167C47"/>
    <w:rsid w:val="00170C27"/>
    <w:rsid w:val="00172091"/>
    <w:rsid w:val="00172BD6"/>
    <w:rsid w:val="0017536D"/>
    <w:rsid w:val="00176B56"/>
    <w:rsid w:val="00176FF7"/>
    <w:rsid w:val="00180C3B"/>
    <w:rsid w:val="00181599"/>
    <w:rsid w:val="001823FD"/>
    <w:rsid w:val="001831E8"/>
    <w:rsid w:val="00183F21"/>
    <w:rsid w:val="00184D06"/>
    <w:rsid w:val="0018671C"/>
    <w:rsid w:val="001867A1"/>
    <w:rsid w:val="00186FDB"/>
    <w:rsid w:val="0019067F"/>
    <w:rsid w:val="0019118D"/>
    <w:rsid w:val="00191F94"/>
    <w:rsid w:val="001933C3"/>
    <w:rsid w:val="0019367F"/>
    <w:rsid w:val="001941D7"/>
    <w:rsid w:val="00197854"/>
    <w:rsid w:val="001A079C"/>
    <w:rsid w:val="001A09F4"/>
    <w:rsid w:val="001A19E4"/>
    <w:rsid w:val="001A204A"/>
    <w:rsid w:val="001A26E6"/>
    <w:rsid w:val="001A42BF"/>
    <w:rsid w:val="001A43E6"/>
    <w:rsid w:val="001A4B7F"/>
    <w:rsid w:val="001A747C"/>
    <w:rsid w:val="001A7AEB"/>
    <w:rsid w:val="001A7F4D"/>
    <w:rsid w:val="001A7F51"/>
    <w:rsid w:val="001B00D2"/>
    <w:rsid w:val="001B2780"/>
    <w:rsid w:val="001B2817"/>
    <w:rsid w:val="001B2B0E"/>
    <w:rsid w:val="001B2C41"/>
    <w:rsid w:val="001B2C9C"/>
    <w:rsid w:val="001B3FCA"/>
    <w:rsid w:val="001B410C"/>
    <w:rsid w:val="001B49DE"/>
    <w:rsid w:val="001B5DD5"/>
    <w:rsid w:val="001B5E22"/>
    <w:rsid w:val="001B61FB"/>
    <w:rsid w:val="001B67CF"/>
    <w:rsid w:val="001B7D82"/>
    <w:rsid w:val="001C0F66"/>
    <w:rsid w:val="001C1335"/>
    <w:rsid w:val="001C1B32"/>
    <w:rsid w:val="001C2C2F"/>
    <w:rsid w:val="001C363A"/>
    <w:rsid w:val="001C3919"/>
    <w:rsid w:val="001C39C1"/>
    <w:rsid w:val="001C5365"/>
    <w:rsid w:val="001C5392"/>
    <w:rsid w:val="001C567E"/>
    <w:rsid w:val="001C70B6"/>
    <w:rsid w:val="001C7B39"/>
    <w:rsid w:val="001D051D"/>
    <w:rsid w:val="001D0568"/>
    <w:rsid w:val="001D2FD7"/>
    <w:rsid w:val="001D507B"/>
    <w:rsid w:val="001D57C6"/>
    <w:rsid w:val="001D5ABC"/>
    <w:rsid w:val="001D5C81"/>
    <w:rsid w:val="001D6CA1"/>
    <w:rsid w:val="001D72E2"/>
    <w:rsid w:val="001D74AD"/>
    <w:rsid w:val="001E0A25"/>
    <w:rsid w:val="001E10D5"/>
    <w:rsid w:val="001E18C6"/>
    <w:rsid w:val="001E2ACE"/>
    <w:rsid w:val="001E3896"/>
    <w:rsid w:val="001E4872"/>
    <w:rsid w:val="001E590E"/>
    <w:rsid w:val="001E62AF"/>
    <w:rsid w:val="001E68B3"/>
    <w:rsid w:val="001E7A1C"/>
    <w:rsid w:val="001F074F"/>
    <w:rsid w:val="001F1AF7"/>
    <w:rsid w:val="001F4021"/>
    <w:rsid w:val="001F41B3"/>
    <w:rsid w:val="001F4681"/>
    <w:rsid w:val="001F489C"/>
    <w:rsid w:val="001F653E"/>
    <w:rsid w:val="001F6ABE"/>
    <w:rsid w:val="001F6EB2"/>
    <w:rsid w:val="00201ADB"/>
    <w:rsid w:val="00202C14"/>
    <w:rsid w:val="002031F5"/>
    <w:rsid w:val="002032E0"/>
    <w:rsid w:val="00203656"/>
    <w:rsid w:val="00204708"/>
    <w:rsid w:val="0020549C"/>
    <w:rsid w:val="0020558D"/>
    <w:rsid w:val="0020593A"/>
    <w:rsid w:val="00205EC6"/>
    <w:rsid w:val="002060E7"/>
    <w:rsid w:val="00206C5D"/>
    <w:rsid w:val="002116A2"/>
    <w:rsid w:val="00212FDF"/>
    <w:rsid w:val="0021319D"/>
    <w:rsid w:val="002135C7"/>
    <w:rsid w:val="00213F58"/>
    <w:rsid w:val="00214016"/>
    <w:rsid w:val="0021476D"/>
    <w:rsid w:val="002148F4"/>
    <w:rsid w:val="002149E9"/>
    <w:rsid w:val="00215573"/>
    <w:rsid w:val="00215C67"/>
    <w:rsid w:val="00215CF4"/>
    <w:rsid w:val="00216C8B"/>
    <w:rsid w:val="00216E1F"/>
    <w:rsid w:val="00217365"/>
    <w:rsid w:val="00217DB4"/>
    <w:rsid w:val="0022040A"/>
    <w:rsid w:val="002216C2"/>
    <w:rsid w:val="00223B7D"/>
    <w:rsid w:val="00224650"/>
    <w:rsid w:val="00224725"/>
    <w:rsid w:val="00226DEC"/>
    <w:rsid w:val="002270A7"/>
    <w:rsid w:val="002274AA"/>
    <w:rsid w:val="00231034"/>
    <w:rsid w:val="002313F2"/>
    <w:rsid w:val="00233938"/>
    <w:rsid w:val="002343B7"/>
    <w:rsid w:val="002355E1"/>
    <w:rsid w:val="00235CA6"/>
    <w:rsid w:val="00236768"/>
    <w:rsid w:val="00236B26"/>
    <w:rsid w:val="00236C35"/>
    <w:rsid w:val="00240727"/>
    <w:rsid w:val="002412A3"/>
    <w:rsid w:val="002417A3"/>
    <w:rsid w:val="00241B8E"/>
    <w:rsid w:val="00241CE6"/>
    <w:rsid w:val="00241F88"/>
    <w:rsid w:val="00242D33"/>
    <w:rsid w:val="00242EDD"/>
    <w:rsid w:val="00243932"/>
    <w:rsid w:val="00243F5D"/>
    <w:rsid w:val="00245138"/>
    <w:rsid w:val="00245CC9"/>
    <w:rsid w:val="00246EC3"/>
    <w:rsid w:val="00247113"/>
    <w:rsid w:val="00247292"/>
    <w:rsid w:val="0024780D"/>
    <w:rsid w:val="00251B2F"/>
    <w:rsid w:val="00251DF5"/>
    <w:rsid w:val="00251ED4"/>
    <w:rsid w:val="002520BE"/>
    <w:rsid w:val="00252DA7"/>
    <w:rsid w:val="00252E91"/>
    <w:rsid w:val="00256A12"/>
    <w:rsid w:val="00256B84"/>
    <w:rsid w:val="00256CBD"/>
    <w:rsid w:val="0026064E"/>
    <w:rsid w:val="00261790"/>
    <w:rsid w:val="00261862"/>
    <w:rsid w:val="00261C22"/>
    <w:rsid w:val="002620DC"/>
    <w:rsid w:val="00262289"/>
    <w:rsid w:val="00262806"/>
    <w:rsid w:val="0026393E"/>
    <w:rsid w:val="00263A35"/>
    <w:rsid w:val="00264118"/>
    <w:rsid w:val="00265929"/>
    <w:rsid w:val="00267FF4"/>
    <w:rsid w:val="00267FFD"/>
    <w:rsid w:val="0027023F"/>
    <w:rsid w:val="002702EB"/>
    <w:rsid w:val="002708B4"/>
    <w:rsid w:val="00273B22"/>
    <w:rsid w:val="00273D5D"/>
    <w:rsid w:val="0027541D"/>
    <w:rsid w:val="002757B6"/>
    <w:rsid w:val="00276C44"/>
    <w:rsid w:val="00277584"/>
    <w:rsid w:val="0027780A"/>
    <w:rsid w:val="00280B4F"/>
    <w:rsid w:val="00280C13"/>
    <w:rsid w:val="0028179C"/>
    <w:rsid w:val="00281A3C"/>
    <w:rsid w:val="00282724"/>
    <w:rsid w:val="002828A3"/>
    <w:rsid w:val="00285320"/>
    <w:rsid w:val="00285D34"/>
    <w:rsid w:val="00285E97"/>
    <w:rsid w:val="002870AB"/>
    <w:rsid w:val="002911D4"/>
    <w:rsid w:val="002915E2"/>
    <w:rsid w:val="00291860"/>
    <w:rsid w:val="002928BF"/>
    <w:rsid w:val="00295190"/>
    <w:rsid w:val="002961C6"/>
    <w:rsid w:val="00297372"/>
    <w:rsid w:val="002A14A5"/>
    <w:rsid w:val="002A1631"/>
    <w:rsid w:val="002A1B03"/>
    <w:rsid w:val="002A2724"/>
    <w:rsid w:val="002A2E1B"/>
    <w:rsid w:val="002A3074"/>
    <w:rsid w:val="002A43B0"/>
    <w:rsid w:val="002A5EDE"/>
    <w:rsid w:val="002A6C2D"/>
    <w:rsid w:val="002A6EF0"/>
    <w:rsid w:val="002A7BB0"/>
    <w:rsid w:val="002A7F64"/>
    <w:rsid w:val="002B17F4"/>
    <w:rsid w:val="002B225C"/>
    <w:rsid w:val="002B22AB"/>
    <w:rsid w:val="002B3427"/>
    <w:rsid w:val="002B3437"/>
    <w:rsid w:val="002B3B7E"/>
    <w:rsid w:val="002B3E14"/>
    <w:rsid w:val="002B5715"/>
    <w:rsid w:val="002B6B44"/>
    <w:rsid w:val="002B7012"/>
    <w:rsid w:val="002BE0D9"/>
    <w:rsid w:val="002C07DE"/>
    <w:rsid w:val="002C0BF7"/>
    <w:rsid w:val="002C13ED"/>
    <w:rsid w:val="002C1ED6"/>
    <w:rsid w:val="002C4034"/>
    <w:rsid w:val="002C4DDA"/>
    <w:rsid w:val="002C512C"/>
    <w:rsid w:val="002C5D51"/>
    <w:rsid w:val="002C5FF0"/>
    <w:rsid w:val="002C62B2"/>
    <w:rsid w:val="002C6955"/>
    <w:rsid w:val="002D062B"/>
    <w:rsid w:val="002D1651"/>
    <w:rsid w:val="002D1789"/>
    <w:rsid w:val="002D1907"/>
    <w:rsid w:val="002D242A"/>
    <w:rsid w:val="002D25BA"/>
    <w:rsid w:val="002D265C"/>
    <w:rsid w:val="002D2A8A"/>
    <w:rsid w:val="002D3738"/>
    <w:rsid w:val="002D3873"/>
    <w:rsid w:val="002D4ED5"/>
    <w:rsid w:val="002D6156"/>
    <w:rsid w:val="002E04B8"/>
    <w:rsid w:val="002E050F"/>
    <w:rsid w:val="002E15B3"/>
    <w:rsid w:val="002E214D"/>
    <w:rsid w:val="002E2228"/>
    <w:rsid w:val="002E2542"/>
    <w:rsid w:val="002E2783"/>
    <w:rsid w:val="002E4114"/>
    <w:rsid w:val="002E4D70"/>
    <w:rsid w:val="002E5EF2"/>
    <w:rsid w:val="002E64F5"/>
    <w:rsid w:val="002E6505"/>
    <w:rsid w:val="002E673F"/>
    <w:rsid w:val="002E7278"/>
    <w:rsid w:val="002F0061"/>
    <w:rsid w:val="002F09D1"/>
    <w:rsid w:val="002F236A"/>
    <w:rsid w:val="002F25D0"/>
    <w:rsid w:val="002F427C"/>
    <w:rsid w:val="002F4465"/>
    <w:rsid w:val="002F47B3"/>
    <w:rsid w:val="002F6CE0"/>
    <w:rsid w:val="002F706C"/>
    <w:rsid w:val="002F75CB"/>
    <w:rsid w:val="003012CC"/>
    <w:rsid w:val="00301E7B"/>
    <w:rsid w:val="00302839"/>
    <w:rsid w:val="0030407D"/>
    <w:rsid w:val="00304CE1"/>
    <w:rsid w:val="00305659"/>
    <w:rsid w:val="00305839"/>
    <w:rsid w:val="00306162"/>
    <w:rsid w:val="003062F7"/>
    <w:rsid w:val="0030640D"/>
    <w:rsid w:val="003066BE"/>
    <w:rsid w:val="00306DB6"/>
    <w:rsid w:val="00306FB6"/>
    <w:rsid w:val="003071AD"/>
    <w:rsid w:val="00307554"/>
    <w:rsid w:val="003075B7"/>
    <w:rsid w:val="003107B1"/>
    <w:rsid w:val="00310BAB"/>
    <w:rsid w:val="00310F9F"/>
    <w:rsid w:val="003113D7"/>
    <w:rsid w:val="0031159F"/>
    <w:rsid w:val="00311BA2"/>
    <w:rsid w:val="003121DF"/>
    <w:rsid w:val="003124DD"/>
    <w:rsid w:val="003138E8"/>
    <w:rsid w:val="00313CEB"/>
    <w:rsid w:val="00313D7D"/>
    <w:rsid w:val="00313E23"/>
    <w:rsid w:val="00313E24"/>
    <w:rsid w:val="00314A8B"/>
    <w:rsid w:val="003150B9"/>
    <w:rsid w:val="00315931"/>
    <w:rsid w:val="003159E5"/>
    <w:rsid w:val="00316638"/>
    <w:rsid w:val="00316FAC"/>
    <w:rsid w:val="003177A7"/>
    <w:rsid w:val="00317C4E"/>
    <w:rsid w:val="003202AE"/>
    <w:rsid w:val="0032085F"/>
    <w:rsid w:val="00320A85"/>
    <w:rsid w:val="00320B17"/>
    <w:rsid w:val="0032110B"/>
    <w:rsid w:val="00321738"/>
    <w:rsid w:val="00321B4E"/>
    <w:rsid w:val="00322120"/>
    <w:rsid w:val="003221DF"/>
    <w:rsid w:val="00324D27"/>
    <w:rsid w:val="00324F7C"/>
    <w:rsid w:val="0032612A"/>
    <w:rsid w:val="00326D80"/>
    <w:rsid w:val="00327215"/>
    <w:rsid w:val="00327AA1"/>
    <w:rsid w:val="003303E6"/>
    <w:rsid w:val="0033065C"/>
    <w:rsid w:val="00330AA4"/>
    <w:rsid w:val="00331895"/>
    <w:rsid w:val="00333D4D"/>
    <w:rsid w:val="0033543F"/>
    <w:rsid w:val="003358C4"/>
    <w:rsid w:val="00336E1E"/>
    <w:rsid w:val="00337392"/>
    <w:rsid w:val="0034002E"/>
    <w:rsid w:val="00340713"/>
    <w:rsid w:val="00340B27"/>
    <w:rsid w:val="00340EB2"/>
    <w:rsid w:val="0034126A"/>
    <w:rsid w:val="00343AB7"/>
    <w:rsid w:val="00344128"/>
    <w:rsid w:val="00345431"/>
    <w:rsid w:val="00345727"/>
    <w:rsid w:val="003457C5"/>
    <w:rsid w:val="00345B06"/>
    <w:rsid w:val="00346001"/>
    <w:rsid w:val="003469F7"/>
    <w:rsid w:val="00347B0C"/>
    <w:rsid w:val="00347E23"/>
    <w:rsid w:val="003518EF"/>
    <w:rsid w:val="00351BBE"/>
    <w:rsid w:val="00351F69"/>
    <w:rsid w:val="003522C6"/>
    <w:rsid w:val="00352BAB"/>
    <w:rsid w:val="0035379B"/>
    <w:rsid w:val="00353B9A"/>
    <w:rsid w:val="00354EF6"/>
    <w:rsid w:val="00355006"/>
    <w:rsid w:val="00357050"/>
    <w:rsid w:val="00357F48"/>
    <w:rsid w:val="00361978"/>
    <w:rsid w:val="00362336"/>
    <w:rsid w:val="00364EAE"/>
    <w:rsid w:val="003665D8"/>
    <w:rsid w:val="00366936"/>
    <w:rsid w:val="00367212"/>
    <w:rsid w:val="00370DB4"/>
    <w:rsid w:val="00370F3C"/>
    <w:rsid w:val="003719DE"/>
    <w:rsid w:val="00372843"/>
    <w:rsid w:val="00372848"/>
    <w:rsid w:val="00373558"/>
    <w:rsid w:val="0037365C"/>
    <w:rsid w:val="003747A7"/>
    <w:rsid w:val="00375C05"/>
    <w:rsid w:val="00376109"/>
    <w:rsid w:val="003764AB"/>
    <w:rsid w:val="003764B6"/>
    <w:rsid w:val="00376A08"/>
    <w:rsid w:val="00377A21"/>
    <w:rsid w:val="00380DAC"/>
    <w:rsid w:val="00381D5F"/>
    <w:rsid w:val="0038234E"/>
    <w:rsid w:val="00382767"/>
    <w:rsid w:val="003836D5"/>
    <w:rsid w:val="00383888"/>
    <w:rsid w:val="003841B7"/>
    <w:rsid w:val="003846AD"/>
    <w:rsid w:val="0038527A"/>
    <w:rsid w:val="00385F3F"/>
    <w:rsid w:val="00387633"/>
    <w:rsid w:val="00387CBF"/>
    <w:rsid w:val="00387F84"/>
    <w:rsid w:val="00390154"/>
    <w:rsid w:val="003913BD"/>
    <w:rsid w:val="00393787"/>
    <w:rsid w:val="003939A4"/>
    <w:rsid w:val="003939D5"/>
    <w:rsid w:val="00394642"/>
    <w:rsid w:val="003948F1"/>
    <w:rsid w:val="003950E9"/>
    <w:rsid w:val="003952A2"/>
    <w:rsid w:val="00395454"/>
    <w:rsid w:val="00396091"/>
    <w:rsid w:val="00396114"/>
    <w:rsid w:val="00396AA7"/>
    <w:rsid w:val="003972C2"/>
    <w:rsid w:val="003A00AB"/>
    <w:rsid w:val="003A1E64"/>
    <w:rsid w:val="003A2D52"/>
    <w:rsid w:val="003A3416"/>
    <w:rsid w:val="003A38D2"/>
    <w:rsid w:val="003A3A9C"/>
    <w:rsid w:val="003A3B68"/>
    <w:rsid w:val="003A4DF1"/>
    <w:rsid w:val="003A5F4C"/>
    <w:rsid w:val="003A74FC"/>
    <w:rsid w:val="003A7673"/>
    <w:rsid w:val="003A7729"/>
    <w:rsid w:val="003B0D69"/>
    <w:rsid w:val="003B110C"/>
    <w:rsid w:val="003B1486"/>
    <w:rsid w:val="003B17F0"/>
    <w:rsid w:val="003B2449"/>
    <w:rsid w:val="003B3E84"/>
    <w:rsid w:val="003B45D7"/>
    <w:rsid w:val="003B4710"/>
    <w:rsid w:val="003B58B9"/>
    <w:rsid w:val="003B6268"/>
    <w:rsid w:val="003B730A"/>
    <w:rsid w:val="003C13D5"/>
    <w:rsid w:val="003C32B0"/>
    <w:rsid w:val="003C454A"/>
    <w:rsid w:val="003C4B7C"/>
    <w:rsid w:val="003C4C29"/>
    <w:rsid w:val="003C53E2"/>
    <w:rsid w:val="003C5845"/>
    <w:rsid w:val="003C5FF0"/>
    <w:rsid w:val="003C6ACA"/>
    <w:rsid w:val="003C748E"/>
    <w:rsid w:val="003C7925"/>
    <w:rsid w:val="003C7CC1"/>
    <w:rsid w:val="003D07FA"/>
    <w:rsid w:val="003D2779"/>
    <w:rsid w:val="003D2916"/>
    <w:rsid w:val="003D3C2C"/>
    <w:rsid w:val="003D5E43"/>
    <w:rsid w:val="003D68A8"/>
    <w:rsid w:val="003E01B5"/>
    <w:rsid w:val="003E06AE"/>
    <w:rsid w:val="003E11E3"/>
    <w:rsid w:val="003E191F"/>
    <w:rsid w:val="003E2537"/>
    <w:rsid w:val="003E41BB"/>
    <w:rsid w:val="003E44F3"/>
    <w:rsid w:val="003E5800"/>
    <w:rsid w:val="003E706F"/>
    <w:rsid w:val="003F2192"/>
    <w:rsid w:val="003F3FAF"/>
    <w:rsid w:val="003F47A6"/>
    <w:rsid w:val="003F690B"/>
    <w:rsid w:val="003F6BB2"/>
    <w:rsid w:val="003F6BE1"/>
    <w:rsid w:val="003F7831"/>
    <w:rsid w:val="003F7C03"/>
    <w:rsid w:val="004004FA"/>
    <w:rsid w:val="00400848"/>
    <w:rsid w:val="00401AE8"/>
    <w:rsid w:val="004036B9"/>
    <w:rsid w:val="0040523D"/>
    <w:rsid w:val="00410695"/>
    <w:rsid w:val="004106EC"/>
    <w:rsid w:val="00410881"/>
    <w:rsid w:val="00411A07"/>
    <w:rsid w:val="00411EE1"/>
    <w:rsid w:val="004142A5"/>
    <w:rsid w:val="00415EC1"/>
    <w:rsid w:val="00415FB4"/>
    <w:rsid w:val="00417231"/>
    <w:rsid w:val="0041748B"/>
    <w:rsid w:val="00417E02"/>
    <w:rsid w:val="00420F83"/>
    <w:rsid w:val="0042117E"/>
    <w:rsid w:val="0042191C"/>
    <w:rsid w:val="00422335"/>
    <w:rsid w:val="004231C5"/>
    <w:rsid w:val="004262C9"/>
    <w:rsid w:val="004264D2"/>
    <w:rsid w:val="00427413"/>
    <w:rsid w:val="00430032"/>
    <w:rsid w:val="004314B7"/>
    <w:rsid w:val="00431B18"/>
    <w:rsid w:val="0043318D"/>
    <w:rsid w:val="00433E99"/>
    <w:rsid w:val="00435152"/>
    <w:rsid w:val="00436E55"/>
    <w:rsid w:val="00436F06"/>
    <w:rsid w:val="004375B4"/>
    <w:rsid w:val="00440223"/>
    <w:rsid w:val="004406FD"/>
    <w:rsid w:val="004421BD"/>
    <w:rsid w:val="0044234C"/>
    <w:rsid w:val="00442438"/>
    <w:rsid w:val="00442B2D"/>
    <w:rsid w:val="00442B6F"/>
    <w:rsid w:val="0044360B"/>
    <w:rsid w:val="00443903"/>
    <w:rsid w:val="00443BB5"/>
    <w:rsid w:val="00444024"/>
    <w:rsid w:val="00444941"/>
    <w:rsid w:val="00444F20"/>
    <w:rsid w:val="004450D8"/>
    <w:rsid w:val="0044586A"/>
    <w:rsid w:val="00445959"/>
    <w:rsid w:val="004459C0"/>
    <w:rsid w:val="0044760F"/>
    <w:rsid w:val="00450002"/>
    <w:rsid w:val="004518FD"/>
    <w:rsid w:val="004528FB"/>
    <w:rsid w:val="00455417"/>
    <w:rsid w:val="004559A1"/>
    <w:rsid w:val="004565FE"/>
    <w:rsid w:val="00456EFC"/>
    <w:rsid w:val="004576AE"/>
    <w:rsid w:val="00460E78"/>
    <w:rsid w:val="00463A44"/>
    <w:rsid w:val="00464B30"/>
    <w:rsid w:val="00464D92"/>
    <w:rsid w:val="0046523B"/>
    <w:rsid w:val="00465A60"/>
    <w:rsid w:val="00466887"/>
    <w:rsid w:val="00467B9A"/>
    <w:rsid w:val="00470778"/>
    <w:rsid w:val="00471273"/>
    <w:rsid w:val="004718B7"/>
    <w:rsid w:val="004722C2"/>
    <w:rsid w:val="004724C0"/>
    <w:rsid w:val="00472E5D"/>
    <w:rsid w:val="00473482"/>
    <w:rsid w:val="00473A0D"/>
    <w:rsid w:val="0047407B"/>
    <w:rsid w:val="00475710"/>
    <w:rsid w:val="004763D9"/>
    <w:rsid w:val="00476DA8"/>
    <w:rsid w:val="00477291"/>
    <w:rsid w:val="00477F75"/>
    <w:rsid w:val="004803A1"/>
    <w:rsid w:val="0048055C"/>
    <w:rsid w:val="00480655"/>
    <w:rsid w:val="0048119F"/>
    <w:rsid w:val="004811B5"/>
    <w:rsid w:val="00481A77"/>
    <w:rsid w:val="00483470"/>
    <w:rsid w:val="00483C3A"/>
    <w:rsid w:val="0048455F"/>
    <w:rsid w:val="004848DE"/>
    <w:rsid w:val="00485A0A"/>
    <w:rsid w:val="00487171"/>
    <w:rsid w:val="0048723F"/>
    <w:rsid w:val="0049097B"/>
    <w:rsid w:val="004924E2"/>
    <w:rsid w:val="004928DA"/>
    <w:rsid w:val="00492F22"/>
    <w:rsid w:val="00492F2A"/>
    <w:rsid w:val="004946BA"/>
    <w:rsid w:val="0049640C"/>
    <w:rsid w:val="00496A3C"/>
    <w:rsid w:val="0049739F"/>
    <w:rsid w:val="004A0B39"/>
    <w:rsid w:val="004A19BE"/>
    <w:rsid w:val="004A1A34"/>
    <w:rsid w:val="004A265B"/>
    <w:rsid w:val="004A35A0"/>
    <w:rsid w:val="004A4E49"/>
    <w:rsid w:val="004A5213"/>
    <w:rsid w:val="004A5299"/>
    <w:rsid w:val="004A5DAC"/>
    <w:rsid w:val="004A6E32"/>
    <w:rsid w:val="004A7F23"/>
    <w:rsid w:val="004B0679"/>
    <w:rsid w:val="004B0755"/>
    <w:rsid w:val="004B1493"/>
    <w:rsid w:val="004B16FB"/>
    <w:rsid w:val="004B44BF"/>
    <w:rsid w:val="004B4AEB"/>
    <w:rsid w:val="004B50C1"/>
    <w:rsid w:val="004B51EF"/>
    <w:rsid w:val="004B6C6B"/>
    <w:rsid w:val="004B7538"/>
    <w:rsid w:val="004C1B71"/>
    <w:rsid w:val="004C2167"/>
    <w:rsid w:val="004C2A54"/>
    <w:rsid w:val="004C346E"/>
    <w:rsid w:val="004C36C2"/>
    <w:rsid w:val="004C388D"/>
    <w:rsid w:val="004C4B83"/>
    <w:rsid w:val="004C4ECC"/>
    <w:rsid w:val="004C517D"/>
    <w:rsid w:val="004C5E0A"/>
    <w:rsid w:val="004C6158"/>
    <w:rsid w:val="004D01B6"/>
    <w:rsid w:val="004D03F5"/>
    <w:rsid w:val="004D0E0D"/>
    <w:rsid w:val="004D1BE3"/>
    <w:rsid w:val="004D3874"/>
    <w:rsid w:val="004D5A37"/>
    <w:rsid w:val="004D66A6"/>
    <w:rsid w:val="004D76FB"/>
    <w:rsid w:val="004D77B7"/>
    <w:rsid w:val="004E132C"/>
    <w:rsid w:val="004E1ABF"/>
    <w:rsid w:val="004E2CF1"/>
    <w:rsid w:val="004E55BA"/>
    <w:rsid w:val="004F02D1"/>
    <w:rsid w:val="004F1303"/>
    <w:rsid w:val="004F1A90"/>
    <w:rsid w:val="004F23E6"/>
    <w:rsid w:val="004F2C9E"/>
    <w:rsid w:val="004F36D5"/>
    <w:rsid w:val="004F3CA8"/>
    <w:rsid w:val="004F4595"/>
    <w:rsid w:val="004F5A6B"/>
    <w:rsid w:val="0050034F"/>
    <w:rsid w:val="00501BE8"/>
    <w:rsid w:val="005022C8"/>
    <w:rsid w:val="005026FF"/>
    <w:rsid w:val="00502E0D"/>
    <w:rsid w:val="00503529"/>
    <w:rsid w:val="00503D2F"/>
    <w:rsid w:val="005055EC"/>
    <w:rsid w:val="00505B0E"/>
    <w:rsid w:val="00505E5B"/>
    <w:rsid w:val="00506017"/>
    <w:rsid w:val="0050687E"/>
    <w:rsid w:val="00506EB6"/>
    <w:rsid w:val="00507033"/>
    <w:rsid w:val="00510059"/>
    <w:rsid w:val="00510109"/>
    <w:rsid w:val="00510979"/>
    <w:rsid w:val="0051124F"/>
    <w:rsid w:val="005114E4"/>
    <w:rsid w:val="00511D9F"/>
    <w:rsid w:val="00512603"/>
    <w:rsid w:val="00512609"/>
    <w:rsid w:val="00512965"/>
    <w:rsid w:val="005156C6"/>
    <w:rsid w:val="00516623"/>
    <w:rsid w:val="00517002"/>
    <w:rsid w:val="005173A0"/>
    <w:rsid w:val="00517683"/>
    <w:rsid w:val="005205E8"/>
    <w:rsid w:val="005221FC"/>
    <w:rsid w:val="005228B5"/>
    <w:rsid w:val="00523983"/>
    <w:rsid w:val="0052477A"/>
    <w:rsid w:val="00526377"/>
    <w:rsid w:val="0052782B"/>
    <w:rsid w:val="00527EC4"/>
    <w:rsid w:val="00530525"/>
    <w:rsid w:val="00531661"/>
    <w:rsid w:val="0053201A"/>
    <w:rsid w:val="005322D7"/>
    <w:rsid w:val="005326FC"/>
    <w:rsid w:val="005327FF"/>
    <w:rsid w:val="00533F41"/>
    <w:rsid w:val="005347AA"/>
    <w:rsid w:val="00534C8F"/>
    <w:rsid w:val="00536390"/>
    <w:rsid w:val="00536812"/>
    <w:rsid w:val="00537C9D"/>
    <w:rsid w:val="00540175"/>
    <w:rsid w:val="005403B7"/>
    <w:rsid w:val="005405AF"/>
    <w:rsid w:val="00540B4E"/>
    <w:rsid w:val="005410FE"/>
    <w:rsid w:val="0054163C"/>
    <w:rsid w:val="00541F72"/>
    <w:rsid w:val="005420D6"/>
    <w:rsid w:val="00543FC7"/>
    <w:rsid w:val="00544952"/>
    <w:rsid w:val="005453D5"/>
    <w:rsid w:val="005455AF"/>
    <w:rsid w:val="005458E8"/>
    <w:rsid w:val="00546105"/>
    <w:rsid w:val="005471D5"/>
    <w:rsid w:val="00547D9F"/>
    <w:rsid w:val="00547EC8"/>
    <w:rsid w:val="00550859"/>
    <w:rsid w:val="005508BD"/>
    <w:rsid w:val="005509CF"/>
    <w:rsid w:val="00551087"/>
    <w:rsid w:val="005511DA"/>
    <w:rsid w:val="005513D6"/>
    <w:rsid w:val="00551E2D"/>
    <w:rsid w:val="0055202D"/>
    <w:rsid w:val="00552812"/>
    <w:rsid w:val="00552BAA"/>
    <w:rsid w:val="00554D26"/>
    <w:rsid w:val="00555C6C"/>
    <w:rsid w:val="00556E3B"/>
    <w:rsid w:val="0055743F"/>
    <w:rsid w:val="005575AC"/>
    <w:rsid w:val="005606A0"/>
    <w:rsid w:val="00560EA2"/>
    <w:rsid w:val="00560EF0"/>
    <w:rsid w:val="00561C54"/>
    <w:rsid w:val="00561EA4"/>
    <w:rsid w:val="005636C6"/>
    <w:rsid w:val="00563BC8"/>
    <w:rsid w:val="005655ED"/>
    <w:rsid w:val="00567367"/>
    <w:rsid w:val="005673C8"/>
    <w:rsid w:val="00570F6B"/>
    <w:rsid w:val="005721D8"/>
    <w:rsid w:val="005727A0"/>
    <w:rsid w:val="0057338A"/>
    <w:rsid w:val="00573FDF"/>
    <w:rsid w:val="00574198"/>
    <w:rsid w:val="005758C5"/>
    <w:rsid w:val="00575EC5"/>
    <w:rsid w:val="0057629B"/>
    <w:rsid w:val="00576A3C"/>
    <w:rsid w:val="00580EB0"/>
    <w:rsid w:val="00581B06"/>
    <w:rsid w:val="00582E41"/>
    <w:rsid w:val="00583313"/>
    <w:rsid w:val="00583E91"/>
    <w:rsid w:val="00590ED7"/>
    <w:rsid w:val="00592381"/>
    <w:rsid w:val="00592A25"/>
    <w:rsid w:val="00593432"/>
    <w:rsid w:val="005938E2"/>
    <w:rsid w:val="00594E7A"/>
    <w:rsid w:val="00595D29"/>
    <w:rsid w:val="00596B3E"/>
    <w:rsid w:val="0059795F"/>
    <w:rsid w:val="00597E44"/>
    <w:rsid w:val="005A0089"/>
    <w:rsid w:val="005A068A"/>
    <w:rsid w:val="005A34A6"/>
    <w:rsid w:val="005A3D1B"/>
    <w:rsid w:val="005A427B"/>
    <w:rsid w:val="005A6504"/>
    <w:rsid w:val="005A6B03"/>
    <w:rsid w:val="005A73F2"/>
    <w:rsid w:val="005A760D"/>
    <w:rsid w:val="005B0FC1"/>
    <w:rsid w:val="005B10AA"/>
    <w:rsid w:val="005B1C3C"/>
    <w:rsid w:val="005B41B2"/>
    <w:rsid w:val="005B422A"/>
    <w:rsid w:val="005B7858"/>
    <w:rsid w:val="005C0191"/>
    <w:rsid w:val="005C0E0A"/>
    <w:rsid w:val="005C113A"/>
    <w:rsid w:val="005C2226"/>
    <w:rsid w:val="005C4B52"/>
    <w:rsid w:val="005C6526"/>
    <w:rsid w:val="005C68DE"/>
    <w:rsid w:val="005C6A6F"/>
    <w:rsid w:val="005C7107"/>
    <w:rsid w:val="005C72A5"/>
    <w:rsid w:val="005C73ED"/>
    <w:rsid w:val="005C7625"/>
    <w:rsid w:val="005C77C7"/>
    <w:rsid w:val="005C783C"/>
    <w:rsid w:val="005C7AFA"/>
    <w:rsid w:val="005D01CC"/>
    <w:rsid w:val="005D0259"/>
    <w:rsid w:val="005D04BC"/>
    <w:rsid w:val="005D0776"/>
    <w:rsid w:val="005D2D37"/>
    <w:rsid w:val="005D4C3C"/>
    <w:rsid w:val="005D514A"/>
    <w:rsid w:val="005D67B8"/>
    <w:rsid w:val="005D6809"/>
    <w:rsid w:val="005E04C7"/>
    <w:rsid w:val="005E1C51"/>
    <w:rsid w:val="005E28C4"/>
    <w:rsid w:val="005E2E7B"/>
    <w:rsid w:val="005E4B0F"/>
    <w:rsid w:val="005E5B5B"/>
    <w:rsid w:val="005E6137"/>
    <w:rsid w:val="005E71D1"/>
    <w:rsid w:val="005E72D6"/>
    <w:rsid w:val="005E7B89"/>
    <w:rsid w:val="005E7ED9"/>
    <w:rsid w:val="005F0031"/>
    <w:rsid w:val="005F0901"/>
    <w:rsid w:val="005F1387"/>
    <w:rsid w:val="005F1644"/>
    <w:rsid w:val="005F21AF"/>
    <w:rsid w:val="005F3C17"/>
    <w:rsid w:val="005F476A"/>
    <w:rsid w:val="005F5695"/>
    <w:rsid w:val="005F6843"/>
    <w:rsid w:val="005F7E28"/>
    <w:rsid w:val="0060064E"/>
    <w:rsid w:val="00600DCF"/>
    <w:rsid w:val="00601B9A"/>
    <w:rsid w:val="00601BAB"/>
    <w:rsid w:val="00601E5A"/>
    <w:rsid w:val="006021BB"/>
    <w:rsid w:val="006023D2"/>
    <w:rsid w:val="00603316"/>
    <w:rsid w:val="00603C92"/>
    <w:rsid w:val="00603E2A"/>
    <w:rsid w:val="00603FDF"/>
    <w:rsid w:val="006042EE"/>
    <w:rsid w:val="0060436A"/>
    <w:rsid w:val="006044EC"/>
    <w:rsid w:val="006061FD"/>
    <w:rsid w:val="0060650D"/>
    <w:rsid w:val="00606878"/>
    <w:rsid w:val="00607098"/>
    <w:rsid w:val="00607285"/>
    <w:rsid w:val="00610E4D"/>
    <w:rsid w:val="00611689"/>
    <w:rsid w:val="0061283B"/>
    <w:rsid w:val="00614B9F"/>
    <w:rsid w:val="00614CCA"/>
    <w:rsid w:val="00614E8D"/>
    <w:rsid w:val="00616208"/>
    <w:rsid w:val="006162D8"/>
    <w:rsid w:val="00616596"/>
    <w:rsid w:val="00616871"/>
    <w:rsid w:val="00617167"/>
    <w:rsid w:val="00621A5F"/>
    <w:rsid w:val="006222F5"/>
    <w:rsid w:val="00622818"/>
    <w:rsid w:val="006238A4"/>
    <w:rsid w:val="00623D17"/>
    <w:rsid w:val="00624A28"/>
    <w:rsid w:val="006252E4"/>
    <w:rsid w:val="00625B6C"/>
    <w:rsid w:val="00625B7B"/>
    <w:rsid w:val="00625ECE"/>
    <w:rsid w:val="00625F6E"/>
    <w:rsid w:val="00626CCB"/>
    <w:rsid w:val="0062752C"/>
    <w:rsid w:val="006275AC"/>
    <w:rsid w:val="006305F1"/>
    <w:rsid w:val="00631063"/>
    <w:rsid w:val="00631308"/>
    <w:rsid w:val="0063233C"/>
    <w:rsid w:val="00632D0C"/>
    <w:rsid w:val="006364E2"/>
    <w:rsid w:val="00636B2F"/>
    <w:rsid w:val="00637A43"/>
    <w:rsid w:val="00643A13"/>
    <w:rsid w:val="00643F3B"/>
    <w:rsid w:val="0064405C"/>
    <w:rsid w:val="006440DD"/>
    <w:rsid w:val="0064454B"/>
    <w:rsid w:val="00647136"/>
    <w:rsid w:val="006472B3"/>
    <w:rsid w:val="0064737A"/>
    <w:rsid w:val="0064777F"/>
    <w:rsid w:val="00647DEA"/>
    <w:rsid w:val="00650ED0"/>
    <w:rsid w:val="00650F42"/>
    <w:rsid w:val="0065217E"/>
    <w:rsid w:val="006538E1"/>
    <w:rsid w:val="00653CBD"/>
    <w:rsid w:val="006553F7"/>
    <w:rsid w:val="00656456"/>
    <w:rsid w:val="00656F72"/>
    <w:rsid w:val="00656FA7"/>
    <w:rsid w:val="00657DA2"/>
    <w:rsid w:val="00660FD6"/>
    <w:rsid w:val="00661C64"/>
    <w:rsid w:val="00661CE5"/>
    <w:rsid w:val="00662775"/>
    <w:rsid w:val="00662776"/>
    <w:rsid w:val="00662D5C"/>
    <w:rsid w:val="0066436E"/>
    <w:rsid w:val="006646D7"/>
    <w:rsid w:val="0066606A"/>
    <w:rsid w:val="00667F31"/>
    <w:rsid w:val="00670B4E"/>
    <w:rsid w:val="00670C33"/>
    <w:rsid w:val="006710A7"/>
    <w:rsid w:val="00671E30"/>
    <w:rsid w:val="006731CF"/>
    <w:rsid w:val="00673AE5"/>
    <w:rsid w:val="0067405C"/>
    <w:rsid w:val="0067424C"/>
    <w:rsid w:val="006752B9"/>
    <w:rsid w:val="0067538C"/>
    <w:rsid w:val="00675495"/>
    <w:rsid w:val="00675C5F"/>
    <w:rsid w:val="00676183"/>
    <w:rsid w:val="00676783"/>
    <w:rsid w:val="00676EA8"/>
    <w:rsid w:val="00681906"/>
    <w:rsid w:val="00682CCD"/>
    <w:rsid w:val="006830AA"/>
    <w:rsid w:val="00683955"/>
    <w:rsid w:val="00683D01"/>
    <w:rsid w:val="00683FC9"/>
    <w:rsid w:val="006845C1"/>
    <w:rsid w:val="006847AF"/>
    <w:rsid w:val="00686315"/>
    <w:rsid w:val="006864A8"/>
    <w:rsid w:val="00686CEE"/>
    <w:rsid w:val="00686E9E"/>
    <w:rsid w:val="00686F2B"/>
    <w:rsid w:val="00690F80"/>
    <w:rsid w:val="00691B83"/>
    <w:rsid w:val="00691C72"/>
    <w:rsid w:val="0069239B"/>
    <w:rsid w:val="0069346D"/>
    <w:rsid w:val="00693C87"/>
    <w:rsid w:val="00693F27"/>
    <w:rsid w:val="00693FBF"/>
    <w:rsid w:val="00694717"/>
    <w:rsid w:val="006948D6"/>
    <w:rsid w:val="006949A0"/>
    <w:rsid w:val="00694F47"/>
    <w:rsid w:val="00695C71"/>
    <w:rsid w:val="00696A34"/>
    <w:rsid w:val="00696A69"/>
    <w:rsid w:val="00697DD7"/>
    <w:rsid w:val="006A09C1"/>
    <w:rsid w:val="006A2B99"/>
    <w:rsid w:val="006A6204"/>
    <w:rsid w:val="006A63E8"/>
    <w:rsid w:val="006A63F7"/>
    <w:rsid w:val="006A7228"/>
    <w:rsid w:val="006A733A"/>
    <w:rsid w:val="006A78D0"/>
    <w:rsid w:val="006A7920"/>
    <w:rsid w:val="006B13C0"/>
    <w:rsid w:val="006B1D1C"/>
    <w:rsid w:val="006B227B"/>
    <w:rsid w:val="006B31D7"/>
    <w:rsid w:val="006B339F"/>
    <w:rsid w:val="006B42E4"/>
    <w:rsid w:val="006B5241"/>
    <w:rsid w:val="006B63C2"/>
    <w:rsid w:val="006B7312"/>
    <w:rsid w:val="006B779A"/>
    <w:rsid w:val="006C05B6"/>
    <w:rsid w:val="006C0902"/>
    <w:rsid w:val="006C0ABE"/>
    <w:rsid w:val="006C1BDC"/>
    <w:rsid w:val="006C3107"/>
    <w:rsid w:val="006C3650"/>
    <w:rsid w:val="006C3674"/>
    <w:rsid w:val="006C39EE"/>
    <w:rsid w:val="006C4BFD"/>
    <w:rsid w:val="006C573A"/>
    <w:rsid w:val="006C5767"/>
    <w:rsid w:val="006C6A86"/>
    <w:rsid w:val="006C75F4"/>
    <w:rsid w:val="006C7B64"/>
    <w:rsid w:val="006D0147"/>
    <w:rsid w:val="006D01BA"/>
    <w:rsid w:val="006D0D5D"/>
    <w:rsid w:val="006D17DA"/>
    <w:rsid w:val="006D325D"/>
    <w:rsid w:val="006D41A4"/>
    <w:rsid w:val="006D4C32"/>
    <w:rsid w:val="006D5126"/>
    <w:rsid w:val="006D5228"/>
    <w:rsid w:val="006D5C5E"/>
    <w:rsid w:val="006D5D66"/>
    <w:rsid w:val="006D73E1"/>
    <w:rsid w:val="006E17C1"/>
    <w:rsid w:val="006E1F15"/>
    <w:rsid w:val="006E2023"/>
    <w:rsid w:val="006E43E3"/>
    <w:rsid w:val="006E5693"/>
    <w:rsid w:val="006E60D5"/>
    <w:rsid w:val="006E64C6"/>
    <w:rsid w:val="006E7B81"/>
    <w:rsid w:val="006F01A7"/>
    <w:rsid w:val="006F312C"/>
    <w:rsid w:val="006F323C"/>
    <w:rsid w:val="006F3E3F"/>
    <w:rsid w:val="006F4B70"/>
    <w:rsid w:val="006F6B18"/>
    <w:rsid w:val="006F7451"/>
    <w:rsid w:val="006F7CA3"/>
    <w:rsid w:val="006F7FC6"/>
    <w:rsid w:val="00700417"/>
    <w:rsid w:val="007016DE"/>
    <w:rsid w:val="00701C4D"/>
    <w:rsid w:val="007023DD"/>
    <w:rsid w:val="00705659"/>
    <w:rsid w:val="00705B40"/>
    <w:rsid w:val="00705B89"/>
    <w:rsid w:val="00706087"/>
    <w:rsid w:val="007061D0"/>
    <w:rsid w:val="00706731"/>
    <w:rsid w:val="00706E68"/>
    <w:rsid w:val="00707CF9"/>
    <w:rsid w:val="00710D91"/>
    <w:rsid w:val="00711904"/>
    <w:rsid w:val="00711EE2"/>
    <w:rsid w:val="00713474"/>
    <w:rsid w:val="00715358"/>
    <w:rsid w:val="00716B41"/>
    <w:rsid w:val="00717266"/>
    <w:rsid w:val="007172F5"/>
    <w:rsid w:val="00717D5C"/>
    <w:rsid w:val="00720FAD"/>
    <w:rsid w:val="007216E3"/>
    <w:rsid w:val="00722D3D"/>
    <w:rsid w:val="00723B56"/>
    <w:rsid w:val="00724040"/>
    <w:rsid w:val="00724048"/>
    <w:rsid w:val="00725B4E"/>
    <w:rsid w:val="007266BD"/>
    <w:rsid w:val="0073026F"/>
    <w:rsid w:val="00730A4D"/>
    <w:rsid w:val="007311D5"/>
    <w:rsid w:val="00731779"/>
    <w:rsid w:val="007318B7"/>
    <w:rsid w:val="00731D25"/>
    <w:rsid w:val="00732AC8"/>
    <w:rsid w:val="00732D0E"/>
    <w:rsid w:val="00734865"/>
    <w:rsid w:val="0073495B"/>
    <w:rsid w:val="00737189"/>
    <w:rsid w:val="00737EC0"/>
    <w:rsid w:val="007403DB"/>
    <w:rsid w:val="00740407"/>
    <w:rsid w:val="007404A8"/>
    <w:rsid w:val="007407B3"/>
    <w:rsid w:val="00740AE1"/>
    <w:rsid w:val="00740C4A"/>
    <w:rsid w:val="00743177"/>
    <w:rsid w:val="007435A0"/>
    <w:rsid w:val="00743E88"/>
    <w:rsid w:val="00745AD1"/>
    <w:rsid w:val="00745E04"/>
    <w:rsid w:val="0074668F"/>
    <w:rsid w:val="007468F2"/>
    <w:rsid w:val="00746AF1"/>
    <w:rsid w:val="00747A8A"/>
    <w:rsid w:val="00747F91"/>
    <w:rsid w:val="007503E9"/>
    <w:rsid w:val="007519B3"/>
    <w:rsid w:val="00751E6F"/>
    <w:rsid w:val="00752325"/>
    <w:rsid w:val="00753EE5"/>
    <w:rsid w:val="00755068"/>
    <w:rsid w:val="00755193"/>
    <w:rsid w:val="007560E5"/>
    <w:rsid w:val="00756314"/>
    <w:rsid w:val="00756693"/>
    <w:rsid w:val="00756DF5"/>
    <w:rsid w:val="00757A04"/>
    <w:rsid w:val="00760455"/>
    <w:rsid w:val="00760AAA"/>
    <w:rsid w:val="00760ED7"/>
    <w:rsid w:val="00761430"/>
    <w:rsid w:val="00762338"/>
    <w:rsid w:val="007635EE"/>
    <w:rsid w:val="0076526B"/>
    <w:rsid w:val="00765649"/>
    <w:rsid w:val="00765A19"/>
    <w:rsid w:val="007661BE"/>
    <w:rsid w:val="007665EA"/>
    <w:rsid w:val="0077116F"/>
    <w:rsid w:val="007716BD"/>
    <w:rsid w:val="00772334"/>
    <w:rsid w:val="00772384"/>
    <w:rsid w:val="007739BC"/>
    <w:rsid w:val="00773BA6"/>
    <w:rsid w:val="007766C8"/>
    <w:rsid w:val="007767F5"/>
    <w:rsid w:val="007802A5"/>
    <w:rsid w:val="00780645"/>
    <w:rsid w:val="00780BEE"/>
    <w:rsid w:val="0078122F"/>
    <w:rsid w:val="007813EA"/>
    <w:rsid w:val="00782F9F"/>
    <w:rsid w:val="007831BE"/>
    <w:rsid w:val="007846D4"/>
    <w:rsid w:val="0078477B"/>
    <w:rsid w:val="00786782"/>
    <w:rsid w:val="00787867"/>
    <w:rsid w:val="0079049E"/>
    <w:rsid w:val="00791180"/>
    <w:rsid w:val="00791645"/>
    <w:rsid w:val="007916CD"/>
    <w:rsid w:val="00792142"/>
    <w:rsid w:val="007921AF"/>
    <w:rsid w:val="007925FC"/>
    <w:rsid w:val="00794759"/>
    <w:rsid w:val="00794B27"/>
    <w:rsid w:val="00796730"/>
    <w:rsid w:val="00796932"/>
    <w:rsid w:val="00796E2B"/>
    <w:rsid w:val="007A11A1"/>
    <w:rsid w:val="007A1665"/>
    <w:rsid w:val="007A21EA"/>
    <w:rsid w:val="007A2540"/>
    <w:rsid w:val="007A37B0"/>
    <w:rsid w:val="007A4553"/>
    <w:rsid w:val="007A515D"/>
    <w:rsid w:val="007A5162"/>
    <w:rsid w:val="007A6F6D"/>
    <w:rsid w:val="007B10DB"/>
    <w:rsid w:val="007B1DAA"/>
    <w:rsid w:val="007B244C"/>
    <w:rsid w:val="007B31F2"/>
    <w:rsid w:val="007B39F7"/>
    <w:rsid w:val="007B3AAA"/>
    <w:rsid w:val="007B42D6"/>
    <w:rsid w:val="007B47E9"/>
    <w:rsid w:val="007B49F2"/>
    <w:rsid w:val="007B4DFF"/>
    <w:rsid w:val="007B5C41"/>
    <w:rsid w:val="007B5CF2"/>
    <w:rsid w:val="007B6235"/>
    <w:rsid w:val="007B6B1B"/>
    <w:rsid w:val="007B747E"/>
    <w:rsid w:val="007B7796"/>
    <w:rsid w:val="007B78BF"/>
    <w:rsid w:val="007C030B"/>
    <w:rsid w:val="007C05ED"/>
    <w:rsid w:val="007C26EB"/>
    <w:rsid w:val="007C2DEA"/>
    <w:rsid w:val="007C45E8"/>
    <w:rsid w:val="007C5231"/>
    <w:rsid w:val="007C5295"/>
    <w:rsid w:val="007C561D"/>
    <w:rsid w:val="007C5A11"/>
    <w:rsid w:val="007C64EB"/>
    <w:rsid w:val="007C6F89"/>
    <w:rsid w:val="007C73D3"/>
    <w:rsid w:val="007D1A46"/>
    <w:rsid w:val="007D205D"/>
    <w:rsid w:val="007D4886"/>
    <w:rsid w:val="007D4D30"/>
    <w:rsid w:val="007D5481"/>
    <w:rsid w:val="007D5488"/>
    <w:rsid w:val="007D62F5"/>
    <w:rsid w:val="007D7DF4"/>
    <w:rsid w:val="007E160D"/>
    <w:rsid w:val="007E1A09"/>
    <w:rsid w:val="007E3010"/>
    <w:rsid w:val="007E3EA3"/>
    <w:rsid w:val="007E43BE"/>
    <w:rsid w:val="007E5024"/>
    <w:rsid w:val="007E586F"/>
    <w:rsid w:val="007E6021"/>
    <w:rsid w:val="007E7D98"/>
    <w:rsid w:val="007F0204"/>
    <w:rsid w:val="007F0436"/>
    <w:rsid w:val="007F044C"/>
    <w:rsid w:val="007F0BB7"/>
    <w:rsid w:val="007F12A5"/>
    <w:rsid w:val="007F1669"/>
    <w:rsid w:val="007F21B4"/>
    <w:rsid w:val="007F2683"/>
    <w:rsid w:val="007F3B57"/>
    <w:rsid w:val="007F4DBA"/>
    <w:rsid w:val="007F5133"/>
    <w:rsid w:val="007F54F0"/>
    <w:rsid w:val="007F59B4"/>
    <w:rsid w:val="007F6B06"/>
    <w:rsid w:val="007F7268"/>
    <w:rsid w:val="007F745C"/>
    <w:rsid w:val="007F7491"/>
    <w:rsid w:val="00800367"/>
    <w:rsid w:val="008008C2"/>
    <w:rsid w:val="008008CD"/>
    <w:rsid w:val="0080253E"/>
    <w:rsid w:val="00802BFC"/>
    <w:rsid w:val="00803DA8"/>
    <w:rsid w:val="008048FB"/>
    <w:rsid w:val="00805EBA"/>
    <w:rsid w:val="008060A8"/>
    <w:rsid w:val="00806437"/>
    <w:rsid w:val="0080682C"/>
    <w:rsid w:val="008079AD"/>
    <w:rsid w:val="00810829"/>
    <w:rsid w:val="00811253"/>
    <w:rsid w:val="00811D44"/>
    <w:rsid w:val="00812746"/>
    <w:rsid w:val="00813ABE"/>
    <w:rsid w:val="00813D07"/>
    <w:rsid w:val="00813D08"/>
    <w:rsid w:val="00813F23"/>
    <w:rsid w:val="00814D1A"/>
    <w:rsid w:val="00815053"/>
    <w:rsid w:val="0081672F"/>
    <w:rsid w:val="00816AF2"/>
    <w:rsid w:val="00816C66"/>
    <w:rsid w:val="008174F3"/>
    <w:rsid w:val="008175B7"/>
    <w:rsid w:val="008175E4"/>
    <w:rsid w:val="008177C4"/>
    <w:rsid w:val="0082149E"/>
    <w:rsid w:val="00821581"/>
    <w:rsid w:val="0082322B"/>
    <w:rsid w:val="00823A36"/>
    <w:rsid w:val="00823F20"/>
    <w:rsid w:val="00824424"/>
    <w:rsid w:val="00825B62"/>
    <w:rsid w:val="00825C37"/>
    <w:rsid w:val="008260AD"/>
    <w:rsid w:val="008268F2"/>
    <w:rsid w:val="00826AA0"/>
    <w:rsid w:val="00831A39"/>
    <w:rsid w:val="0083341F"/>
    <w:rsid w:val="008339F4"/>
    <w:rsid w:val="00835757"/>
    <w:rsid w:val="00837348"/>
    <w:rsid w:val="00837C7A"/>
    <w:rsid w:val="0084034C"/>
    <w:rsid w:val="00841121"/>
    <w:rsid w:val="0084148E"/>
    <w:rsid w:val="00842436"/>
    <w:rsid w:val="00843727"/>
    <w:rsid w:val="0084435F"/>
    <w:rsid w:val="00845B67"/>
    <w:rsid w:val="00847A1C"/>
    <w:rsid w:val="008506C1"/>
    <w:rsid w:val="008526DF"/>
    <w:rsid w:val="008533D0"/>
    <w:rsid w:val="00853F50"/>
    <w:rsid w:val="00854056"/>
    <w:rsid w:val="008558C0"/>
    <w:rsid w:val="00855A9D"/>
    <w:rsid w:val="00860AF8"/>
    <w:rsid w:val="00861DE7"/>
    <w:rsid w:val="00863483"/>
    <w:rsid w:val="00864575"/>
    <w:rsid w:val="00864806"/>
    <w:rsid w:val="008649D1"/>
    <w:rsid w:val="00864DB7"/>
    <w:rsid w:val="008668ED"/>
    <w:rsid w:val="0086756E"/>
    <w:rsid w:val="0086765D"/>
    <w:rsid w:val="008678CF"/>
    <w:rsid w:val="00871795"/>
    <w:rsid w:val="00871C67"/>
    <w:rsid w:val="00875420"/>
    <w:rsid w:val="00875570"/>
    <w:rsid w:val="00875D11"/>
    <w:rsid w:val="00876AF5"/>
    <w:rsid w:val="00880EB2"/>
    <w:rsid w:val="0088196C"/>
    <w:rsid w:val="008836CE"/>
    <w:rsid w:val="008837F4"/>
    <w:rsid w:val="0088446C"/>
    <w:rsid w:val="00885AA7"/>
    <w:rsid w:val="00887B90"/>
    <w:rsid w:val="00890ABB"/>
    <w:rsid w:val="00890D33"/>
    <w:rsid w:val="00890EAF"/>
    <w:rsid w:val="00891A60"/>
    <w:rsid w:val="00893A66"/>
    <w:rsid w:val="008943DF"/>
    <w:rsid w:val="00894738"/>
    <w:rsid w:val="00894DB4"/>
    <w:rsid w:val="00895EE3"/>
    <w:rsid w:val="00896BD6"/>
    <w:rsid w:val="00896C53"/>
    <w:rsid w:val="00896EA4"/>
    <w:rsid w:val="008970D5"/>
    <w:rsid w:val="008979C2"/>
    <w:rsid w:val="00897E77"/>
    <w:rsid w:val="008A2432"/>
    <w:rsid w:val="008A54E7"/>
    <w:rsid w:val="008A5C5F"/>
    <w:rsid w:val="008A7FD4"/>
    <w:rsid w:val="008B0019"/>
    <w:rsid w:val="008B3BB1"/>
    <w:rsid w:val="008B3D8A"/>
    <w:rsid w:val="008B4EF7"/>
    <w:rsid w:val="008B78FD"/>
    <w:rsid w:val="008C00A1"/>
    <w:rsid w:val="008C221B"/>
    <w:rsid w:val="008C30F2"/>
    <w:rsid w:val="008C3268"/>
    <w:rsid w:val="008C3904"/>
    <w:rsid w:val="008C4745"/>
    <w:rsid w:val="008C5DB3"/>
    <w:rsid w:val="008C62D7"/>
    <w:rsid w:val="008C7587"/>
    <w:rsid w:val="008D020F"/>
    <w:rsid w:val="008D0AB7"/>
    <w:rsid w:val="008D14BB"/>
    <w:rsid w:val="008D3CC1"/>
    <w:rsid w:val="008D40DB"/>
    <w:rsid w:val="008D6901"/>
    <w:rsid w:val="008D7022"/>
    <w:rsid w:val="008E0AC5"/>
    <w:rsid w:val="008E256E"/>
    <w:rsid w:val="008E3145"/>
    <w:rsid w:val="008E36F9"/>
    <w:rsid w:val="008E3D68"/>
    <w:rsid w:val="008E4579"/>
    <w:rsid w:val="008E5867"/>
    <w:rsid w:val="008E7595"/>
    <w:rsid w:val="008E799E"/>
    <w:rsid w:val="008F078C"/>
    <w:rsid w:val="008F1561"/>
    <w:rsid w:val="008F1FAE"/>
    <w:rsid w:val="008F2631"/>
    <w:rsid w:val="008F2E92"/>
    <w:rsid w:val="008F39AD"/>
    <w:rsid w:val="008F55D4"/>
    <w:rsid w:val="008F59E6"/>
    <w:rsid w:val="008F6480"/>
    <w:rsid w:val="008F67D4"/>
    <w:rsid w:val="008F73A5"/>
    <w:rsid w:val="008F74EF"/>
    <w:rsid w:val="00900600"/>
    <w:rsid w:val="009012E6"/>
    <w:rsid w:val="0090336E"/>
    <w:rsid w:val="009034FE"/>
    <w:rsid w:val="00903CAE"/>
    <w:rsid w:val="0090626F"/>
    <w:rsid w:val="00907352"/>
    <w:rsid w:val="009102F6"/>
    <w:rsid w:val="00911C2C"/>
    <w:rsid w:val="00911EEF"/>
    <w:rsid w:val="009124F8"/>
    <w:rsid w:val="00912F2E"/>
    <w:rsid w:val="00914205"/>
    <w:rsid w:val="00914A7D"/>
    <w:rsid w:val="00916694"/>
    <w:rsid w:val="009173A2"/>
    <w:rsid w:val="00917A80"/>
    <w:rsid w:val="00917D89"/>
    <w:rsid w:val="009202AB"/>
    <w:rsid w:val="00921113"/>
    <w:rsid w:val="00921398"/>
    <w:rsid w:val="0092225A"/>
    <w:rsid w:val="00922839"/>
    <w:rsid w:val="00922A7C"/>
    <w:rsid w:val="00923665"/>
    <w:rsid w:val="00926052"/>
    <w:rsid w:val="009260F6"/>
    <w:rsid w:val="00926941"/>
    <w:rsid w:val="009270AE"/>
    <w:rsid w:val="00927284"/>
    <w:rsid w:val="009274A6"/>
    <w:rsid w:val="00927A2B"/>
    <w:rsid w:val="00930242"/>
    <w:rsid w:val="00930399"/>
    <w:rsid w:val="00930B91"/>
    <w:rsid w:val="00931173"/>
    <w:rsid w:val="009312B4"/>
    <w:rsid w:val="00932661"/>
    <w:rsid w:val="009335B6"/>
    <w:rsid w:val="00936BB0"/>
    <w:rsid w:val="00936FC4"/>
    <w:rsid w:val="0093718E"/>
    <w:rsid w:val="0093771E"/>
    <w:rsid w:val="009401D5"/>
    <w:rsid w:val="0094023B"/>
    <w:rsid w:val="009402C0"/>
    <w:rsid w:val="0094223D"/>
    <w:rsid w:val="009425B7"/>
    <w:rsid w:val="009426C1"/>
    <w:rsid w:val="00942DC2"/>
    <w:rsid w:val="009431B1"/>
    <w:rsid w:val="00944920"/>
    <w:rsid w:val="0094492B"/>
    <w:rsid w:val="00946363"/>
    <w:rsid w:val="00946C46"/>
    <w:rsid w:val="00946EDB"/>
    <w:rsid w:val="00947326"/>
    <w:rsid w:val="00947BD3"/>
    <w:rsid w:val="00951087"/>
    <w:rsid w:val="00951EE3"/>
    <w:rsid w:val="00952A41"/>
    <w:rsid w:val="00952BD3"/>
    <w:rsid w:val="00952C18"/>
    <w:rsid w:val="00952D9A"/>
    <w:rsid w:val="00953267"/>
    <w:rsid w:val="009547D5"/>
    <w:rsid w:val="00955048"/>
    <w:rsid w:val="009562BF"/>
    <w:rsid w:val="00960534"/>
    <w:rsid w:val="0096084D"/>
    <w:rsid w:val="00961638"/>
    <w:rsid w:val="0096227E"/>
    <w:rsid w:val="009623F6"/>
    <w:rsid w:val="0096276C"/>
    <w:rsid w:val="00962ED5"/>
    <w:rsid w:val="00963826"/>
    <w:rsid w:val="009639B1"/>
    <w:rsid w:val="00964086"/>
    <w:rsid w:val="009646B1"/>
    <w:rsid w:val="00964728"/>
    <w:rsid w:val="00964E4B"/>
    <w:rsid w:val="00965B83"/>
    <w:rsid w:val="00966065"/>
    <w:rsid w:val="009664B1"/>
    <w:rsid w:val="00966545"/>
    <w:rsid w:val="009671B4"/>
    <w:rsid w:val="00967257"/>
    <w:rsid w:val="00970594"/>
    <w:rsid w:val="009714C3"/>
    <w:rsid w:val="00972190"/>
    <w:rsid w:val="009731CD"/>
    <w:rsid w:val="0097356A"/>
    <w:rsid w:val="00973E31"/>
    <w:rsid w:val="009746BF"/>
    <w:rsid w:val="00974B8D"/>
    <w:rsid w:val="009760AA"/>
    <w:rsid w:val="00976930"/>
    <w:rsid w:val="009769D6"/>
    <w:rsid w:val="00977557"/>
    <w:rsid w:val="009806BD"/>
    <w:rsid w:val="0098074C"/>
    <w:rsid w:val="009815F0"/>
    <w:rsid w:val="009818E5"/>
    <w:rsid w:val="00981B7C"/>
    <w:rsid w:val="00983A66"/>
    <w:rsid w:val="00985225"/>
    <w:rsid w:val="009854A7"/>
    <w:rsid w:val="0098576F"/>
    <w:rsid w:val="00985EF0"/>
    <w:rsid w:val="009910A3"/>
    <w:rsid w:val="00991379"/>
    <w:rsid w:val="00991C95"/>
    <w:rsid w:val="009925DA"/>
    <w:rsid w:val="00993C3B"/>
    <w:rsid w:val="00993DBE"/>
    <w:rsid w:val="00993E87"/>
    <w:rsid w:val="0099496B"/>
    <w:rsid w:val="009956E5"/>
    <w:rsid w:val="00995FD3"/>
    <w:rsid w:val="00996FA5"/>
    <w:rsid w:val="0099731C"/>
    <w:rsid w:val="009974ED"/>
    <w:rsid w:val="009A1867"/>
    <w:rsid w:val="009A285B"/>
    <w:rsid w:val="009A290D"/>
    <w:rsid w:val="009A35D1"/>
    <w:rsid w:val="009A3693"/>
    <w:rsid w:val="009A540E"/>
    <w:rsid w:val="009A5F33"/>
    <w:rsid w:val="009A5FA2"/>
    <w:rsid w:val="009A6224"/>
    <w:rsid w:val="009A68F1"/>
    <w:rsid w:val="009A7C8C"/>
    <w:rsid w:val="009A7EC0"/>
    <w:rsid w:val="009B0229"/>
    <w:rsid w:val="009B1394"/>
    <w:rsid w:val="009B1725"/>
    <w:rsid w:val="009B27FB"/>
    <w:rsid w:val="009B29A9"/>
    <w:rsid w:val="009B2A8A"/>
    <w:rsid w:val="009B308A"/>
    <w:rsid w:val="009B4159"/>
    <w:rsid w:val="009B4222"/>
    <w:rsid w:val="009B442E"/>
    <w:rsid w:val="009B4799"/>
    <w:rsid w:val="009B481F"/>
    <w:rsid w:val="009B663A"/>
    <w:rsid w:val="009B6B24"/>
    <w:rsid w:val="009C1B2F"/>
    <w:rsid w:val="009C23E5"/>
    <w:rsid w:val="009C584A"/>
    <w:rsid w:val="009C59BA"/>
    <w:rsid w:val="009C5E02"/>
    <w:rsid w:val="009C6E35"/>
    <w:rsid w:val="009D06D3"/>
    <w:rsid w:val="009D1BC2"/>
    <w:rsid w:val="009D2EDE"/>
    <w:rsid w:val="009D39FA"/>
    <w:rsid w:val="009D3B54"/>
    <w:rsid w:val="009D43BA"/>
    <w:rsid w:val="009D4940"/>
    <w:rsid w:val="009D4B88"/>
    <w:rsid w:val="009D649D"/>
    <w:rsid w:val="009D7ADD"/>
    <w:rsid w:val="009E02C8"/>
    <w:rsid w:val="009E1B23"/>
    <w:rsid w:val="009E1D73"/>
    <w:rsid w:val="009E1D84"/>
    <w:rsid w:val="009E2043"/>
    <w:rsid w:val="009E248A"/>
    <w:rsid w:val="009E2B57"/>
    <w:rsid w:val="009E3010"/>
    <w:rsid w:val="009E4764"/>
    <w:rsid w:val="009E4A80"/>
    <w:rsid w:val="009E62C1"/>
    <w:rsid w:val="009E6D06"/>
    <w:rsid w:val="009F0A94"/>
    <w:rsid w:val="009F0BC1"/>
    <w:rsid w:val="009F1287"/>
    <w:rsid w:val="009F25C4"/>
    <w:rsid w:val="009F49A4"/>
    <w:rsid w:val="009F58CB"/>
    <w:rsid w:val="009F5BB2"/>
    <w:rsid w:val="009F62C1"/>
    <w:rsid w:val="009F657F"/>
    <w:rsid w:val="009F6ED0"/>
    <w:rsid w:val="009F7B3B"/>
    <w:rsid w:val="00A0349D"/>
    <w:rsid w:val="00A0384C"/>
    <w:rsid w:val="00A04256"/>
    <w:rsid w:val="00A04A6C"/>
    <w:rsid w:val="00A059C8"/>
    <w:rsid w:val="00A06413"/>
    <w:rsid w:val="00A06E56"/>
    <w:rsid w:val="00A0721F"/>
    <w:rsid w:val="00A07FF7"/>
    <w:rsid w:val="00A11097"/>
    <w:rsid w:val="00A11CF1"/>
    <w:rsid w:val="00A128A5"/>
    <w:rsid w:val="00A13980"/>
    <w:rsid w:val="00A139D6"/>
    <w:rsid w:val="00A1484E"/>
    <w:rsid w:val="00A1560F"/>
    <w:rsid w:val="00A1575E"/>
    <w:rsid w:val="00A161EA"/>
    <w:rsid w:val="00A17620"/>
    <w:rsid w:val="00A17683"/>
    <w:rsid w:val="00A17982"/>
    <w:rsid w:val="00A204E7"/>
    <w:rsid w:val="00A21EE2"/>
    <w:rsid w:val="00A246AF"/>
    <w:rsid w:val="00A24CA1"/>
    <w:rsid w:val="00A25627"/>
    <w:rsid w:val="00A27FF7"/>
    <w:rsid w:val="00A30683"/>
    <w:rsid w:val="00A333AB"/>
    <w:rsid w:val="00A3457E"/>
    <w:rsid w:val="00A35998"/>
    <w:rsid w:val="00A36B6F"/>
    <w:rsid w:val="00A36CF8"/>
    <w:rsid w:val="00A376BA"/>
    <w:rsid w:val="00A37CC6"/>
    <w:rsid w:val="00A40C60"/>
    <w:rsid w:val="00A41400"/>
    <w:rsid w:val="00A41BE0"/>
    <w:rsid w:val="00A4263E"/>
    <w:rsid w:val="00A42B7F"/>
    <w:rsid w:val="00A44BDE"/>
    <w:rsid w:val="00A45A43"/>
    <w:rsid w:val="00A472AB"/>
    <w:rsid w:val="00A479E1"/>
    <w:rsid w:val="00A5076F"/>
    <w:rsid w:val="00A5206B"/>
    <w:rsid w:val="00A5230E"/>
    <w:rsid w:val="00A52631"/>
    <w:rsid w:val="00A5275C"/>
    <w:rsid w:val="00A52D74"/>
    <w:rsid w:val="00A532AF"/>
    <w:rsid w:val="00A5421D"/>
    <w:rsid w:val="00A54A91"/>
    <w:rsid w:val="00A5557F"/>
    <w:rsid w:val="00A572DA"/>
    <w:rsid w:val="00A573F5"/>
    <w:rsid w:val="00A5781A"/>
    <w:rsid w:val="00A601E7"/>
    <w:rsid w:val="00A6021A"/>
    <w:rsid w:val="00A6089A"/>
    <w:rsid w:val="00A609A9"/>
    <w:rsid w:val="00A60B73"/>
    <w:rsid w:val="00A60FA8"/>
    <w:rsid w:val="00A60FF1"/>
    <w:rsid w:val="00A611F9"/>
    <w:rsid w:val="00A61E22"/>
    <w:rsid w:val="00A61EF4"/>
    <w:rsid w:val="00A637A1"/>
    <w:rsid w:val="00A63B4C"/>
    <w:rsid w:val="00A63EA0"/>
    <w:rsid w:val="00A64100"/>
    <w:rsid w:val="00A643A9"/>
    <w:rsid w:val="00A652EA"/>
    <w:rsid w:val="00A6530C"/>
    <w:rsid w:val="00A65D97"/>
    <w:rsid w:val="00A67375"/>
    <w:rsid w:val="00A6750E"/>
    <w:rsid w:val="00A7155E"/>
    <w:rsid w:val="00A73513"/>
    <w:rsid w:val="00A7407A"/>
    <w:rsid w:val="00A751A8"/>
    <w:rsid w:val="00A75A2D"/>
    <w:rsid w:val="00A75D68"/>
    <w:rsid w:val="00A76C5B"/>
    <w:rsid w:val="00A80F52"/>
    <w:rsid w:val="00A81013"/>
    <w:rsid w:val="00A81B48"/>
    <w:rsid w:val="00A81C97"/>
    <w:rsid w:val="00A8266F"/>
    <w:rsid w:val="00A82D3D"/>
    <w:rsid w:val="00A8324E"/>
    <w:rsid w:val="00A83488"/>
    <w:rsid w:val="00A8427E"/>
    <w:rsid w:val="00A84B1B"/>
    <w:rsid w:val="00A86BAB"/>
    <w:rsid w:val="00A9010B"/>
    <w:rsid w:val="00A906E3"/>
    <w:rsid w:val="00A91B9B"/>
    <w:rsid w:val="00A91FEF"/>
    <w:rsid w:val="00A92400"/>
    <w:rsid w:val="00A9250B"/>
    <w:rsid w:val="00A945C9"/>
    <w:rsid w:val="00A94A48"/>
    <w:rsid w:val="00A95ACD"/>
    <w:rsid w:val="00A975E2"/>
    <w:rsid w:val="00A97A1B"/>
    <w:rsid w:val="00AA084F"/>
    <w:rsid w:val="00AA28FE"/>
    <w:rsid w:val="00AA2E25"/>
    <w:rsid w:val="00AA327B"/>
    <w:rsid w:val="00AA579F"/>
    <w:rsid w:val="00AA5D3D"/>
    <w:rsid w:val="00AA67A4"/>
    <w:rsid w:val="00AA68A5"/>
    <w:rsid w:val="00AA75C9"/>
    <w:rsid w:val="00AA7B3D"/>
    <w:rsid w:val="00AA7E69"/>
    <w:rsid w:val="00AB06ED"/>
    <w:rsid w:val="00AB0EFE"/>
    <w:rsid w:val="00AB11BB"/>
    <w:rsid w:val="00AB1D7A"/>
    <w:rsid w:val="00AB20D0"/>
    <w:rsid w:val="00AB385E"/>
    <w:rsid w:val="00AB3F83"/>
    <w:rsid w:val="00AB4B49"/>
    <w:rsid w:val="00AB5039"/>
    <w:rsid w:val="00AB61CB"/>
    <w:rsid w:val="00AB694B"/>
    <w:rsid w:val="00AB6A2D"/>
    <w:rsid w:val="00AB7533"/>
    <w:rsid w:val="00AB75A1"/>
    <w:rsid w:val="00AC065F"/>
    <w:rsid w:val="00AC08F2"/>
    <w:rsid w:val="00AC18E7"/>
    <w:rsid w:val="00AC1D00"/>
    <w:rsid w:val="00AC2EFC"/>
    <w:rsid w:val="00AC464D"/>
    <w:rsid w:val="00AC5C70"/>
    <w:rsid w:val="00AC6211"/>
    <w:rsid w:val="00AC6BB4"/>
    <w:rsid w:val="00AC77E3"/>
    <w:rsid w:val="00AC7A92"/>
    <w:rsid w:val="00AD01D3"/>
    <w:rsid w:val="00AD2083"/>
    <w:rsid w:val="00AD2311"/>
    <w:rsid w:val="00AD3B22"/>
    <w:rsid w:val="00AD4DC6"/>
    <w:rsid w:val="00AD5D4D"/>
    <w:rsid w:val="00AD761B"/>
    <w:rsid w:val="00AD7AF9"/>
    <w:rsid w:val="00AE0ED7"/>
    <w:rsid w:val="00AE0EEE"/>
    <w:rsid w:val="00AE13C7"/>
    <w:rsid w:val="00AE148B"/>
    <w:rsid w:val="00AE1995"/>
    <w:rsid w:val="00AE1BBE"/>
    <w:rsid w:val="00AE2C7F"/>
    <w:rsid w:val="00AE3536"/>
    <w:rsid w:val="00AE3D3D"/>
    <w:rsid w:val="00AE4C1B"/>
    <w:rsid w:val="00AE5DA2"/>
    <w:rsid w:val="00AE67E0"/>
    <w:rsid w:val="00AF1701"/>
    <w:rsid w:val="00AF1806"/>
    <w:rsid w:val="00AF1F36"/>
    <w:rsid w:val="00AF2344"/>
    <w:rsid w:val="00AF32FF"/>
    <w:rsid w:val="00AF3796"/>
    <w:rsid w:val="00AF3FC8"/>
    <w:rsid w:val="00AF56E3"/>
    <w:rsid w:val="00AF57AB"/>
    <w:rsid w:val="00AF5A80"/>
    <w:rsid w:val="00AF622C"/>
    <w:rsid w:val="00AF6514"/>
    <w:rsid w:val="00AF6584"/>
    <w:rsid w:val="00B00BE9"/>
    <w:rsid w:val="00B0248F"/>
    <w:rsid w:val="00B03097"/>
    <w:rsid w:val="00B03C75"/>
    <w:rsid w:val="00B04802"/>
    <w:rsid w:val="00B049EB"/>
    <w:rsid w:val="00B04EA2"/>
    <w:rsid w:val="00B058A8"/>
    <w:rsid w:val="00B05CED"/>
    <w:rsid w:val="00B06D3B"/>
    <w:rsid w:val="00B06FC2"/>
    <w:rsid w:val="00B101AC"/>
    <w:rsid w:val="00B1068A"/>
    <w:rsid w:val="00B123AD"/>
    <w:rsid w:val="00B12496"/>
    <w:rsid w:val="00B129CB"/>
    <w:rsid w:val="00B12B77"/>
    <w:rsid w:val="00B12D2E"/>
    <w:rsid w:val="00B12D7A"/>
    <w:rsid w:val="00B12DD0"/>
    <w:rsid w:val="00B1381E"/>
    <w:rsid w:val="00B1452E"/>
    <w:rsid w:val="00B14861"/>
    <w:rsid w:val="00B15D40"/>
    <w:rsid w:val="00B16050"/>
    <w:rsid w:val="00B164F6"/>
    <w:rsid w:val="00B171C1"/>
    <w:rsid w:val="00B17226"/>
    <w:rsid w:val="00B175F1"/>
    <w:rsid w:val="00B17686"/>
    <w:rsid w:val="00B176B4"/>
    <w:rsid w:val="00B21373"/>
    <w:rsid w:val="00B23393"/>
    <w:rsid w:val="00B23B64"/>
    <w:rsid w:val="00B23CF6"/>
    <w:rsid w:val="00B24FFB"/>
    <w:rsid w:val="00B2504E"/>
    <w:rsid w:val="00B2547D"/>
    <w:rsid w:val="00B256B6"/>
    <w:rsid w:val="00B25944"/>
    <w:rsid w:val="00B25970"/>
    <w:rsid w:val="00B25E6E"/>
    <w:rsid w:val="00B268A3"/>
    <w:rsid w:val="00B27563"/>
    <w:rsid w:val="00B30027"/>
    <w:rsid w:val="00B31396"/>
    <w:rsid w:val="00B31653"/>
    <w:rsid w:val="00B31EC3"/>
    <w:rsid w:val="00B32900"/>
    <w:rsid w:val="00B32BA7"/>
    <w:rsid w:val="00B32E0A"/>
    <w:rsid w:val="00B32FDE"/>
    <w:rsid w:val="00B33895"/>
    <w:rsid w:val="00B34483"/>
    <w:rsid w:val="00B3459A"/>
    <w:rsid w:val="00B34A0E"/>
    <w:rsid w:val="00B3638B"/>
    <w:rsid w:val="00B37F20"/>
    <w:rsid w:val="00B40081"/>
    <w:rsid w:val="00B4037A"/>
    <w:rsid w:val="00B415BC"/>
    <w:rsid w:val="00B44BCF"/>
    <w:rsid w:val="00B469E7"/>
    <w:rsid w:val="00B470DD"/>
    <w:rsid w:val="00B475E9"/>
    <w:rsid w:val="00B47A56"/>
    <w:rsid w:val="00B47DCC"/>
    <w:rsid w:val="00B508A6"/>
    <w:rsid w:val="00B52BB1"/>
    <w:rsid w:val="00B5453B"/>
    <w:rsid w:val="00B5534D"/>
    <w:rsid w:val="00B558A0"/>
    <w:rsid w:val="00B57230"/>
    <w:rsid w:val="00B612AA"/>
    <w:rsid w:val="00B614DF"/>
    <w:rsid w:val="00B6162A"/>
    <w:rsid w:val="00B61E8C"/>
    <w:rsid w:val="00B627A4"/>
    <w:rsid w:val="00B628CF"/>
    <w:rsid w:val="00B62934"/>
    <w:rsid w:val="00B62FE6"/>
    <w:rsid w:val="00B63A76"/>
    <w:rsid w:val="00B6514C"/>
    <w:rsid w:val="00B65540"/>
    <w:rsid w:val="00B6585C"/>
    <w:rsid w:val="00B659D1"/>
    <w:rsid w:val="00B67F71"/>
    <w:rsid w:val="00B705E5"/>
    <w:rsid w:val="00B7064B"/>
    <w:rsid w:val="00B70E31"/>
    <w:rsid w:val="00B716F1"/>
    <w:rsid w:val="00B726E9"/>
    <w:rsid w:val="00B72A1E"/>
    <w:rsid w:val="00B735CF"/>
    <w:rsid w:val="00B73632"/>
    <w:rsid w:val="00B75ACF"/>
    <w:rsid w:val="00B75C30"/>
    <w:rsid w:val="00B75F85"/>
    <w:rsid w:val="00B76E2E"/>
    <w:rsid w:val="00B77144"/>
    <w:rsid w:val="00B77652"/>
    <w:rsid w:val="00B77825"/>
    <w:rsid w:val="00B779A7"/>
    <w:rsid w:val="00B77A7F"/>
    <w:rsid w:val="00B77F4D"/>
    <w:rsid w:val="00B81A00"/>
    <w:rsid w:val="00B82384"/>
    <w:rsid w:val="00B83153"/>
    <w:rsid w:val="00B832B6"/>
    <w:rsid w:val="00B84654"/>
    <w:rsid w:val="00B84AD6"/>
    <w:rsid w:val="00B84E09"/>
    <w:rsid w:val="00B84F5C"/>
    <w:rsid w:val="00B8552A"/>
    <w:rsid w:val="00B86133"/>
    <w:rsid w:val="00B866B2"/>
    <w:rsid w:val="00B869C3"/>
    <w:rsid w:val="00B879C3"/>
    <w:rsid w:val="00B87C0C"/>
    <w:rsid w:val="00B92601"/>
    <w:rsid w:val="00B940F5"/>
    <w:rsid w:val="00B945FA"/>
    <w:rsid w:val="00B95945"/>
    <w:rsid w:val="00B95CD4"/>
    <w:rsid w:val="00B974EB"/>
    <w:rsid w:val="00BA0413"/>
    <w:rsid w:val="00BA0C7C"/>
    <w:rsid w:val="00BA0DF8"/>
    <w:rsid w:val="00BA2BAC"/>
    <w:rsid w:val="00BA3747"/>
    <w:rsid w:val="00BA3C04"/>
    <w:rsid w:val="00BA443B"/>
    <w:rsid w:val="00BA4B78"/>
    <w:rsid w:val="00BA5155"/>
    <w:rsid w:val="00BA5628"/>
    <w:rsid w:val="00BA6856"/>
    <w:rsid w:val="00BA751F"/>
    <w:rsid w:val="00BA75F1"/>
    <w:rsid w:val="00BA7C73"/>
    <w:rsid w:val="00BB01D0"/>
    <w:rsid w:val="00BB0CED"/>
    <w:rsid w:val="00BB2D9A"/>
    <w:rsid w:val="00BB4383"/>
    <w:rsid w:val="00BB4D2E"/>
    <w:rsid w:val="00BB5A88"/>
    <w:rsid w:val="00BB5C58"/>
    <w:rsid w:val="00BB5D70"/>
    <w:rsid w:val="00BB6AFA"/>
    <w:rsid w:val="00BB78A0"/>
    <w:rsid w:val="00BC0074"/>
    <w:rsid w:val="00BC39F8"/>
    <w:rsid w:val="00BC3ED3"/>
    <w:rsid w:val="00BC46E4"/>
    <w:rsid w:val="00BC51D9"/>
    <w:rsid w:val="00BC52B6"/>
    <w:rsid w:val="00BC60BE"/>
    <w:rsid w:val="00BC63DE"/>
    <w:rsid w:val="00BC67E8"/>
    <w:rsid w:val="00BC7FFE"/>
    <w:rsid w:val="00BD0E5D"/>
    <w:rsid w:val="00BD1F01"/>
    <w:rsid w:val="00BD1F15"/>
    <w:rsid w:val="00BD480F"/>
    <w:rsid w:val="00BD48FF"/>
    <w:rsid w:val="00BD4D8A"/>
    <w:rsid w:val="00BD6ECB"/>
    <w:rsid w:val="00BD6FE9"/>
    <w:rsid w:val="00BE171F"/>
    <w:rsid w:val="00BE1BF0"/>
    <w:rsid w:val="00BE30AE"/>
    <w:rsid w:val="00BE39EA"/>
    <w:rsid w:val="00BE3A78"/>
    <w:rsid w:val="00BE3FA0"/>
    <w:rsid w:val="00BE42B3"/>
    <w:rsid w:val="00BE4B30"/>
    <w:rsid w:val="00BE6EAD"/>
    <w:rsid w:val="00BE7A3C"/>
    <w:rsid w:val="00BF04AF"/>
    <w:rsid w:val="00BF06BF"/>
    <w:rsid w:val="00BF08CC"/>
    <w:rsid w:val="00BF100B"/>
    <w:rsid w:val="00BF126A"/>
    <w:rsid w:val="00BF1D17"/>
    <w:rsid w:val="00BF3BFE"/>
    <w:rsid w:val="00BF3F32"/>
    <w:rsid w:val="00BF4E62"/>
    <w:rsid w:val="00BF591B"/>
    <w:rsid w:val="00BF5D8D"/>
    <w:rsid w:val="00BF6461"/>
    <w:rsid w:val="00BF6B99"/>
    <w:rsid w:val="00BF7742"/>
    <w:rsid w:val="00C003F1"/>
    <w:rsid w:val="00C0081C"/>
    <w:rsid w:val="00C00D06"/>
    <w:rsid w:val="00C0190E"/>
    <w:rsid w:val="00C031A0"/>
    <w:rsid w:val="00C03684"/>
    <w:rsid w:val="00C045E3"/>
    <w:rsid w:val="00C04F4E"/>
    <w:rsid w:val="00C05170"/>
    <w:rsid w:val="00C0707E"/>
    <w:rsid w:val="00C1005A"/>
    <w:rsid w:val="00C10846"/>
    <w:rsid w:val="00C10A54"/>
    <w:rsid w:val="00C16133"/>
    <w:rsid w:val="00C1745F"/>
    <w:rsid w:val="00C2067E"/>
    <w:rsid w:val="00C20ACC"/>
    <w:rsid w:val="00C2110F"/>
    <w:rsid w:val="00C213F0"/>
    <w:rsid w:val="00C2193D"/>
    <w:rsid w:val="00C21A46"/>
    <w:rsid w:val="00C21FE5"/>
    <w:rsid w:val="00C22684"/>
    <w:rsid w:val="00C2450B"/>
    <w:rsid w:val="00C25604"/>
    <w:rsid w:val="00C25DBB"/>
    <w:rsid w:val="00C276B7"/>
    <w:rsid w:val="00C27ED5"/>
    <w:rsid w:val="00C301CC"/>
    <w:rsid w:val="00C329FF"/>
    <w:rsid w:val="00C33AA9"/>
    <w:rsid w:val="00C343DE"/>
    <w:rsid w:val="00C35104"/>
    <w:rsid w:val="00C35E64"/>
    <w:rsid w:val="00C364EF"/>
    <w:rsid w:val="00C3776C"/>
    <w:rsid w:val="00C411F8"/>
    <w:rsid w:val="00C436E3"/>
    <w:rsid w:val="00C448D8"/>
    <w:rsid w:val="00C45EB2"/>
    <w:rsid w:val="00C46277"/>
    <w:rsid w:val="00C4739A"/>
    <w:rsid w:val="00C50DD8"/>
    <w:rsid w:val="00C5179A"/>
    <w:rsid w:val="00C517FD"/>
    <w:rsid w:val="00C51F8F"/>
    <w:rsid w:val="00C53216"/>
    <w:rsid w:val="00C54445"/>
    <w:rsid w:val="00C54AF1"/>
    <w:rsid w:val="00C54CAA"/>
    <w:rsid w:val="00C55048"/>
    <w:rsid w:val="00C55A2D"/>
    <w:rsid w:val="00C56758"/>
    <w:rsid w:val="00C576AC"/>
    <w:rsid w:val="00C57956"/>
    <w:rsid w:val="00C60030"/>
    <w:rsid w:val="00C60B5E"/>
    <w:rsid w:val="00C634F9"/>
    <w:rsid w:val="00C6381A"/>
    <w:rsid w:val="00C640C9"/>
    <w:rsid w:val="00C643B8"/>
    <w:rsid w:val="00C64ADB"/>
    <w:rsid w:val="00C65C67"/>
    <w:rsid w:val="00C6634E"/>
    <w:rsid w:val="00C66B01"/>
    <w:rsid w:val="00C6746D"/>
    <w:rsid w:val="00C7079C"/>
    <w:rsid w:val="00C709AF"/>
    <w:rsid w:val="00C70DE0"/>
    <w:rsid w:val="00C7109B"/>
    <w:rsid w:val="00C717AB"/>
    <w:rsid w:val="00C726CA"/>
    <w:rsid w:val="00C736FC"/>
    <w:rsid w:val="00C7477B"/>
    <w:rsid w:val="00C76711"/>
    <w:rsid w:val="00C76E7A"/>
    <w:rsid w:val="00C77A9E"/>
    <w:rsid w:val="00C819C9"/>
    <w:rsid w:val="00C824BD"/>
    <w:rsid w:val="00C82D52"/>
    <w:rsid w:val="00C83529"/>
    <w:rsid w:val="00C84E87"/>
    <w:rsid w:val="00C84F3F"/>
    <w:rsid w:val="00C84FBB"/>
    <w:rsid w:val="00C85774"/>
    <w:rsid w:val="00C86832"/>
    <w:rsid w:val="00C871DD"/>
    <w:rsid w:val="00C8757E"/>
    <w:rsid w:val="00C876C4"/>
    <w:rsid w:val="00C878C7"/>
    <w:rsid w:val="00C912C7"/>
    <w:rsid w:val="00C92C7F"/>
    <w:rsid w:val="00C936E8"/>
    <w:rsid w:val="00C960F4"/>
    <w:rsid w:val="00C9656A"/>
    <w:rsid w:val="00C96ADC"/>
    <w:rsid w:val="00C97729"/>
    <w:rsid w:val="00C97E8A"/>
    <w:rsid w:val="00C97F57"/>
    <w:rsid w:val="00CA010C"/>
    <w:rsid w:val="00CA029D"/>
    <w:rsid w:val="00CA0821"/>
    <w:rsid w:val="00CA0CC3"/>
    <w:rsid w:val="00CA30E6"/>
    <w:rsid w:val="00CA5069"/>
    <w:rsid w:val="00CA534F"/>
    <w:rsid w:val="00CA53C8"/>
    <w:rsid w:val="00CA6D9E"/>
    <w:rsid w:val="00CA7A0B"/>
    <w:rsid w:val="00CA7E64"/>
    <w:rsid w:val="00CB0F3F"/>
    <w:rsid w:val="00CB1C3C"/>
    <w:rsid w:val="00CB20E1"/>
    <w:rsid w:val="00CB2606"/>
    <w:rsid w:val="00CB2AEA"/>
    <w:rsid w:val="00CB3247"/>
    <w:rsid w:val="00CB43DC"/>
    <w:rsid w:val="00CB4494"/>
    <w:rsid w:val="00CB4609"/>
    <w:rsid w:val="00CB47A7"/>
    <w:rsid w:val="00CB5A2E"/>
    <w:rsid w:val="00CB62DE"/>
    <w:rsid w:val="00CB6A95"/>
    <w:rsid w:val="00CB6E8A"/>
    <w:rsid w:val="00CB741D"/>
    <w:rsid w:val="00CB762D"/>
    <w:rsid w:val="00CC115E"/>
    <w:rsid w:val="00CC13DD"/>
    <w:rsid w:val="00CC1E5A"/>
    <w:rsid w:val="00CC2AA5"/>
    <w:rsid w:val="00CC3506"/>
    <w:rsid w:val="00CC3F6F"/>
    <w:rsid w:val="00CC4CA7"/>
    <w:rsid w:val="00CC4CA8"/>
    <w:rsid w:val="00CC4F8D"/>
    <w:rsid w:val="00CC5216"/>
    <w:rsid w:val="00CC65D2"/>
    <w:rsid w:val="00CC6C16"/>
    <w:rsid w:val="00CC7B9D"/>
    <w:rsid w:val="00CD3646"/>
    <w:rsid w:val="00CD5D87"/>
    <w:rsid w:val="00CD617D"/>
    <w:rsid w:val="00CD65E0"/>
    <w:rsid w:val="00CD666C"/>
    <w:rsid w:val="00CD6830"/>
    <w:rsid w:val="00CD730D"/>
    <w:rsid w:val="00CD74DA"/>
    <w:rsid w:val="00CD7A19"/>
    <w:rsid w:val="00CE13CC"/>
    <w:rsid w:val="00CE1DE1"/>
    <w:rsid w:val="00CE1F78"/>
    <w:rsid w:val="00CE3F75"/>
    <w:rsid w:val="00CE59AC"/>
    <w:rsid w:val="00CE59D1"/>
    <w:rsid w:val="00CE5B9A"/>
    <w:rsid w:val="00CE5D4A"/>
    <w:rsid w:val="00CE707D"/>
    <w:rsid w:val="00CE770D"/>
    <w:rsid w:val="00CF1D54"/>
    <w:rsid w:val="00CF339B"/>
    <w:rsid w:val="00CF416B"/>
    <w:rsid w:val="00CF44FB"/>
    <w:rsid w:val="00CF5C97"/>
    <w:rsid w:val="00CF6398"/>
    <w:rsid w:val="00CF755D"/>
    <w:rsid w:val="00CF756D"/>
    <w:rsid w:val="00CF7627"/>
    <w:rsid w:val="00CF7931"/>
    <w:rsid w:val="00CF7CA7"/>
    <w:rsid w:val="00CF7E58"/>
    <w:rsid w:val="00D0146E"/>
    <w:rsid w:val="00D01D7D"/>
    <w:rsid w:val="00D024C6"/>
    <w:rsid w:val="00D02F45"/>
    <w:rsid w:val="00D034C1"/>
    <w:rsid w:val="00D03DC1"/>
    <w:rsid w:val="00D04A80"/>
    <w:rsid w:val="00D0607B"/>
    <w:rsid w:val="00D06562"/>
    <w:rsid w:val="00D06718"/>
    <w:rsid w:val="00D06850"/>
    <w:rsid w:val="00D07F4F"/>
    <w:rsid w:val="00D109DA"/>
    <w:rsid w:val="00D11452"/>
    <w:rsid w:val="00D11643"/>
    <w:rsid w:val="00D1188F"/>
    <w:rsid w:val="00D11955"/>
    <w:rsid w:val="00D131AF"/>
    <w:rsid w:val="00D13928"/>
    <w:rsid w:val="00D14DCE"/>
    <w:rsid w:val="00D158E1"/>
    <w:rsid w:val="00D16470"/>
    <w:rsid w:val="00D16762"/>
    <w:rsid w:val="00D1744D"/>
    <w:rsid w:val="00D17DBE"/>
    <w:rsid w:val="00D20066"/>
    <w:rsid w:val="00D206FC"/>
    <w:rsid w:val="00D2079C"/>
    <w:rsid w:val="00D20964"/>
    <w:rsid w:val="00D20AFA"/>
    <w:rsid w:val="00D2120B"/>
    <w:rsid w:val="00D2199D"/>
    <w:rsid w:val="00D21C12"/>
    <w:rsid w:val="00D232CD"/>
    <w:rsid w:val="00D232D6"/>
    <w:rsid w:val="00D2350D"/>
    <w:rsid w:val="00D235EA"/>
    <w:rsid w:val="00D23C17"/>
    <w:rsid w:val="00D24D1B"/>
    <w:rsid w:val="00D2507A"/>
    <w:rsid w:val="00D257F2"/>
    <w:rsid w:val="00D2583E"/>
    <w:rsid w:val="00D25D40"/>
    <w:rsid w:val="00D2657A"/>
    <w:rsid w:val="00D269AA"/>
    <w:rsid w:val="00D26AB5"/>
    <w:rsid w:val="00D26D09"/>
    <w:rsid w:val="00D27B68"/>
    <w:rsid w:val="00D30341"/>
    <w:rsid w:val="00D30C08"/>
    <w:rsid w:val="00D30EDD"/>
    <w:rsid w:val="00D3196A"/>
    <w:rsid w:val="00D31BD5"/>
    <w:rsid w:val="00D325CB"/>
    <w:rsid w:val="00D333C4"/>
    <w:rsid w:val="00D333C9"/>
    <w:rsid w:val="00D337A6"/>
    <w:rsid w:val="00D33E3D"/>
    <w:rsid w:val="00D36153"/>
    <w:rsid w:val="00D36318"/>
    <w:rsid w:val="00D363A8"/>
    <w:rsid w:val="00D400BE"/>
    <w:rsid w:val="00D402E3"/>
    <w:rsid w:val="00D41A8F"/>
    <w:rsid w:val="00D42A7F"/>
    <w:rsid w:val="00D43093"/>
    <w:rsid w:val="00D43B5A"/>
    <w:rsid w:val="00D43D0D"/>
    <w:rsid w:val="00D442C8"/>
    <w:rsid w:val="00D44B8D"/>
    <w:rsid w:val="00D44F66"/>
    <w:rsid w:val="00D4538E"/>
    <w:rsid w:val="00D45B50"/>
    <w:rsid w:val="00D45C85"/>
    <w:rsid w:val="00D4718C"/>
    <w:rsid w:val="00D478E8"/>
    <w:rsid w:val="00D502DC"/>
    <w:rsid w:val="00D50429"/>
    <w:rsid w:val="00D51C6F"/>
    <w:rsid w:val="00D52294"/>
    <w:rsid w:val="00D522DF"/>
    <w:rsid w:val="00D52BDF"/>
    <w:rsid w:val="00D53BF4"/>
    <w:rsid w:val="00D540D7"/>
    <w:rsid w:val="00D561A1"/>
    <w:rsid w:val="00D562A1"/>
    <w:rsid w:val="00D6167B"/>
    <w:rsid w:val="00D61A04"/>
    <w:rsid w:val="00D61A88"/>
    <w:rsid w:val="00D65D34"/>
    <w:rsid w:val="00D70715"/>
    <w:rsid w:val="00D70C0B"/>
    <w:rsid w:val="00D70D0E"/>
    <w:rsid w:val="00D71319"/>
    <w:rsid w:val="00D7224A"/>
    <w:rsid w:val="00D7418F"/>
    <w:rsid w:val="00D741B5"/>
    <w:rsid w:val="00D748F1"/>
    <w:rsid w:val="00D7720B"/>
    <w:rsid w:val="00D81A9F"/>
    <w:rsid w:val="00D828CB"/>
    <w:rsid w:val="00D82D6B"/>
    <w:rsid w:val="00D82DC4"/>
    <w:rsid w:val="00D82EB1"/>
    <w:rsid w:val="00D8352D"/>
    <w:rsid w:val="00D8392C"/>
    <w:rsid w:val="00D83D1F"/>
    <w:rsid w:val="00D84C4D"/>
    <w:rsid w:val="00D84E6D"/>
    <w:rsid w:val="00D8618E"/>
    <w:rsid w:val="00D86310"/>
    <w:rsid w:val="00D868CF"/>
    <w:rsid w:val="00D86B1C"/>
    <w:rsid w:val="00D91848"/>
    <w:rsid w:val="00D946AD"/>
    <w:rsid w:val="00D95494"/>
    <w:rsid w:val="00D95C69"/>
    <w:rsid w:val="00D96144"/>
    <w:rsid w:val="00D96AD8"/>
    <w:rsid w:val="00D97391"/>
    <w:rsid w:val="00D979AF"/>
    <w:rsid w:val="00DA1971"/>
    <w:rsid w:val="00DA1B26"/>
    <w:rsid w:val="00DA224C"/>
    <w:rsid w:val="00DA294F"/>
    <w:rsid w:val="00DA2FCF"/>
    <w:rsid w:val="00DA3E74"/>
    <w:rsid w:val="00DA5834"/>
    <w:rsid w:val="00DA5AB1"/>
    <w:rsid w:val="00DA5E22"/>
    <w:rsid w:val="00DA7A79"/>
    <w:rsid w:val="00DB03E9"/>
    <w:rsid w:val="00DB155D"/>
    <w:rsid w:val="00DB1F77"/>
    <w:rsid w:val="00DB3160"/>
    <w:rsid w:val="00DB51E9"/>
    <w:rsid w:val="00DB59B0"/>
    <w:rsid w:val="00DB5D4A"/>
    <w:rsid w:val="00DB60A0"/>
    <w:rsid w:val="00DB62A7"/>
    <w:rsid w:val="00DB6E62"/>
    <w:rsid w:val="00DC07F9"/>
    <w:rsid w:val="00DC1488"/>
    <w:rsid w:val="00DC17F1"/>
    <w:rsid w:val="00DC25AD"/>
    <w:rsid w:val="00DC268B"/>
    <w:rsid w:val="00DC2B6F"/>
    <w:rsid w:val="00DC35EF"/>
    <w:rsid w:val="00DC379A"/>
    <w:rsid w:val="00DC3AFD"/>
    <w:rsid w:val="00DC4CBA"/>
    <w:rsid w:val="00DC4DEF"/>
    <w:rsid w:val="00DC5936"/>
    <w:rsid w:val="00DC5A15"/>
    <w:rsid w:val="00DC5D79"/>
    <w:rsid w:val="00DC6F68"/>
    <w:rsid w:val="00DC750D"/>
    <w:rsid w:val="00DD0956"/>
    <w:rsid w:val="00DD0A1F"/>
    <w:rsid w:val="00DD0C71"/>
    <w:rsid w:val="00DD0E30"/>
    <w:rsid w:val="00DD14E4"/>
    <w:rsid w:val="00DD2CB3"/>
    <w:rsid w:val="00DD2FDB"/>
    <w:rsid w:val="00DD6329"/>
    <w:rsid w:val="00DD6C9E"/>
    <w:rsid w:val="00DD6D2A"/>
    <w:rsid w:val="00DD7CFC"/>
    <w:rsid w:val="00DE30F8"/>
    <w:rsid w:val="00DE342F"/>
    <w:rsid w:val="00DE3DC9"/>
    <w:rsid w:val="00DE7234"/>
    <w:rsid w:val="00DE7630"/>
    <w:rsid w:val="00DE7815"/>
    <w:rsid w:val="00DF08AE"/>
    <w:rsid w:val="00DF12A7"/>
    <w:rsid w:val="00DF197C"/>
    <w:rsid w:val="00DF29EF"/>
    <w:rsid w:val="00DF3664"/>
    <w:rsid w:val="00DF4086"/>
    <w:rsid w:val="00DF5DF7"/>
    <w:rsid w:val="00E00770"/>
    <w:rsid w:val="00E01598"/>
    <w:rsid w:val="00E03A61"/>
    <w:rsid w:val="00E03D6F"/>
    <w:rsid w:val="00E04EAC"/>
    <w:rsid w:val="00E06481"/>
    <w:rsid w:val="00E0747C"/>
    <w:rsid w:val="00E07939"/>
    <w:rsid w:val="00E11444"/>
    <w:rsid w:val="00E12EB3"/>
    <w:rsid w:val="00E144FD"/>
    <w:rsid w:val="00E147B4"/>
    <w:rsid w:val="00E15022"/>
    <w:rsid w:val="00E1576C"/>
    <w:rsid w:val="00E15B81"/>
    <w:rsid w:val="00E15F17"/>
    <w:rsid w:val="00E16208"/>
    <w:rsid w:val="00E16A3B"/>
    <w:rsid w:val="00E17F12"/>
    <w:rsid w:val="00E210C4"/>
    <w:rsid w:val="00E215BA"/>
    <w:rsid w:val="00E21A42"/>
    <w:rsid w:val="00E21BD6"/>
    <w:rsid w:val="00E21DEF"/>
    <w:rsid w:val="00E22807"/>
    <w:rsid w:val="00E24B4D"/>
    <w:rsid w:val="00E25C3B"/>
    <w:rsid w:val="00E30014"/>
    <w:rsid w:val="00E305A3"/>
    <w:rsid w:val="00E318ED"/>
    <w:rsid w:val="00E31E6A"/>
    <w:rsid w:val="00E326C9"/>
    <w:rsid w:val="00E32D86"/>
    <w:rsid w:val="00E33687"/>
    <w:rsid w:val="00E34701"/>
    <w:rsid w:val="00E366F4"/>
    <w:rsid w:val="00E366F5"/>
    <w:rsid w:val="00E36728"/>
    <w:rsid w:val="00E37D8C"/>
    <w:rsid w:val="00E40087"/>
    <w:rsid w:val="00E4015A"/>
    <w:rsid w:val="00E4123B"/>
    <w:rsid w:val="00E418A5"/>
    <w:rsid w:val="00E41A31"/>
    <w:rsid w:val="00E42443"/>
    <w:rsid w:val="00E42D73"/>
    <w:rsid w:val="00E44405"/>
    <w:rsid w:val="00E448AD"/>
    <w:rsid w:val="00E455D7"/>
    <w:rsid w:val="00E469FD"/>
    <w:rsid w:val="00E50766"/>
    <w:rsid w:val="00E50A4A"/>
    <w:rsid w:val="00E511CE"/>
    <w:rsid w:val="00E5207A"/>
    <w:rsid w:val="00E52AF8"/>
    <w:rsid w:val="00E5384A"/>
    <w:rsid w:val="00E544DD"/>
    <w:rsid w:val="00E54B2F"/>
    <w:rsid w:val="00E54C6B"/>
    <w:rsid w:val="00E54EDC"/>
    <w:rsid w:val="00E55552"/>
    <w:rsid w:val="00E559A1"/>
    <w:rsid w:val="00E55EF5"/>
    <w:rsid w:val="00E567B4"/>
    <w:rsid w:val="00E56F9C"/>
    <w:rsid w:val="00E57324"/>
    <w:rsid w:val="00E6058E"/>
    <w:rsid w:val="00E6187D"/>
    <w:rsid w:val="00E61BA2"/>
    <w:rsid w:val="00E61F67"/>
    <w:rsid w:val="00E624F3"/>
    <w:rsid w:val="00E62AB6"/>
    <w:rsid w:val="00E6358F"/>
    <w:rsid w:val="00E70DDA"/>
    <w:rsid w:val="00E72774"/>
    <w:rsid w:val="00E72F53"/>
    <w:rsid w:val="00E73225"/>
    <w:rsid w:val="00E737A1"/>
    <w:rsid w:val="00E73C84"/>
    <w:rsid w:val="00E74A67"/>
    <w:rsid w:val="00E75005"/>
    <w:rsid w:val="00E76416"/>
    <w:rsid w:val="00E76EAC"/>
    <w:rsid w:val="00E772DE"/>
    <w:rsid w:val="00E778F4"/>
    <w:rsid w:val="00E77C91"/>
    <w:rsid w:val="00E800A4"/>
    <w:rsid w:val="00E80BFD"/>
    <w:rsid w:val="00E81811"/>
    <w:rsid w:val="00E82978"/>
    <w:rsid w:val="00E82B49"/>
    <w:rsid w:val="00E835EB"/>
    <w:rsid w:val="00E848CF"/>
    <w:rsid w:val="00E8534C"/>
    <w:rsid w:val="00E8590C"/>
    <w:rsid w:val="00E903AC"/>
    <w:rsid w:val="00E91284"/>
    <w:rsid w:val="00E912F8"/>
    <w:rsid w:val="00E9135F"/>
    <w:rsid w:val="00E91A8E"/>
    <w:rsid w:val="00E9210B"/>
    <w:rsid w:val="00E92F7C"/>
    <w:rsid w:val="00E92FAD"/>
    <w:rsid w:val="00E93013"/>
    <w:rsid w:val="00E9339E"/>
    <w:rsid w:val="00E933DA"/>
    <w:rsid w:val="00E93B0A"/>
    <w:rsid w:val="00E94B14"/>
    <w:rsid w:val="00E95CA6"/>
    <w:rsid w:val="00E95E46"/>
    <w:rsid w:val="00E96967"/>
    <w:rsid w:val="00E976F5"/>
    <w:rsid w:val="00E97924"/>
    <w:rsid w:val="00E97CAA"/>
    <w:rsid w:val="00EA0C41"/>
    <w:rsid w:val="00EA0D70"/>
    <w:rsid w:val="00EA1904"/>
    <w:rsid w:val="00EA26E1"/>
    <w:rsid w:val="00EA53F5"/>
    <w:rsid w:val="00EA5412"/>
    <w:rsid w:val="00EA7132"/>
    <w:rsid w:val="00EA7C11"/>
    <w:rsid w:val="00EA7FD5"/>
    <w:rsid w:val="00EB0C9D"/>
    <w:rsid w:val="00EB1C2E"/>
    <w:rsid w:val="00EB1C98"/>
    <w:rsid w:val="00EB3E5D"/>
    <w:rsid w:val="00EB44B2"/>
    <w:rsid w:val="00EB4D79"/>
    <w:rsid w:val="00EB4F4A"/>
    <w:rsid w:val="00EB4FCA"/>
    <w:rsid w:val="00EB54E2"/>
    <w:rsid w:val="00EB5543"/>
    <w:rsid w:val="00EB5876"/>
    <w:rsid w:val="00EB5E2E"/>
    <w:rsid w:val="00EC09BD"/>
    <w:rsid w:val="00EC1E9A"/>
    <w:rsid w:val="00EC209D"/>
    <w:rsid w:val="00EC3217"/>
    <w:rsid w:val="00EC336A"/>
    <w:rsid w:val="00EC3778"/>
    <w:rsid w:val="00EC492C"/>
    <w:rsid w:val="00EC4C30"/>
    <w:rsid w:val="00EC4FEB"/>
    <w:rsid w:val="00EC604B"/>
    <w:rsid w:val="00EC68B4"/>
    <w:rsid w:val="00EC69F7"/>
    <w:rsid w:val="00EC7763"/>
    <w:rsid w:val="00EC7793"/>
    <w:rsid w:val="00EC7B6E"/>
    <w:rsid w:val="00EC7FE9"/>
    <w:rsid w:val="00ED0D70"/>
    <w:rsid w:val="00ED0EA7"/>
    <w:rsid w:val="00ED13AE"/>
    <w:rsid w:val="00ED180F"/>
    <w:rsid w:val="00ED2B80"/>
    <w:rsid w:val="00ED39E3"/>
    <w:rsid w:val="00ED3EA5"/>
    <w:rsid w:val="00ED45EF"/>
    <w:rsid w:val="00ED4EA8"/>
    <w:rsid w:val="00ED50E9"/>
    <w:rsid w:val="00ED5175"/>
    <w:rsid w:val="00ED78AB"/>
    <w:rsid w:val="00EE0F8C"/>
    <w:rsid w:val="00EE16A1"/>
    <w:rsid w:val="00EE36B7"/>
    <w:rsid w:val="00EE37C3"/>
    <w:rsid w:val="00EE3D16"/>
    <w:rsid w:val="00EE527F"/>
    <w:rsid w:val="00EE5777"/>
    <w:rsid w:val="00EE5E6C"/>
    <w:rsid w:val="00EE68CF"/>
    <w:rsid w:val="00EE6C85"/>
    <w:rsid w:val="00EE6CF7"/>
    <w:rsid w:val="00EE7431"/>
    <w:rsid w:val="00EE7677"/>
    <w:rsid w:val="00EE79E7"/>
    <w:rsid w:val="00EE7E23"/>
    <w:rsid w:val="00EF03C7"/>
    <w:rsid w:val="00EF0608"/>
    <w:rsid w:val="00EF0BB3"/>
    <w:rsid w:val="00EF16E4"/>
    <w:rsid w:val="00EF2F1C"/>
    <w:rsid w:val="00EF37BB"/>
    <w:rsid w:val="00EF4A5F"/>
    <w:rsid w:val="00EF593E"/>
    <w:rsid w:val="00EF6126"/>
    <w:rsid w:val="00EF651A"/>
    <w:rsid w:val="00EF7AE5"/>
    <w:rsid w:val="00F002A4"/>
    <w:rsid w:val="00F009DB"/>
    <w:rsid w:val="00F01A67"/>
    <w:rsid w:val="00F03B6F"/>
    <w:rsid w:val="00F03CDE"/>
    <w:rsid w:val="00F045AD"/>
    <w:rsid w:val="00F046EA"/>
    <w:rsid w:val="00F04811"/>
    <w:rsid w:val="00F0490C"/>
    <w:rsid w:val="00F04B06"/>
    <w:rsid w:val="00F050BB"/>
    <w:rsid w:val="00F058ED"/>
    <w:rsid w:val="00F07C3B"/>
    <w:rsid w:val="00F10B3C"/>
    <w:rsid w:val="00F1113C"/>
    <w:rsid w:val="00F11EDB"/>
    <w:rsid w:val="00F124F4"/>
    <w:rsid w:val="00F133BE"/>
    <w:rsid w:val="00F136B0"/>
    <w:rsid w:val="00F136E8"/>
    <w:rsid w:val="00F1578D"/>
    <w:rsid w:val="00F15D0F"/>
    <w:rsid w:val="00F175F5"/>
    <w:rsid w:val="00F17911"/>
    <w:rsid w:val="00F2046D"/>
    <w:rsid w:val="00F2047A"/>
    <w:rsid w:val="00F20F17"/>
    <w:rsid w:val="00F217AE"/>
    <w:rsid w:val="00F2186A"/>
    <w:rsid w:val="00F2310B"/>
    <w:rsid w:val="00F26344"/>
    <w:rsid w:val="00F26506"/>
    <w:rsid w:val="00F27C74"/>
    <w:rsid w:val="00F30E5D"/>
    <w:rsid w:val="00F3174F"/>
    <w:rsid w:val="00F317A4"/>
    <w:rsid w:val="00F31BBE"/>
    <w:rsid w:val="00F32B58"/>
    <w:rsid w:val="00F32B6E"/>
    <w:rsid w:val="00F32BB1"/>
    <w:rsid w:val="00F34DE9"/>
    <w:rsid w:val="00F36BE6"/>
    <w:rsid w:val="00F36D7A"/>
    <w:rsid w:val="00F37DA2"/>
    <w:rsid w:val="00F41602"/>
    <w:rsid w:val="00F429A9"/>
    <w:rsid w:val="00F42D08"/>
    <w:rsid w:val="00F45803"/>
    <w:rsid w:val="00F45E78"/>
    <w:rsid w:val="00F4605E"/>
    <w:rsid w:val="00F4654B"/>
    <w:rsid w:val="00F5045B"/>
    <w:rsid w:val="00F50CC1"/>
    <w:rsid w:val="00F5175F"/>
    <w:rsid w:val="00F52862"/>
    <w:rsid w:val="00F52D17"/>
    <w:rsid w:val="00F53EF4"/>
    <w:rsid w:val="00F53FC8"/>
    <w:rsid w:val="00F54849"/>
    <w:rsid w:val="00F549DE"/>
    <w:rsid w:val="00F552B2"/>
    <w:rsid w:val="00F55556"/>
    <w:rsid w:val="00F55DE8"/>
    <w:rsid w:val="00F56B4C"/>
    <w:rsid w:val="00F57B02"/>
    <w:rsid w:val="00F60D80"/>
    <w:rsid w:val="00F610CE"/>
    <w:rsid w:val="00F627BC"/>
    <w:rsid w:val="00F62827"/>
    <w:rsid w:val="00F628EB"/>
    <w:rsid w:val="00F62903"/>
    <w:rsid w:val="00F6377C"/>
    <w:rsid w:val="00F6418F"/>
    <w:rsid w:val="00F64981"/>
    <w:rsid w:val="00F64AA4"/>
    <w:rsid w:val="00F6559B"/>
    <w:rsid w:val="00F65A9B"/>
    <w:rsid w:val="00F65E68"/>
    <w:rsid w:val="00F70B2C"/>
    <w:rsid w:val="00F71467"/>
    <w:rsid w:val="00F715DB"/>
    <w:rsid w:val="00F727B2"/>
    <w:rsid w:val="00F740DF"/>
    <w:rsid w:val="00F74189"/>
    <w:rsid w:val="00F745AC"/>
    <w:rsid w:val="00F74B7C"/>
    <w:rsid w:val="00F75842"/>
    <w:rsid w:val="00F75B21"/>
    <w:rsid w:val="00F7719F"/>
    <w:rsid w:val="00F774FF"/>
    <w:rsid w:val="00F7758D"/>
    <w:rsid w:val="00F80362"/>
    <w:rsid w:val="00F817FE"/>
    <w:rsid w:val="00F81CC8"/>
    <w:rsid w:val="00F8523C"/>
    <w:rsid w:val="00F86DA2"/>
    <w:rsid w:val="00F876CB"/>
    <w:rsid w:val="00F87894"/>
    <w:rsid w:val="00F90098"/>
    <w:rsid w:val="00F900F8"/>
    <w:rsid w:val="00F90972"/>
    <w:rsid w:val="00F91150"/>
    <w:rsid w:val="00F9136E"/>
    <w:rsid w:val="00F935F4"/>
    <w:rsid w:val="00F93DDD"/>
    <w:rsid w:val="00F93E21"/>
    <w:rsid w:val="00F94DFE"/>
    <w:rsid w:val="00F94F36"/>
    <w:rsid w:val="00F952AD"/>
    <w:rsid w:val="00F95A5F"/>
    <w:rsid w:val="00F95DE7"/>
    <w:rsid w:val="00FA0BB5"/>
    <w:rsid w:val="00FA0F03"/>
    <w:rsid w:val="00FA10B4"/>
    <w:rsid w:val="00FA1274"/>
    <w:rsid w:val="00FA1748"/>
    <w:rsid w:val="00FA1BBD"/>
    <w:rsid w:val="00FA2739"/>
    <w:rsid w:val="00FA2D1C"/>
    <w:rsid w:val="00FA3111"/>
    <w:rsid w:val="00FA4115"/>
    <w:rsid w:val="00FA41DC"/>
    <w:rsid w:val="00FA4819"/>
    <w:rsid w:val="00FA4870"/>
    <w:rsid w:val="00FA5271"/>
    <w:rsid w:val="00FA5F2D"/>
    <w:rsid w:val="00FA6633"/>
    <w:rsid w:val="00FA6872"/>
    <w:rsid w:val="00FA7667"/>
    <w:rsid w:val="00FB00ED"/>
    <w:rsid w:val="00FB0D7C"/>
    <w:rsid w:val="00FB102A"/>
    <w:rsid w:val="00FB1539"/>
    <w:rsid w:val="00FB15AB"/>
    <w:rsid w:val="00FB1A11"/>
    <w:rsid w:val="00FB1F51"/>
    <w:rsid w:val="00FB2D41"/>
    <w:rsid w:val="00FB2D9C"/>
    <w:rsid w:val="00FB3BC9"/>
    <w:rsid w:val="00FB3F95"/>
    <w:rsid w:val="00FB517D"/>
    <w:rsid w:val="00FB57C6"/>
    <w:rsid w:val="00FB70CB"/>
    <w:rsid w:val="00FB7EA2"/>
    <w:rsid w:val="00FC0704"/>
    <w:rsid w:val="00FC1DBF"/>
    <w:rsid w:val="00FC2093"/>
    <w:rsid w:val="00FC2AA3"/>
    <w:rsid w:val="00FC2C28"/>
    <w:rsid w:val="00FC4453"/>
    <w:rsid w:val="00FC4633"/>
    <w:rsid w:val="00FC50F6"/>
    <w:rsid w:val="00FC51A7"/>
    <w:rsid w:val="00FC562E"/>
    <w:rsid w:val="00FC6974"/>
    <w:rsid w:val="00FD0A8B"/>
    <w:rsid w:val="00FD0D85"/>
    <w:rsid w:val="00FD0DD5"/>
    <w:rsid w:val="00FD0F20"/>
    <w:rsid w:val="00FD1691"/>
    <w:rsid w:val="00FD178A"/>
    <w:rsid w:val="00FD22B8"/>
    <w:rsid w:val="00FD25EB"/>
    <w:rsid w:val="00FD38FE"/>
    <w:rsid w:val="00FD3A42"/>
    <w:rsid w:val="00FD424E"/>
    <w:rsid w:val="00FD504F"/>
    <w:rsid w:val="00FD55CF"/>
    <w:rsid w:val="00FD5DB6"/>
    <w:rsid w:val="00FD62C7"/>
    <w:rsid w:val="00FE13AF"/>
    <w:rsid w:val="00FE2B45"/>
    <w:rsid w:val="00FE30CC"/>
    <w:rsid w:val="00FE3445"/>
    <w:rsid w:val="00FE35E9"/>
    <w:rsid w:val="00FE3D31"/>
    <w:rsid w:val="00FE487C"/>
    <w:rsid w:val="00FE4A46"/>
    <w:rsid w:val="00FE5058"/>
    <w:rsid w:val="00FE56C7"/>
    <w:rsid w:val="00FE5777"/>
    <w:rsid w:val="00FE5838"/>
    <w:rsid w:val="00FE6FE1"/>
    <w:rsid w:val="00FE77D5"/>
    <w:rsid w:val="00FE7D33"/>
    <w:rsid w:val="00FE7F82"/>
    <w:rsid w:val="00FF1084"/>
    <w:rsid w:val="00FF14B5"/>
    <w:rsid w:val="00FF380F"/>
    <w:rsid w:val="00FF3F2B"/>
    <w:rsid w:val="00FF5F50"/>
    <w:rsid w:val="00FF61CA"/>
    <w:rsid w:val="00FF6B04"/>
    <w:rsid w:val="00FF7774"/>
    <w:rsid w:val="011CD026"/>
    <w:rsid w:val="03111543"/>
    <w:rsid w:val="03252CD3"/>
    <w:rsid w:val="03B60C12"/>
    <w:rsid w:val="05DF43DB"/>
    <w:rsid w:val="05F1B59A"/>
    <w:rsid w:val="06603EAA"/>
    <w:rsid w:val="073FD3E0"/>
    <w:rsid w:val="07E3F0E6"/>
    <w:rsid w:val="07FAE14B"/>
    <w:rsid w:val="081478E7"/>
    <w:rsid w:val="082FB89B"/>
    <w:rsid w:val="091A3738"/>
    <w:rsid w:val="0A441991"/>
    <w:rsid w:val="0B0E9516"/>
    <w:rsid w:val="0BCCBAC1"/>
    <w:rsid w:val="0CA75FC8"/>
    <w:rsid w:val="0D1B2064"/>
    <w:rsid w:val="0E1FF927"/>
    <w:rsid w:val="0E8603DF"/>
    <w:rsid w:val="0EB7F7D0"/>
    <w:rsid w:val="0EF1F870"/>
    <w:rsid w:val="0F1C7E52"/>
    <w:rsid w:val="0F281AE1"/>
    <w:rsid w:val="0F930C49"/>
    <w:rsid w:val="10498118"/>
    <w:rsid w:val="10FC2502"/>
    <w:rsid w:val="1213DB6A"/>
    <w:rsid w:val="12DA5E6F"/>
    <w:rsid w:val="12E1D028"/>
    <w:rsid w:val="12E1F9C4"/>
    <w:rsid w:val="14813EAF"/>
    <w:rsid w:val="1491AB2A"/>
    <w:rsid w:val="149E3338"/>
    <w:rsid w:val="14EADB69"/>
    <w:rsid w:val="15089C54"/>
    <w:rsid w:val="155D687C"/>
    <w:rsid w:val="1596B1C6"/>
    <w:rsid w:val="16C562EF"/>
    <w:rsid w:val="16F230FB"/>
    <w:rsid w:val="171793CF"/>
    <w:rsid w:val="1744808D"/>
    <w:rsid w:val="185BCD73"/>
    <w:rsid w:val="18816391"/>
    <w:rsid w:val="188E015C"/>
    <w:rsid w:val="18E2FBEF"/>
    <w:rsid w:val="1940CE01"/>
    <w:rsid w:val="19A8B48B"/>
    <w:rsid w:val="19C2F19F"/>
    <w:rsid w:val="1A15C2BC"/>
    <w:rsid w:val="1ABDB97C"/>
    <w:rsid w:val="1AC21D9D"/>
    <w:rsid w:val="1ADCC784"/>
    <w:rsid w:val="1AEB0096"/>
    <w:rsid w:val="1B2A2B3D"/>
    <w:rsid w:val="1B71152C"/>
    <w:rsid w:val="1BFC0E6B"/>
    <w:rsid w:val="1D2214BB"/>
    <w:rsid w:val="1D4F248E"/>
    <w:rsid w:val="1DBDEA15"/>
    <w:rsid w:val="1E06AF37"/>
    <w:rsid w:val="1E5776FC"/>
    <w:rsid w:val="1EF1D405"/>
    <w:rsid w:val="1EF478FA"/>
    <w:rsid w:val="1F8152EC"/>
    <w:rsid w:val="1FCFE114"/>
    <w:rsid w:val="204DB6FB"/>
    <w:rsid w:val="20F851D4"/>
    <w:rsid w:val="210529E0"/>
    <w:rsid w:val="2278ABA1"/>
    <w:rsid w:val="227D2628"/>
    <w:rsid w:val="22C07934"/>
    <w:rsid w:val="22E269BB"/>
    <w:rsid w:val="22E6D6F1"/>
    <w:rsid w:val="23534CCB"/>
    <w:rsid w:val="23E729AC"/>
    <w:rsid w:val="24E66CA2"/>
    <w:rsid w:val="2521281E"/>
    <w:rsid w:val="259FE7B8"/>
    <w:rsid w:val="262C3BDD"/>
    <w:rsid w:val="265343EA"/>
    <w:rsid w:val="265857F8"/>
    <w:rsid w:val="277EB5CF"/>
    <w:rsid w:val="27FC17B8"/>
    <w:rsid w:val="280BA5FF"/>
    <w:rsid w:val="28CD3E0F"/>
    <w:rsid w:val="28E9D9FB"/>
    <w:rsid w:val="294F6E2A"/>
    <w:rsid w:val="29575B15"/>
    <w:rsid w:val="296CBBE7"/>
    <w:rsid w:val="2A2522F2"/>
    <w:rsid w:val="2A46E8FD"/>
    <w:rsid w:val="2A96CC67"/>
    <w:rsid w:val="2ADDD7E7"/>
    <w:rsid w:val="2AFD80C9"/>
    <w:rsid w:val="2D351157"/>
    <w:rsid w:val="2DB62BBB"/>
    <w:rsid w:val="2E2DD138"/>
    <w:rsid w:val="2EAC47B9"/>
    <w:rsid w:val="2F7094BF"/>
    <w:rsid w:val="2F90029F"/>
    <w:rsid w:val="2FEB6594"/>
    <w:rsid w:val="300847DB"/>
    <w:rsid w:val="30845C0F"/>
    <w:rsid w:val="308E81FF"/>
    <w:rsid w:val="30FBF42E"/>
    <w:rsid w:val="311BE19E"/>
    <w:rsid w:val="3182BAEB"/>
    <w:rsid w:val="326B9B57"/>
    <w:rsid w:val="32C16327"/>
    <w:rsid w:val="32C8D14A"/>
    <w:rsid w:val="33135411"/>
    <w:rsid w:val="3359532B"/>
    <w:rsid w:val="342FF096"/>
    <w:rsid w:val="345D3388"/>
    <w:rsid w:val="3462DC4A"/>
    <w:rsid w:val="354F038C"/>
    <w:rsid w:val="35AFABBE"/>
    <w:rsid w:val="35B3A853"/>
    <w:rsid w:val="375DC079"/>
    <w:rsid w:val="375F0E81"/>
    <w:rsid w:val="3808C4E5"/>
    <w:rsid w:val="389CD4F5"/>
    <w:rsid w:val="39510C99"/>
    <w:rsid w:val="3AB8AD70"/>
    <w:rsid w:val="3B461335"/>
    <w:rsid w:val="3B988DFD"/>
    <w:rsid w:val="3C46CECF"/>
    <w:rsid w:val="3D69D07E"/>
    <w:rsid w:val="3DD2FA4E"/>
    <w:rsid w:val="3E0FF72D"/>
    <w:rsid w:val="3E56FE77"/>
    <w:rsid w:val="3E5B840D"/>
    <w:rsid w:val="3E9B4C07"/>
    <w:rsid w:val="3EF24591"/>
    <w:rsid w:val="3FB060F7"/>
    <w:rsid w:val="3FCF2E9A"/>
    <w:rsid w:val="3FF121E0"/>
    <w:rsid w:val="402DD30D"/>
    <w:rsid w:val="40CDF45F"/>
    <w:rsid w:val="4156F705"/>
    <w:rsid w:val="4184056C"/>
    <w:rsid w:val="41B60F77"/>
    <w:rsid w:val="41CBC802"/>
    <w:rsid w:val="41F1E643"/>
    <w:rsid w:val="4245D002"/>
    <w:rsid w:val="4287B20B"/>
    <w:rsid w:val="42C8BCD6"/>
    <w:rsid w:val="4365400D"/>
    <w:rsid w:val="44613978"/>
    <w:rsid w:val="44BEC3B8"/>
    <w:rsid w:val="44C381D4"/>
    <w:rsid w:val="451126E0"/>
    <w:rsid w:val="45662375"/>
    <w:rsid w:val="45C3E205"/>
    <w:rsid w:val="46341033"/>
    <w:rsid w:val="46EFBA82"/>
    <w:rsid w:val="476669AE"/>
    <w:rsid w:val="479D41AE"/>
    <w:rsid w:val="47E95FB4"/>
    <w:rsid w:val="485B701A"/>
    <w:rsid w:val="496AAA7C"/>
    <w:rsid w:val="4979C631"/>
    <w:rsid w:val="4B067ADD"/>
    <w:rsid w:val="4B884EAE"/>
    <w:rsid w:val="4C4186BD"/>
    <w:rsid w:val="4E94E153"/>
    <w:rsid w:val="4F34A8D4"/>
    <w:rsid w:val="4F512AC0"/>
    <w:rsid w:val="4F5C9750"/>
    <w:rsid w:val="4FA30E09"/>
    <w:rsid w:val="4FD5CBA4"/>
    <w:rsid w:val="4FD6F15F"/>
    <w:rsid w:val="5015FD36"/>
    <w:rsid w:val="5026D6AB"/>
    <w:rsid w:val="50585D36"/>
    <w:rsid w:val="509D83FF"/>
    <w:rsid w:val="50C50D61"/>
    <w:rsid w:val="515E1336"/>
    <w:rsid w:val="5169E150"/>
    <w:rsid w:val="532B2D0A"/>
    <w:rsid w:val="5379AE2B"/>
    <w:rsid w:val="54C53A45"/>
    <w:rsid w:val="54DAA4AC"/>
    <w:rsid w:val="5507F290"/>
    <w:rsid w:val="55504E16"/>
    <w:rsid w:val="55DB738F"/>
    <w:rsid w:val="5601DEFF"/>
    <w:rsid w:val="5644FE04"/>
    <w:rsid w:val="567806B0"/>
    <w:rsid w:val="56849D06"/>
    <w:rsid w:val="56A920C1"/>
    <w:rsid w:val="5717B2F9"/>
    <w:rsid w:val="571C0116"/>
    <w:rsid w:val="574B980E"/>
    <w:rsid w:val="58B6F6E9"/>
    <w:rsid w:val="5985443E"/>
    <w:rsid w:val="599FCCDE"/>
    <w:rsid w:val="59E6945F"/>
    <w:rsid w:val="59EFD14B"/>
    <w:rsid w:val="5AB5B7C1"/>
    <w:rsid w:val="5ABB74F5"/>
    <w:rsid w:val="5AEF5523"/>
    <w:rsid w:val="5AFDCA10"/>
    <w:rsid w:val="5B1AB650"/>
    <w:rsid w:val="5C0DB108"/>
    <w:rsid w:val="5CECA509"/>
    <w:rsid w:val="5CF2503C"/>
    <w:rsid w:val="5D53DB80"/>
    <w:rsid w:val="5DF44C2B"/>
    <w:rsid w:val="5E8E209D"/>
    <w:rsid w:val="5F2D5CAB"/>
    <w:rsid w:val="5FDDDBC5"/>
    <w:rsid w:val="605F152D"/>
    <w:rsid w:val="60FAA7A1"/>
    <w:rsid w:val="61348361"/>
    <w:rsid w:val="6207C7E9"/>
    <w:rsid w:val="62339E73"/>
    <w:rsid w:val="629C772A"/>
    <w:rsid w:val="62E82758"/>
    <w:rsid w:val="63241C30"/>
    <w:rsid w:val="63863E6C"/>
    <w:rsid w:val="63C6270A"/>
    <w:rsid w:val="63FCF635"/>
    <w:rsid w:val="64F81B95"/>
    <w:rsid w:val="651D3864"/>
    <w:rsid w:val="65601B4A"/>
    <w:rsid w:val="65B4C592"/>
    <w:rsid w:val="66ECD050"/>
    <w:rsid w:val="682FBC57"/>
    <w:rsid w:val="68455384"/>
    <w:rsid w:val="684C43F0"/>
    <w:rsid w:val="68D2AA59"/>
    <w:rsid w:val="69BC6E79"/>
    <w:rsid w:val="6B42315A"/>
    <w:rsid w:val="6B8785CE"/>
    <w:rsid w:val="6D459098"/>
    <w:rsid w:val="6DCB958F"/>
    <w:rsid w:val="6E7786CC"/>
    <w:rsid w:val="6EEE6A4D"/>
    <w:rsid w:val="6F9E7CA4"/>
    <w:rsid w:val="6FFED622"/>
    <w:rsid w:val="70E54422"/>
    <w:rsid w:val="725DC9F4"/>
    <w:rsid w:val="72DD200B"/>
    <w:rsid w:val="7359C2F8"/>
    <w:rsid w:val="73F7F3D0"/>
    <w:rsid w:val="744CA4ED"/>
    <w:rsid w:val="753D2E61"/>
    <w:rsid w:val="75409E8B"/>
    <w:rsid w:val="75CC499C"/>
    <w:rsid w:val="75E20A09"/>
    <w:rsid w:val="77875B87"/>
    <w:rsid w:val="779D557E"/>
    <w:rsid w:val="78BBF121"/>
    <w:rsid w:val="7989A6FE"/>
    <w:rsid w:val="7A3D9D06"/>
    <w:rsid w:val="7AAC24A6"/>
    <w:rsid w:val="7AC78AE4"/>
    <w:rsid w:val="7AD3B4DE"/>
    <w:rsid w:val="7B2C9CFA"/>
    <w:rsid w:val="7B8522CC"/>
    <w:rsid w:val="7B9FBDFD"/>
    <w:rsid w:val="7C354BBC"/>
    <w:rsid w:val="7C4E5730"/>
    <w:rsid w:val="7C74F6CB"/>
    <w:rsid w:val="7D01E4B7"/>
    <w:rsid w:val="7D4F75AD"/>
    <w:rsid w:val="7DD3A7CF"/>
    <w:rsid w:val="7E02E212"/>
    <w:rsid w:val="7FDCAF72"/>
    <w:rsid w:val="7FE06D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9F787"/>
  <w15:chartTrackingRefBased/>
  <w15:docId w15:val="{A49068F1-CB5F-496F-9FB7-F30DE6C0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DCF"/>
  </w:style>
  <w:style w:type="paragraph" w:styleId="Heading1">
    <w:name w:val="heading 1"/>
    <w:basedOn w:val="Normal"/>
    <w:next w:val="Normal"/>
    <w:link w:val="Heading1Char"/>
    <w:uiPriority w:val="9"/>
    <w:qFormat/>
    <w:rsid w:val="00BC52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2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29C4"/>
    <w:pPr>
      <w:spacing w:after="0" w:line="240" w:lineRule="auto"/>
    </w:pPr>
    <w:rPr>
      <w:rFonts w:ascii="Calibri" w:hAnsi="Calibri" w:cs="Calibri"/>
      <w:kern w:val="0"/>
      <w14:ligatures w14:val="none"/>
    </w:rPr>
  </w:style>
  <w:style w:type="character" w:styleId="CommentReference">
    <w:name w:val="annotation reference"/>
    <w:basedOn w:val="DefaultParagraphFont"/>
    <w:uiPriority w:val="99"/>
    <w:semiHidden/>
    <w:unhideWhenUsed/>
    <w:rsid w:val="001329C4"/>
    <w:rPr>
      <w:sz w:val="16"/>
      <w:szCs w:val="16"/>
    </w:rPr>
  </w:style>
  <w:style w:type="paragraph" w:styleId="CommentText">
    <w:name w:val="annotation text"/>
    <w:basedOn w:val="Normal"/>
    <w:link w:val="CommentTextChar"/>
    <w:uiPriority w:val="99"/>
    <w:unhideWhenUsed/>
    <w:rsid w:val="001329C4"/>
    <w:pPr>
      <w:spacing w:line="240" w:lineRule="auto"/>
    </w:pPr>
    <w:rPr>
      <w:sz w:val="20"/>
      <w:szCs w:val="20"/>
    </w:rPr>
  </w:style>
  <w:style w:type="character" w:customStyle="1" w:styleId="CommentTextChar">
    <w:name w:val="Comment Text Char"/>
    <w:basedOn w:val="DefaultParagraphFont"/>
    <w:link w:val="CommentText"/>
    <w:uiPriority w:val="99"/>
    <w:rsid w:val="001329C4"/>
    <w:rPr>
      <w:sz w:val="20"/>
      <w:szCs w:val="20"/>
    </w:rPr>
  </w:style>
  <w:style w:type="paragraph" w:styleId="CommentSubject">
    <w:name w:val="annotation subject"/>
    <w:basedOn w:val="CommentText"/>
    <w:next w:val="CommentText"/>
    <w:link w:val="CommentSubjectChar"/>
    <w:uiPriority w:val="99"/>
    <w:semiHidden/>
    <w:unhideWhenUsed/>
    <w:rsid w:val="001329C4"/>
    <w:rPr>
      <w:b/>
      <w:bCs/>
    </w:rPr>
  </w:style>
  <w:style w:type="character" w:customStyle="1" w:styleId="CommentSubjectChar">
    <w:name w:val="Comment Subject Char"/>
    <w:basedOn w:val="CommentTextChar"/>
    <w:link w:val="CommentSubject"/>
    <w:uiPriority w:val="99"/>
    <w:semiHidden/>
    <w:rsid w:val="001329C4"/>
    <w:rPr>
      <w:b/>
      <w:bCs/>
      <w:sz w:val="20"/>
      <w:szCs w:val="20"/>
    </w:rPr>
  </w:style>
  <w:style w:type="character" w:styleId="Hyperlink">
    <w:name w:val="Hyperlink"/>
    <w:basedOn w:val="DefaultParagraphFont"/>
    <w:uiPriority w:val="99"/>
    <w:rsid w:val="001329C4"/>
    <w:rPr>
      <w:rFonts w:cs="Times New Roman"/>
      <w:color w:val="0000FF"/>
      <w:u w:val="single"/>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1329C4"/>
    <w:pPr>
      <w:spacing w:after="120" w:line="240" w:lineRule="auto"/>
    </w:pPr>
    <w:rPr>
      <w:rFonts w:ascii="Arial" w:eastAsia="Times New Roman" w:hAnsi="Arial" w:cs="Arial"/>
      <w:kern w:val="0"/>
      <w:sz w:val="20"/>
      <w:szCs w:val="20"/>
      <w14:ligatures w14:val="none"/>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1329C4"/>
    <w:rPr>
      <w:rFonts w:ascii="Arial" w:eastAsia="Times New Roman" w:hAnsi="Arial" w:cs="Arial"/>
      <w:kern w:val="0"/>
      <w:sz w:val="20"/>
      <w:szCs w:val="20"/>
      <w14:ligatures w14:val="none"/>
    </w:rPr>
  </w:style>
  <w:style w:type="character" w:styleId="FootnoteReference">
    <w:name w:val="footnote reference"/>
    <w:aliases w:val="0 PIER Footnote Reference,o,fr,Style 3,o1,o2,o3,o4,o5,o6,o11,o21,o7,o + Times New Roman"/>
    <w:basedOn w:val="DefaultParagraphFont"/>
    <w:uiPriority w:val="99"/>
    <w:qFormat/>
    <w:rsid w:val="001329C4"/>
    <w:rPr>
      <w:rFonts w:cs="Times New Roman"/>
      <w:vertAlign w:val="superscript"/>
    </w:rPr>
  </w:style>
  <w:style w:type="character" w:styleId="FollowedHyperlink">
    <w:name w:val="FollowedHyperlink"/>
    <w:basedOn w:val="DefaultParagraphFont"/>
    <w:uiPriority w:val="99"/>
    <w:semiHidden/>
    <w:unhideWhenUsed/>
    <w:rsid w:val="001329C4"/>
    <w:rPr>
      <w:color w:val="954F72" w:themeColor="followedHyperlink"/>
      <w:u w:val="single"/>
    </w:rPr>
  </w:style>
  <w:style w:type="paragraph" w:styleId="Header">
    <w:name w:val="header"/>
    <w:basedOn w:val="Normal"/>
    <w:link w:val="HeaderChar"/>
    <w:uiPriority w:val="99"/>
    <w:semiHidden/>
    <w:unhideWhenUsed/>
    <w:rsid w:val="000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6FD0"/>
  </w:style>
  <w:style w:type="paragraph" w:styleId="Footer">
    <w:name w:val="footer"/>
    <w:basedOn w:val="Normal"/>
    <w:link w:val="FooterChar"/>
    <w:uiPriority w:val="99"/>
    <w:semiHidden/>
    <w:unhideWhenUsed/>
    <w:rsid w:val="000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6FD0"/>
  </w:style>
  <w:style w:type="paragraph" w:styleId="Revision">
    <w:name w:val="Revision"/>
    <w:hidden/>
    <w:uiPriority w:val="99"/>
    <w:semiHidden/>
    <w:rsid w:val="00F36D7A"/>
    <w:pPr>
      <w:spacing w:after="0" w:line="240" w:lineRule="auto"/>
    </w:pPr>
  </w:style>
  <w:style w:type="character" w:styleId="UnresolvedMention">
    <w:name w:val="Unresolved Mention"/>
    <w:basedOn w:val="DefaultParagraphFont"/>
    <w:uiPriority w:val="99"/>
    <w:semiHidden/>
    <w:unhideWhenUsed/>
    <w:rsid w:val="009D4B88"/>
    <w:rPr>
      <w:color w:val="605E5C"/>
      <w:shd w:val="clear" w:color="auto" w:fill="E1DFDD"/>
    </w:rPr>
  </w:style>
  <w:style w:type="character" w:customStyle="1" w:styleId="Heading1Char">
    <w:name w:val="Heading 1 Char"/>
    <w:basedOn w:val="DefaultParagraphFont"/>
    <w:link w:val="Heading1"/>
    <w:uiPriority w:val="9"/>
    <w:rsid w:val="00BC52B6"/>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313D7D"/>
  </w:style>
  <w:style w:type="character" w:customStyle="1" w:styleId="superscript">
    <w:name w:val="superscript"/>
    <w:basedOn w:val="DefaultParagraphFont"/>
    <w:rsid w:val="00313D7D"/>
  </w:style>
  <w:style w:type="character" w:styleId="Mention">
    <w:name w:val="Mention"/>
    <w:basedOn w:val="DefaultParagraphFont"/>
    <w:uiPriority w:val="99"/>
    <w:unhideWhenUsed/>
    <w:rsid w:val="001C5365"/>
    <w:rPr>
      <w:color w:val="2B579A"/>
      <w:shd w:val="clear" w:color="auto" w:fill="E1DFDD"/>
    </w:rPr>
  </w:style>
  <w:style w:type="character" w:customStyle="1" w:styleId="findhit">
    <w:name w:val="findhit"/>
    <w:basedOn w:val="DefaultParagraphFont"/>
    <w:rsid w:val="000C7A63"/>
  </w:style>
  <w:style w:type="paragraph" w:customStyle="1" w:styleId="paragraph">
    <w:name w:val="paragraph"/>
    <w:basedOn w:val="Normal"/>
    <w:rsid w:val="003665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366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146930">
      <w:bodyDiv w:val="1"/>
      <w:marLeft w:val="0"/>
      <w:marRight w:val="0"/>
      <w:marTop w:val="0"/>
      <w:marBottom w:val="0"/>
      <w:divBdr>
        <w:top w:val="none" w:sz="0" w:space="0" w:color="auto"/>
        <w:left w:val="none" w:sz="0" w:space="0" w:color="auto"/>
        <w:bottom w:val="none" w:sz="0" w:space="0" w:color="auto"/>
        <w:right w:val="none" w:sz="0" w:space="0" w:color="auto"/>
      </w:divBdr>
    </w:div>
    <w:div w:id="682822492">
      <w:bodyDiv w:val="1"/>
      <w:marLeft w:val="0"/>
      <w:marRight w:val="0"/>
      <w:marTop w:val="0"/>
      <w:marBottom w:val="0"/>
      <w:divBdr>
        <w:top w:val="none" w:sz="0" w:space="0" w:color="auto"/>
        <w:left w:val="none" w:sz="0" w:space="0" w:color="auto"/>
        <w:bottom w:val="none" w:sz="0" w:space="0" w:color="auto"/>
        <w:right w:val="none" w:sz="0" w:space="0" w:color="auto"/>
      </w:divBdr>
      <w:divsChild>
        <w:div w:id="1039472673">
          <w:marLeft w:val="0"/>
          <w:marRight w:val="0"/>
          <w:marTop w:val="0"/>
          <w:marBottom w:val="0"/>
          <w:divBdr>
            <w:top w:val="none" w:sz="0" w:space="0" w:color="auto"/>
            <w:left w:val="none" w:sz="0" w:space="0" w:color="auto"/>
            <w:bottom w:val="none" w:sz="0" w:space="0" w:color="auto"/>
            <w:right w:val="none" w:sz="0" w:space="0" w:color="auto"/>
          </w:divBdr>
        </w:div>
        <w:div w:id="1447968303">
          <w:marLeft w:val="0"/>
          <w:marRight w:val="0"/>
          <w:marTop w:val="0"/>
          <w:marBottom w:val="0"/>
          <w:divBdr>
            <w:top w:val="none" w:sz="0" w:space="0" w:color="auto"/>
            <w:left w:val="none" w:sz="0" w:space="0" w:color="auto"/>
            <w:bottom w:val="none" w:sz="0" w:space="0" w:color="auto"/>
            <w:right w:val="none" w:sz="0" w:space="0" w:color="auto"/>
          </w:divBdr>
          <w:divsChild>
            <w:div w:id="1458336435">
              <w:marLeft w:val="0"/>
              <w:marRight w:val="0"/>
              <w:marTop w:val="0"/>
              <w:marBottom w:val="0"/>
              <w:divBdr>
                <w:top w:val="none" w:sz="0" w:space="0" w:color="auto"/>
                <w:left w:val="none" w:sz="0" w:space="0" w:color="auto"/>
                <w:bottom w:val="none" w:sz="0" w:space="0" w:color="auto"/>
                <w:right w:val="none" w:sz="0" w:space="0" w:color="auto"/>
              </w:divBdr>
            </w:div>
            <w:div w:id="20627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9568">
      <w:bodyDiv w:val="1"/>
      <w:marLeft w:val="0"/>
      <w:marRight w:val="0"/>
      <w:marTop w:val="0"/>
      <w:marBottom w:val="0"/>
      <w:divBdr>
        <w:top w:val="none" w:sz="0" w:space="0" w:color="auto"/>
        <w:left w:val="none" w:sz="0" w:space="0" w:color="auto"/>
        <w:bottom w:val="none" w:sz="0" w:space="0" w:color="auto"/>
        <w:right w:val="none" w:sz="0" w:space="0" w:color="auto"/>
      </w:divBdr>
    </w:div>
    <w:div w:id="170933341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ca.gov/solicitations/2024-01/gfo-23-306-grid-supportive-transportation-electrification" TargetMode="External"/><Relationship Id="rId13" Type="http://schemas.openxmlformats.org/officeDocument/2006/relationships/hyperlink" Target="https://www.energy.ca.gov/funding-opportunities/funding-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ergy.ca.gov/funding-opportunities/grants-ombudsma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Johnson@energy.c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gao.gov/assets/gao-20-48g.pdf" TargetMode="External"/><Relationship Id="rId14" Type="http://schemas.openxmlformats.org/officeDocument/2006/relationships/hyperlink" Target="https://www.energy.ca.gov/solicitations/2024-01/gfo-23-306-grid-supportive-transportation-electr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13F22-B980-409E-9799-F68CC8AE8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22</Pages>
  <Words>8502</Words>
  <Characters>48223</Characters>
  <Application>Microsoft Office Word</Application>
  <DocSecurity>0</DocSecurity>
  <Lines>1176</Lines>
  <Paragraphs>405</Paragraphs>
  <ScaleCrop>false</ScaleCrop>
  <Company/>
  <LinksUpToDate>false</LinksUpToDate>
  <CharactersWithSpaces>56320</CharactersWithSpaces>
  <SharedDoc>false</SharedDoc>
  <HLinks>
    <vt:vector size="78" baseType="variant">
      <vt:variant>
        <vt:i4>1048670</vt:i4>
      </vt:variant>
      <vt:variant>
        <vt:i4>15</vt:i4>
      </vt:variant>
      <vt:variant>
        <vt:i4>0</vt:i4>
      </vt:variant>
      <vt:variant>
        <vt:i4>5</vt:i4>
      </vt:variant>
      <vt:variant>
        <vt:lpwstr>https://www.energy.ca.gov/solicitations/2024-01/gfo-23-306-grid-supportive-transportation-electrification</vt:lpwstr>
      </vt:variant>
      <vt:variant>
        <vt:lpwstr/>
      </vt:variant>
      <vt:variant>
        <vt:i4>393221</vt:i4>
      </vt:variant>
      <vt:variant>
        <vt:i4>12</vt:i4>
      </vt:variant>
      <vt:variant>
        <vt:i4>0</vt:i4>
      </vt:variant>
      <vt:variant>
        <vt:i4>5</vt:i4>
      </vt:variant>
      <vt:variant>
        <vt:lpwstr>https://www.energy.ca.gov/funding-opportunities/funding-resources</vt:lpwstr>
      </vt:variant>
      <vt:variant>
        <vt:lpwstr/>
      </vt:variant>
      <vt:variant>
        <vt:i4>4980801</vt:i4>
      </vt:variant>
      <vt:variant>
        <vt:i4>9</vt:i4>
      </vt:variant>
      <vt:variant>
        <vt:i4>0</vt:i4>
      </vt:variant>
      <vt:variant>
        <vt:i4>5</vt:i4>
      </vt:variant>
      <vt:variant>
        <vt:lpwstr>https://www.energy.ca.gov/funding-opportunities/grants-ombudsman</vt:lpwstr>
      </vt:variant>
      <vt:variant>
        <vt:lpwstr/>
      </vt:variant>
      <vt:variant>
        <vt:i4>5701732</vt:i4>
      </vt:variant>
      <vt:variant>
        <vt:i4>6</vt:i4>
      </vt:variant>
      <vt:variant>
        <vt:i4>0</vt:i4>
      </vt:variant>
      <vt:variant>
        <vt:i4>5</vt:i4>
      </vt:variant>
      <vt:variant>
        <vt:lpwstr>mailto:Natalie.Johnson@energy.ca.gov</vt:lpwstr>
      </vt:variant>
      <vt:variant>
        <vt:lpwstr/>
      </vt:variant>
      <vt:variant>
        <vt:i4>4653135</vt:i4>
      </vt:variant>
      <vt:variant>
        <vt:i4>3</vt:i4>
      </vt:variant>
      <vt:variant>
        <vt:i4>0</vt:i4>
      </vt:variant>
      <vt:variant>
        <vt:i4>5</vt:i4>
      </vt:variant>
      <vt:variant>
        <vt:lpwstr>https://www.gao.gov/assets/gao-20-48g.pdf</vt:lpwstr>
      </vt:variant>
      <vt:variant>
        <vt:lpwstr/>
      </vt:variant>
      <vt:variant>
        <vt:i4>1048670</vt:i4>
      </vt:variant>
      <vt:variant>
        <vt:i4>0</vt:i4>
      </vt:variant>
      <vt:variant>
        <vt:i4>0</vt:i4>
      </vt:variant>
      <vt:variant>
        <vt:i4>5</vt:i4>
      </vt:variant>
      <vt:variant>
        <vt:lpwstr>https://www.energy.ca.gov/solicitations/2024-01/gfo-23-306-grid-supportive-transportation-electrification</vt:lpwstr>
      </vt:variant>
      <vt:variant>
        <vt:lpwstr/>
      </vt:variant>
      <vt:variant>
        <vt:i4>1769505</vt:i4>
      </vt:variant>
      <vt:variant>
        <vt:i4>18</vt:i4>
      </vt:variant>
      <vt:variant>
        <vt:i4>0</vt:i4>
      </vt:variant>
      <vt:variant>
        <vt:i4>5</vt:i4>
      </vt:variant>
      <vt:variant>
        <vt:lpwstr>mailto:Katelynn.Dinius@Energy.ca.gov</vt:lpwstr>
      </vt:variant>
      <vt:variant>
        <vt:lpwstr/>
      </vt:variant>
      <vt:variant>
        <vt:i4>1769505</vt:i4>
      </vt:variant>
      <vt:variant>
        <vt:i4>15</vt:i4>
      </vt:variant>
      <vt:variant>
        <vt:i4>0</vt:i4>
      </vt:variant>
      <vt:variant>
        <vt:i4>5</vt:i4>
      </vt:variant>
      <vt:variant>
        <vt:lpwstr>mailto:Katelynn.Dinius@Energy.ca.gov</vt:lpwstr>
      </vt:variant>
      <vt:variant>
        <vt:lpwstr/>
      </vt:variant>
      <vt:variant>
        <vt:i4>1769505</vt:i4>
      </vt:variant>
      <vt:variant>
        <vt:i4>12</vt:i4>
      </vt:variant>
      <vt:variant>
        <vt:i4>0</vt:i4>
      </vt:variant>
      <vt:variant>
        <vt:i4>5</vt:i4>
      </vt:variant>
      <vt:variant>
        <vt:lpwstr>mailto:Katelynn.Dinius@Energy.ca.gov</vt:lpwstr>
      </vt:variant>
      <vt:variant>
        <vt:lpwstr/>
      </vt:variant>
      <vt:variant>
        <vt:i4>1769505</vt:i4>
      </vt:variant>
      <vt:variant>
        <vt:i4>9</vt:i4>
      </vt:variant>
      <vt:variant>
        <vt:i4>0</vt:i4>
      </vt:variant>
      <vt:variant>
        <vt:i4>5</vt:i4>
      </vt:variant>
      <vt:variant>
        <vt:lpwstr>mailto:Katelynn.Dinius@Energy.ca.gov</vt:lpwstr>
      </vt:variant>
      <vt:variant>
        <vt:lpwstr/>
      </vt:variant>
      <vt:variant>
        <vt:i4>1769505</vt:i4>
      </vt:variant>
      <vt:variant>
        <vt:i4>6</vt:i4>
      </vt:variant>
      <vt:variant>
        <vt:i4>0</vt:i4>
      </vt:variant>
      <vt:variant>
        <vt:i4>5</vt:i4>
      </vt:variant>
      <vt:variant>
        <vt:lpwstr>mailto:Katelynn.Dinius@Energy.ca.gov</vt:lpwstr>
      </vt:variant>
      <vt:variant>
        <vt:lpwstr/>
      </vt:variant>
      <vt:variant>
        <vt:i4>1376301</vt:i4>
      </vt:variant>
      <vt:variant>
        <vt:i4>3</vt:i4>
      </vt:variant>
      <vt:variant>
        <vt:i4>0</vt:i4>
      </vt:variant>
      <vt:variant>
        <vt:i4>5</vt:i4>
      </vt:variant>
      <vt:variant>
        <vt:lpwstr>mailto:Peter.Chen@energy.ca.gov</vt:lpwstr>
      </vt:variant>
      <vt:variant>
        <vt:lpwstr/>
      </vt:variant>
      <vt:variant>
        <vt:i4>1769505</vt:i4>
      </vt:variant>
      <vt:variant>
        <vt:i4>0</vt:i4>
      </vt:variant>
      <vt:variant>
        <vt:i4>0</vt:i4>
      </vt:variant>
      <vt:variant>
        <vt:i4>5</vt:i4>
      </vt:variant>
      <vt:variant>
        <vt:lpwstr>mailto:Katelynn.Dinius@Energy.ca.gov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Dinius, Katelynn@Energy</dc:creator>
  <cp:keywords/>
  <dc:description/>
  <cp:lastModifiedBy>Johnson, Natalie@Energy</cp:lastModifiedBy>
  <cp:revision>1578</cp:revision>
  <dcterms:created xsi:type="dcterms:W3CDTF">2024-01-30T16:46:00Z</dcterms:created>
  <dcterms:modified xsi:type="dcterms:W3CDTF">2024-03-07T03:01:00Z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d39a3cd910dd75107c5252747936a18a936b1b55f10109b785b33e5c82ebaba5</vt:lpwstr>
  </property>
</Properties>
</file>