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975DE" w14:textId="173956FE" w:rsidR="00FA7319" w:rsidRPr="00F86D91" w:rsidRDefault="0A1F3C2A" w:rsidP="4447FCAA">
      <w:pPr>
        <w:spacing w:after="0" w:line="240" w:lineRule="auto"/>
        <w:ind w:left="720" w:hanging="720"/>
        <w:jc w:val="center"/>
        <w:rPr>
          <w:rFonts w:ascii="Tahoma" w:eastAsia="Arial" w:hAnsi="Tahoma" w:cs="Tahoma"/>
          <w:color w:val="000000" w:themeColor="text1"/>
          <w:sz w:val="24"/>
          <w:szCs w:val="24"/>
        </w:rPr>
      </w:pPr>
      <w:r w:rsidRPr="00F86D91">
        <w:rPr>
          <w:rFonts w:ascii="Tahoma" w:eastAsia="Arial" w:hAnsi="Tahoma" w:cs="Tahoma"/>
          <w:b/>
          <w:bCs/>
          <w:color w:val="000000" w:themeColor="text1"/>
          <w:sz w:val="24"/>
          <w:szCs w:val="24"/>
        </w:rPr>
        <w:t>Questions and Answers</w:t>
      </w:r>
    </w:p>
    <w:p w14:paraId="6033EBBE" w14:textId="37119F71" w:rsidR="00FA7319" w:rsidRPr="00F86D91" w:rsidRDefault="0A1F3C2A" w:rsidP="4447FCAA">
      <w:pPr>
        <w:spacing w:after="0" w:line="240" w:lineRule="auto"/>
        <w:ind w:left="720" w:hanging="720"/>
        <w:jc w:val="center"/>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Charging Infrastructure for Government Fleets</w:t>
      </w:r>
    </w:p>
    <w:p w14:paraId="2F755645" w14:textId="53AFF95F" w:rsidR="00FA7319" w:rsidRPr="00F86D91" w:rsidRDefault="0A1F3C2A" w:rsidP="4447FCAA">
      <w:pPr>
        <w:spacing w:after="0" w:line="240" w:lineRule="auto"/>
        <w:ind w:left="720" w:hanging="720"/>
        <w:jc w:val="center"/>
        <w:rPr>
          <w:rFonts w:ascii="Tahoma" w:eastAsia="Arial" w:hAnsi="Tahoma" w:cs="Tahoma"/>
          <w:color w:val="000000" w:themeColor="text1"/>
          <w:sz w:val="24"/>
          <w:szCs w:val="24"/>
        </w:rPr>
      </w:pPr>
      <w:r w:rsidRPr="00F86D91">
        <w:rPr>
          <w:rFonts w:ascii="Tahoma" w:eastAsia="Arial" w:hAnsi="Tahoma" w:cs="Tahoma"/>
          <w:b/>
          <w:bCs/>
          <w:color w:val="000000" w:themeColor="text1"/>
          <w:sz w:val="24"/>
          <w:szCs w:val="24"/>
        </w:rPr>
        <w:t>GFO-23-606</w:t>
      </w:r>
    </w:p>
    <w:p w14:paraId="53F6B1B2" w14:textId="1342D3BB" w:rsidR="00FA7319" w:rsidRPr="00566B00" w:rsidRDefault="38E32779" w:rsidP="4447FCAA">
      <w:pPr>
        <w:spacing w:after="0" w:line="240" w:lineRule="auto"/>
        <w:ind w:left="720" w:hanging="720"/>
        <w:jc w:val="center"/>
        <w:rPr>
          <w:rFonts w:ascii="Tahoma" w:eastAsia="Arial" w:hAnsi="Tahoma" w:cs="Tahoma"/>
          <w:color w:val="000000" w:themeColor="text1"/>
          <w:sz w:val="24"/>
          <w:szCs w:val="24"/>
        </w:rPr>
      </w:pPr>
      <w:r w:rsidRPr="00566B00">
        <w:rPr>
          <w:rFonts w:ascii="Tahoma" w:eastAsia="Arial" w:hAnsi="Tahoma" w:cs="Tahoma"/>
          <w:b/>
          <w:bCs/>
          <w:color w:val="000000" w:themeColor="text1"/>
          <w:sz w:val="24"/>
          <w:szCs w:val="24"/>
        </w:rPr>
        <w:t xml:space="preserve">March </w:t>
      </w:r>
      <w:r w:rsidR="00566B00" w:rsidRPr="00566B00">
        <w:rPr>
          <w:rFonts w:ascii="Tahoma" w:eastAsia="Arial" w:hAnsi="Tahoma" w:cs="Tahoma"/>
          <w:b/>
          <w:bCs/>
          <w:color w:val="000000" w:themeColor="text1"/>
          <w:sz w:val="24"/>
          <w:szCs w:val="24"/>
        </w:rPr>
        <w:t>26</w:t>
      </w:r>
      <w:r w:rsidR="0A1F3C2A" w:rsidRPr="00566B00">
        <w:rPr>
          <w:rFonts w:ascii="Tahoma" w:eastAsia="Arial" w:hAnsi="Tahoma" w:cs="Tahoma"/>
          <w:b/>
          <w:bCs/>
          <w:color w:val="000000" w:themeColor="text1"/>
          <w:sz w:val="24"/>
          <w:szCs w:val="24"/>
        </w:rPr>
        <w:t>, 2024</w:t>
      </w:r>
    </w:p>
    <w:p w14:paraId="438D1C3E" w14:textId="5BC352EE" w:rsidR="00FA7319" w:rsidRPr="00F86D91" w:rsidRDefault="00FA7319" w:rsidP="4447FCAA">
      <w:pPr>
        <w:spacing w:after="0" w:line="240" w:lineRule="auto"/>
        <w:ind w:left="720" w:hanging="720"/>
        <w:rPr>
          <w:rFonts w:ascii="Tahoma" w:eastAsia="Arial" w:hAnsi="Tahoma" w:cs="Tahoma"/>
          <w:color w:val="000000" w:themeColor="text1"/>
          <w:sz w:val="24"/>
          <w:szCs w:val="24"/>
        </w:rPr>
      </w:pPr>
    </w:p>
    <w:p w14:paraId="3641D3BE" w14:textId="55755BA8" w:rsidR="00FA7319" w:rsidRPr="00F86D91" w:rsidRDefault="00FA7319" w:rsidP="4447FCAA">
      <w:pPr>
        <w:spacing w:after="0" w:line="240" w:lineRule="auto"/>
        <w:ind w:left="720" w:hanging="720"/>
        <w:rPr>
          <w:rFonts w:ascii="Tahoma" w:eastAsia="Arial" w:hAnsi="Tahoma" w:cs="Tahoma"/>
          <w:color w:val="000000" w:themeColor="text1"/>
          <w:sz w:val="24"/>
          <w:szCs w:val="24"/>
        </w:rPr>
      </w:pPr>
    </w:p>
    <w:p w14:paraId="766072B5" w14:textId="14A88235" w:rsidR="00FA7319" w:rsidRPr="00F86D91" w:rsidRDefault="0A1F3C2A" w:rsidP="4447FCAA">
      <w:pPr>
        <w:spacing w:after="0" w:line="240" w:lineRule="auto"/>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The following answers are based on California Energy Commission (CEC) staff’s interpretation of the questions received. It is the Applicant’s responsibility to review the purpose of the solicitation and to determine whether or not their proposed project is eligible for funding by reviewing the Eligibility Requirements within the solicitation. The CEC cannot give advice as to whether or not a particular project is eligible for funding, because not all proposal details are known.</w:t>
      </w:r>
    </w:p>
    <w:p w14:paraId="58DAC45F" w14:textId="14F4D5AB" w:rsidR="00FA7319" w:rsidRPr="00F86D91" w:rsidRDefault="00FA7319" w:rsidP="4447FCAA">
      <w:pPr>
        <w:spacing w:after="0" w:line="240" w:lineRule="auto"/>
        <w:rPr>
          <w:rFonts w:ascii="Tahoma" w:eastAsia="Arial" w:hAnsi="Tahoma" w:cs="Tahoma"/>
          <w:color w:val="000000" w:themeColor="text1"/>
          <w:sz w:val="24"/>
          <w:szCs w:val="24"/>
        </w:rPr>
      </w:pPr>
    </w:p>
    <w:p w14:paraId="0D8C64E5" w14:textId="61EE314E" w:rsidR="00FA7319" w:rsidRPr="00F86D91" w:rsidRDefault="0A1F3C2A" w:rsidP="4447FCAA">
      <w:pPr>
        <w:spacing w:after="0" w:line="240" w:lineRule="auto"/>
        <w:ind w:left="720" w:hanging="720"/>
        <w:rPr>
          <w:rFonts w:ascii="Tahoma" w:eastAsia="Arial" w:hAnsi="Tahoma" w:cs="Tahoma"/>
          <w:b/>
          <w:bCs/>
          <w:color w:val="000000" w:themeColor="text1"/>
          <w:sz w:val="24"/>
          <w:szCs w:val="24"/>
          <w:u w:val="single"/>
        </w:rPr>
      </w:pPr>
      <w:r w:rsidRPr="00F86D91">
        <w:rPr>
          <w:rFonts w:ascii="Tahoma" w:eastAsia="Arial" w:hAnsi="Tahoma" w:cs="Tahoma"/>
          <w:b/>
          <w:bCs/>
          <w:color w:val="000000" w:themeColor="text1"/>
          <w:sz w:val="24"/>
          <w:szCs w:val="24"/>
          <w:u w:val="single"/>
        </w:rPr>
        <w:t>Applicant Eligibility</w:t>
      </w:r>
    </w:p>
    <w:p w14:paraId="04170ECC" w14:textId="39A8113B" w:rsidR="00FA7319" w:rsidRPr="00F86D91" w:rsidRDefault="00FA7319" w:rsidP="4447FCAA">
      <w:pPr>
        <w:spacing w:after="0" w:line="240" w:lineRule="auto"/>
        <w:ind w:left="720" w:hanging="720"/>
        <w:rPr>
          <w:rFonts w:ascii="Tahoma" w:eastAsia="Arial" w:hAnsi="Tahoma" w:cs="Tahoma"/>
          <w:b/>
          <w:bCs/>
          <w:color w:val="000000" w:themeColor="text1"/>
          <w:sz w:val="24"/>
          <w:szCs w:val="24"/>
          <w:u w:val="single"/>
        </w:rPr>
      </w:pPr>
    </w:p>
    <w:p w14:paraId="6373E5C7" w14:textId="308E8D91" w:rsidR="00FA7319" w:rsidRPr="00F86D91" w:rsidRDefault="430F924F" w:rsidP="44A3F00F">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D16871" w:rsidRPr="00F86D91">
        <w:rPr>
          <w:rFonts w:ascii="Tahoma" w:eastAsia="Arial" w:hAnsi="Tahoma" w:cs="Tahoma"/>
          <w:b/>
          <w:bCs/>
          <w:color w:val="000000" w:themeColor="text1"/>
          <w:sz w:val="24"/>
          <w:szCs w:val="24"/>
        </w:rPr>
        <w:t>1</w:t>
      </w:r>
      <w:r w:rsidRPr="00F86D91">
        <w:rPr>
          <w:rFonts w:ascii="Tahoma" w:eastAsia="Arial" w:hAnsi="Tahoma" w:cs="Tahoma"/>
          <w:b/>
          <w:bCs/>
          <w:color w:val="000000" w:themeColor="text1"/>
          <w:sz w:val="24"/>
          <w:szCs w:val="24"/>
        </w:rPr>
        <w:t>.</w:t>
      </w:r>
      <w:r w:rsidRPr="00F86D91">
        <w:rPr>
          <w:rFonts w:ascii="Tahoma" w:hAnsi="Tahoma" w:cs="Tahoma"/>
        </w:rPr>
        <w:tab/>
      </w:r>
      <w:r w:rsidR="331636E2" w:rsidRPr="00F86D91">
        <w:rPr>
          <w:rFonts w:ascii="Tahoma" w:eastAsia="Arial" w:hAnsi="Tahoma" w:cs="Tahoma"/>
          <w:b/>
          <w:bCs/>
          <w:color w:val="000000" w:themeColor="text1"/>
          <w:sz w:val="24"/>
          <w:szCs w:val="24"/>
        </w:rPr>
        <w:t xml:space="preserve">Do special </w:t>
      </w:r>
      <w:r w:rsidR="531A5923" w:rsidRPr="00F86D91">
        <w:rPr>
          <w:rFonts w:ascii="Tahoma" w:eastAsia="Arial" w:hAnsi="Tahoma" w:cs="Tahoma"/>
          <w:b/>
          <w:bCs/>
          <w:color w:val="000000" w:themeColor="text1"/>
          <w:sz w:val="24"/>
          <w:szCs w:val="24"/>
        </w:rPr>
        <w:t>district</w:t>
      </w:r>
      <w:r w:rsidR="6CA94045" w:rsidRPr="00F86D91">
        <w:rPr>
          <w:rFonts w:ascii="Tahoma" w:eastAsia="Arial" w:hAnsi="Tahoma" w:cs="Tahoma"/>
          <w:b/>
          <w:bCs/>
          <w:color w:val="000000" w:themeColor="text1"/>
          <w:sz w:val="24"/>
          <w:szCs w:val="24"/>
        </w:rPr>
        <w:t xml:space="preserve"> fleets</w:t>
      </w:r>
      <w:r w:rsidR="331636E2" w:rsidRPr="00F86D91">
        <w:rPr>
          <w:rFonts w:ascii="Tahoma" w:eastAsia="Arial" w:hAnsi="Tahoma" w:cs="Tahoma"/>
          <w:b/>
          <w:bCs/>
          <w:color w:val="000000" w:themeColor="text1"/>
          <w:sz w:val="24"/>
          <w:szCs w:val="24"/>
        </w:rPr>
        <w:t xml:space="preserve"> count as eligible government fleets?</w:t>
      </w:r>
      <w:r w:rsidR="48C61C67" w:rsidRPr="00F86D91">
        <w:rPr>
          <w:rFonts w:ascii="Tahoma" w:eastAsia="Arial" w:hAnsi="Tahoma" w:cs="Tahoma"/>
          <w:b/>
          <w:bCs/>
          <w:color w:val="000000" w:themeColor="text1"/>
          <w:sz w:val="24"/>
          <w:szCs w:val="24"/>
        </w:rPr>
        <w:t xml:space="preserve"> </w:t>
      </w:r>
      <w:r w:rsidR="7E461B8E" w:rsidRPr="00F86D91">
        <w:rPr>
          <w:rFonts w:ascii="Tahoma" w:eastAsia="Arial" w:hAnsi="Tahoma" w:cs="Tahoma"/>
          <w:b/>
          <w:bCs/>
          <w:color w:val="000000" w:themeColor="text1"/>
          <w:sz w:val="24"/>
          <w:szCs w:val="24"/>
        </w:rPr>
        <w:t>For example,</w:t>
      </w:r>
      <w:r w:rsidR="348E7458" w:rsidRPr="00F86D91">
        <w:rPr>
          <w:rFonts w:ascii="Tahoma" w:eastAsia="Arial" w:hAnsi="Tahoma" w:cs="Tahoma"/>
          <w:b/>
          <w:bCs/>
          <w:color w:val="000000" w:themeColor="text1"/>
          <w:sz w:val="24"/>
          <w:szCs w:val="24"/>
        </w:rPr>
        <w:t xml:space="preserve"> </w:t>
      </w:r>
      <w:r w:rsidR="3D7669FE" w:rsidRPr="00F86D91">
        <w:rPr>
          <w:rFonts w:ascii="Tahoma" w:eastAsia="Arial" w:hAnsi="Tahoma" w:cs="Tahoma"/>
          <w:b/>
          <w:bCs/>
          <w:color w:val="000000" w:themeColor="text1"/>
          <w:sz w:val="24"/>
          <w:szCs w:val="24"/>
        </w:rPr>
        <w:t xml:space="preserve">fleets </w:t>
      </w:r>
      <w:r w:rsidR="66FEA67D" w:rsidRPr="00F86D91">
        <w:rPr>
          <w:rFonts w:ascii="Tahoma" w:eastAsia="Arial" w:hAnsi="Tahoma" w:cs="Tahoma"/>
          <w:b/>
          <w:bCs/>
          <w:color w:val="000000" w:themeColor="text1"/>
          <w:sz w:val="24"/>
          <w:szCs w:val="24"/>
        </w:rPr>
        <w:t xml:space="preserve">owned or operated </w:t>
      </w:r>
      <w:r w:rsidR="56F7C1D2" w:rsidRPr="00F86D91">
        <w:rPr>
          <w:rFonts w:ascii="Tahoma" w:eastAsia="Arial" w:hAnsi="Tahoma" w:cs="Tahoma"/>
          <w:b/>
          <w:bCs/>
          <w:color w:val="000000" w:themeColor="text1"/>
          <w:sz w:val="24"/>
          <w:szCs w:val="24"/>
        </w:rPr>
        <w:t xml:space="preserve">by </w:t>
      </w:r>
      <w:r w:rsidR="348E7458" w:rsidRPr="00F86D91">
        <w:rPr>
          <w:rFonts w:ascii="Tahoma" w:eastAsia="Arial" w:hAnsi="Tahoma" w:cs="Tahoma"/>
          <w:b/>
          <w:bCs/>
          <w:color w:val="000000" w:themeColor="text1"/>
          <w:sz w:val="24"/>
          <w:szCs w:val="24"/>
        </w:rPr>
        <w:t>water</w:t>
      </w:r>
      <w:r w:rsidR="0A88F724" w:rsidRPr="00F86D91">
        <w:rPr>
          <w:rFonts w:ascii="Tahoma" w:eastAsia="Arial" w:hAnsi="Tahoma" w:cs="Tahoma"/>
          <w:b/>
          <w:bCs/>
          <w:color w:val="000000" w:themeColor="text1"/>
          <w:sz w:val="24"/>
          <w:szCs w:val="24"/>
        </w:rPr>
        <w:t xml:space="preserve"> utility districts, sewer utility districts, </w:t>
      </w:r>
      <w:r w:rsidR="20317BF8" w:rsidRPr="00F86D91">
        <w:rPr>
          <w:rFonts w:ascii="Tahoma" w:eastAsia="Arial" w:hAnsi="Tahoma" w:cs="Tahoma"/>
          <w:b/>
          <w:bCs/>
          <w:color w:val="000000" w:themeColor="text1"/>
          <w:sz w:val="24"/>
          <w:szCs w:val="24"/>
        </w:rPr>
        <w:t xml:space="preserve">sanitation districts, </w:t>
      </w:r>
      <w:r w:rsidR="0A88F724" w:rsidRPr="00F86D91">
        <w:rPr>
          <w:rFonts w:ascii="Tahoma" w:eastAsia="Arial" w:hAnsi="Tahoma" w:cs="Tahoma"/>
          <w:b/>
          <w:bCs/>
          <w:color w:val="000000" w:themeColor="text1"/>
          <w:sz w:val="24"/>
          <w:szCs w:val="24"/>
        </w:rPr>
        <w:t>air districts, etc.</w:t>
      </w:r>
    </w:p>
    <w:p w14:paraId="7ABC58FC" w14:textId="15E9D8E9" w:rsidR="00FA7319" w:rsidRPr="00F86D91" w:rsidRDefault="00FA7319" w:rsidP="4447FCAA">
      <w:pPr>
        <w:spacing w:after="0" w:line="240" w:lineRule="auto"/>
        <w:ind w:left="720" w:hanging="720"/>
        <w:rPr>
          <w:rFonts w:ascii="Tahoma" w:eastAsia="Arial" w:hAnsi="Tahoma" w:cs="Tahoma"/>
          <w:b/>
          <w:bCs/>
          <w:color w:val="000000" w:themeColor="text1"/>
          <w:sz w:val="24"/>
          <w:szCs w:val="24"/>
        </w:rPr>
      </w:pPr>
    </w:p>
    <w:p w14:paraId="06A6DB66" w14:textId="206DA1DC" w:rsidR="00FA7319" w:rsidRPr="00F86D91" w:rsidRDefault="430F924F" w:rsidP="44A3F00F">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D16871" w:rsidRPr="00F86D91">
        <w:rPr>
          <w:rFonts w:ascii="Tahoma" w:eastAsia="Arial" w:hAnsi="Tahoma" w:cs="Tahoma"/>
          <w:color w:val="000000" w:themeColor="text1"/>
          <w:sz w:val="24"/>
          <w:szCs w:val="24"/>
        </w:rPr>
        <w:t>1</w:t>
      </w:r>
      <w:r w:rsidRPr="00F86D91">
        <w:rPr>
          <w:rFonts w:ascii="Tahoma" w:eastAsia="Arial" w:hAnsi="Tahoma" w:cs="Tahoma"/>
          <w:color w:val="000000" w:themeColor="text1"/>
          <w:sz w:val="24"/>
          <w:szCs w:val="24"/>
        </w:rPr>
        <w:t>.</w:t>
      </w:r>
      <w:r w:rsidRPr="00F86D91">
        <w:rPr>
          <w:rFonts w:ascii="Tahoma" w:hAnsi="Tahoma" w:cs="Tahoma"/>
        </w:rPr>
        <w:tab/>
      </w:r>
      <w:r w:rsidR="005E043E" w:rsidRPr="00F86D91">
        <w:rPr>
          <w:rFonts w:ascii="Tahoma" w:eastAsia="Arial" w:hAnsi="Tahoma" w:cs="Tahoma"/>
          <w:color w:val="000000" w:themeColor="text1"/>
          <w:sz w:val="24"/>
          <w:szCs w:val="24"/>
        </w:rPr>
        <w:t>No.</w:t>
      </w:r>
      <w:r w:rsidR="005E043E" w:rsidRPr="00F86D91">
        <w:rPr>
          <w:rFonts w:ascii="Tahoma" w:hAnsi="Tahoma" w:cs="Tahoma"/>
        </w:rPr>
        <w:t xml:space="preserve"> </w:t>
      </w:r>
      <w:r w:rsidR="006D55DE" w:rsidRPr="00F86D91">
        <w:rPr>
          <w:rFonts w:ascii="Tahoma" w:eastAsia="Arial" w:hAnsi="Tahoma" w:cs="Tahoma"/>
          <w:color w:val="000000" w:themeColor="text1"/>
          <w:sz w:val="24"/>
          <w:szCs w:val="24"/>
        </w:rPr>
        <w:t>As clarified in the addended solicitation manual, “</w:t>
      </w:r>
      <w:r w:rsidR="00C3062B" w:rsidRPr="00F86D91">
        <w:rPr>
          <w:rFonts w:ascii="Tahoma" w:eastAsia="Arial" w:hAnsi="Tahoma" w:cs="Tahoma"/>
          <w:color w:val="000000" w:themeColor="text1"/>
          <w:sz w:val="24"/>
          <w:szCs w:val="24"/>
        </w:rPr>
        <w:t>Special districts, such as water utility districts, sewer utility districts, sanitation districts or air districts are not considered government entities under this solicitation”</w:t>
      </w:r>
      <w:r w:rsidR="00BF6DFE" w:rsidRPr="00F86D91">
        <w:rPr>
          <w:rFonts w:ascii="Tahoma" w:eastAsia="Arial" w:hAnsi="Tahoma" w:cs="Tahoma"/>
          <w:color w:val="000000" w:themeColor="text1"/>
          <w:sz w:val="24"/>
          <w:szCs w:val="24"/>
        </w:rPr>
        <w:t xml:space="preserve"> (Section </w:t>
      </w:r>
      <w:r w:rsidR="00381953" w:rsidRPr="00F86D91">
        <w:rPr>
          <w:rFonts w:ascii="Tahoma" w:eastAsia="Arial" w:hAnsi="Tahoma" w:cs="Tahoma"/>
          <w:color w:val="000000" w:themeColor="text1"/>
          <w:sz w:val="24"/>
          <w:szCs w:val="24"/>
        </w:rPr>
        <w:t>I</w:t>
      </w:r>
      <w:r w:rsidR="00065125" w:rsidRPr="00F86D91">
        <w:rPr>
          <w:rFonts w:ascii="Tahoma" w:eastAsia="Arial" w:hAnsi="Tahoma" w:cs="Tahoma"/>
          <w:color w:val="000000" w:themeColor="text1"/>
          <w:sz w:val="24"/>
          <w:szCs w:val="24"/>
        </w:rPr>
        <w:t>I.B.1</w:t>
      </w:r>
      <w:r w:rsidR="00286259" w:rsidRPr="00F86D91">
        <w:rPr>
          <w:rFonts w:ascii="Tahoma" w:eastAsia="Arial" w:hAnsi="Tahoma" w:cs="Tahoma"/>
          <w:color w:val="000000" w:themeColor="text1"/>
          <w:sz w:val="24"/>
          <w:szCs w:val="24"/>
        </w:rPr>
        <w:t xml:space="preserve">, page </w:t>
      </w:r>
      <w:r w:rsidR="002E7BB8" w:rsidRPr="00F86D91">
        <w:rPr>
          <w:rFonts w:ascii="Tahoma" w:eastAsia="Arial" w:hAnsi="Tahoma" w:cs="Tahoma"/>
          <w:color w:val="000000" w:themeColor="text1"/>
          <w:sz w:val="24"/>
          <w:szCs w:val="24"/>
        </w:rPr>
        <w:t>10</w:t>
      </w:r>
      <w:r w:rsidR="000B28C4" w:rsidRPr="00F86D91">
        <w:rPr>
          <w:rFonts w:ascii="Tahoma" w:eastAsia="Arial" w:hAnsi="Tahoma" w:cs="Tahoma"/>
          <w:color w:val="000000" w:themeColor="text1"/>
          <w:sz w:val="24"/>
          <w:szCs w:val="24"/>
        </w:rPr>
        <w:t>-11</w:t>
      </w:r>
      <w:r w:rsidR="00286259" w:rsidRPr="00F86D91">
        <w:rPr>
          <w:rFonts w:ascii="Tahoma" w:eastAsia="Arial" w:hAnsi="Tahoma" w:cs="Tahoma"/>
          <w:color w:val="000000" w:themeColor="text1"/>
          <w:sz w:val="24"/>
          <w:szCs w:val="24"/>
        </w:rPr>
        <w:t xml:space="preserve">, “Eligible Projects”, </w:t>
      </w:r>
      <w:r w:rsidR="00011292" w:rsidRPr="00F86D91">
        <w:rPr>
          <w:rFonts w:ascii="Tahoma" w:eastAsia="Arial" w:hAnsi="Tahoma" w:cs="Tahoma"/>
          <w:color w:val="000000" w:themeColor="text1"/>
          <w:sz w:val="24"/>
          <w:szCs w:val="24"/>
        </w:rPr>
        <w:t>Solicitation Manual)</w:t>
      </w:r>
      <w:r w:rsidR="393D9FCE" w:rsidRPr="00F86D91">
        <w:rPr>
          <w:rFonts w:ascii="Tahoma" w:eastAsia="Arial" w:hAnsi="Tahoma" w:cs="Tahoma"/>
          <w:color w:val="000000" w:themeColor="text1"/>
          <w:sz w:val="24"/>
          <w:szCs w:val="24"/>
        </w:rPr>
        <w:t xml:space="preserve">. </w:t>
      </w:r>
    </w:p>
    <w:p w14:paraId="69B8B4BF" w14:textId="24D52EB1" w:rsidR="00FA7319" w:rsidRPr="00F86D91" w:rsidRDefault="00FA7319" w:rsidP="4447FCAA">
      <w:pPr>
        <w:spacing w:after="0" w:line="240" w:lineRule="auto"/>
        <w:ind w:left="720" w:hanging="720"/>
        <w:rPr>
          <w:rFonts w:ascii="Tahoma" w:eastAsia="Arial" w:hAnsi="Tahoma" w:cs="Tahoma"/>
          <w:color w:val="000000" w:themeColor="text1"/>
          <w:sz w:val="24"/>
          <w:szCs w:val="24"/>
        </w:rPr>
      </w:pPr>
    </w:p>
    <w:p w14:paraId="6CE05863" w14:textId="07A05661" w:rsidR="00FA7319" w:rsidRPr="00F86D91" w:rsidRDefault="00FA7319" w:rsidP="4447FCAA">
      <w:pPr>
        <w:spacing w:after="0" w:line="240" w:lineRule="auto"/>
        <w:ind w:left="720" w:hanging="720"/>
        <w:rPr>
          <w:rFonts w:ascii="Tahoma" w:eastAsia="Arial" w:hAnsi="Tahoma" w:cs="Tahoma"/>
          <w:color w:val="000000" w:themeColor="text1"/>
          <w:sz w:val="24"/>
          <w:szCs w:val="24"/>
        </w:rPr>
      </w:pPr>
    </w:p>
    <w:p w14:paraId="13645072" w14:textId="7467D82C" w:rsidR="00FA7319" w:rsidRPr="00F86D91" w:rsidRDefault="430F924F" w:rsidP="13BF8754">
      <w:pPr>
        <w:spacing w:after="0" w:line="240" w:lineRule="auto"/>
        <w:ind w:left="720" w:hanging="720"/>
        <w:rPr>
          <w:rFonts w:ascii="Tahoma" w:eastAsia="Arial" w:hAnsi="Tahoma" w:cs="Tahoma"/>
          <w:b/>
          <w:color w:val="000000" w:themeColor="text1"/>
          <w:sz w:val="24"/>
          <w:szCs w:val="24"/>
        </w:rPr>
      </w:pPr>
      <w:r w:rsidRPr="00F86D91">
        <w:rPr>
          <w:rFonts w:ascii="Tahoma" w:eastAsia="Arial" w:hAnsi="Tahoma" w:cs="Tahoma"/>
          <w:b/>
          <w:bCs/>
          <w:color w:val="000000" w:themeColor="text1"/>
          <w:sz w:val="24"/>
          <w:szCs w:val="24"/>
        </w:rPr>
        <w:t>Q</w:t>
      </w:r>
      <w:r w:rsidR="00DB2BB2" w:rsidRPr="00F86D91">
        <w:rPr>
          <w:rFonts w:ascii="Tahoma" w:eastAsia="Arial" w:hAnsi="Tahoma" w:cs="Tahoma"/>
          <w:b/>
          <w:bCs/>
          <w:color w:val="000000" w:themeColor="text1"/>
          <w:sz w:val="24"/>
          <w:szCs w:val="24"/>
        </w:rPr>
        <w:t>2</w:t>
      </w:r>
      <w:r w:rsidRPr="00F86D91">
        <w:rPr>
          <w:rFonts w:ascii="Tahoma" w:eastAsia="Arial" w:hAnsi="Tahoma" w:cs="Tahoma"/>
          <w:b/>
          <w:bCs/>
          <w:color w:val="000000" w:themeColor="text1"/>
          <w:sz w:val="24"/>
          <w:szCs w:val="24"/>
        </w:rPr>
        <w:t>.</w:t>
      </w:r>
      <w:r w:rsidRPr="00F86D91">
        <w:rPr>
          <w:rFonts w:ascii="Tahoma" w:hAnsi="Tahoma" w:cs="Tahoma"/>
        </w:rPr>
        <w:tab/>
      </w:r>
      <w:r w:rsidR="13782130" w:rsidRPr="00F86D91">
        <w:rPr>
          <w:rFonts w:ascii="Tahoma" w:eastAsia="Arial" w:hAnsi="Tahoma" w:cs="Tahoma"/>
          <w:b/>
          <w:bCs/>
          <w:color w:val="000000" w:themeColor="text1"/>
          <w:sz w:val="24"/>
          <w:szCs w:val="24"/>
        </w:rPr>
        <w:t xml:space="preserve">Do public school </w:t>
      </w:r>
      <w:r w:rsidR="776A3A69" w:rsidRPr="00F86D91">
        <w:rPr>
          <w:rFonts w:ascii="Tahoma" w:eastAsia="Arial" w:hAnsi="Tahoma" w:cs="Tahoma"/>
          <w:b/>
          <w:bCs/>
          <w:color w:val="000000" w:themeColor="text1"/>
          <w:sz w:val="24"/>
          <w:szCs w:val="24"/>
        </w:rPr>
        <w:t>district</w:t>
      </w:r>
      <w:r w:rsidR="4BFBB2DE" w:rsidRPr="00F86D91">
        <w:rPr>
          <w:rFonts w:ascii="Tahoma" w:eastAsia="Arial" w:hAnsi="Tahoma" w:cs="Tahoma"/>
          <w:b/>
          <w:bCs/>
          <w:color w:val="000000" w:themeColor="text1"/>
          <w:sz w:val="24"/>
          <w:szCs w:val="24"/>
        </w:rPr>
        <w:t xml:space="preserve"> fleets</w:t>
      </w:r>
      <w:r w:rsidR="13782130" w:rsidRPr="00F86D91">
        <w:rPr>
          <w:rFonts w:ascii="Tahoma" w:eastAsia="Arial" w:hAnsi="Tahoma" w:cs="Tahoma"/>
          <w:b/>
          <w:bCs/>
          <w:color w:val="000000" w:themeColor="text1"/>
          <w:sz w:val="24"/>
          <w:szCs w:val="24"/>
        </w:rPr>
        <w:t xml:space="preserve"> count as eligible government fleets? </w:t>
      </w:r>
      <w:r w:rsidR="76371B6C" w:rsidRPr="00F86D91">
        <w:rPr>
          <w:rFonts w:ascii="Tahoma" w:eastAsia="Arial" w:hAnsi="Tahoma" w:cs="Tahoma"/>
          <w:b/>
          <w:bCs/>
          <w:color w:val="000000" w:themeColor="text1"/>
          <w:sz w:val="24"/>
          <w:szCs w:val="24"/>
        </w:rPr>
        <w:t xml:space="preserve">Does this include </w:t>
      </w:r>
      <w:r w:rsidR="2D75D775" w:rsidRPr="00F86D91">
        <w:rPr>
          <w:rFonts w:ascii="Tahoma" w:eastAsia="Arial" w:hAnsi="Tahoma" w:cs="Tahoma"/>
          <w:b/>
          <w:bCs/>
          <w:color w:val="000000" w:themeColor="text1"/>
          <w:sz w:val="24"/>
          <w:szCs w:val="24"/>
        </w:rPr>
        <w:t>public universities</w:t>
      </w:r>
      <w:r w:rsidR="2F3F571A" w:rsidRPr="00F86D91">
        <w:rPr>
          <w:rFonts w:ascii="Tahoma" w:eastAsia="Arial" w:hAnsi="Tahoma" w:cs="Tahoma"/>
          <w:b/>
          <w:bCs/>
          <w:color w:val="000000" w:themeColor="text1"/>
          <w:sz w:val="24"/>
          <w:szCs w:val="24"/>
        </w:rPr>
        <w:t xml:space="preserve"> or</w:t>
      </w:r>
      <w:r w:rsidR="43DB30E1" w:rsidRPr="00F86D91">
        <w:rPr>
          <w:rFonts w:ascii="Tahoma" w:eastAsia="Arial" w:hAnsi="Tahoma" w:cs="Tahoma"/>
          <w:b/>
          <w:bCs/>
          <w:color w:val="000000" w:themeColor="text1"/>
          <w:sz w:val="24"/>
          <w:szCs w:val="24"/>
        </w:rPr>
        <w:t xml:space="preserve"> </w:t>
      </w:r>
      <w:r w:rsidR="2D75D775" w:rsidRPr="00F86D91">
        <w:rPr>
          <w:rFonts w:ascii="Tahoma" w:eastAsia="Arial" w:hAnsi="Tahoma" w:cs="Tahoma"/>
          <w:b/>
          <w:bCs/>
          <w:color w:val="000000" w:themeColor="text1"/>
          <w:sz w:val="24"/>
          <w:szCs w:val="24"/>
        </w:rPr>
        <w:t>public colleges</w:t>
      </w:r>
      <w:r w:rsidR="1C2CA055" w:rsidRPr="00F86D91">
        <w:rPr>
          <w:rFonts w:ascii="Tahoma" w:eastAsia="Arial" w:hAnsi="Tahoma" w:cs="Tahoma"/>
          <w:b/>
          <w:bCs/>
          <w:color w:val="000000" w:themeColor="text1"/>
          <w:sz w:val="24"/>
          <w:szCs w:val="24"/>
        </w:rPr>
        <w:t>?</w:t>
      </w:r>
      <w:r w:rsidR="13782130" w:rsidRPr="00F86D91">
        <w:rPr>
          <w:rFonts w:ascii="Tahoma" w:eastAsia="Arial" w:hAnsi="Tahoma" w:cs="Tahoma"/>
          <w:b/>
          <w:bCs/>
          <w:color w:val="000000" w:themeColor="text1"/>
          <w:sz w:val="24"/>
          <w:szCs w:val="24"/>
        </w:rPr>
        <w:t xml:space="preserve"> </w:t>
      </w:r>
      <w:r w:rsidR="1643DA7F" w:rsidRPr="00F86D91">
        <w:rPr>
          <w:rFonts w:ascii="Tahoma" w:eastAsia="Arial" w:hAnsi="Tahoma" w:cs="Tahoma"/>
          <w:b/>
          <w:bCs/>
          <w:color w:val="000000" w:themeColor="text1"/>
          <w:sz w:val="24"/>
          <w:szCs w:val="24"/>
        </w:rPr>
        <w:t xml:space="preserve"> </w:t>
      </w:r>
      <w:r w:rsidR="3E839FB6" w:rsidRPr="00F86D91">
        <w:rPr>
          <w:rFonts w:ascii="Tahoma" w:eastAsia="Arial" w:hAnsi="Tahoma" w:cs="Tahoma"/>
          <w:b/>
          <w:bCs/>
          <w:color w:val="000000" w:themeColor="text1"/>
          <w:sz w:val="24"/>
          <w:szCs w:val="24"/>
        </w:rPr>
        <w:t xml:space="preserve"> </w:t>
      </w:r>
    </w:p>
    <w:p w14:paraId="3E2BE8DE" w14:textId="716E647A" w:rsidR="00FA7319" w:rsidRPr="00F86D91" w:rsidRDefault="00FA7319" w:rsidP="4447FCAA">
      <w:pPr>
        <w:spacing w:after="0" w:line="240" w:lineRule="auto"/>
        <w:ind w:left="720" w:hanging="720"/>
        <w:rPr>
          <w:rFonts w:ascii="Tahoma" w:eastAsia="Arial" w:hAnsi="Tahoma" w:cs="Tahoma"/>
          <w:b/>
          <w:bCs/>
          <w:color w:val="000000" w:themeColor="text1"/>
          <w:sz w:val="24"/>
          <w:szCs w:val="24"/>
        </w:rPr>
      </w:pPr>
    </w:p>
    <w:p w14:paraId="50A1CAB3" w14:textId="0D47E5E3" w:rsidR="00FA7319" w:rsidRDefault="430F924F" w:rsidP="53234C4C">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DB2BB2" w:rsidRPr="00F86D91">
        <w:rPr>
          <w:rFonts w:ascii="Tahoma" w:eastAsia="Arial" w:hAnsi="Tahoma" w:cs="Tahoma"/>
          <w:color w:val="000000" w:themeColor="text1"/>
          <w:sz w:val="24"/>
          <w:szCs w:val="24"/>
        </w:rPr>
        <w:t>2</w:t>
      </w:r>
      <w:r w:rsidRPr="00F86D91">
        <w:rPr>
          <w:rFonts w:ascii="Tahoma" w:eastAsia="Arial" w:hAnsi="Tahoma" w:cs="Tahoma"/>
          <w:color w:val="000000" w:themeColor="text1"/>
          <w:sz w:val="24"/>
          <w:szCs w:val="24"/>
        </w:rPr>
        <w:t>.</w:t>
      </w:r>
      <w:r>
        <w:tab/>
      </w:r>
      <w:r w:rsidR="00501981" w:rsidRPr="00F86D91">
        <w:rPr>
          <w:rFonts w:ascii="Tahoma" w:eastAsia="Arial" w:hAnsi="Tahoma" w:cs="Tahoma"/>
          <w:color w:val="000000" w:themeColor="text1"/>
          <w:sz w:val="24"/>
          <w:szCs w:val="24"/>
        </w:rPr>
        <w:t>No.</w:t>
      </w:r>
      <w:r w:rsidR="00501981" w:rsidRPr="00F86D91">
        <w:rPr>
          <w:rFonts w:ascii="Tahoma" w:hAnsi="Tahoma" w:cs="Tahoma"/>
        </w:rPr>
        <w:t xml:space="preserve"> </w:t>
      </w:r>
      <w:r w:rsidR="00011292" w:rsidRPr="00F86D91">
        <w:rPr>
          <w:rFonts w:ascii="Tahoma" w:eastAsia="Arial" w:hAnsi="Tahoma" w:cs="Tahoma"/>
          <w:color w:val="000000" w:themeColor="text1"/>
          <w:sz w:val="24"/>
          <w:szCs w:val="24"/>
        </w:rPr>
        <w:t>As clarified in the addended solicitation manual, “</w:t>
      </w:r>
      <w:r w:rsidR="00F97484" w:rsidRPr="00F86D91">
        <w:rPr>
          <w:rFonts w:ascii="Tahoma" w:eastAsia="Arial" w:hAnsi="Tahoma" w:cs="Tahoma"/>
          <w:color w:val="000000" w:themeColor="text1"/>
          <w:sz w:val="24"/>
          <w:szCs w:val="24"/>
        </w:rPr>
        <w:t>Public school districts, including public colleges, public universities, and local education agencies are not considered government entities</w:t>
      </w:r>
      <w:r w:rsidR="001458E1" w:rsidRPr="00F86D91">
        <w:rPr>
          <w:rFonts w:ascii="Tahoma" w:eastAsia="Arial" w:hAnsi="Tahoma" w:cs="Tahoma"/>
          <w:color w:val="000000" w:themeColor="text1"/>
          <w:sz w:val="24"/>
          <w:szCs w:val="24"/>
        </w:rPr>
        <w:t xml:space="preserve"> under this solicitation</w:t>
      </w:r>
      <w:r w:rsidR="00011292" w:rsidRPr="00F86D91">
        <w:rPr>
          <w:rFonts w:ascii="Tahoma" w:eastAsia="Arial" w:hAnsi="Tahoma" w:cs="Tahoma"/>
          <w:color w:val="000000" w:themeColor="text1"/>
          <w:sz w:val="24"/>
          <w:szCs w:val="24"/>
        </w:rPr>
        <w:t xml:space="preserve">” (Section </w:t>
      </w:r>
      <w:r w:rsidR="00381953" w:rsidRPr="00F86D91">
        <w:rPr>
          <w:rFonts w:ascii="Tahoma" w:eastAsia="Arial" w:hAnsi="Tahoma" w:cs="Tahoma"/>
          <w:color w:val="000000" w:themeColor="text1"/>
          <w:sz w:val="24"/>
          <w:szCs w:val="24"/>
        </w:rPr>
        <w:t>I</w:t>
      </w:r>
      <w:r w:rsidR="00011292" w:rsidRPr="00F86D91">
        <w:rPr>
          <w:rFonts w:ascii="Tahoma" w:eastAsia="Arial" w:hAnsi="Tahoma" w:cs="Tahoma"/>
          <w:color w:val="000000" w:themeColor="text1"/>
          <w:sz w:val="24"/>
          <w:szCs w:val="24"/>
        </w:rPr>
        <w:t xml:space="preserve">I.B.1, page </w:t>
      </w:r>
      <w:r w:rsidRPr="00C9EFA8">
        <w:rPr>
          <w:rFonts w:ascii="Tahoma" w:eastAsia="Arial" w:hAnsi="Tahoma" w:cs="Tahoma"/>
          <w:color w:val="000000" w:themeColor="text1"/>
          <w:sz w:val="24"/>
          <w:szCs w:val="24"/>
        </w:rPr>
        <w:t>11</w:t>
      </w:r>
      <w:r w:rsidR="00011292" w:rsidRPr="00F86D91">
        <w:rPr>
          <w:rFonts w:ascii="Tahoma" w:eastAsia="Arial" w:hAnsi="Tahoma" w:cs="Tahoma"/>
          <w:color w:val="000000" w:themeColor="text1"/>
          <w:sz w:val="24"/>
          <w:szCs w:val="24"/>
        </w:rPr>
        <w:t>, “Eligible Projects”, Solicitation Manual).</w:t>
      </w:r>
      <w:r w:rsidR="12495666" w:rsidRPr="00F86D91">
        <w:rPr>
          <w:rFonts w:ascii="Tahoma" w:eastAsia="Arial" w:hAnsi="Tahoma" w:cs="Tahoma"/>
          <w:color w:val="000000" w:themeColor="text1"/>
          <w:sz w:val="24"/>
          <w:szCs w:val="24"/>
        </w:rPr>
        <w:t xml:space="preserve"> </w:t>
      </w:r>
    </w:p>
    <w:p w14:paraId="7F4BE3D1" w14:textId="77777777" w:rsidR="007C1C6A" w:rsidRPr="00F86D91" w:rsidRDefault="007C1C6A" w:rsidP="53234C4C">
      <w:pPr>
        <w:spacing w:after="0" w:line="240" w:lineRule="auto"/>
        <w:ind w:left="720" w:hanging="720"/>
        <w:rPr>
          <w:rFonts w:ascii="Tahoma" w:eastAsia="Arial" w:hAnsi="Tahoma" w:cs="Tahoma"/>
          <w:color w:val="000000" w:themeColor="text1"/>
          <w:sz w:val="24"/>
          <w:szCs w:val="24"/>
        </w:rPr>
      </w:pPr>
    </w:p>
    <w:p w14:paraId="73321DD8" w14:textId="07A05661" w:rsidR="00FA7319" w:rsidRPr="00F86D91" w:rsidRDefault="00FA7319" w:rsidP="53234C4C">
      <w:pPr>
        <w:spacing w:after="0" w:line="240" w:lineRule="auto"/>
        <w:ind w:left="720" w:hanging="720"/>
        <w:rPr>
          <w:rFonts w:ascii="Tahoma" w:eastAsia="Arial" w:hAnsi="Tahoma" w:cs="Tahoma"/>
          <w:color w:val="000000" w:themeColor="text1"/>
          <w:sz w:val="24"/>
          <w:szCs w:val="24"/>
        </w:rPr>
      </w:pPr>
    </w:p>
    <w:p w14:paraId="7020AE48" w14:textId="1966FF4C" w:rsidR="00FA7319" w:rsidRPr="00F86D91" w:rsidRDefault="7C8AFAC6" w:rsidP="44A3F00F">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C219C7" w:rsidRPr="00F86D91">
        <w:rPr>
          <w:rFonts w:ascii="Tahoma" w:eastAsia="Arial" w:hAnsi="Tahoma" w:cs="Tahoma"/>
          <w:b/>
          <w:bCs/>
          <w:color w:val="000000" w:themeColor="text1"/>
          <w:sz w:val="24"/>
          <w:szCs w:val="24"/>
        </w:rPr>
        <w:t>3</w:t>
      </w:r>
      <w:r w:rsidRPr="00F86D91">
        <w:rPr>
          <w:rFonts w:ascii="Tahoma" w:eastAsia="Arial" w:hAnsi="Tahoma" w:cs="Tahoma"/>
          <w:b/>
          <w:bCs/>
          <w:color w:val="000000" w:themeColor="text1"/>
          <w:sz w:val="24"/>
          <w:szCs w:val="24"/>
        </w:rPr>
        <w:t>.</w:t>
      </w:r>
      <w:r w:rsidRPr="00F86D91">
        <w:rPr>
          <w:rFonts w:ascii="Tahoma" w:hAnsi="Tahoma" w:cs="Tahoma"/>
        </w:rPr>
        <w:tab/>
      </w:r>
      <w:r w:rsidRPr="00F86D91">
        <w:rPr>
          <w:rFonts w:ascii="Tahoma" w:eastAsia="Arial" w:hAnsi="Tahoma" w:cs="Tahoma"/>
          <w:b/>
          <w:bCs/>
          <w:color w:val="000000" w:themeColor="text1"/>
          <w:sz w:val="24"/>
          <w:szCs w:val="24"/>
        </w:rPr>
        <w:t xml:space="preserve">Could a special district be a subrecipient </w:t>
      </w:r>
      <w:r w:rsidR="4BFBA4BA" w:rsidRPr="00F86D91">
        <w:rPr>
          <w:rFonts w:ascii="Tahoma" w:eastAsia="Arial" w:hAnsi="Tahoma" w:cs="Tahoma"/>
          <w:b/>
          <w:bCs/>
          <w:color w:val="000000" w:themeColor="text1"/>
          <w:sz w:val="24"/>
          <w:szCs w:val="24"/>
        </w:rPr>
        <w:t xml:space="preserve">or key project </w:t>
      </w:r>
      <w:r w:rsidR="56A55FE2" w:rsidRPr="00F86D91">
        <w:rPr>
          <w:rFonts w:ascii="Tahoma" w:eastAsia="Arial" w:hAnsi="Tahoma" w:cs="Tahoma"/>
          <w:b/>
          <w:bCs/>
          <w:color w:val="000000" w:themeColor="text1"/>
          <w:sz w:val="24"/>
          <w:szCs w:val="24"/>
        </w:rPr>
        <w:t>partner</w:t>
      </w:r>
      <w:r w:rsidR="27F91E28" w:rsidRPr="00F86D91">
        <w:rPr>
          <w:rFonts w:ascii="Tahoma" w:eastAsia="Arial" w:hAnsi="Tahoma" w:cs="Tahoma"/>
          <w:b/>
          <w:bCs/>
          <w:color w:val="000000" w:themeColor="text1"/>
          <w:sz w:val="24"/>
          <w:szCs w:val="24"/>
        </w:rPr>
        <w:t xml:space="preserve"> </w:t>
      </w:r>
      <w:r w:rsidR="633EFF46" w:rsidRPr="00F86D91">
        <w:rPr>
          <w:rFonts w:ascii="Tahoma" w:eastAsia="Arial" w:hAnsi="Tahoma" w:cs="Tahoma"/>
          <w:b/>
          <w:bCs/>
          <w:color w:val="000000" w:themeColor="text1"/>
          <w:sz w:val="24"/>
          <w:szCs w:val="24"/>
        </w:rPr>
        <w:t xml:space="preserve">for </w:t>
      </w:r>
      <w:r w:rsidRPr="00F86D91" w:rsidDel="7C8AFAC6">
        <w:rPr>
          <w:rFonts w:ascii="Tahoma" w:eastAsia="Arial" w:hAnsi="Tahoma" w:cs="Tahoma"/>
          <w:b/>
          <w:bCs/>
          <w:color w:val="000000" w:themeColor="text1"/>
          <w:sz w:val="24"/>
          <w:szCs w:val="24"/>
        </w:rPr>
        <w:t xml:space="preserve">a </w:t>
      </w:r>
      <w:r w:rsidR="485F07BF" w:rsidRPr="00F86D91">
        <w:rPr>
          <w:rFonts w:ascii="Tahoma" w:eastAsia="Arial" w:hAnsi="Tahoma" w:cs="Tahoma"/>
          <w:b/>
          <w:bCs/>
          <w:color w:val="000000" w:themeColor="text1"/>
          <w:sz w:val="24"/>
          <w:szCs w:val="24"/>
        </w:rPr>
        <w:t>California</w:t>
      </w:r>
      <w:r w:rsidRPr="00F86D91">
        <w:rPr>
          <w:rFonts w:ascii="Tahoma" w:eastAsia="Arial" w:hAnsi="Tahoma" w:cs="Tahoma"/>
          <w:b/>
          <w:bCs/>
          <w:color w:val="000000" w:themeColor="text1"/>
          <w:sz w:val="24"/>
          <w:szCs w:val="24"/>
        </w:rPr>
        <w:t xml:space="preserve"> county or </w:t>
      </w:r>
      <w:r w:rsidR="52689C1B" w:rsidRPr="00F86D91">
        <w:rPr>
          <w:rFonts w:ascii="Tahoma" w:eastAsia="Arial" w:hAnsi="Tahoma" w:cs="Tahoma"/>
          <w:b/>
          <w:bCs/>
          <w:color w:val="000000" w:themeColor="text1"/>
          <w:sz w:val="24"/>
          <w:szCs w:val="24"/>
        </w:rPr>
        <w:t>California</w:t>
      </w:r>
      <w:r w:rsidRPr="00F86D91">
        <w:rPr>
          <w:rFonts w:ascii="Tahoma" w:eastAsia="Arial" w:hAnsi="Tahoma" w:cs="Tahoma"/>
          <w:b/>
          <w:bCs/>
          <w:color w:val="000000" w:themeColor="text1"/>
          <w:sz w:val="24"/>
          <w:szCs w:val="24"/>
        </w:rPr>
        <w:t xml:space="preserve"> city </w:t>
      </w:r>
      <w:r w:rsidR="433BBC7D" w:rsidRPr="00F86D91">
        <w:rPr>
          <w:rFonts w:ascii="Tahoma" w:eastAsia="Arial" w:hAnsi="Tahoma" w:cs="Tahoma"/>
          <w:b/>
          <w:bCs/>
          <w:color w:val="000000" w:themeColor="text1"/>
          <w:sz w:val="24"/>
          <w:szCs w:val="24"/>
        </w:rPr>
        <w:t>given th</w:t>
      </w:r>
      <w:r w:rsidR="5B00D87A" w:rsidRPr="00F86D91">
        <w:rPr>
          <w:rFonts w:ascii="Tahoma" w:eastAsia="Arial" w:hAnsi="Tahoma" w:cs="Tahoma"/>
          <w:b/>
          <w:bCs/>
          <w:color w:val="000000" w:themeColor="text1"/>
          <w:sz w:val="24"/>
          <w:szCs w:val="24"/>
        </w:rPr>
        <w:t>at</w:t>
      </w:r>
      <w:r w:rsidRPr="00F86D91">
        <w:rPr>
          <w:rFonts w:ascii="Tahoma" w:eastAsia="Arial" w:hAnsi="Tahoma" w:cs="Tahoma"/>
          <w:b/>
          <w:bCs/>
          <w:color w:val="000000" w:themeColor="text1"/>
          <w:sz w:val="24"/>
          <w:szCs w:val="24"/>
        </w:rPr>
        <w:t xml:space="preserve"> the special district is governed independently from the city or county it is located in?</w:t>
      </w:r>
      <w:r w:rsidR="2B41772F" w:rsidRPr="00F86D91">
        <w:rPr>
          <w:rFonts w:ascii="Tahoma" w:eastAsia="Arial" w:hAnsi="Tahoma" w:cs="Tahoma"/>
          <w:b/>
          <w:bCs/>
          <w:color w:val="000000" w:themeColor="text1"/>
          <w:sz w:val="24"/>
          <w:szCs w:val="24"/>
        </w:rPr>
        <w:t xml:space="preserve"> </w:t>
      </w:r>
      <w:r w:rsidR="136DFA83" w:rsidRPr="00F86D91">
        <w:rPr>
          <w:rFonts w:ascii="Tahoma" w:eastAsia="Arial" w:hAnsi="Tahoma" w:cs="Tahoma"/>
          <w:b/>
          <w:bCs/>
          <w:color w:val="000000" w:themeColor="text1"/>
          <w:sz w:val="24"/>
          <w:szCs w:val="24"/>
        </w:rPr>
        <w:t xml:space="preserve"> </w:t>
      </w:r>
      <w:r w:rsidR="017C8D8D" w:rsidRPr="00F86D91">
        <w:rPr>
          <w:rFonts w:ascii="Tahoma" w:eastAsia="Arial" w:hAnsi="Tahoma" w:cs="Tahoma"/>
          <w:b/>
          <w:bCs/>
          <w:color w:val="000000" w:themeColor="text1"/>
          <w:sz w:val="24"/>
          <w:szCs w:val="24"/>
        </w:rPr>
        <w:t xml:space="preserve">  </w:t>
      </w:r>
    </w:p>
    <w:p w14:paraId="78A435F3" w14:textId="5E3B21B3" w:rsidR="00FA7319" w:rsidRPr="00F86D91" w:rsidRDefault="7C8AFAC6"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 xml:space="preserve"> </w:t>
      </w:r>
    </w:p>
    <w:p w14:paraId="6B15BC12" w14:textId="3734BBED" w:rsidR="00FA7319" w:rsidRPr="00F86D91" w:rsidRDefault="433BBC7D" w:rsidP="44A3F00F">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C219C7" w:rsidRPr="00F86D91">
        <w:rPr>
          <w:rFonts w:ascii="Tahoma" w:eastAsia="Arial" w:hAnsi="Tahoma" w:cs="Tahoma"/>
          <w:color w:val="000000" w:themeColor="text1"/>
          <w:sz w:val="24"/>
          <w:szCs w:val="24"/>
        </w:rPr>
        <w:t>3</w:t>
      </w:r>
      <w:r w:rsidRPr="00F86D91">
        <w:rPr>
          <w:rFonts w:ascii="Tahoma" w:eastAsia="Arial" w:hAnsi="Tahoma" w:cs="Tahoma"/>
          <w:color w:val="000000" w:themeColor="text1"/>
          <w:sz w:val="24"/>
          <w:szCs w:val="24"/>
        </w:rPr>
        <w:t>.</w:t>
      </w:r>
      <w:r w:rsidRPr="00F86D91">
        <w:rPr>
          <w:rFonts w:ascii="Tahoma" w:hAnsi="Tahoma" w:cs="Tahoma"/>
        </w:rPr>
        <w:tab/>
      </w:r>
      <w:r w:rsidR="24E3000A" w:rsidRPr="00F86D91">
        <w:rPr>
          <w:rFonts w:ascii="Tahoma" w:eastAsia="Arial" w:hAnsi="Tahoma" w:cs="Tahoma"/>
          <w:color w:val="000000" w:themeColor="text1"/>
          <w:sz w:val="24"/>
          <w:szCs w:val="24"/>
        </w:rPr>
        <w:t xml:space="preserve">As clarified in the addended solicitation manual, “Special districts, such as water utility districts, sewer utility districts, sanitation districts or air districts are not considered government entities under this solicitation” (Section </w:t>
      </w:r>
      <w:r w:rsidR="00381953" w:rsidRPr="00F86D91">
        <w:rPr>
          <w:rFonts w:ascii="Tahoma" w:eastAsia="Arial" w:hAnsi="Tahoma" w:cs="Tahoma"/>
          <w:color w:val="000000" w:themeColor="text1"/>
          <w:sz w:val="24"/>
          <w:szCs w:val="24"/>
        </w:rPr>
        <w:t>I</w:t>
      </w:r>
      <w:r w:rsidR="24E3000A" w:rsidRPr="00F86D91">
        <w:rPr>
          <w:rFonts w:ascii="Tahoma" w:eastAsia="Arial" w:hAnsi="Tahoma" w:cs="Tahoma"/>
          <w:color w:val="000000" w:themeColor="text1"/>
          <w:sz w:val="24"/>
          <w:szCs w:val="24"/>
        </w:rPr>
        <w:t xml:space="preserve">I.B.1, page </w:t>
      </w:r>
      <w:r w:rsidR="009D24D7">
        <w:rPr>
          <w:rFonts w:ascii="Tahoma" w:eastAsia="Arial" w:hAnsi="Tahoma" w:cs="Tahoma"/>
          <w:color w:val="000000" w:themeColor="text1"/>
          <w:sz w:val="24"/>
          <w:szCs w:val="24"/>
        </w:rPr>
        <w:t>10</w:t>
      </w:r>
      <w:r w:rsidR="24E3000A" w:rsidRPr="00F86D91">
        <w:rPr>
          <w:rFonts w:ascii="Tahoma" w:eastAsia="Arial" w:hAnsi="Tahoma" w:cs="Tahoma"/>
          <w:color w:val="000000" w:themeColor="text1"/>
          <w:sz w:val="24"/>
          <w:szCs w:val="24"/>
        </w:rPr>
        <w:t>, “Eligible Projects”, Solicitation Manual).</w:t>
      </w:r>
      <w:r w:rsidR="004A6C36" w:rsidRPr="00F86D91">
        <w:rPr>
          <w:rFonts w:ascii="Tahoma" w:eastAsia="Arial" w:hAnsi="Tahoma" w:cs="Tahoma"/>
          <w:color w:val="000000" w:themeColor="text1"/>
          <w:sz w:val="24"/>
          <w:szCs w:val="24"/>
        </w:rPr>
        <w:t xml:space="preserve">  While a </w:t>
      </w:r>
      <w:r w:rsidR="00B134E6" w:rsidRPr="00F86D91">
        <w:rPr>
          <w:rFonts w:ascii="Tahoma" w:eastAsia="Arial" w:hAnsi="Tahoma" w:cs="Tahoma"/>
          <w:color w:val="000000" w:themeColor="text1"/>
          <w:sz w:val="24"/>
          <w:szCs w:val="24"/>
        </w:rPr>
        <w:t xml:space="preserve">special district can be a subrecipient </w:t>
      </w:r>
      <w:r w:rsidR="00CE7D6F" w:rsidRPr="00F86D91">
        <w:rPr>
          <w:rFonts w:ascii="Tahoma" w:eastAsia="Arial" w:hAnsi="Tahoma" w:cs="Tahoma"/>
          <w:color w:val="000000" w:themeColor="text1"/>
          <w:sz w:val="24"/>
          <w:szCs w:val="24"/>
        </w:rPr>
        <w:t>or key project partner for a</w:t>
      </w:r>
      <w:r w:rsidR="002D3822" w:rsidRPr="00F86D91">
        <w:rPr>
          <w:rFonts w:ascii="Tahoma" w:eastAsia="Arial" w:hAnsi="Tahoma" w:cs="Tahoma"/>
          <w:color w:val="000000" w:themeColor="text1"/>
          <w:sz w:val="24"/>
          <w:szCs w:val="24"/>
        </w:rPr>
        <w:t>n eligible</w:t>
      </w:r>
      <w:r w:rsidR="00CE7D6F" w:rsidRPr="00F86D91">
        <w:rPr>
          <w:rFonts w:ascii="Tahoma" w:eastAsia="Arial" w:hAnsi="Tahoma" w:cs="Tahoma"/>
          <w:color w:val="000000" w:themeColor="text1"/>
          <w:sz w:val="24"/>
          <w:szCs w:val="24"/>
        </w:rPr>
        <w:t xml:space="preserve"> govern</w:t>
      </w:r>
      <w:r w:rsidR="000D75B8" w:rsidRPr="00F86D91">
        <w:rPr>
          <w:rFonts w:ascii="Tahoma" w:eastAsia="Arial" w:hAnsi="Tahoma" w:cs="Tahoma"/>
          <w:color w:val="000000" w:themeColor="text1"/>
          <w:sz w:val="24"/>
          <w:szCs w:val="24"/>
        </w:rPr>
        <w:t xml:space="preserve">ment entity, </w:t>
      </w:r>
      <w:r w:rsidR="009D7718" w:rsidRPr="00F86D91">
        <w:rPr>
          <w:rFonts w:ascii="Tahoma" w:eastAsia="Arial" w:hAnsi="Tahoma" w:cs="Tahoma"/>
          <w:color w:val="000000" w:themeColor="text1"/>
          <w:sz w:val="24"/>
          <w:szCs w:val="24"/>
        </w:rPr>
        <w:t>the fleet</w:t>
      </w:r>
      <w:r w:rsidR="002D3822" w:rsidRPr="00F86D91">
        <w:rPr>
          <w:rFonts w:ascii="Tahoma" w:eastAsia="Arial" w:hAnsi="Tahoma" w:cs="Tahoma"/>
          <w:color w:val="000000" w:themeColor="text1"/>
          <w:sz w:val="24"/>
          <w:szCs w:val="24"/>
        </w:rPr>
        <w:t xml:space="preserve">(s) </w:t>
      </w:r>
      <w:r w:rsidR="002D3822" w:rsidRPr="00F86D91">
        <w:rPr>
          <w:rFonts w:ascii="Tahoma" w:eastAsia="Arial" w:hAnsi="Tahoma" w:cs="Tahoma"/>
          <w:color w:val="000000" w:themeColor="text1"/>
          <w:sz w:val="24"/>
          <w:szCs w:val="24"/>
        </w:rPr>
        <w:lastRenderedPageBreak/>
        <w:t>supported by the project must be owned, leased, and/or operated by a</w:t>
      </w:r>
      <w:r w:rsidR="00B85FE1" w:rsidRPr="00F86D91">
        <w:rPr>
          <w:rFonts w:ascii="Tahoma" w:eastAsia="Arial" w:hAnsi="Tahoma" w:cs="Tahoma"/>
          <w:color w:val="000000" w:themeColor="text1"/>
          <w:sz w:val="24"/>
          <w:szCs w:val="24"/>
        </w:rPr>
        <w:t xml:space="preserve"> single,</w:t>
      </w:r>
      <w:r w:rsidR="002D3822" w:rsidRPr="00F86D91">
        <w:rPr>
          <w:rFonts w:ascii="Tahoma" w:eastAsia="Arial" w:hAnsi="Tahoma" w:cs="Tahoma"/>
          <w:color w:val="000000" w:themeColor="text1"/>
          <w:sz w:val="24"/>
          <w:szCs w:val="24"/>
        </w:rPr>
        <w:t xml:space="preserve"> eligible government entity.</w:t>
      </w:r>
    </w:p>
    <w:p w14:paraId="4CDE06ED" w14:textId="60114E3C" w:rsidR="00FA7319" w:rsidRPr="00F86D91" w:rsidRDefault="00FA7319" w:rsidP="44A3F00F">
      <w:pPr>
        <w:spacing w:after="0" w:line="240" w:lineRule="auto"/>
        <w:ind w:left="720" w:hanging="720"/>
        <w:rPr>
          <w:rFonts w:ascii="Tahoma" w:eastAsia="Arial" w:hAnsi="Tahoma" w:cs="Tahoma"/>
          <w:b/>
          <w:bCs/>
          <w:color w:val="000000" w:themeColor="text1"/>
          <w:sz w:val="24"/>
          <w:szCs w:val="24"/>
        </w:rPr>
      </w:pPr>
    </w:p>
    <w:p w14:paraId="296A75F4" w14:textId="07A05661" w:rsidR="00FA7319" w:rsidRPr="00F86D91" w:rsidRDefault="00FA7319" w:rsidP="4447FCAA">
      <w:pPr>
        <w:spacing w:after="0" w:line="240" w:lineRule="auto"/>
        <w:ind w:left="720" w:hanging="720"/>
        <w:rPr>
          <w:rFonts w:ascii="Tahoma" w:eastAsia="Arial" w:hAnsi="Tahoma" w:cs="Tahoma"/>
          <w:color w:val="000000" w:themeColor="text1"/>
          <w:sz w:val="24"/>
          <w:szCs w:val="24"/>
        </w:rPr>
      </w:pPr>
    </w:p>
    <w:p w14:paraId="2A0143B7" w14:textId="6FCF83DD" w:rsidR="00FA7319" w:rsidRPr="00F86D91" w:rsidRDefault="430F924F" w:rsidP="00BA5925">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C219C7" w:rsidRPr="00F86D91">
        <w:rPr>
          <w:rFonts w:ascii="Tahoma" w:eastAsia="Arial" w:hAnsi="Tahoma" w:cs="Tahoma"/>
          <w:b/>
          <w:bCs/>
          <w:color w:val="000000" w:themeColor="text1"/>
          <w:sz w:val="24"/>
          <w:szCs w:val="24"/>
        </w:rPr>
        <w:t>4</w:t>
      </w:r>
      <w:r w:rsidRPr="00F86D91">
        <w:rPr>
          <w:rFonts w:ascii="Tahoma" w:eastAsia="Arial" w:hAnsi="Tahoma" w:cs="Tahoma"/>
          <w:b/>
          <w:bCs/>
          <w:color w:val="000000" w:themeColor="text1"/>
          <w:sz w:val="24"/>
          <w:szCs w:val="24"/>
        </w:rPr>
        <w:t>.</w:t>
      </w:r>
      <w:r w:rsidRPr="00F86D91">
        <w:rPr>
          <w:rFonts w:ascii="Tahoma" w:hAnsi="Tahoma" w:cs="Tahoma"/>
        </w:rPr>
        <w:tab/>
      </w:r>
      <w:r w:rsidR="30876D1B" w:rsidRPr="00F86D91">
        <w:rPr>
          <w:rFonts w:ascii="Tahoma" w:eastAsia="Arial" w:hAnsi="Tahoma" w:cs="Tahoma"/>
          <w:b/>
          <w:bCs/>
          <w:color w:val="000000" w:themeColor="text1"/>
          <w:sz w:val="24"/>
          <w:szCs w:val="24"/>
        </w:rPr>
        <w:t>Can LLCs bid on the project and subcontract work with contractors that have a license?</w:t>
      </w:r>
    </w:p>
    <w:p w14:paraId="5A5FED9B" w14:textId="77777777" w:rsidR="00BA5925" w:rsidRPr="00F86D91" w:rsidRDefault="00BA5925" w:rsidP="00BA5925">
      <w:pPr>
        <w:spacing w:after="0" w:line="240" w:lineRule="auto"/>
        <w:ind w:left="720" w:hanging="720"/>
        <w:rPr>
          <w:rFonts w:ascii="Tahoma" w:eastAsia="Arial" w:hAnsi="Tahoma" w:cs="Tahoma"/>
          <w:b/>
          <w:bCs/>
          <w:color w:val="000000" w:themeColor="text1"/>
          <w:sz w:val="24"/>
          <w:szCs w:val="24"/>
        </w:rPr>
      </w:pPr>
    </w:p>
    <w:p w14:paraId="67A854C0" w14:textId="06B6176C" w:rsidR="00BA5925" w:rsidRPr="00F86D91" w:rsidRDefault="00F516E1" w:rsidP="00F516E1">
      <w:pPr>
        <w:spacing w:after="0"/>
        <w:ind w:left="720" w:hanging="720"/>
        <w:rPr>
          <w:rFonts w:ascii="Tahoma" w:eastAsia="Arial" w:hAnsi="Tahoma" w:cs="Tahoma"/>
          <w:b/>
          <w:bCs/>
          <w:color w:val="000000" w:themeColor="text1"/>
          <w:sz w:val="24"/>
          <w:szCs w:val="24"/>
        </w:rPr>
      </w:pPr>
      <w:r w:rsidRPr="00F86D91">
        <w:rPr>
          <w:rFonts w:ascii="Tahoma" w:eastAsia="Arial" w:hAnsi="Tahoma" w:cs="Tahoma"/>
          <w:color w:val="000000" w:themeColor="text1"/>
          <w:sz w:val="24"/>
          <w:szCs w:val="24"/>
        </w:rPr>
        <w:t>A4</w:t>
      </w:r>
      <w:r w:rsidR="00BA5925" w:rsidRPr="00F86D91">
        <w:rPr>
          <w:rFonts w:ascii="Tahoma" w:eastAsia="Arial" w:hAnsi="Tahoma" w:cs="Tahoma"/>
          <w:b/>
          <w:bCs/>
          <w:color w:val="000000" w:themeColor="text1"/>
          <w:sz w:val="24"/>
          <w:szCs w:val="24"/>
        </w:rPr>
        <w:t xml:space="preserve">. </w:t>
      </w:r>
      <w:r w:rsidRPr="00F86D91">
        <w:rPr>
          <w:rFonts w:ascii="Tahoma" w:eastAsia="Arial" w:hAnsi="Tahoma" w:cs="Tahoma"/>
          <w:b/>
          <w:bCs/>
          <w:color w:val="000000" w:themeColor="text1"/>
          <w:sz w:val="24"/>
          <w:szCs w:val="24"/>
        </w:rPr>
        <w:tab/>
      </w:r>
      <w:r w:rsidRPr="00F86D91">
        <w:rPr>
          <w:rFonts w:ascii="Tahoma" w:eastAsia="Tahoma" w:hAnsi="Tahoma" w:cs="Tahoma"/>
          <w:sz w:val="24"/>
          <w:szCs w:val="24"/>
        </w:rPr>
        <w:t xml:space="preserve">Yes, the solicitation manual states, “This solicitation is open to all public and private entities including California Native American Tribes, and California Tribal Organizations serving California Native American Tribes. Ineligible applicants include investor-owned utilities. The CEC encourages (but does not require) owners of the government fleet to be served to act as the primary applicant. The CEC notes that Electric Vehicle Service Providers may serve as the primary applicant. Please also note that primary applicants must forgo profit” (Section II.A., page </w:t>
      </w:r>
      <w:r w:rsidR="00EF2C6A">
        <w:rPr>
          <w:rFonts w:ascii="Tahoma" w:eastAsia="Tahoma" w:hAnsi="Tahoma" w:cs="Tahoma"/>
          <w:sz w:val="24"/>
          <w:szCs w:val="24"/>
        </w:rPr>
        <w:t>8</w:t>
      </w:r>
      <w:r w:rsidRPr="00F86D91">
        <w:rPr>
          <w:rFonts w:ascii="Tahoma" w:eastAsia="Tahoma" w:hAnsi="Tahoma" w:cs="Tahoma"/>
          <w:sz w:val="24"/>
          <w:szCs w:val="24"/>
        </w:rPr>
        <w:t xml:space="preserve">, </w:t>
      </w:r>
      <w:r w:rsidRPr="00F86D91">
        <w:rPr>
          <w:rFonts w:ascii="Tahoma" w:eastAsia="Arial" w:hAnsi="Tahoma" w:cs="Tahoma"/>
          <w:color w:val="000000" w:themeColor="text1"/>
          <w:sz w:val="24"/>
          <w:szCs w:val="24"/>
        </w:rPr>
        <w:t xml:space="preserve">“Applicant </w:t>
      </w:r>
      <w:r w:rsidR="00982E23" w:rsidRPr="00F86D91">
        <w:rPr>
          <w:rFonts w:ascii="Tahoma" w:eastAsia="Arial" w:hAnsi="Tahoma" w:cs="Tahoma"/>
          <w:color w:val="000000" w:themeColor="text1"/>
          <w:sz w:val="24"/>
          <w:szCs w:val="24"/>
        </w:rPr>
        <w:t>Requirements</w:t>
      </w:r>
      <w:r w:rsidRPr="00F86D91">
        <w:rPr>
          <w:rFonts w:ascii="Tahoma" w:eastAsia="Arial" w:hAnsi="Tahoma" w:cs="Tahoma"/>
          <w:color w:val="000000" w:themeColor="text1"/>
          <w:sz w:val="24"/>
          <w:szCs w:val="24"/>
        </w:rPr>
        <w:t>”, Solicitation Manual)</w:t>
      </w:r>
      <w:r w:rsidR="00093644" w:rsidRPr="00F86D91">
        <w:rPr>
          <w:rFonts w:ascii="Tahoma" w:eastAsia="Arial" w:hAnsi="Tahoma" w:cs="Tahoma"/>
          <w:color w:val="000000" w:themeColor="text1"/>
          <w:sz w:val="24"/>
          <w:szCs w:val="24"/>
        </w:rPr>
        <w:t>.</w:t>
      </w:r>
    </w:p>
    <w:p w14:paraId="6021F2B2" w14:textId="723B3633" w:rsidR="00FA7319" w:rsidRPr="00F86D91" w:rsidRDefault="00FA7319" w:rsidP="53234C4C">
      <w:pPr>
        <w:spacing w:after="0" w:line="240" w:lineRule="auto"/>
        <w:ind w:left="720" w:hanging="720"/>
        <w:rPr>
          <w:rFonts w:ascii="Tahoma" w:eastAsia="Arial" w:hAnsi="Tahoma" w:cs="Tahoma"/>
          <w:color w:val="000000" w:themeColor="text1"/>
          <w:sz w:val="24"/>
          <w:szCs w:val="24"/>
        </w:rPr>
      </w:pPr>
    </w:p>
    <w:p w14:paraId="184BCC62" w14:textId="210B5CC0" w:rsidR="00FA7319" w:rsidRPr="00F86D91" w:rsidRDefault="00FA7319" w:rsidP="53234C4C">
      <w:pPr>
        <w:spacing w:after="0" w:line="240" w:lineRule="auto"/>
        <w:ind w:left="720" w:hanging="720"/>
        <w:rPr>
          <w:rFonts w:ascii="Tahoma" w:eastAsia="Arial" w:hAnsi="Tahoma" w:cs="Tahoma"/>
          <w:color w:val="000000" w:themeColor="text1"/>
          <w:sz w:val="24"/>
          <w:szCs w:val="24"/>
        </w:rPr>
      </w:pPr>
    </w:p>
    <w:p w14:paraId="7EC887FC" w14:textId="0805B7B5" w:rsidR="00FA7319" w:rsidRPr="00F86D91" w:rsidRDefault="77AC68CD" w:rsidP="44A3F00F">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F516E1" w:rsidRPr="00F86D91">
        <w:rPr>
          <w:rFonts w:ascii="Tahoma" w:eastAsia="Arial" w:hAnsi="Tahoma" w:cs="Tahoma"/>
          <w:b/>
          <w:bCs/>
          <w:color w:val="000000" w:themeColor="text1"/>
          <w:sz w:val="24"/>
          <w:szCs w:val="24"/>
        </w:rPr>
        <w:t>5</w:t>
      </w:r>
      <w:r w:rsidRPr="00F86D91">
        <w:rPr>
          <w:rFonts w:ascii="Tahoma" w:eastAsia="Arial" w:hAnsi="Tahoma" w:cs="Tahoma"/>
          <w:b/>
          <w:bCs/>
          <w:color w:val="000000" w:themeColor="text1"/>
          <w:sz w:val="24"/>
          <w:szCs w:val="24"/>
        </w:rPr>
        <w:t>.</w:t>
      </w:r>
      <w:r w:rsidR="661E29FA" w:rsidRPr="00F86D91">
        <w:rPr>
          <w:rFonts w:ascii="Tahoma" w:hAnsi="Tahoma" w:cs="Tahoma"/>
        </w:rPr>
        <w:tab/>
      </w:r>
      <w:r w:rsidR="5A037221" w:rsidRPr="00F86D91">
        <w:rPr>
          <w:rFonts w:ascii="Tahoma" w:eastAsia="Arial" w:hAnsi="Tahoma" w:cs="Tahoma"/>
          <w:b/>
          <w:bCs/>
          <w:color w:val="000000" w:themeColor="text1"/>
          <w:sz w:val="24"/>
          <w:szCs w:val="24"/>
        </w:rPr>
        <w:t xml:space="preserve">Can a single applicant submit multiple applications for the same government entity so long as the government fleets being supported are different? </w:t>
      </w:r>
    </w:p>
    <w:p w14:paraId="2DF9AE31" w14:textId="15E9D8E9" w:rsidR="00FA7319" w:rsidRPr="00F86D91" w:rsidRDefault="00FA7319" w:rsidP="53234C4C">
      <w:pPr>
        <w:spacing w:after="0" w:line="240" w:lineRule="auto"/>
        <w:ind w:left="720" w:hanging="720"/>
        <w:rPr>
          <w:rFonts w:ascii="Tahoma" w:eastAsia="Arial" w:hAnsi="Tahoma" w:cs="Tahoma"/>
          <w:b/>
          <w:bCs/>
          <w:color w:val="000000" w:themeColor="text1"/>
          <w:sz w:val="24"/>
          <w:szCs w:val="24"/>
        </w:rPr>
      </w:pPr>
    </w:p>
    <w:p w14:paraId="59E2FEC4" w14:textId="00342D6A" w:rsidR="00FA7319" w:rsidRPr="00F86D91" w:rsidRDefault="661E29FA" w:rsidP="44A3F00F">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F516E1" w:rsidRPr="00F86D91">
        <w:rPr>
          <w:rFonts w:ascii="Tahoma" w:eastAsia="Arial" w:hAnsi="Tahoma" w:cs="Tahoma"/>
          <w:color w:val="000000" w:themeColor="text1"/>
          <w:sz w:val="24"/>
          <w:szCs w:val="24"/>
        </w:rPr>
        <w:t>5</w:t>
      </w:r>
      <w:r w:rsidRPr="00F86D91">
        <w:rPr>
          <w:rFonts w:ascii="Tahoma" w:eastAsia="Arial" w:hAnsi="Tahoma" w:cs="Tahoma"/>
          <w:color w:val="000000" w:themeColor="text1"/>
          <w:sz w:val="24"/>
          <w:szCs w:val="24"/>
        </w:rPr>
        <w:t>.</w:t>
      </w:r>
      <w:r w:rsidRPr="00F86D91">
        <w:rPr>
          <w:rFonts w:ascii="Tahoma" w:hAnsi="Tahoma" w:cs="Tahoma"/>
        </w:rPr>
        <w:tab/>
      </w:r>
      <w:r w:rsidR="5BBDBCE0" w:rsidRPr="00F86D91">
        <w:rPr>
          <w:rFonts w:ascii="Tahoma" w:eastAsia="Arial" w:hAnsi="Tahoma" w:cs="Tahoma"/>
          <w:color w:val="000000" w:themeColor="text1"/>
          <w:sz w:val="24"/>
          <w:szCs w:val="24"/>
        </w:rPr>
        <w:t>Ye</w:t>
      </w:r>
      <w:r w:rsidR="00BB2E4D" w:rsidRPr="00F86D91">
        <w:rPr>
          <w:rFonts w:ascii="Tahoma" w:eastAsia="Arial" w:hAnsi="Tahoma" w:cs="Tahoma"/>
          <w:color w:val="000000" w:themeColor="text1"/>
          <w:sz w:val="24"/>
          <w:szCs w:val="24"/>
        </w:rPr>
        <w:t>s</w:t>
      </w:r>
      <w:r w:rsidR="00061CC5" w:rsidRPr="00F86D91">
        <w:rPr>
          <w:rFonts w:ascii="Tahoma" w:eastAsia="Arial" w:hAnsi="Tahoma" w:cs="Tahoma"/>
          <w:color w:val="000000" w:themeColor="text1"/>
          <w:sz w:val="24"/>
          <w:szCs w:val="24"/>
        </w:rPr>
        <w:t>, as</w:t>
      </w:r>
      <w:r w:rsidR="00BB2E4D" w:rsidRPr="00F86D91">
        <w:rPr>
          <w:rFonts w:ascii="Tahoma" w:eastAsia="Arial" w:hAnsi="Tahoma" w:cs="Tahoma"/>
          <w:color w:val="000000" w:themeColor="text1"/>
          <w:sz w:val="24"/>
          <w:szCs w:val="24"/>
        </w:rPr>
        <w:t xml:space="preserve"> clarified in the addended solicitation manual, “</w:t>
      </w:r>
      <w:r w:rsidR="00174D8B" w:rsidRPr="00F86D91">
        <w:rPr>
          <w:rFonts w:ascii="Tahoma" w:hAnsi="Tahoma" w:cs="Tahoma"/>
          <w:sz w:val="24"/>
          <w:szCs w:val="24"/>
        </w:rPr>
        <w:t>Applicants may submit multiple applications under this solicitation. Each application must be separate and distinct (i.e. an applicant cannot submit multiple applications that serve the same fleet or fleets),</w:t>
      </w:r>
      <w:r w:rsidR="00322213" w:rsidRPr="00F86D91">
        <w:rPr>
          <w:rFonts w:ascii="Tahoma" w:hAnsi="Tahoma" w:cs="Tahoma"/>
          <w:sz w:val="24"/>
          <w:szCs w:val="24"/>
        </w:rPr>
        <w:t xml:space="preserve"> </w:t>
      </w:r>
      <w:r w:rsidR="00174D8B" w:rsidRPr="00F86D91">
        <w:rPr>
          <w:rFonts w:ascii="Tahoma" w:hAnsi="Tahoma" w:cs="Tahoma"/>
          <w:sz w:val="24"/>
          <w:szCs w:val="24"/>
        </w:rPr>
        <w:t>and adhere to all requirements contained in this solicitation. A single application may include multiple fleets (e.g. Police Department fleets, Fire Department fleets, Parks and Recreation fleets, Waste Department fleets, etc.) owned, leased, and/or operated by</w:t>
      </w:r>
      <w:r w:rsidR="00300419" w:rsidRPr="00F86D91">
        <w:rPr>
          <w:rFonts w:ascii="Tahoma" w:hAnsi="Tahoma" w:cs="Tahoma"/>
          <w:sz w:val="24"/>
          <w:szCs w:val="24"/>
        </w:rPr>
        <w:t xml:space="preserve"> </w:t>
      </w:r>
      <w:r w:rsidR="00174D8B" w:rsidRPr="00F86D91">
        <w:rPr>
          <w:rFonts w:ascii="Tahoma" w:hAnsi="Tahoma" w:cs="Tahoma"/>
          <w:sz w:val="24"/>
          <w:szCs w:val="24"/>
        </w:rPr>
        <w:t>the same government</w:t>
      </w:r>
      <w:r w:rsidR="00303DE5" w:rsidRPr="00F86D91">
        <w:rPr>
          <w:rFonts w:ascii="Tahoma" w:hAnsi="Tahoma" w:cs="Tahoma"/>
          <w:sz w:val="24"/>
          <w:szCs w:val="24"/>
        </w:rPr>
        <w:t xml:space="preserve"> entity</w:t>
      </w:r>
      <w:r w:rsidR="00174D8B" w:rsidRPr="00F86D91">
        <w:rPr>
          <w:rFonts w:ascii="Tahoma" w:hAnsi="Tahoma" w:cs="Tahoma"/>
          <w:sz w:val="24"/>
          <w:szCs w:val="24"/>
        </w:rPr>
        <w:t>. See Section II.B.1. for definitions of government fleets and government entities</w:t>
      </w:r>
      <w:r w:rsidR="0006205E" w:rsidRPr="00F86D91">
        <w:rPr>
          <w:rFonts w:ascii="Tahoma" w:hAnsi="Tahoma" w:cs="Tahoma"/>
          <w:sz w:val="24"/>
          <w:szCs w:val="24"/>
        </w:rPr>
        <w:t>” (Section I.H.</w:t>
      </w:r>
      <w:r w:rsidR="00D35024" w:rsidRPr="00F86D91">
        <w:rPr>
          <w:rFonts w:ascii="Tahoma" w:hAnsi="Tahoma" w:cs="Tahoma"/>
          <w:sz w:val="24"/>
          <w:szCs w:val="24"/>
        </w:rPr>
        <w:t xml:space="preserve">, page 3, </w:t>
      </w:r>
      <w:r w:rsidR="00061CC5" w:rsidRPr="00F86D91">
        <w:rPr>
          <w:rFonts w:ascii="Tahoma" w:hAnsi="Tahoma" w:cs="Tahoma"/>
          <w:sz w:val="24"/>
          <w:szCs w:val="24"/>
        </w:rPr>
        <w:t>“</w:t>
      </w:r>
      <w:r w:rsidR="00D35024" w:rsidRPr="00F86D91">
        <w:rPr>
          <w:rFonts w:ascii="Tahoma" w:hAnsi="Tahoma" w:cs="Tahoma"/>
          <w:sz w:val="24"/>
          <w:szCs w:val="24"/>
        </w:rPr>
        <w:t>Maximum Number of Application</w:t>
      </w:r>
      <w:r w:rsidR="00674292" w:rsidRPr="00F86D91">
        <w:rPr>
          <w:rFonts w:ascii="Tahoma" w:eastAsia="Arial" w:hAnsi="Tahoma" w:cs="Tahoma"/>
          <w:color w:val="000000" w:themeColor="text1"/>
          <w:sz w:val="24"/>
          <w:szCs w:val="24"/>
        </w:rPr>
        <w:t>s</w:t>
      </w:r>
      <w:r w:rsidR="00061CC5" w:rsidRPr="00F86D91">
        <w:rPr>
          <w:rFonts w:ascii="Tahoma" w:eastAsia="Arial" w:hAnsi="Tahoma" w:cs="Tahoma"/>
          <w:color w:val="000000" w:themeColor="text1"/>
          <w:sz w:val="24"/>
          <w:szCs w:val="24"/>
        </w:rPr>
        <w:t>”</w:t>
      </w:r>
      <w:r w:rsidR="00674292" w:rsidRPr="00F86D91">
        <w:rPr>
          <w:rFonts w:ascii="Tahoma" w:eastAsia="Arial" w:hAnsi="Tahoma" w:cs="Tahoma"/>
          <w:color w:val="000000" w:themeColor="text1"/>
          <w:sz w:val="24"/>
          <w:szCs w:val="24"/>
        </w:rPr>
        <w:t xml:space="preserve">, </w:t>
      </w:r>
      <w:r w:rsidR="00061CC5" w:rsidRPr="00F86D91">
        <w:rPr>
          <w:rFonts w:ascii="Tahoma" w:eastAsia="Arial" w:hAnsi="Tahoma" w:cs="Tahoma"/>
          <w:color w:val="000000" w:themeColor="text1"/>
          <w:sz w:val="24"/>
          <w:szCs w:val="24"/>
        </w:rPr>
        <w:t>S</w:t>
      </w:r>
      <w:r w:rsidR="00674292" w:rsidRPr="00F86D91">
        <w:rPr>
          <w:rFonts w:ascii="Tahoma" w:eastAsia="Arial" w:hAnsi="Tahoma" w:cs="Tahoma"/>
          <w:color w:val="000000" w:themeColor="text1"/>
          <w:sz w:val="24"/>
          <w:szCs w:val="24"/>
        </w:rPr>
        <w:t xml:space="preserve">olicitation </w:t>
      </w:r>
      <w:r w:rsidR="00061CC5" w:rsidRPr="00F86D91">
        <w:rPr>
          <w:rFonts w:ascii="Tahoma" w:eastAsia="Arial" w:hAnsi="Tahoma" w:cs="Tahoma"/>
          <w:color w:val="000000" w:themeColor="text1"/>
          <w:sz w:val="24"/>
          <w:szCs w:val="24"/>
        </w:rPr>
        <w:t>M</w:t>
      </w:r>
      <w:r w:rsidR="00674292" w:rsidRPr="00F86D91">
        <w:rPr>
          <w:rFonts w:ascii="Tahoma" w:eastAsia="Arial" w:hAnsi="Tahoma" w:cs="Tahoma"/>
          <w:color w:val="000000" w:themeColor="text1"/>
          <w:sz w:val="24"/>
          <w:szCs w:val="24"/>
        </w:rPr>
        <w:t>anual</w:t>
      </w:r>
      <w:r w:rsidR="006931CA" w:rsidRPr="00F86D91">
        <w:rPr>
          <w:rFonts w:ascii="Tahoma" w:eastAsia="Arial" w:hAnsi="Tahoma" w:cs="Tahoma"/>
          <w:color w:val="000000" w:themeColor="text1"/>
          <w:sz w:val="24"/>
          <w:szCs w:val="24"/>
        </w:rPr>
        <w:t>).</w:t>
      </w:r>
    </w:p>
    <w:p w14:paraId="6DC66D80" w14:textId="77777777" w:rsidR="00AD3CB3" w:rsidRPr="00F86D91" w:rsidRDefault="00AD3CB3" w:rsidP="44A3F00F">
      <w:pPr>
        <w:spacing w:after="0" w:line="240" w:lineRule="auto"/>
        <w:ind w:left="720" w:hanging="720"/>
        <w:rPr>
          <w:rFonts w:ascii="Tahoma" w:eastAsia="Arial" w:hAnsi="Tahoma" w:cs="Tahoma"/>
          <w:color w:val="000000" w:themeColor="text1"/>
          <w:sz w:val="24"/>
          <w:szCs w:val="24"/>
        </w:rPr>
      </w:pPr>
    </w:p>
    <w:p w14:paraId="01D78B78" w14:textId="210B5CC0" w:rsidR="00FA7319" w:rsidRPr="00F86D91" w:rsidRDefault="00FA7319" w:rsidP="44A3F00F">
      <w:pPr>
        <w:spacing w:after="0" w:line="240" w:lineRule="auto"/>
        <w:ind w:left="720" w:hanging="720"/>
        <w:rPr>
          <w:rFonts w:ascii="Tahoma" w:eastAsia="Arial" w:hAnsi="Tahoma" w:cs="Tahoma"/>
          <w:color w:val="000000" w:themeColor="text1"/>
          <w:sz w:val="24"/>
          <w:szCs w:val="24"/>
        </w:rPr>
      </w:pPr>
    </w:p>
    <w:p w14:paraId="660977E1" w14:textId="7C2CD737" w:rsidR="00FA7319" w:rsidRPr="00F86D91" w:rsidRDefault="734E7E46" w:rsidP="44A3F00F">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6931CA" w:rsidRPr="00F86D91">
        <w:rPr>
          <w:rFonts w:ascii="Tahoma" w:eastAsia="Arial" w:hAnsi="Tahoma" w:cs="Tahoma"/>
          <w:b/>
          <w:bCs/>
          <w:color w:val="000000" w:themeColor="text1"/>
          <w:sz w:val="24"/>
          <w:szCs w:val="24"/>
        </w:rPr>
        <w:t>6</w:t>
      </w:r>
      <w:r w:rsidRPr="00F86D91">
        <w:rPr>
          <w:rFonts w:ascii="Tahoma" w:eastAsia="Arial" w:hAnsi="Tahoma" w:cs="Tahoma"/>
          <w:b/>
          <w:bCs/>
          <w:color w:val="000000" w:themeColor="text1"/>
          <w:sz w:val="24"/>
          <w:szCs w:val="24"/>
        </w:rPr>
        <w:t>.</w:t>
      </w:r>
      <w:r w:rsidRPr="00F86D91">
        <w:rPr>
          <w:rFonts w:ascii="Tahoma" w:hAnsi="Tahoma" w:cs="Tahoma"/>
        </w:rPr>
        <w:tab/>
      </w:r>
      <w:r w:rsidRPr="00F86D91">
        <w:rPr>
          <w:rFonts w:ascii="Tahoma" w:eastAsia="Arial" w:hAnsi="Tahoma" w:cs="Tahoma"/>
          <w:b/>
          <w:bCs/>
          <w:color w:val="000000" w:themeColor="text1"/>
          <w:sz w:val="24"/>
          <w:szCs w:val="24"/>
        </w:rPr>
        <w:t xml:space="preserve">Can multiple applicants submit their own applications that support fleets owned, leased </w:t>
      </w:r>
      <w:r w:rsidR="00AD3CB3" w:rsidRPr="00F86D91">
        <w:rPr>
          <w:rFonts w:ascii="Tahoma" w:eastAsia="Arial" w:hAnsi="Tahoma" w:cs="Tahoma"/>
          <w:b/>
          <w:bCs/>
          <w:color w:val="000000" w:themeColor="text1"/>
          <w:sz w:val="24"/>
          <w:szCs w:val="24"/>
        </w:rPr>
        <w:t>and/</w:t>
      </w:r>
      <w:r w:rsidRPr="00F86D91">
        <w:rPr>
          <w:rFonts w:ascii="Tahoma" w:eastAsia="Arial" w:hAnsi="Tahoma" w:cs="Tahoma"/>
          <w:b/>
          <w:bCs/>
          <w:color w:val="000000" w:themeColor="text1"/>
          <w:sz w:val="24"/>
          <w:szCs w:val="24"/>
        </w:rPr>
        <w:t>or operated by the same government entity, so long as the government fleets being supported are different?</w:t>
      </w:r>
    </w:p>
    <w:p w14:paraId="79BCE1C3" w14:textId="15E9D8E9" w:rsidR="00FA7319" w:rsidRPr="00F86D91" w:rsidRDefault="00FA7319" w:rsidP="44A3F00F">
      <w:pPr>
        <w:spacing w:after="0" w:line="240" w:lineRule="auto"/>
        <w:ind w:left="720" w:hanging="720"/>
        <w:rPr>
          <w:rFonts w:ascii="Tahoma" w:eastAsia="Arial" w:hAnsi="Tahoma" w:cs="Tahoma"/>
          <w:b/>
          <w:bCs/>
          <w:color w:val="000000" w:themeColor="text1"/>
          <w:sz w:val="24"/>
          <w:szCs w:val="24"/>
        </w:rPr>
      </w:pPr>
    </w:p>
    <w:p w14:paraId="602AA177" w14:textId="0161EA82" w:rsidR="00FA7319" w:rsidRPr="00F86D91" w:rsidRDefault="734E7E46" w:rsidP="00132D6D">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6931CA" w:rsidRPr="00F86D91">
        <w:rPr>
          <w:rFonts w:ascii="Tahoma" w:eastAsia="Arial" w:hAnsi="Tahoma" w:cs="Tahoma"/>
          <w:color w:val="000000" w:themeColor="text1"/>
          <w:sz w:val="24"/>
          <w:szCs w:val="24"/>
        </w:rPr>
        <w:t>6</w:t>
      </w:r>
      <w:r w:rsidRPr="00F86D91">
        <w:rPr>
          <w:rFonts w:ascii="Tahoma" w:eastAsia="Arial" w:hAnsi="Tahoma" w:cs="Tahoma"/>
          <w:color w:val="000000" w:themeColor="text1"/>
          <w:sz w:val="24"/>
          <w:szCs w:val="24"/>
        </w:rPr>
        <w:t>.</w:t>
      </w:r>
      <w:r w:rsidRPr="00F86D91">
        <w:rPr>
          <w:rFonts w:ascii="Tahoma" w:hAnsi="Tahoma" w:cs="Tahoma"/>
        </w:rPr>
        <w:tab/>
      </w:r>
      <w:r w:rsidR="00322213" w:rsidRPr="00F86D91">
        <w:rPr>
          <w:rFonts w:ascii="Tahoma" w:eastAsia="Arial" w:hAnsi="Tahoma" w:cs="Tahoma"/>
          <w:color w:val="000000" w:themeColor="text1"/>
          <w:sz w:val="24"/>
          <w:szCs w:val="24"/>
        </w:rPr>
        <w:t>Yes, as clarified in the addended solicitation manual, “</w:t>
      </w:r>
      <w:r w:rsidR="00322213" w:rsidRPr="00F86D91">
        <w:rPr>
          <w:rFonts w:ascii="Tahoma" w:hAnsi="Tahoma" w:cs="Tahoma"/>
          <w:sz w:val="24"/>
          <w:szCs w:val="24"/>
        </w:rPr>
        <w:t>Applicants may submit multiple applications under this solicitation. Each application must be separate and distinct (i.e. an applicant cannot submit multiple applications that serve the same fleet or fleets),</w:t>
      </w:r>
      <w:r w:rsidR="007B57B8" w:rsidRPr="00F86D91">
        <w:rPr>
          <w:rFonts w:ascii="Tahoma" w:hAnsi="Tahoma" w:cs="Tahoma"/>
          <w:sz w:val="24"/>
          <w:szCs w:val="24"/>
        </w:rPr>
        <w:t xml:space="preserve"> </w:t>
      </w:r>
      <w:r w:rsidR="00322213" w:rsidRPr="00F86D91">
        <w:rPr>
          <w:rFonts w:ascii="Tahoma" w:hAnsi="Tahoma" w:cs="Tahoma"/>
          <w:sz w:val="24"/>
          <w:szCs w:val="24"/>
        </w:rPr>
        <w:t>and adhere to all requirements contained in this solicitation</w:t>
      </w:r>
      <w:r w:rsidR="007853D2" w:rsidRPr="00F86D91">
        <w:rPr>
          <w:rFonts w:ascii="Tahoma" w:hAnsi="Tahoma" w:cs="Tahoma"/>
          <w:sz w:val="24"/>
          <w:szCs w:val="24"/>
        </w:rPr>
        <w:t>.</w:t>
      </w:r>
      <w:r w:rsidR="00936640" w:rsidRPr="00F86D91">
        <w:rPr>
          <w:rFonts w:ascii="Tahoma" w:hAnsi="Tahoma" w:cs="Tahoma"/>
          <w:sz w:val="24"/>
          <w:szCs w:val="24"/>
        </w:rPr>
        <w:t>.</w:t>
      </w:r>
      <w:r w:rsidR="007853D2" w:rsidRPr="00F86D91">
        <w:rPr>
          <w:rFonts w:ascii="Tahoma" w:hAnsi="Tahoma" w:cs="Tahoma"/>
          <w:sz w:val="24"/>
          <w:szCs w:val="24"/>
        </w:rPr>
        <w:t>. See Section II.B.1. for definitions of government fleets and government entities” (Section I.H., page 3, “Maximum Number of Application</w:t>
      </w:r>
      <w:r w:rsidR="007853D2" w:rsidRPr="00F86D91">
        <w:rPr>
          <w:rFonts w:ascii="Tahoma" w:eastAsia="Arial" w:hAnsi="Tahoma" w:cs="Tahoma"/>
          <w:color w:val="000000" w:themeColor="text1"/>
          <w:sz w:val="24"/>
          <w:szCs w:val="24"/>
        </w:rPr>
        <w:t>s”, Solicitation Manual).</w:t>
      </w:r>
    </w:p>
    <w:p w14:paraId="20601749" w14:textId="5BFFFA63" w:rsidR="00FA7319" w:rsidRPr="00F86D91" w:rsidRDefault="00FA7319" w:rsidP="44A3F00F">
      <w:pPr>
        <w:spacing w:after="0" w:line="240" w:lineRule="auto"/>
        <w:ind w:left="720" w:hanging="720"/>
        <w:rPr>
          <w:rFonts w:ascii="Tahoma" w:eastAsia="Arial" w:hAnsi="Tahoma" w:cs="Tahoma"/>
          <w:color w:val="000000" w:themeColor="text1"/>
          <w:sz w:val="24"/>
          <w:szCs w:val="24"/>
        </w:rPr>
      </w:pPr>
    </w:p>
    <w:p w14:paraId="3510E00B" w14:textId="10C558CE" w:rsidR="00FA7319" w:rsidRPr="00F86D91" w:rsidRDefault="661E29FA" w:rsidP="13BF8754">
      <w:pPr>
        <w:spacing w:after="0" w:line="240" w:lineRule="auto"/>
        <w:ind w:left="720" w:hanging="720"/>
        <w:rPr>
          <w:rFonts w:ascii="Tahoma" w:eastAsia="Arial" w:hAnsi="Tahoma" w:cs="Tahoma"/>
          <w:sz w:val="24"/>
          <w:szCs w:val="24"/>
        </w:rPr>
      </w:pPr>
      <w:r w:rsidRPr="00F86D91">
        <w:rPr>
          <w:rFonts w:ascii="Tahoma" w:eastAsia="Arial" w:hAnsi="Tahoma" w:cs="Tahoma"/>
          <w:b/>
          <w:bCs/>
          <w:color w:val="000000" w:themeColor="text1"/>
          <w:sz w:val="24"/>
          <w:szCs w:val="24"/>
        </w:rPr>
        <w:lastRenderedPageBreak/>
        <w:t>Q</w:t>
      </w:r>
      <w:r w:rsidR="00F00FB1" w:rsidRPr="00F86D91">
        <w:rPr>
          <w:rFonts w:ascii="Tahoma" w:eastAsia="Arial" w:hAnsi="Tahoma" w:cs="Tahoma"/>
          <w:b/>
          <w:bCs/>
          <w:color w:val="000000" w:themeColor="text1"/>
          <w:sz w:val="24"/>
          <w:szCs w:val="24"/>
        </w:rPr>
        <w:t>7</w:t>
      </w:r>
      <w:r w:rsidRPr="00F86D91">
        <w:rPr>
          <w:rFonts w:ascii="Tahoma" w:eastAsia="Arial" w:hAnsi="Tahoma" w:cs="Tahoma"/>
          <w:b/>
          <w:bCs/>
          <w:color w:val="000000" w:themeColor="text1"/>
          <w:sz w:val="24"/>
          <w:szCs w:val="24"/>
        </w:rPr>
        <w:t>.</w:t>
      </w:r>
      <w:r w:rsidRPr="00F86D91">
        <w:rPr>
          <w:rFonts w:ascii="Tahoma" w:hAnsi="Tahoma" w:cs="Tahoma"/>
        </w:rPr>
        <w:tab/>
      </w:r>
      <w:r w:rsidR="0E369E8C" w:rsidRPr="00F86D91">
        <w:rPr>
          <w:rFonts w:ascii="Tahoma" w:eastAsia="Arial" w:hAnsi="Tahoma" w:cs="Tahoma"/>
          <w:b/>
          <w:bCs/>
          <w:color w:val="000000" w:themeColor="text1"/>
          <w:sz w:val="24"/>
          <w:szCs w:val="24"/>
        </w:rPr>
        <w:t>Could a regional agency such as a</w:t>
      </w:r>
      <w:r w:rsidR="28EF178E" w:rsidRPr="00F86D91">
        <w:rPr>
          <w:rFonts w:ascii="Tahoma" w:eastAsia="Arial" w:hAnsi="Tahoma" w:cs="Tahoma"/>
          <w:b/>
          <w:bCs/>
          <w:color w:val="000000" w:themeColor="text1"/>
          <w:sz w:val="24"/>
          <w:szCs w:val="24"/>
        </w:rPr>
        <w:t xml:space="preserve"> Joint Powers Agency (JPA) or Council of Governments</w:t>
      </w:r>
      <w:r w:rsidR="0E369E8C" w:rsidRPr="00F86D91">
        <w:rPr>
          <w:rFonts w:ascii="Tahoma" w:eastAsia="Arial" w:hAnsi="Tahoma" w:cs="Tahoma"/>
          <w:b/>
          <w:bCs/>
          <w:color w:val="000000" w:themeColor="text1"/>
          <w:sz w:val="24"/>
          <w:szCs w:val="24"/>
        </w:rPr>
        <w:t xml:space="preserve"> </w:t>
      </w:r>
      <w:r w:rsidR="2CB76D65" w:rsidRPr="00F86D91">
        <w:rPr>
          <w:rFonts w:ascii="Tahoma" w:eastAsia="Arial" w:hAnsi="Tahoma" w:cs="Tahoma"/>
          <w:b/>
          <w:bCs/>
          <w:color w:val="000000" w:themeColor="text1"/>
          <w:sz w:val="24"/>
          <w:szCs w:val="24"/>
        </w:rPr>
        <w:t>(</w:t>
      </w:r>
      <w:r w:rsidR="0E369E8C" w:rsidRPr="00F86D91">
        <w:rPr>
          <w:rFonts w:ascii="Tahoma" w:eastAsia="Arial" w:hAnsi="Tahoma" w:cs="Tahoma"/>
          <w:b/>
          <w:bCs/>
          <w:color w:val="000000" w:themeColor="text1"/>
          <w:sz w:val="24"/>
          <w:szCs w:val="24"/>
        </w:rPr>
        <w:t>COG</w:t>
      </w:r>
      <w:r w:rsidR="74AF9646" w:rsidRPr="00F86D91">
        <w:rPr>
          <w:rFonts w:ascii="Tahoma" w:eastAsia="Arial" w:hAnsi="Tahoma" w:cs="Tahoma"/>
          <w:b/>
          <w:bCs/>
          <w:color w:val="000000" w:themeColor="text1"/>
          <w:sz w:val="24"/>
          <w:szCs w:val="24"/>
        </w:rPr>
        <w:t>)</w:t>
      </w:r>
      <w:r w:rsidR="0E369E8C" w:rsidRPr="00F86D91">
        <w:rPr>
          <w:rFonts w:ascii="Tahoma" w:eastAsia="Arial" w:hAnsi="Tahoma" w:cs="Tahoma"/>
          <w:b/>
          <w:bCs/>
          <w:color w:val="000000" w:themeColor="text1"/>
          <w:sz w:val="24"/>
          <w:szCs w:val="24"/>
        </w:rPr>
        <w:t xml:space="preserve"> </w:t>
      </w:r>
      <w:r w:rsidR="230CB34C" w:rsidRPr="00F86D91">
        <w:rPr>
          <w:rFonts w:ascii="Tahoma" w:eastAsia="Arial" w:hAnsi="Tahoma" w:cs="Tahoma"/>
          <w:b/>
          <w:bCs/>
          <w:color w:val="000000" w:themeColor="text1"/>
          <w:sz w:val="24"/>
          <w:szCs w:val="24"/>
        </w:rPr>
        <w:t xml:space="preserve">submit </w:t>
      </w:r>
      <w:r w:rsidR="0E369E8C" w:rsidRPr="00F86D91">
        <w:rPr>
          <w:rFonts w:ascii="Tahoma" w:eastAsia="Arial" w:hAnsi="Tahoma" w:cs="Tahoma"/>
          <w:b/>
          <w:bCs/>
          <w:color w:val="000000" w:themeColor="text1"/>
          <w:sz w:val="24"/>
          <w:szCs w:val="24"/>
        </w:rPr>
        <w:t xml:space="preserve">an application </w:t>
      </w:r>
      <w:r w:rsidR="021DB2AB" w:rsidRPr="00F86D91">
        <w:rPr>
          <w:rFonts w:ascii="Tahoma" w:eastAsia="Arial" w:hAnsi="Tahoma" w:cs="Tahoma"/>
          <w:b/>
          <w:bCs/>
          <w:color w:val="000000" w:themeColor="text1"/>
          <w:sz w:val="24"/>
          <w:szCs w:val="24"/>
        </w:rPr>
        <w:t xml:space="preserve">that supports </w:t>
      </w:r>
      <w:r w:rsidR="0EE25306" w:rsidRPr="00F86D91">
        <w:rPr>
          <w:rFonts w:ascii="Tahoma" w:eastAsia="Arial" w:hAnsi="Tahoma" w:cs="Tahoma"/>
          <w:b/>
          <w:bCs/>
          <w:color w:val="000000" w:themeColor="text1"/>
          <w:sz w:val="24"/>
          <w:szCs w:val="24"/>
        </w:rPr>
        <w:t>multiple</w:t>
      </w:r>
      <w:r w:rsidRPr="00F86D91" w:rsidDel="0E369E8C">
        <w:rPr>
          <w:rFonts w:ascii="Tahoma" w:eastAsia="Arial" w:hAnsi="Tahoma" w:cs="Tahoma"/>
          <w:b/>
          <w:bCs/>
          <w:color w:val="000000" w:themeColor="text1"/>
          <w:sz w:val="24"/>
          <w:szCs w:val="24"/>
        </w:rPr>
        <w:t xml:space="preserve"> </w:t>
      </w:r>
      <w:r w:rsidR="4C6AF5D9" w:rsidRPr="00F86D91">
        <w:rPr>
          <w:rFonts w:ascii="Tahoma" w:eastAsia="Arial" w:hAnsi="Tahoma" w:cs="Tahoma"/>
          <w:b/>
          <w:bCs/>
          <w:color w:val="000000" w:themeColor="text1"/>
          <w:sz w:val="24"/>
          <w:szCs w:val="24"/>
        </w:rPr>
        <w:t xml:space="preserve">government </w:t>
      </w:r>
      <w:r w:rsidR="0E369E8C" w:rsidRPr="00F86D91">
        <w:rPr>
          <w:rFonts w:ascii="Tahoma" w:eastAsia="Arial" w:hAnsi="Tahoma" w:cs="Tahoma"/>
          <w:b/>
          <w:bCs/>
          <w:color w:val="000000" w:themeColor="text1"/>
          <w:sz w:val="24"/>
          <w:szCs w:val="24"/>
        </w:rPr>
        <w:t>fleet</w:t>
      </w:r>
      <w:r w:rsidR="5EAB2422" w:rsidRPr="00F86D91">
        <w:rPr>
          <w:rFonts w:ascii="Tahoma" w:eastAsia="Arial" w:hAnsi="Tahoma" w:cs="Tahoma"/>
          <w:b/>
          <w:bCs/>
          <w:color w:val="000000" w:themeColor="text1"/>
          <w:sz w:val="24"/>
          <w:szCs w:val="24"/>
        </w:rPr>
        <w:t>s</w:t>
      </w:r>
      <w:r w:rsidR="0E369E8C" w:rsidRPr="00F86D91">
        <w:rPr>
          <w:rFonts w:ascii="Tahoma" w:eastAsia="Arial" w:hAnsi="Tahoma" w:cs="Tahoma"/>
          <w:b/>
          <w:bCs/>
          <w:color w:val="000000" w:themeColor="text1"/>
          <w:sz w:val="24"/>
          <w:szCs w:val="24"/>
        </w:rPr>
        <w:t>?</w:t>
      </w:r>
    </w:p>
    <w:p w14:paraId="22D78414" w14:textId="716E647A" w:rsidR="00FA7319" w:rsidRPr="00F86D91" w:rsidRDefault="00FA7319" w:rsidP="53234C4C">
      <w:pPr>
        <w:spacing w:after="0" w:line="240" w:lineRule="auto"/>
        <w:ind w:left="720" w:hanging="720"/>
        <w:rPr>
          <w:rFonts w:ascii="Tahoma" w:eastAsia="Arial" w:hAnsi="Tahoma" w:cs="Tahoma"/>
          <w:b/>
          <w:bCs/>
          <w:color w:val="000000" w:themeColor="text1"/>
          <w:sz w:val="24"/>
          <w:szCs w:val="24"/>
        </w:rPr>
      </w:pPr>
    </w:p>
    <w:p w14:paraId="2F0B31E2" w14:textId="7039708C" w:rsidR="00FA7319" w:rsidRPr="00F86D91" w:rsidRDefault="661E29FA" w:rsidP="53234C4C">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F00FB1" w:rsidRPr="00F86D91">
        <w:rPr>
          <w:rFonts w:ascii="Tahoma" w:eastAsia="Arial" w:hAnsi="Tahoma" w:cs="Tahoma"/>
          <w:color w:val="000000" w:themeColor="text1"/>
          <w:sz w:val="24"/>
          <w:szCs w:val="24"/>
        </w:rPr>
        <w:t>7</w:t>
      </w:r>
      <w:r w:rsidRPr="00F86D91">
        <w:rPr>
          <w:rFonts w:ascii="Tahoma" w:eastAsia="Arial" w:hAnsi="Tahoma" w:cs="Tahoma"/>
          <w:color w:val="000000" w:themeColor="text1"/>
          <w:sz w:val="24"/>
          <w:szCs w:val="24"/>
        </w:rPr>
        <w:t>.</w:t>
      </w:r>
      <w:r w:rsidR="00C01ED9" w:rsidRPr="00F86D91">
        <w:rPr>
          <w:rFonts w:ascii="Tahoma" w:hAnsi="Tahoma" w:cs="Tahoma"/>
        </w:rPr>
        <w:tab/>
      </w:r>
      <w:r w:rsidR="00C01ED9" w:rsidRPr="00F86D91">
        <w:rPr>
          <w:rFonts w:ascii="Tahoma" w:eastAsia="Arial" w:hAnsi="Tahoma" w:cs="Tahoma"/>
          <w:color w:val="000000" w:themeColor="text1"/>
          <w:sz w:val="24"/>
          <w:szCs w:val="24"/>
        </w:rPr>
        <w:t>A</w:t>
      </w:r>
      <w:r w:rsidR="5FD5CEB3" w:rsidRPr="00F86D91">
        <w:rPr>
          <w:rFonts w:ascii="Tahoma" w:eastAsia="Arial" w:hAnsi="Tahoma" w:cs="Tahoma"/>
          <w:color w:val="000000" w:themeColor="text1"/>
          <w:sz w:val="24"/>
          <w:szCs w:val="24"/>
        </w:rPr>
        <w:t xml:space="preserve"> regional agency</w:t>
      </w:r>
      <w:r w:rsidR="00C01ED9" w:rsidRPr="00F86D91">
        <w:rPr>
          <w:rFonts w:ascii="Tahoma" w:eastAsia="Arial" w:hAnsi="Tahoma" w:cs="Tahoma"/>
          <w:color w:val="000000" w:themeColor="text1"/>
          <w:sz w:val="24"/>
          <w:szCs w:val="24"/>
        </w:rPr>
        <w:t xml:space="preserve"> can submit an application that</w:t>
      </w:r>
      <w:r w:rsidR="0012197D" w:rsidRPr="00F86D91">
        <w:rPr>
          <w:rFonts w:ascii="Tahoma" w:eastAsia="Arial" w:hAnsi="Tahoma" w:cs="Tahoma"/>
          <w:color w:val="000000" w:themeColor="text1"/>
          <w:sz w:val="24"/>
          <w:szCs w:val="24"/>
        </w:rPr>
        <w:t xml:space="preserve"> supports various government fleets, but each application </w:t>
      </w:r>
      <w:r w:rsidR="00B139DC" w:rsidRPr="00F86D91">
        <w:rPr>
          <w:rFonts w:ascii="Tahoma" w:eastAsia="Arial" w:hAnsi="Tahoma" w:cs="Tahoma"/>
          <w:color w:val="000000" w:themeColor="text1"/>
          <w:sz w:val="24"/>
          <w:szCs w:val="24"/>
        </w:rPr>
        <w:t>must</w:t>
      </w:r>
      <w:r w:rsidR="0012197D" w:rsidRPr="00F86D91">
        <w:rPr>
          <w:rFonts w:ascii="Tahoma" w:eastAsia="Arial" w:hAnsi="Tahoma" w:cs="Tahoma"/>
          <w:color w:val="000000" w:themeColor="text1"/>
          <w:sz w:val="24"/>
          <w:szCs w:val="24"/>
        </w:rPr>
        <w:t xml:space="preserve"> </w:t>
      </w:r>
      <w:r w:rsidR="000764BB" w:rsidRPr="00F86D91">
        <w:rPr>
          <w:rFonts w:ascii="Tahoma" w:eastAsia="Arial" w:hAnsi="Tahoma" w:cs="Tahoma"/>
          <w:color w:val="000000" w:themeColor="text1"/>
          <w:sz w:val="24"/>
          <w:szCs w:val="24"/>
        </w:rPr>
        <w:t>have only one gover</w:t>
      </w:r>
      <w:r w:rsidR="000A0A71" w:rsidRPr="00F86D91">
        <w:rPr>
          <w:rFonts w:ascii="Tahoma" w:eastAsia="Arial" w:hAnsi="Tahoma" w:cs="Tahoma"/>
          <w:color w:val="000000" w:themeColor="text1"/>
          <w:sz w:val="24"/>
          <w:szCs w:val="24"/>
        </w:rPr>
        <w:t>nment entity that owns, leases</w:t>
      </w:r>
      <w:r w:rsidR="1C16C1E7" w:rsidRPr="00F86D91">
        <w:rPr>
          <w:rFonts w:ascii="Tahoma" w:eastAsia="Arial" w:hAnsi="Tahoma" w:cs="Tahoma"/>
          <w:color w:val="000000" w:themeColor="text1"/>
          <w:sz w:val="24"/>
          <w:szCs w:val="24"/>
        </w:rPr>
        <w:t>,</w:t>
      </w:r>
      <w:r w:rsidR="000A0A71" w:rsidRPr="00F86D91">
        <w:rPr>
          <w:rFonts w:ascii="Tahoma" w:eastAsia="Arial" w:hAnsi="Tahoma" w:cs="Tahoma"/>
          <w:color w:val="000000" w:themeColor="text1"/>
          <w:sz w:val="24"/>
          <w:szCs w:val="24"/>
        </w:rPr>
        <w:t xml:space="preserve"> and/or operates the fleet</w:t>
      </w:r>
      <w:r w:rsidR="004B5BEB" w:rsidRPr="00F86D91">
        <w:rPr>
          <w:rFonts w:ascii="Tahoma" w:eastAsia="Arial" w:hAnsi="Tahoma" w:cs="Tahoma"/>
          <w:color w:val="000000" w:themeColor="text1"/>
          <w:sz w:val="24"/>
          <w:szCs w:val="24"/>
        </w:rPr>
        <w:t>s</w:t>
      </w:r>
      <w:r w:rsidR="000A0A71" w:rsidRPr="00F86D91">
        <w:rPr>
          <w:rFonts w:ascii="Tahoma" w:eastAsia="Arial" w:hAnsi="Tahoma" w:cs="Tahoma"/>
          <w:color w:val="000000" w:themeColor="text1"/>
          <w:sz w:val="24"/>
          <w:szCs w:val="24"/>
        </w:rPr>
        <w:t>.</w:t>
      </w:r>
    </w:p>
    <w:p w14:paraId="324B85E1" w14:textId="2AF93D3A" w:rsidR="00FA7319" w:rsidRPr="00F86D91" w:rsidRDefault="00FA7319" w:rsidP="53234C4C">
      <w:pPr>
        <w:spacing w:after="0" w:line="240" w:lineRule="auto"/>
        <w:ind w:left="720" w:hanging="720"/>
        <w:rPr>
          <w:rFonts w:ascii="Tahoma" w:eastAsia="Arial" w:hAnsi="Tahoma" w:cs="Tahoma"/>
          <w:b/>
          <w:bCs/>
          <w:color w:val="000000" w:themeColor="text1"/>
          <w:sz w:val="24"/>
          <w:szCs w:val="24"/>
        </w:rPr>
      </w:pPr>
    </w:p>
    <w:p w14:paraId="617A82DC" w14:textId="1F1C1672" w:rsidR="00FA7319" w:rsidRPr="00F86D91" w:rsidRDefault="00FA7319" w:rsidP="53234C4C">
      <w:pPr>
        <w:spacing w:after="0" w:line="240" w:lineRule="auto"/>
        <w:ind w:left="720" w:hanging="720"/>
        <w:rPr>
          <w:rFonts w:ascii="Tahoma" w:eastAsia="Arial" w:hAnsi="Tahoma" w:cs="Tahoma"/>
          <w:b/>
          <w:bCs/>
          <w:color w:val="000000" w:themeColor="text1"/>
          <w:sz w:val="24"/>
          <w:szCs w:val="24"/>
        </w:rPr>
      </w:pPr>
    </w:p>
    <w:p w14:paraId="2C10C5CB" w14:textId="4918D3D9" w:rsidR="00FA7319" w:rsidRPr="00F86D91" w:rsidRDefault="661E29FA" w:rsidP="44A3F00F">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F00FB1" w:rsidRPr="00F86D91">
        <w:rPr>
          <w:rFonts w:ascii="Tahoma" w:eastAsia="Arial" w:hAnsi="Tahoma" w:cs="Tahoma"/>
          <w:b/>
          <w:bCs/>
          <w:color w:val="000000" w:themeColor="text1"/>
          <w:sz w:val="24"/>
          <w:szCs w:val="24"/>
        </w:rPr>
        <w:t>8</w:t>
      </w:r>
      <w:r w:rsidRPr="00F86D91">
        <w:rPr>
          <w:rFonts w:ascii="Tahoma" w:eastAsia="Arial" w:hAnsi="Tahoma" w:cs="Tahoma"/>
          <w:b/>
          <w:bCs/>
          <w:color w:val="000000" w:themeColor="text1"/>
          <w:sz w:val="24"/>
          <w:szCs w:val="24"/>
        </w:rPr>
        <w:t>.</w:t>
      </w:r>
      <w:r w:rsidRPr="00F86D91">
        <w:rPr>
          <w:rFonts w:ascii="Tahoma" w:hAnsi="Tahoma" w:cs="Tahoma"/>
        </w:rPr>
        <w:tab/>
      </w:r>
      <w:r w:rsidR="2F11DA7B" w:rsidRPr="00F86D91">
        <w:rPr>
          <w:rFonts w:ascii="Tahoma" w:eastAsia="Arial" w:hAnsi="Tahoma" w:cs="Tahoma"/>
          <w:b/>
          <w:bCs/>
          <w:color w:val="000000" w:themeColor="text1"/>
          <w:sz w:val="24"/>
          <w:szCs w:val="24"/>
        </w:rPr>
        <w:t>As of September 30, 2023</w:t>
      </w:r>
      <w:r w:rsidR="4DF5AC06" w:rsidRPr="00F86D91">
        <w:rPr>
          <w:rFonts w:ascii="Tahoma" w:eastAsia="Arial" w:hAnsi="Tahoma" w:cs="Tahoma"/>
          <w:b/>
          <w:bCs/>
          <w:color w:val="000000" w:themeColor="text1"/>
          <w:sz w:val="24"/>
          <w:szCs w:val="24"/>
        </w:rPr>
        <w:t>,</w:t>
      </w:r>
      <w:r w:rsidR="2F11DA7B" w:rsidRPr="00F86D91">
        <w:rPr>
          <w:rFonts w:ascii="Tahoma" w:eastAsia="Arial" w:hAnsi="Tahoma" w:cs="Tahoma"/>
          <w:b/>
          <w:bCs/>
          <w:color w:val="000000" w:themeColor="text1"/>
          <w:sz w:val="24"/>
          <w:szCs w:val="24"/>
        </w:rPr>
        <w:t xml:space="preserve"> it is required that local governments adopt the </w:t>
      </w:r>
      <w:proofErr w:type="spellStart"/>
      <w:r w:rsidR="2F11DA7B" w:rsidRPr="00F86D91">
        <w:rPr>
          <w:rFonts w:ascii="Tahoma" w:eastAsia="Arial" w:hAnsi="Tahoma" w:cs="Tahoma"/>
          <w:b/>
          <w:bCs/>
          <w:color w:val="000000" w:themeColor="text1"/>
          <w:sz w:val="24"/>
          <w:szCs w:val="24"/>
        </w:rPr>
        <w:t>SolarAPP</w:t>
      </w:r>
      <w:proofErr w:type="spellEnd"/>
      <w:r w:rsidR="2F11DA7B" w:rsidRPr="00F86D91">
        <w:rPr>
          <w:rFonts w:ascii="Tahoma" w:eastAsia="Arial" w:hAnsi="Tahoma" w:cs="Tahoma"/>
          <w:b/>
          <w:bCs/>
          <w:color w:val="000000" w:themeColor="text1"/>
          <w:sz w:val="24"/>
          <w:szCs w:val="24"/>
        </w:rPr>
        <w:t xml:space="preserve">+ application. </w:t>
      </w:r>
      <w:r w:rsidR="3C3B3D01" w:rsidRPr="00F86D91">
        <w:rPr>
          <w:rFonts w:ascii="Tahoma" w:eastAsia="Arial" w:hAnsi="Tahoma" w:cs="Tahoma"/>
          <w:b/>
          <w:bCs/>
          <w:color w:val="000000" w:themeColor="text1"/>
          <w:sz w:val="24"/>
          <w:szCs w:val="24"/>
        </w:rPr>
        <w:t>Does</w:t>
      </w:r>
      <w:r w:rsidR="384C61F2" w:rsidRPr="00F86D91">
        <w:rPr>
          <w:rFonts w:ascii="Tahoma" w:eastAsia="Arial" w:hAnsi="Tahoma" w:cs="Tahoma"/>
          <w:b/>
          <w:bCs/>
          <w:color w:val="000000" w:themeColor="text1"/>
          <w:sz w:val="24"/>
          <w:szCs w:val="24"/>
        </w:rPr>
        <w:t xml:space="preserve"> compliance with this regulation affect eligibility for the Government Fleets solicitation</w:t>
      </w:r>
      <w:r w:rsidR="2F11DA7B" w:rsidRPr="00F86D91">
        <w:rPr>
          <w:rFonts w:ascii="Tahoma" w:eastAsia="Arial" w:hAnsi="Tahoma" w:cs="Tahoma"/>
          <w:b/>
          <w:bCs/>
          <w:color w:val="000000" w:themeColor="text1"/>
          <w:sz w:val="24"/>
          <w:szCs w:val="24"/>
        </w:rPr>
        <w:t xml:space="preserve">?  </w:t>
      </w:r>
    </w:p>
    <w:p w14:paraId="4DA525B2" w14:textId="15E9D8E9" w:rsidR="00FA7319" w:rsidRPr="00F86D91" w:rsidRDefault="00FA7319" w:rsidP="53234C4C">
      <w:pPr>
        <w:spacing w:after="0" w:line="240" w:lineRule="auto"/>
        <w:ind w:left="720" w:hanging="720"/>
        <w:rPr>
          <w:rFonts w:ascii="Tahoma" w:eastAsia="Arial" w:hAnsi="Tahoma" w:cs="Tahoma"/>
          <w:b/>
          <w:bCs/>
          <w:color w:val="000000" w:themeColor="text1"/>
          <w:sz w:val="24"/>
          <w:szCs w:val="24"/>
        </w:rPr>
      </w:pPr>
    </w:p>
    <w:p w14:paraId="72731EA1" w14:textId="347CF9FA" w:rsidR="00FA7319" w:rsidRPr="00F86D91" w:rsidRDefault="661E29FA" w:rsidP="13BF8754">
      <w:pPr>
        <w:spacing w:after="0" w:line="240" w:lineRule="auto"/>
        <w:ind w:left="720" w:hanging="720"/>
        <w:rPr>
          <w:rFonts w:ascii="Tahoma" w:hAnsi="Tahoma" w:cs="Tahoma"/>
          <w:sz w:val="24"/>
          <w:szCs w:val="24"/>
        </w:rPr>
      </w:pPr>
      <w:r w:rsidRPr="00F86D91">
        <w:rPr>
          <w:rFonts w:ascii="Tahoma" w:eastAsia="Arial" w:hAnsi="Tahoma" w:cs="Tahoma"/>
          <w:color w:val="000000" w:themeColor="text1"/>
          <w:sz w:val="24"/>
          <w:szCs w:val="24"/>
        </w:rPr>
        <w:t>A</w:t>
      </w:r>
      <w:r w:rsidR="00F00FB1" w:rsidRPr="00F86D91">
        <w:rPr>
          <w:rFonts w:ascii="Tahoma" w:eastAsia="Arial" w:hAnsi="Tahoma" w:cs="Tahoma"/>
          <w:color w:val="000000" w:themeColor="text1"/>
          <w:sz w:val="24"/>
          <w:szCs w:val="24"/>
        </w:rPr>
        <w:t>8</w:t>
      </w:r>
      <w:r w:rsidRPr="00F86D91">
        <w:rPr>
          <w:rFonts w:ascii="Tahoma" w:eastAsia="Arial" w:hAnsi="Tahoma" w:cs="Tahoma"/>
          <w:color w:val="000000" w:themeColor="text1"/>
          <w:sz w:val="24"/>
          <w:szCs w:val="24"/>
        </w:rPr>
        <w:t>.</w:t>
      </w:r>
      <w:r>
        <w:tab/>
      </w:r>
      <w:r w:rsidR="320BB458" w:rsidRPr="00F86D91">
        <w:rPr>
          <w:rFonts w:ascii="Tahoma" w:hAnsi="Tahoma" w:cs="Tahoma"/>
          <w:sz w:val="24"/>
          <w:szCs w:val="24"/>
        </w:rPr>
        <w:t>All</w:t>
      </w:r>
      <w:r w:rsidR="00D77CA7" w:rsidRPr="00F86D91">
        <w:rPr>
          <w:rFonts w:ascii="Tahoma" w:hAnsi="Tahoma" w:cs="Tahoma"/>
          <w:sz w:val="24"/>
          <w:szCs w:val="24"/>
        </w:rPr>
        <w:t xml:space="preserve"> projects under this solicitation must comply with all state and federal rules and regulations.</w:t>
      </w:r>
      <w:r w:rsidR="00BB74D9">
        <w:rPr>
          <w:rFonts w:ascii="Tahoma" w:hAnsi="Tahoma" w:cs="Tahoma"/>
          <w:sz w:val="24"/>
          <w:szCs w:val="24"/>
        </w:rPr>
        <w:t xml:space="preserve"> </w:t>
      </w:r>
      <w:r w:rsidR="003F3F55" w:rsidRPr="00F86D91">
        <w:rPr>
          <w:rFonts w:ascii="Tahoma" w:hAnsi="Tahoma" w:cs="Tahoma"/>
          <w:sz w:val="24"/>
          <w:szCs w:val="24"/>
        </w:rPr>
        <w:t xml:space="preserve">Please see </w:t>
      </w:r>
      <w:r w:rsidR="003F3F55">
        <w:rPr>
          <w:rFonts w:ascii="Tahoma" w:hAnsi="Tahoma" w:cs="Tahoma"/>
          <w:sz w:val="24"/>
          <w:szCs w:val="24"/>
        </w:rPr>
        <w:t>Section 22.</w:t>
      </w:r>
      <w:r w:rsidR="003F0E1B">
        <w:rPr>
          <w:rFonts w:ascii="Tahoma" w:hAnsi="Tahoma" w:cs="Tahoma"/>
          <w:sz w:val="24"/>
          <w:szCs w:val="24"/>
        </w:rPr>
        <w:t>a</w:t>
      </w:r>
      <w:r w:rsidR="003F3F55">
        <w:rPr>
          <w:rFonts w:ascii="Tahoma" w:hAnsi="Tahoma" w:cs="Tahoma"/>
          <w:sz w:val="24"/>
          <w:szCs w:val="24"/>
        </w:rPr>
        <w:t xml:space="preserve">. of </w:t>
      </w:r>
      <w:r w:rsidR="003F3F55" w:rsidRPr="00F86D91">
        <w:rPr>
          <w:rFonts w:ascii="Tahoma" w:hAnsi="Tahoma" w:cs="Tahoma"/>
          <w:sz w:val="24"/>
          <w:szCs w:val="24"/>
        </w:rPr>
        <w:t xml:space="preserve">the standard terms and conditions on the </w:t>
      </w:r>
      <w:hyperlink r:id="rId11">
        <w:r w:rsidR="003F3F55" w:rsidRPr="00F86D91">
          <w:rPr>
            <w:rStyle w:val="Hyperlink"/>
            <w:rFonts w:ascii="Tahoma" w:hAnsi="Tahoma" w:cs="Tahoma"/>
            <w:sz w:val="24"/>
            <w:szCs w:val="24"/>
          </w:rPr>
          <w:t>CEC Funding Resources webpage</w:t>
        </w:r>
      </w:hyperlink>
      <w:r w:rsidR="003F3F55" w:rsidRPr="00F86D91">
        <w:rPr>
          <w:rFonts w:ascii="Tahoma" w:hAnsi="Tahoma" w:cs="Tahoma"/>
          <w:sz w:val="24"/>
          <w:szCs w:val="24"/>
        </w:rPr>
        <w:t xml:space="preserve"> (https://www.energy.ca.gov/funding-opportunities/funding-resources) for more details.</w:t>
      </w:r>
    </w:p>
    <w:p w14:paraId="133ADD1B" w14:textId="77777777" w:rsidR="00F00FB1" w:rsidRPr="00F86D91" w:rsidRDefault="00F00FB1" w:rsidP="13BF8754">
      <w:pPr>
        <w:spacing w:after="0" w:line="240" w:lineRule="auto"/>
        <w:ind w:left="720" w:hanging="720"/>
        <w:rPr>
          <w:rFonts w:ascii="Tahoma" w:hAnsi="Tahoma" w:cs="Tahoma"/>
          <w:sz w:val="24"/>
          <w:szCs w:val="24"/>
        </w:rPr>
      </w:pPr>
    </w:p>
    <w:p w14:paraId="36FE04F5" w14:textId="5862F16F" w:rsidR="00FA7319" w:rsidRPr="00F86D91" w:rsidRDefault="00FA7319" w:rsidP="53234C4C">
      <w:pPr>
        <w:spacing w:after="0" w:line="240" w:lineRule="auto"/>
        <w:ind w:left="720" w:hanging="720"/>
        <w:rPr>
          <w:rFonts w:ascii="Tahoma" w:eastAsia="Arial" w:hAnsi="Tahoma" w:cs="Tahoma"/>
          <w:b/>
          <w:bCs/>
          <w:color w:val="000000" w:themeColor="text1"/>
          <w:sz w:val="24"/>
          <w:szCs w:val="24"/>
        </w:rPr>
      </w:pPr>
    </w:p>
    <w:p w14:paraId="7F6CA9B9" w14:textId="6E05EF15" w:rsidR="00FA7319" w:rsidRPr="00F86D91" w:rsidRDefault="661E29FA"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F00FB1" w:rsidRPr="00F86D91">
        <w:rPr>
          <w:rFonts w:ascii="Tahoma" w:eastAsia="Arial" w:hAnsi="Tahoma" w:cs="Tahoma"/>
          <w:b/>
          <w:bCs/>
          <w:color w:val="000000" w:themeColor="text1"/>
          <w:sz w:val="24"/>
          <w:szCs w:val="24"/>
        </w:rPr>
        <w:t>9</w:t>
      </w:r>
      <w:r w:rsidRPr="00F86D91">
        <w:rPr>
          <w:rFonts w:ascii="Tahoma" w:eastAsia="Arial" w:hAnsi="Tahoma" w:cs="Tahoma"/>
          <w:b/>
          <w:bCs/>
          <w:color w:val="000000" w:themeColor="text1"/>
          <w:sz w:val="24"/>
          <w:szCs w:val="24"/>
        </w:rPr>
        <w:t>.</w:t>
      </w:r>
      <w:r w:rsidRPr="00F86D91">
        <w:rPr>
          <w:rFonts w:ascii="Tahoma" w:hAnsi="Tahoma" w:cs="Tahoma"/>
        </w:rPr>
        <w:tab/>
      </w:r>
      <w:r w:rsidR="6B1E8AC9" w:rsidRPr="00F86D91">
        <w:rPr>
          <w:rFonts w:ascii="Tahoma" w:eastAsia="Arial" w:hAnsi="Tahoma" w:cs="Tahoma"/>
          <w:b/>
          <w:bCs/>
          <w:color w:val="000000" w:themeColor="text1"/>
          <w:sz w:val="24"/>
          <w:szCs w:val="24"/>
        </w:rPr>
        <w:t>How does the CEC define “single government entity” in the context of this GFO (Section B.1)?</w:t>
      </w:r>
    </w:p>
    <w:p w14:paraId="1EE7E070" w14:textId="15E9D8E9" w:rsidR="00FA7319" w:rsidRPr="00F86D91" w:rsidRDefault="00FA7319" w:rsidP="53234C4C">
      <w:pPr>
        <w:spacing w:after="0" w:line="240" w:lineRule="auto"/>
        <w:ind w:left="720" w:hanging="720"/>
        <w:rPr>
          <w:rFonts w:ascii="Tahoma" w:eastAsia="Arial" w:hAnsi="Tahoma" w:cs="Tahoma"/>
          <w:b/>
          <w:bCs/>
          <w:color w:val="000000" w:themeColor="text1"/>
          <w:sz w:val="24"/>
          <w:szCs w:val="24"/>
        </w:rPr>
      </w:pPr>
    </w:p>
    <w:p w14:paraId="53022C88" w14:textId="0E76268D" w:rsidR="00FA7319" w:rsidRPr="00F86D91" w:rsidRDefault="661E29FA" w:rsidP="53234C4C">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F00FB1" w:rsidRPr="00F86D91">
        <w:rPr>
          <w:rFonts w:ascii="Tahoma" w:eastAsia="Arial" w:hAnsi="Tahoma" w:cs="Tahoma"/>
          <w:color w:val="000000" w:themeColor="text1"/>
          <w:sz w:val="24"/>
          <w:szCs w:val="24"/>
        </w:rPr>
        <w:t>9</w:t>
      </w:r>
      <w:r w:rsidRPr="00F86D91">
        <w:rPr>
          <w:rFonts w:ascii="Tahoma" w:eastAsia="Arial" w:hAnsi="Tahoma" w:cs="Tahoma"/>
          <w:color w:val="000000" w:themeColor="text1"/>
          <w:sz w:val="24"/>
          <w:szCs w:val="24"/>
        </w:rPr>
        <w:t>.</w:t>
      </w:r>
      <w:r>
        <w:tab/>
      </w:r>
      <w:r w:rsidR="639E8A8D" w:rsidRPr="00F86D91">
        <w:rPr>
          <w:rFonts w:ascii="Tahoma" w:hAnsi="Tahoma" w:cs="Tahoma"/>
          <w:sz w:val="24"/>
          <w:szCs w:val="24"/>
        </w:rPr>
        <w:t>As</w:t>
      </w:r>
      <w:r w:rsidR="00426BB5" w:rsidRPr="00F86D91">
        <w:rPr>
          <w:rFonts w:ascii="Tahoma" w:hAnsi="Tahoma" w:cs="Tahoma"/>
          <w:sz w:val="24"/>
          <w:szCs w:val="24"/>
        </w:rPr>
        <w:t xml:space="preserve"> clarified in the addended solicitation manual</w:t>
      </w:r>
      <w:r w:rsidR="00050890" w:rsidRPr="00F86D91">
        <w:rPr>
          <w:rFonts w:ascii="Tahoma" w:hAnsi="Tahoma" w:cs="Tahoma"/>
          <w:sz w:val="24"/>
          <w:szCs w:val="24"/>
        </w:rPr>
        <w:t xml:space="preserve">, “A government entity refers to either a California county government, a California city government, </w:t>
      </w:r>
      <w:r w:rsidR="009F1A32" w:rsidRPr="00F86D91">
        <w:rPr>
          <w:rFonts w:ascii="Tahoma" w:hAnsi="Tahoma" w:cs="Tahoma"/>
          <w:sz w:val="24"/>
          <w:szCs w:val="24"/>
        </w:rPr>
        <w:t>and/or a tribal government within California” (</w:t>
      </w:r>
      <w:r w:rsidR="009F1A32" w:rsidRPr="00F86D91">
        <w:rPr>
          <w:rFonts w:ascii="Tahoma" w:eastAsia="Arial" w:hAnsi="Tahoma" w:cs="Tahoma"/>
          <w:color w:val="000000" w:themeColor="text1"/>
          <w:sz w:val="24"/>
          <w:szCs w:val="24"/>
        </w:rPr>
        <w:t xml:space="preserve">Section </w:t>
      </w:r>
      <w:r w:rsidR="00FE543E" w:rsidRPr="00F86D91">
        <w:rPr>
          <w:rFonts w:ascii="Tahoma" w:eastAsia="Arial" w:hAnsi="Tahoma" w:cs="Tahoma"/>
          <w:color w:val="000000" w:themeColor="text1"/>
          <w:sz w:val="24"/>
          <w:szCs w:val="24"/>
        </w:rPr>
        <w:t>I</w:t>
      </w:r>
      <w:r w:rsidR="009F1A32" w:rsidRPr="00F86D91">
        <w:rPr>
          <w:rFonts w:ascii="Tahoma" w:eastAsia="Arial" w:hAnsi="Tahoma" w:cs="Tahoma"/>
          <w:color w:val="000000" w:themeColor="text1"/>
          <w:sz w:val="24"/>
          <w:szCs w:val="24"/>
        </w:rPr>
        <w:t xml:space="preserve">I.B.1, page </w:t>
      </w:r>
      <w:r w:rsidR="003D6948" w:rsidRPr="00F86D91">
        <w:rPr>
          <w:rFonts w:ascii="Tahoma" w:eastAsia="Arial" w:hAnsi="Tahoma" w:cs="Tahoma"/>
          <w:color w:val="000000" w:themeColor="text1"/>
          <w:sz w:val="24"/>
          <w:szCs w:val="24"/>
        </w:rPr>
        <w:t>10</w:t>
      </w:r>
      <w:r w:rsidR="009F1A32" w:rsidRPr="00F86D91">
        <w:rPr>
          <w:rFonts w:ascii="Tahoma" w:eastAsia="Arial" w:hAnsi="Tahoma" w:cs="Tahoma"/>
          <w:color w:val="000000" w:themeColor="text1"/>
          <w:sz w:val="24"/>
          <w:szCs w:val="24"/>
        </w:rPr>
        <w:t xml:space="preserve"> “Eligible Projects”, Solicitation Manual).</w:t>
      </w:r>
    </w:p>
    <w:p w14:paraId="431AE82A" w14:textId="24D52EB1" w:rsidR="00FA7319" w:rsidRPr="00F86D91" w:rsidRDefault="00FA7319" w:rsidP="53234C4C">
      <w:pPr>
        <w:spacing w:after="0" w:line="240" w:lineRule="auto"/>
        <w:ind w:left="720" w:hanging="720"/>
        <w:rPr>
          <w:rFonts w:ascii="Tahoma" w:eastAsia="Arial" w:hAnsi="Tahoma" w:cs="Tahoma"/>
          <w:color w:val="000000" w:themeColor="text1"/>
          <w:sz w:val="24"/>
          <w:szCs w:val="24"/>
        </w:rPr>
      </w:pPr>
    </w:p>
    <w:p w14:paraId="1EEBC8D3" w14:textId="07A05661" w:rsidR="00FA7319" w:rsidRPr="00F86D91" w:rsidRDefault="00FA7319" w:rsidP="53234C4C">
      <w:pPr>
        <w:spacing w:after="0" w:line="240" w:lineRule="auto"/>
        <w:ind w:left="720" w:hanging="720"/>
        <w:rPr>
          <w:rFonts w:ascii="Tahoma" w:eastAsia="Arial" w:hAnsi="Tahoma" w:cs="Tahoma"/>
          <w:color w:val="000000" w:themeColor="text1"/>
          <w:sz w:val="24"/>
          <w:szCs w:val="24"/>
        </w:rPr>
      </w:pPr>
    </w:p>
    <w:p w14:paraId="1F008CEA" w14:textId="5737CAA1" w:rsidR="00FA7319" w:rsidRPr="00F86D91" w:rsidRDefault="661E29FA"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181E7C" w:rsidRPr="00F86D91">
        <w:rPr>
          <w:rFonts w:ascii="Tahoma" w:eastAsia="Arial" w:hAnsi="Tahoma" w:cs="Tahoma"/>
          <w:b/>
          <w:bCs/>
          <w:color w:val="000000" w:themeColor="text1"/>
          <w:sz w:val="24"/>
          <w:szCs w:val="24"/>
        </w:rPr>
        <w:t>10</w:t>
      </w:r>
      <w:r w:rsidRPr="00F86D91">
        <w:rPr>
          <w:rFonts w:ascii="Tahoma" w:eastAsia="Arial" w:hAnsi="Tahoma" w:cs="Tahoma"/>
          <w:b/>
          <w:bCs/>
          <w:color w:val="000000" w:themeColor="text1"/>
          <w:sz w:val="24"/>
          <w:szCs w:val="24"/>
        </w:rPr>
        <w:t>.</w:t>
      </w:r>
      <w:r w:rsidRPr="00F86D91">
        <w:rPr>
          <w:rFonts w:ascii="Tahoma" w:hAnsi="Tahoma" w:cs="Tahoma"/>
        </w:rPr>
        <w:tab/>
      </w:r>
      <w:r w:rsidR="0A5AADAD" w:rsidRPr="00F86D91">
        <w:rPr>
          <w:rFonts w:ascii="Tahoma" w:eastAsia="Arial" w:hAnsi="Tahoma" w:cs="Tahoma"/>
          <w:b/>
          <w:bCs/>
          <w:color w:val="000000" w:themeColor="text1"/>
          <w:sz w:val="24"/>
          <w:szCs w:val="24"/>
        </w:rPr>
        <w:t>If a County contains multiple departments and special districts each with their own vehicle fleets and funding sources, could those fleets count as one “government fleet” for the purposes of this solicitation, if all such departments and special districts are governed by the same County Board of Supervisors?</w:t>
      </w:r>
    </w:p>
    <w:p w14:paraId="30952904" w14:textId="716E647A" w:rsidR="00FA7319" w:rsidRPr="00F86D91" w:rsidRDefault="00FA7319" w:rsidP="53234C4C">
      <w:pPr>
        <w:spacing w:after="0" w:line="240" w:lineRule="auto"/>
        <w:ind w:left="720" w:hanging="720"/>
        <w:rPr>
          <w:rFonts w:ascii="Tahoma" w:eastAsia="Arial" w:hAnsi="Tahoma" w:cs="Tahoma"/>
          <w:b/>
          <w:bCs/>
          <w:color w:val="000000" w:themeColor="text1"/>
          <w:sz w:val="24"/>
          <w:szCs w:val="24"/>
        </w:rPr>
      </w:pPr>
    </w:p>
    <w:p w14:paraId="591DBB29" w14:textId="2719DFA0" w:rsidR="00371417" w:rsidRPr="00F86D91" w:rsidRDefault="77AC68CD" w:rsidP="00791B60">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181E7C" w:rsidRPr="00F86D91">
        <w:rPr>
          <w:rFonts w:ascii="Tahoma" w:eastAsia="Arial" w:hAnsi="Tahoma" w:cs="Tahoma"/>
          <w:color w:val="000000" w:themeColor="text1"/>
          <w:sz w:val="24"/>
          <w:szCs w:val="24"/>
        </w:rPr>
        <w:t>10</w:t>
      </w:r>
      <w:r w:rsidRPr="00F86D91">
        <w:rPr>
          <w:rFonts w:ascii="Tahoma" w:eastAsia="Arial" w:hAnsi="Tahoma" w:cs="Tahoma"/>
          <w:color w:val="000000" w:themeColor="text1"/>
          <w:sz w:val="24"/>
          <w:szCs w:val="24"/>
        </w:rPr>
        <w:t>.</w:t>
      </w:r>
      <w:r w:rsidR="00E33A7A" w:rsidRPr="00F86D91">
        <w:rPr>
          <w:rFonts w:ascii="Tahoma" w:hAnsi="Tahoma" w:cs="Tahoma"/>
        </w:rPr>
        <w:tab/>
      </w:r>
      <w:r w:rsidR="004A57E7" w:rsidRPr="00F86D91">
        <w:rPr>
          <w:rFonts w:ascii="Tahoma" w:eastAsia="Arial" w:hAnsi="Tahoma" w:cs="Tahoma"/>
          <w:color w:val="000000" w:themeColor="text1"/>
          <w:sz w:val="24"/>
          <w:szCs w:val="24"/>
        </w:rPr>
        <w:t>As clarified in the addended solicitation manual, “</w:t>
      </w:r>
      <w:r w:rsidR="004A57E7" w:rsidRPr="00F86D91">
        <w:rPr>
          <w:rFonts w:ascii="Tahoma" w:hAnsi="Tahoma" w:cs="Tahoma"/>
          <w:sz w:val="24"/>
          <w:szCs w:val="24"/>
        </w:rPr>
        <w:t>Applicants may submit multiple applications under this solicitation. Each application must be separate and distinct (i.e. an applicant cannot submit multiple applications that serve the same fleet or fleets), and adhere to all requirements contained in this solicitation. A single application may include multiple fleets (e.g. Police Department fleets, Fire Department fleets, Parks and Recreation fleets, Waste Department fleets, etc.) owned, leased, and/or operated by the same government</w:t>
      </w:r>
      <w:r w:rsidR="00303DE5" w:rsidRPr="00F86D91">
        <w:rPr>
          <w:rFonts w:ascii="Tahoma" w:hAnsi="Tahoma" w:cs="Tahoma"/>
          <w:sz w:val="24"/>
          <w:szCs w:val="24"/>
        </w:rPr>
        <w:t xml:space="preserve"> entity</w:t>
      </w:r>
      <w:r w:rsidR="004A57E7" w:rsidRPr="00F86D91">
        <w:rPr>
          <w:rFonts w:ascii="Tahoma" w:hAnsi="Tahoma" w:cs="Tahoma"/>
          <w:sz w:val="24"/>
          <w:szCs w:val="24"/>
        </w:rPr>
        <w:t>. See Section II.B.1. for definitions of government fleets and government entities” (Section I.H., page 3, “Maximum Number of Application</w:t>
      </w:r>
      <w:r w:rsidR="004A57E7" w:rsidRPr="00F86D91">
        <w:rPr>
          <w:rFonts w:ascii="Tahoma" w:eastAsia="Arial" w:hAnsi="Tahoma" w:cs="Tahoma"/>
          <w:color w:val="000000" w:themeColor="text1"/>
          <w:sz w:val="24"/>
          <w:szCs w:val="24"/>
        </w:rPr>
        <w:t>s”, Solicitation Manual).</w:t>
      </w:r>
    </w:p>
    <w:p w14:paraId="484DB7DA" w14:textId="77777777" w:rsidR="00791B60" w:rsidRPr="00F86D91" w:rsidRDefault="00791B60" w:rsidP="00791B60">
      <w:pPr>
        <w:spacing w:after="0" w:line="240" w:lineRule="auto"/>
        <w:ind w:left="720" w:hanging="720"/>
        <w:rPr>
          <w:rFonts w:ascii="Tahoma" w:eastAsia="Arial" w:hAnsi="Tahoma" w:cs="Tahoma"/>
          <w:color w:val="000000" w:themeColor="text1"/>
          <w:sz w:val="24"/>
          <w:szCs w:val="24"/>
        </w:rPr>
      </w:pPr>
    </w:p>
    <w:p w14:paraId="155FA463" w14:textId="4FFD266B" w:rsidR="00371417" w:rsidRPr="00F86D91" w:rsidRDefault="00FC4429" w:rsidP="00FC4429">
      <w:pPr>
        <w:spacing w:after="0" w:line="240" w:lineRule="auto"/>
        <w:ind w:left="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lastRenderedPageBreak/>
        <w:t xml:space="preserve">The solicitation manual also states, </w:t>
      </w:r>
      <w:r w:rsidR="00146A55" w:rsidRPr="00F86D91">
        <w:rPr>
          <w:rFonts w:ascii="Tahoma" w:eastAsia="Arial" w:hAnsi="Tahoma" w:cs="Tahoma"/>
          <w:color w:val="000000" w:themeColor="text1"/>
          <w:sz w:val="24"/>
          <w:szCs w:val="24"/>
        </w:rPr>
        <w:t>“</w:t>
      </w:r>
      <w:r w:rsidR="004777BC" w:rsidRPr="00F86D91">
        <w:rPr>
          <w:rFonts w:ascii="Tahoma" w:eastAsia="Arial" w:hAnsi="Tahoma" w:cs="Tahoma"/>
          <w:color w:val="000000" w:themeColor="text1"/>
          <w:sz w:val="24"/>
          <w:szCs w:val="24"/>
        </w:rPr>
        <w:t>Eligible projects will deploy electric vehicle charging infrastructure to support a light-duty government fleet(s) owned, leased, and/or operated by a single government entit</w:t>
      </w:r>
      <w:r w:rsidRPr="00F86D91">
        <w:rPr>
          <w:rFonts w:ascii="Tahoma" w:eastAsia="Arial" w:hAnsi="Tahoma" w:cs="Tahoma"/>
          <w:color w:val="000000" w:themeColor="text1"/>
          <w:sz w:val="24"/>
          <w:szCs w:val="24"/>
        </w:rPr>
        <w:t>y.</w:t>
      </w:r>
    </w:p>
    <w:p w14:paraId="051C80CE" w14:textId="77777777" w:rsidR="00FC4429" w:rsidRPr="00F86D91" w:rsidRDefault="00FC4429" w:rsidP="00FC4429">
      <w:pPr>
        <w:spacing w:after="0" w:line="240" w:lineRule="auto"/>
        <w:ind w:left="720"/>
        <w:rPr>
          <w:rFonts w:ascii="Tahoma" w:eastAsia="Arial" w:hAnsi="Tahoma" w:cs="Tahoma"/>
          <w:color w:val="000000" w:themeColor="text1"/>
          <w:sz w:val="24"/>
          <w:szCs w:val="24"/>
        </w:rPr>
      </w:pPr>
    </w:p>
    <w:p w14:paraId="3156CE68" w14:textId="2614F903" w:rsidR="00902F2B" w:rsidRPr="00F86D91" w:rsidRDefault="00902F2B" w:rsidP="00FC4429">
      <w:pPr>
        <w:spacing w:after="0" w:line="240" w:lineRule="auto"/>
        <w:ind w:left="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 xml:space="preserve">A government fleet refers to a fleet of vehicles used to </w:t>
      </w:r>
      <w:proofErr w:type="gramStart"/>
      <w:r w:rsidRPr="00F86D91">
        <w:rPr>
          <w:rFonts w:ascii="Tahoma" w:eastAsia="Arial" w:hAnsi="Tahoma" w:cs="Tahoma"/>
          <w:color w:val="000000" w:themeColor="text1"/>
          <w:sz w:val="24"/>
          <w:szCs w:val="24"/>
        </w:rPr>
        <w:t>directly or indirectly serve the public</w:t>
      </w:r>
      <w:proofErr w:type="gramEnd"/>
      <w:r w:rsidRPr="00F86D91">
        <w:rPr>
          <w:rFonts w:ascii="Tahoma" w:eastAsia="Arial" w:hAnsi="Tahoma" w:cs="Tahoma"/>
          <w:color w:val="000000" w:themeColor="text1"/>
          <w:sz w:val="24"/>
          <w:szCs w:val="24"/>
        </w:rPr>
        <w:t>.</w:t>
      </w:r>
    </w:p>
    <w:p w14:paraId="7BBFA372" w14:textId="77777777" w:rsidR="00902F2B" w:rsidRPr="00F86D91" w:rsidRDefault="00902F2B" w:rsidP="00FC4429">
      <w:pPr>
        <w:spacing w:after="0" w:line="240" w:lineRule="auto"/>
        <w:ind w:left="720"/>
        <w:rPr>
          <w:rFonts w:ascii="Tahoma" w:eastAsia="Arial" w:hAnsi="Tahoma" w:cs="Tahoma"/>
          <w:color w:val="000000" w:themeColor="text1"/>
          <w:sz w:val="24"/>
          <w:szCs w:val="24"/>
        </w:rPr>
      </w:pPr>
    </w:p>
    <w:p w14:paraId="0900E079" w14:textId="0C52F679" w:rsidR="00E33A7A" w:rsidRPr="00F86D91" w:rsidRDefault="00D57AD4" w:rsidP="59BC4DF4">
      <w:pPr>
        <w:spacing w:after="0" w:line="240" w:lineRule="auto"/>
        <w:ind w:left="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 government entity refers to either a California county government, a California city government, and/or a tribal government fleet within California. Special districts, such as water utility districts, sewer utility districts, sanitation districts or air districts are not considered government entities under this solicitation. Public school districts, including public colleges, public universities, and local education agencies are not considered government entities</w:t>
      </w:r>
      <w:r w:rsidR="00764B82" w:rsidRPr="00F86D91">
        <w:rPr>
          <w:rFonts w:ascii="Tahoma" w:eastAsia="Arial" w:hAnsi="Tahoma" w:cs="Tahoma"/>
          <w:color w:val="000000" w:themeColor="text1"/>
          <w:sz w:val="24"/>
          <w:szCs w:val="24"/>
        </w:rPr>
        <w:t>”</w:t>
      </w:r>
      <w:r w:rsidR="007151B5" w:rsidRPr="00F86D91">
        <w:rPr>
          <w:rFonts w:ascii="Tahoma" w:eastAsia="Arial" w:hAnsi="Tahoma" w:cs="Tahoma"/>
          <w:color w:val="000000" w:themeColor="text1"/>
          <w:sz w:val="24"/>
          <w:szCs w:val="24"/>
        </w:rPr>
        <w:t xml:space="preserve"> (</w:t>
      </w:r>
      <w:r w:rsidR="00FC2300" w:rsidRPr="00F86D91">
        <w:rPr>
          <w:rFonts w:ascii="Tahoma" w:eastAsia="Arial" w:hAnsi="Tahoma" w:cs="Tahoma"/>
          <w:color w:val="000000" w:themeColor="text1"/>
          <w:sz w:val="24"/>
          <w:szCs w:val="24"/>
        </w:rPr>
        <w:t xml:space="preserve">Section </w:t>
      </w:r>
      <w:r w:rsidR="00FE543E" w:rsidRPr="00F86D91">
        <w:rPr>
          <w:rFonts w:ascii="Tahoma" w:eastAsia="Arial" w:hAnsi="Tahoma" w:cs="Tahoma"/>
          <w:color w:val="000000" w:themeColor="text1"/>
          <w:sz w:val="24"/>
          <w:szCs w:val="24"/>
        </w:rPr>
        <w:t>I</w:t>
      </w:r>
      <w:r w:rsidR="00FC2300" w:rsidRPr="00F86D91">
        <w:rPr>
          <w:rFonts w:ascii="Tahoma" w:eastAsia="Arial" w:hAnsi="Tahoma" w:cs="Tahoma"/>
          <w:color w:val="000000" w:themeColor="text1"/>
          <w:sz w:val="24"/>
          <w:szCs w:val="24"/>
        </w:rPr>
        <w:t xml:space="preserve">I.B.1, page </w:t>
      </w:r>
      <w:r w:rsidR="00FC4429" w:rsidRPr="00F86D91">
        <w:rPr>
          <w:rFonts w:ascii="Tahoma" w:eastAsia="Arial" w:hAnsi="Tahoma" w:cs="Tahoma"/>
          <w:color w:val="000000" w:themeColor="text1"/>
          <w:sz w:val="24"/>
          <w:szCs w:val="24"/>
        </w:rPr>
        <w:t>10</w:t>
      </w:r>
      <w:r w:rsidR="009E71D8" w:rsidRPr="00F86D91">
        <w:rPr>
          <w:rFonts w:ascii="Tahoma" w:eastAsia="Arial" w:hAnsi="Tahoma" w:cs="Tahoma"/>
          <w:color w:val="000000" w:themeColor="text1"/>
          <w:sz w:val="24"/>
          <w:szCs w:val="24"/>
        </w:rPr>
        <w:t>-11</w:t>
      </w:r>
      <w:r w:rsidR="00A63A45" w:rsidRPr="00F86D91">
        <w:rPr>
          <w:rFonts w:ascii="Tahoma" w:eastAsia="Arial" w:hAnsi="Tahoma" w:cs="Tahoma"/>
          <w:color w:val="000000" w:themeColor="text1"/>
          <w:sz w:val="24"/>
          <w:szCs w:val="24"/>
        </w:rPr>
        <w:t>,</w:t>
      </w:r>
      <w:r w:rsidR="00FC2300" w:rsidRPr="00F86D91">
        <w:rPr>
          <w:rFonts w:ascii="Tahoma" w:eastAsia="Arial" w:hAnsi="Tahoma" w:cs="Tahoma"/>
          <w:color w:val="000000" w:themeColor="text1"/>
          <w:sz w:val="24"/>
          <w:szCs w:val="24"/>
        </w:rPr>
        <w:t xml:space="preserve"> “Eligible Projects”, Solicitation Manual).</w:t>
      </w:r>
    </w:p>
    <w:p w14:paraId="48AFF397" w14:textId="4ECABBC9" w:rsidR="00FA7319" w:rsidRPr="00F86D91" w:rsidRDefault="00FA7319" w:rsidP="53234C4C">
      <w:pPr>
        <w:spacing w:after="0" w:line="240" w:lineRule="auto"/>
        <w:ind w:left="720" w:hanging="720"/>
        <w:rPr>
          <w:rFonts w:ascii="Tahoma" w:eastAsia="Arial" w:hAnsi="Tahoma" w:cs="Tahoma"/>
          <w:b/>
          <w:bCs/>
          <w:color w:val="000000" w:themeColor="text1"/>
          <w:sz w:val="24"/>
          <w:szCs w:val="24"/>
        </w:rPr>
      </w:pPr>
    </w:p>
    <w:p w14:paraId="6DFE30EA" w14:textId="4610602E" w:rsidR="00FA7319" w:rsidRPr="00F86D91" w:rsidRDefault="00FA7319" w:rsidP="53234C4C">
      <w:pPr>
        <w:spacing w:after="0" w:line="240" w:lineRule="auto"/>
        <w:ind w:left="720" w:hanging="720"/>
        <w:rPr>
          <w:rFonts w:ascii="Tahoma" w:eastAsia="Arial" w:hAnsi="Tahoma" w:cs="Tahoma"/>
          <w:b/>
          <w:bCs/>
          <w:color w:val="000000" w:themeColor="text1"/>
          <w:sz w:val="24"/>
          <w:szCs w:val="24"/>
        </w:rPr>
      </w:pPr>
    </w:p>
    <w:p w14:paraId="759737C5" w14:textId="0736ED98" w:rsidR="00FA7319" w:rsidRPr="00F86D91" w:rsidRDefault="661E29FA"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A63A45" w:rsidRPr="00F86D91">
        <w:rPr>
          <w:rFonts w:ascii="Tahoma" w:eastAsia="Arial" w:hAnsi="Tahoma" w:cs="Tahoma"/>
          <w:b/>
          <w:bCs/>
          <w:color w:val="000000" w:themeColor="text1"/>
          <w:sz w:val="24"/>
          <w:szCs w:val="24"/>
        </w:rPr>
        <w:t>11</w:t>
      </w:r>
      <w:r w:rsidRPr="00F86D91">
        <w:rPr>
          <w:rFonts w:ascii="Tahoma" w:eastAsia="Arial" w:hAnsi="Tahoma" w:cs="Tahoma"/>
          <w:b/>
          <w:bCs/>
          <w:color w:val="000000" w:themeColor="text1"/>
          <w:sz w:val="24"/>
          <w:szCs w:val="24"/>
        </w:rPr>
        <w:t>.</w:t>
      </w:r>
      <w:r w:rsidRPr="00F86D91">
        <w:rPr>
          <w:rFonts w:ascii="Tahoma" w:hAnsi="Tahoma" w:cs="Tahoma"/>
        </w:rPr>
        <w:tab/>
      </w:r>
      <w:r w:rsidR="1F225A87" w:rsidRPr="00F86D91">
        <w:rPr>
          <w:rFonts w:ascii="Tahoma" w:eastAsia="Arial" w:hAnsi="Tahoma" w:cs="Tahoma"/>
          <w:b/>
          <w:bCs/>
          <w:color w:val="000000" w:themeColor="text1"/>
          <w:sz w:val="24"/>
          <w:szCs w:val="24"/>
        </w:rPr>
        <w:t>Can you please confirm that Federal Government fleets at facilities located in California are not eligible for this Grant program?</w:t>
      </w:r>
    </w:p>
    <w:p w14:paraId="0C6EA8A8" w14:textId="15E9D8E9" w:rsidR="00FA7319" w:rsidRPr="00F86D91" w:rsidRDefault="00FA7319" w:rsidP="53234C4C">
      <w:pPr>
        <w:spacing w:after="0" w:line="240" w:lineRule="auto"/>
        <w:ind w:left="720" w:hanging="720"/>
        <w:rPr>
          <w:rFonts w:ascii="Tahoma" w:eastAsia="Arial" w:hAnsi="Tahoma" w:cs="Tahoma"/>
          <w:b/>
          <w:bCs/>
          <w:color w:val="000000" w:themeColor="text1"/>
          <w:sz w:val="24"/>
          <w:szCs w:val="24"/>
        </w:rPr>
      </w:pPr>
    </w:p>
    <w:p w14:paraId="2CDF1500" w14:textId="473D67BD" w:rsidR="00B10072" w:rsidRPr="00F86D91" w:rsidRDefault="661E29FA" w:rsidP="53234C4C">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A63A45" w:rsidRPr="00F86D91">
        <w:rPr>
          <w:rFonts w:ascii="Tahoma" w:eastAsia="Arial" w:hAnsi="Tahoma" w:cs="Tahoma"/>
          <w:color w:val="000000" w:themeColor="text1"/>
          <w:sz w:val="24"/>
          <w:szCs w:val="24"/>
        </w:rPr>
        <w:t>11</w:t>
      </w:r>
      <w:r w:rsidRPr="00F86D91">
        <w:rPr>
          <w:rFonts w:ascii="Tahoma" w:eastAsia="Arial" w:hAnsi="Tahoma" w:cs="Tahoma"/>
          <w:color w:val="000000" w:themeColor="text1"/>
          <w:sz w:val="24"/>
          <w:szCs w:val="24"/>
        </w:rPr>
        <w:t>.</w:t>
      </w:r>
      <w:r>
        <w:tab/>
      </w:r>
      <w:r w:rsidR="1B294FED" w:rsidRPr="00C9EFA8">
        <w:rPr>
          <w:rFonts w:ascii="Tahoma" w:hAnsi="Tahoma" w:cs="Tahoma"/>
          <w:sz w:val="24"/>
          <w:szCs w:val="24"/>
        </w:rPr>
        <w:t>Confirmed</w:t>
      </w:r>
      <w:r w:rsidR="009A15E5" w:rsidRPr="00F86D91">
        <w:rPr>
          <w:rFonts w:ascii="Tahoma" w:hAnsi="Tahoma" w:cs="Tahoma"/>
          <w:sz w:val="24"/>
          <w:szCs w:val="24"/>
        </w:rPr>
        <w:t>, p</w:t>
      </w:r>
      <w:r w:rsidR="00103E34" w:rsidRPr="00F86D91">
        <w:rPr>
          <w:rFonts w:ascii="Tahoma" w:hAnsi="Tahoma" w:cs="Tahoma"/>
          <w:sz w:val="24"/>
          <w:szCs w:val="24"/>
        </w:rPr>
        <w:t xml:space="preserve">rojects deploying electric vehicle charging to support a fleet owned, leased, and/or operated by a Federal Government entity are not eligible. </w:t>
      </w:r>
      <w:r w:rsidR="00D5167D" w:rsidRPr="00F86D91">
        <w:rPr>
          <w:rFonts w:ascii="Tahoma" w:hAnsi="Tahoma" w:cs="Tahoma"/>
          <w:sz w:val="24"/>
          <w:szCs w:val="24"/>
        </w:rPr>
        <w:t>As clarified in the addended solicitation manual,</w:t>
      </w:r>
      <w:r w:rsidR="00D5167D" w:rsidRPr="00F86D91">
        <w:rPr>
          <w:rFonts w:ascii="Tahoma" w:eastAsia="Arial" w:hAnsi="Tahoma" w:cs="Tahoma"/>
          <w:color w:val="000000" w:themeColor="text1"/>
          <w:sz w:val="24"/>
          <w:szCs w:val="24"/>
        </w:rPr>
        <w:t xml:space="preserve"> “Eligible projects will deploy electric vehicle charging infrastructure to support a light-duty government fleet(s) owned, leased, and/or operated by a single government entity</w:t>
      </w:r>
      <w:r w:rsidR="00A63A45" w:rsidRPr="00F86D91">
        <w:rPr>
          <w:rFonts w:ascii="Tahoma" w:eastAsia="Arial" w:hAnsi="Tahoma" w:cs="Tahoma"/>
          <w:color w:val="000000" w:themeColor="text1"/>
          <w:sz w:val="24"/>
          <w:szCs w:val="24"/>
        </w:rPr>
        <w:t>.</w:t>
      </w:r>
    </w:p>
    <w:p w14:paraId="55B921D7" w14:textId="6DD786E2" w:rsidR="00B10072" w:rsidRPr="00F86D91" w:rsidRDefault="00B10072" w:rsidP="59BC4DF4">
      <w:pPr>
        <w:spacing w:after="0" w:line="240" w:lineRule="auto"/>
        <w:ind w:left="720" w:hanging="720"/>
        <w:rPr>
          <w:rFonts w:ascii="Tahoma" w:eastAsia="Arial" w:hAnsi="Tahoma" w:cs="Tahoma"/>
          <w:color w:val="000000" w:themeColor="text1"/>
          <w:sz w:val="24"/>
          <w:szCs w:val="24"/>
        </w:rPr>
      </w:pPr>
    </w:p>
    <w:p w14:paraId="7E9B3F8D" w14:textId="5D22D7A4" w:rsidR="00F64388" w:rsidRPr="00F86D91" w:rsidRDefault="00B10072" w:rsidP="00B10072">
      <w:pPr>
        <w:spacing w:after="0" w:line="240" w:lineRule="auto"/>
        <w:ind w:left="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 government entity refers to either a California county government fleet, a California city government, and/or a tribal government fleet within California. Special districts, such as water utility districts, sewer utility districts, sanitation districts or air districts are not considered government entities under this solicitation. Public school districts, including public colleges, public universities, and local education agencies are not considered government entities” (Section I</w:t>
      </w:r>
      <w:r w:rsidR="00D456A9">
        <w:rPr>
          <w:rFonts w:ascii="Tahoma" w:eastAsia="Arial" w:hAnsi="Tahoma" w:cs="Tahoma"/>
          <w:color w:val="000000" w:themeColor="text1"/>
          <w:sz w:val="24"/>
          <w:szCs w:val="24"/>
        </w:rPr>
        <w:t>I</w:t>
      </w:r>
      <w:r w:rsidRPr="00F86D91">
        <w:rPr>
          <w:rFonts w:ascii="Tahoma" w:eastAsia="Arial" w:hAnsi="Tahoma" w:cs="Tahoma"/>
          <w:color w:val="000000" w:themeColor="text1"/>
          <w:sz w:val="24"/>
          <w:szCs w:val="24"/>
        </w:rPr>
        <w:t xml:space="preserve">.B.1, page </w:t>
      </w:r>
      <w:r w:rsidR="00E62F01" w:rsidRPr="00F86D91">
        <w:rPr>
          <w:rFonts w:ascii="Tahoma" w:eastAsia="Arial" w:hAnsi="Tahoma" w:cs="Tahoma"/>
          <w:color w:val="000000" w:themeColor="text1"/>
          <w:sz w:val="24"/>
          <w:szCs w:val="24"/>
        </w:rPr>
        <w:t>10</w:t>
      </w:r>
      <w:r w:rsidR="00103E34" w:rsidRPr="00F86D91">
        <w:rPr>
          <w:rFonts w:ascii="Tahoma" w:eastAsia="Arial" w:hAnsi="Tahoma" w:cs="Tahoma"/>
          <w:color w:val="000000" w:themeColor="text1"/>
          <w:sz w:val="24"/>
          <w:szCs w:val="24"/>
        </w:rPr>
        <w:t>-11</w:t>
      </w:r>
      <w:r w:rsidRPr="00F86D91">
        <w:rPr>
          <w:rFonts w:ascii="Tahoma" w:eastAsia="Arial" w:hAnsi="Tahoma" w:cs="Tahoma"/>
          <w:color w:val="000000" w:themeColor="text1"/>
          <w:sz w:val="24"/>
          <w:szCs w:val="24"/>
        </w:rPr>
        <w:t>, “Eligible Projects”, Solicitation Manual).</w:t>
      </w:r>
    </w:p>
    <w:p w14:paraId="7DD26194" w14:textId="77777777" w:rsidR="00E62F01" w:rsidRPr="00F86D91" w:rsidRDefault="00E62F01" w:rsidP="59BC4DF4">
      <w:pPr>
        <w:spacing w:after="0" w:line="240" w:lineRule="auto"/>
        <w:ind w:left="720"/>
        <w:rPr>
          <w:rFonts w:ascii="Tahoma" w:eastAsia="Arial" w:hAnsi="Tahoma" w:cs="Tahoma"/>
          <w:color w:val="000000" w:themeColor="text1"/>
          <w:sz w:val="24"/>
          <w:szCs w:val="24"/>
        </w:rPr>
      </w:pPr>
    </w:p>
    <w:p w14:paraId="0E68355A" w14:textId="07A05661" w:rsidR="53234C4C" w:rsidRPr="00F86D91" w:rsidRDefault="53234C4C" w:rsidP="53234C4C">
      <w:pPr>
        <w:spacing w:after="0" w:line="240" w:lineRule="auto"/>
        <w:ind w:left="720" w:hanging="720"/>
        <w:rPr>
          <w:rFonts w:ascii="Tahoma" w:eastAsia="Arial" w:hAnsi="Tahoma" w:cs="Tahoma"/>
          <w:color w:val="000000" w:themeColor="text1"/>
          <w:sz w:val="24"/>
          <w:szCs w:val="24"/>
        </w:rPr>
      </w:pPr>
    </w:p>
    <w:p w14:paraId="2D5BB40E" w14:textId="703442E7" w:rsidR="63A9A3FA" w:rsidRPr="00F86D91" w:rsidRDefault="63A9A3FA"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E62F01" w:rsidRPr="00F86D91">
        <w:rPr>
          <w:rFonts w:ascii="Tahoma" w:eastAsia="Arial" w:hAnsi="Tahoma" w:cs="Tahoma"/>
          <w:b/>
          <w:bCs/>
          <w:color w:val="000000" w:themeColor="text1"/>
          <w:sz w:val="24"/>
          <w:szCs w:val="24"/>
        </w:rPr>
        <w:t>12</w:t>
      </w:r>
      <w:r w:rsidRPr="00F86D91">
        <w:rPr>
          <w:rFonts w:ascii="Tahoma" w:eastAsia="Arial" w:hAnsi="Tahoma" w:cs="Tahoma"/>
          <w:b/>
          <w:bCs/>
          <w:color w:val="000000" w:themeColor="text1"/>
          <w:sz w:val="24"/>
          <w:szCs w:val="24"/>
        </w:rPr>
        <w:t>.</w:t>
      </w:r>
      <w:r w:rsidRPr="00F86D91">
        <w:rPr>
          <w:rFonts w:ascii="Tahoma" w:hAnsi="Tahoma" w:cs="Tahoma"/>
        </w:rPr>
        <w:tab/>
      </w:r>
      <w:r w:rsidR="2F5CDE5A" w:rsidRPr="00F86D91">
        <w:rPr>
          <w:rFonts w:ascii="Tahoma" w:eastAsia="Arial" w:hAnsi="Tahoma" w:cs="Tahoma"/>
          <w:b/>
          <w:bCs/>
          <w:color w:val="000000" w:themeColor="text1"/>
          <w:sz w:val="24"/>
          <w:szCs w:val="24"/>
        </w:rPr>
        <w:t>Under the terms and conditions, there is an item about not currently being sued.  As a local government entity, we are almost always in litigation for various items, but they would not impact ability to perform the project.  Are we still eligible to apply?</w:t>
      </w:r>
    </w:p>
    <w:p w14:paraId="0DE910E0" w14:textId="716E647A" w:rsidR="53234C4C" w:rsidRPr="00F86D91" w:rsidRDefault="53234C4C" w:rsidP="53234C4C">
      <w:pPr>
        <w:spacing w:after="0" w:line="240" w:lineRule="auto"/>
        <w:ind w:left="720" w:hanging="720"/>
        <w:rPr>
          <w:rFonts w:ascii="Tahoma" w:eastAsia="Arial" w:hAnsi="Tahoma" w:cs="Tahoma"/>
          <w:b/>
          <w:bCs/>
          <w:color w:val="000000" w:themeColor="text1"/>
          <w:sz w:val="24"/>
          <w:szCs w:val="24"/>
        </w:rPr>
      </w:pPr>
    </w:p>
    <w:p w14:paraId="3D20D860" w14:textId="67965D9A" w:rsidR="63A9A3FA" w:rsidRPr="00F86D91" w:rsidRDefault="63A9A3FA" w:rsidP="0093196F">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E62F01" w:rsidRPr="00F86D91">
        <w:rPr>
          <w:rFonts w:ascii="Tahoma" w:eastAsia="Arial" w:hAnsi="Tahoma" w:cs="Tahoma"/>
          <w:color w:val="000000" w:themeColor="text1"/>
          <w:sz w:val="24"/>
          <w:szCs w:val="24"/>
        </w:rPr>
        <w:t>12</w:t>
      </w:r>
      <w:r w:rsidRPr="00F86D91">
        <w:rPr>
          <w:rFonts w:ascii="Tahoma" w:eastAsia="Arial" w:hAnsi="Tahoma" w:cs="Tahoma"/>
          <w:color w:val="000000" w:themeColor="text1"/>
          <w:sz w:val="24"/>
          <w:szCs w:val="24"/>
        </w:rPr>
        <w:t>.</w:t>
      </w:r>
      <w:r w:rsidRPr="00F86D91">
        <w:rPr>
          <w:rFonts w:ascii="Tahoma" w:hAnsi="Tahoma" w:cs="Tahoma"/>
        </w:rPr>
        <w:tab/>
      </w:r>
      <w:r w:rsidR="003B0EAD" w:rsidRPr="00F86D91">
        <w:rPr>
          <w:rFonts w:ascii="Tahoma" w:eastAsia="Arial" w:hAnsi="Tahoma" w:cs="Tahoma"/>
          <w:color w:val="000000" w:themeColor="text1"/>
          <w:sz w:val="24"/>
          <w:szCs w:val="24"/>
        </w:rPr>
        <w:t xml:space="preserve">The </w:t>
      </w:r>
      <w:r w:rsidR="00C95A0C" w:rsidRPr="00F86D91">
        <w:rPr>
          <w:rFonts w:ascii="Tahoma" w:eastAsia="Arial" w:hAnsi="Tahoma" w:cs="Tahoma"/>
          <w:color w:val="000000" w:themeColor="text1"/>
          <w:sz w:val="24"/>
          <w:szCs w:val="24"/>
        </w:rPr>
        <w:t>Applicant Declaration</w:t>
      </w:r>
      <w:r w:rsidR="00103AF4" w:rsidRPr="00F86D91">
        <w:rPr>
          <w:rFonts w:ascii="Tahoma" w:eastAsia="Arial" w:hAnsi="Tahoma" w:cs="Tahoma"/>
          <w:color w:val="000000" w:themeColor="text1"/>
          <w:sz w:val="24"/>
          <w:szCs w:val="24"/>
        </w:rPr>
        <w:t xml:space="preserve"> </w:t>
      </w:r>
      <w:r w:rsidR="00954DAD" w:rsidRPr="00F86D91">
        <w:rPr>
          <w:rFonts w:ascii="Tahoma" w:eastAsia="Arial" w:hAnsi="Tahoma" w:cs="Tahoma"/>
          <w:color w:val="000000" w:themeColor="text1"/>
          <w:sz w:val="24"/>
          <w:szCs w:val="24"/>
        </w:rPr>
        <w:t>(</w:t>
      </w:r>
      <w:r w:rsidR="00E62F01" w:rsidRPr="00F86D91">
        <w:rPr>
          <w:rFonts w:ascii="Tahoma" w:eastAsia="Arial" w:hAnsi="Tahoma" w:cs="Tahoma"/>
          <w:color w:val="000000" w:themeColor="text1"/>
          <w:sz w:val="24"/>
          <w:szCs w:val="24"/>
        </w:rPr>
        <w:t>A</w:t>
      </w:r>
      <w:r w:rsidR="00954DAD" w:rsidRPr="00F86D91">
        <w:rPr>
          <w:rFonts w:ascii="Tahoma" w:eastAsia="Arial" w:hAnsi="Tahoma" w:cs="Tahoma"/>
          <w:color w:val="000000" w:themeColor="text1"/>
          <w:sz w:val="24"/>
          <w:szCs w:val="24"/>
        </w:rPr>
        <w:t xml:space="preserve">ttachment </w:t>
      </w:r>
      <w:r w:rsidR="00125449" w:rsidRPr="00F86D91">
        <w:rPr>
          <w:rFonts w:ascii="Tahoma" w:eastAsia="Arial" w:hAnsi="Tahoma" w:cs="Tahoma"/>
          <w:color w:val="000000" w:themeColor="text1"/>
          <w:sz w:val="24"/>
          <w:szCs w:val="24"/>
        </w:rPr>
        <w:t xml:space="preserve">9) </w:t>
      </w:r>
      <w:r w:rsidR="00103AF4" w:rsidRPr="00F86D91">
        <w:rPr>
          <w:rFonts w:ascii="Tahoma" w:eastAsia="Arial" w:hAnsi="Tahoma" w:cs="Tahoma"/>
          <w:color w:val="000000" w:themeColor="text1"/>
          <w:sz w:val="24"/>
          <w:szCs w:val="24"/>
        </w:rPr>
        <w:t>states</w:t>
      </w:r>
      <w:r w:rsidR="00902AC1" w:rsidRPr="00F86D91">
        <w:rPr>
          <w:rFonts w:ascii="Tahoma" w:eastAsia="Arial" w:hAnsi="Tahoma" w:cs="Tahoma"/>
          <w:color w:val="000000" w:themeColor="text1"/>
          <w:sz w:val="24"/>
          <w:szCs w:val="24"/>
        </w:rPr>
        <w:t xml:space="preserve"> the applicant</w:t>
      </w:r>
      <w:r w:rsidR="00915F8A" w:rsidRPr="00F86D91">
        <w:rPr>
          <w:rFonts w:ascii="Tahoma" w:eastAsia="Arial" w:hAnsi="Tahoma" w:cs="Tahoma"/>
          <w:color w:val="000000" w:themeColor="text1"/>
          <w:sz w:val="24"/>
          <w:szCs w:val="24"/>
        </w:rPr>
        <w:t>,</w:t>
      </w:r>
      <w:r w:rsidR="003B0EAD" w:rsidRPr="00F86D91">
        <w:rPr>
          <w:rFonts w:ascii="Tahoma" w:eastAsia="Arial" w:hAnsi="Tahoma" w:cs="Tahoma"/>
          <w:color w:val="000000" w:themeColor="text1"/>
          <w:sz w:val="24"/>
          <w:szCs w:val="24"/>
        </w:rPr>
        <w:t xml:space="preserve"> </w:t>
      </w:r>
      <w:r w:rsidR="0F851FAD" w:rsidRPr="00F86D91">
        <w:rPr>
          <w:rFonts w:ascii="Tahoma" w:eastAsia="Arial" w:hAnsi="Tahoma" w:cs="Tahoma"/>
          <w:color w:val="000000" w:themeColor="text1"/>
          <w:sz w:val="24"/>
          <w:szCs w:val="24"/>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w:t>
      </w:r>
      <w:r w:rsidR="0F851FAD" w:rsidRPr="00F86D91">
        <w:rPr>
          <w:rFonts w:ascii="Tahoma" w:eastAsia="Arial" w:hAnsi="Tahoma" w:cs="Tahoma"/>
          <w:color w:val="000000" w:themeColor="text1"/>
          <w:sz w:val="24"/>
          <w:szCs w:val="24"/>
        </w:rPr>
        <w:lastRenderedPageBreak/>
        <w:t>project”</w:t>
      </w:r>
      <w:r w:rsidR="00FE616E" w:rsidRPr="00F86D91">
        <w:rPr>
          <w:rFonts w:ascii="Tahoma" w:eastAsia="Arial" w:hAnsi="Tahoma" w:cs="Tahoma"/>
          <w:color w:val="000000" w:themeColor="text1"/>
          <w:sz w:val="24"/>
          <w:szCs w:val="24"/>
        </w:rPr>
        <w:t xml:space="preserve">. </w:t>
      </w:r>
      <w:r w:rsidR="00D20E9D" w:rsidRPr="00F86D91">
        <w:rPr>
          <w:rFonts w:ascii="Tahoma" w:eastAsia="Arial" w:hAnsi="Tahoma" w:cs="Tahoma"/>
          <w:color w:val="000000" w:themeColor="text1"/>
          <w:sz w:val="24"/>
          <w:szCs w:val="24"/>
        </w:rPr>
        <w:t xml:space="preserve">So long as </w:t>
      </w:r>
      <w:r w:rsidR="00EA7C70" w:rsidRPr="00F86D91">
        <w:rPr>
          <w:rFonts w:ascii="Tahoma" w:eastAsia="Arial" w:hAnsi="Tahoma" w:cs="Tahoma"/>
          <w:color w:val="000000" w:themeColor="text1"/>
          <w:sz w:val="24"/>
          <w:szCs w:val="24"/>
        </w:rPr>
        <w:t xml:space="preserve">any existing lawsuits </w:t>
      </w:r>
      <w:r w:rsidR="00E747E5" w:rsidRPr="00F86D91">
        <w:rPr>
          <w:rFonts w:ascii="Tahoma" w:eastAsia="Arial" w:hAnsi="Tahoma" w:cs="Tahoma"/>
          <w:color w:val="000000" w:themeColor="text1"/>
          <w:sz w:val="24"/>
          <w:szCs w:val="24"/>
        </w:rPr>
        <w:t xml:space="preserve">will not reasonably be expected to materially impact </w:t>
      </w:r>
      <w:r w:rsidR="0093196F" w:rsidRPr="00F86D91">
        <w:rPr>
          <w:rFonts w:ascii="Tahoma" w:eastAsia="Arial" w:hAnsi="Tahoma" w:cs="Tahoma"/>
          <w:color w:val="000000" w:themeColor="text1"/>
          <w:sz w:val="24"/>
          <w:szCs w:val="24"/>
        </w:rPr>
        <w:t>the applicant’s</w:t>
      </w:r>
      <w:r w:rsidR="00E747E5" w:rsidRPr="00F86D91">
        <w:rPr>
          <w:rFonts w:ascii="Tahoma" w:eastAsia="Arial" w:hAnsi="Tahoma" w:cs="Tahoma"/>
          <w:color w:val="000000" w:themeColor="text1"/>
          <w:sz w:val="24"/>
          <w:szCs w:val="24"/>
        </w:rPr>
        <w:t xml:space="preserve"> ability to perform the project, </w:t>
      </w:r>
      <w:r w:rsidR="00964942" w:rsidRPr="00F86D91">
        <w:rPr>
          <w:rFonts w:ascii="Tahoma" w:eastAsia="Arial" w:hAnsi="Tahoma" w:cs="Tahoma"/>
          <w:color w:val="000000" w:themeColor="text1"/>
          <w:sz w:val="24"/>
          <w:szCs w:val="24"/>
        </w:rPr>
        <w:t xml:space="preserve">the </w:t>
      </w:r>
      <w:r w:rsidR="002779BA" w:rsidRPr="00F86D91">
        <w:rPr>
          <w:rFonts w:ascii="Tahoma" w:eastAsia="Arial" w:hAnsi="Tahoma" w:cs="Tahoma"/>
          <w:color w:val="000000" w:themeColor="text1"/>
          <w:sz w:val="24"/>
          <w:szCs w:val="24"/>
        </w:rPr>
        <w:t>applicant will be considered eligible.</w:t>
      </w:r>
    </w:p>
    <w:p w14:paraId="0B7A1112" w14:textId="7052FC38" w:rsidR="53234C4C" w:rsidRPr="00F86D91" w:rsidRDefault="53234C4C" w:rsidP="13BF8754">
      <w:pPr>
        <w:spacing w:after="0" w:line="240" w:lineRule="auto"/>
        <w:ind w:left="720" w:hanging="720"/>
        <w:rPr>
          <w:rFonts w:ascii="Tahoma" w:eastAsia="Arial" w:hAnsi="Tahoma" w:cs="Tahoma"/>
          <w:b/>
          <w:bCs/>
          <w:color w:val="000000" w:themeColor="text1"/>
          <w:sz w:val="24"/>
          <w:szCs w:val="24"/>
        </w:rPr>
      </w:pPr>
    </w:p>
    <w:p w14:paraId="0C4860AB" w14:textId="383B5BBB" w:rsidR="53234C4C" w:rsidRPr="00F86D91" w:rsidRDefault="53234C4C" w:rsidP="53234C4C">
      <w:pPr>
        <w:spacing w:after="0" w:line="240" w:lineRule="auto"/>
        <w:ind w:left="720" w:hanging="720"/>
        <w:rPr>
          <w:rFonts w:ascii="Tahoma" w:eastAsia="Arial" w:hAnsi="Tahoma" w:cs="Tahoma"/>
          <w:color w:val="000000" w:themeColor="text1"/>
          <w:sz w:val="24"/>
          <w:szCs w:val="24"/>
        </w:rPr>
      </w:pPr>
    </w:p>
    <w:p w14:paraId="4E2EBA88" w14:textId="19697A25" w:rsidR="63A9A3FA" w:rsidRPr="00F86D91" w:rsidRDefault="63A9A3FA"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E74BF1" w:rsidRPr="00F86D91">
        <w:rPr>
          <w:rFonts w:ascii="Tahoma" w:eastAsia="Arial" w:hAnsi="Tahoma" w:cs="Tahoma"/>
          <w:b/>
          <w:bCs/>
          <w:color w:val="000000" w:themeColor="text1"/>
          <w:sz w:val="24"/>
          <w:szCs w:val="24"/>
        </w:rPr>
        <w:t>13</w:t>
      </w:r>
      <w:r w:rsidRPr="00F86D91">
        <w:rPr>
          <w:rFonts w:ascii="Tahoma" w:eastAsia="Arial" w:hAnsi="Tahoma" w:cs="Tahoma"/>
          <w:b/>
          <w:bCs/>
          <w:color w:val="000000" w:themeColor="text1"/>
          <w:sz w:val="24"/>
          <w:szCs w:val="24"/>
        </w:rPr>
        <w:t>.</w:t>
      </w:r>
      <w:r w:rsidRPr="00F86D91">
        <w:rPr>
          <w:rFonts w:ascii="Tahoma" w:hAnsi="Tahoma" w:cs="Tahoma"/>
        </w:rPr>
        <w:tab/>
      </w:r>
      <w:r w:rsidR="2B82B992" w:rsidRPr="00F86D91">
        <w:rPr>
          <w:rFonts w:ascii="Tahoma" w:eastAsia="Arial" w:hAnsi="Tahoma" w:cs="Tahoma"/>
          <w:b/>
          <w:bCs/>
          <w:color w:val="000000" w:themeColor="text1"/>
          <w:sz w:val="24"/>
          <w:szCs w:val="24"/>
        </w:rPr>
        <w:t>Can Tribes be a subrecipient under a City or County government?</w:t>
      </w:r>
    </w:p>
    <w:p w14:paraId="4220EF31" w14:textId="15E9D8E9" w:rsidR="53234C4C" w:rsidRPr="00F86D91" w:rsidRDefault="53234C4C" w:rsidP="53234C4C">
      <w:pPr>
        <w:spacing w:after="0" w:line="240" w:lineRule="auto"/>
        <w:ind w:left="720" w:hanging="720"/>
        <w:rPr>
          <w:rFonts w:ascii="Tahoma" w:eastAsia="Arial" w:hAnsi="Tahoma" w:cs="Tahoma"/>
          <w:b/>
          <w:bCs/>
          <w:color w:val="000000" w:themeColor="text1"/>
          <w:sz w:val="24"/>
          <w:szCs w:val="24"/>
        </w:rPr>
      </w:pPr>
    </w:p>
    <w:p w14:paraId="7538F127" w14:textId="7094262A" w:rsidR="00F6099C" w:rsidRPr="00F86D91" w:rsidRDefault="63A9A3FA" w:rsidP="00F6099C">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E74BF1" w:rsidRPr="00F86D91">
        <w:rPr>
          <w:rFonts w:ascii="Tahoma" w:eastAsia="Arial" w:hAnsi="Tahoma" w:cs="Tahoma"/>
          <w:color w:val="000000" w:themeColor="text1"/>
          <w:sz w:val="24"/>
          <w:szCs w:val="24"/>
        </w:rPr>
        <w:t>13</w:t>
      </w:r>
      <w:r w:rsidRPr="00F86D91">
        <w:rPr>
          <w:rFonts w:ascii="Tahoma" w:eastAsia="Arial" w:hAnsi="Tahoma" w:cs="Tahoma"/>
          <w:color w:val="000000" w:themeColor="text1"/>
          <w:sz w:val="24"/>
          <w:szCs w:val="24"/>
        </w:rPr>
        <w:t>.</w:t>
      </w:r>
      <w:r w:rsidRPr="00F86D91">
        <w:rPr>
          <w:rFonts w:ascii="Tahoma" w:hAnsi="Tahoma" w:cs="Tahoma"/>
        </w:rPr>
        <w:tab/>
      </w:r>
      <w:r w:rsidR="003E62CF" w:rsidRPr="00F86D91">
        <w:rPr>
          <w:rFonts w:ascii="Tahoma" w:hAnsi="Tahoma" w:cs="Tahoma"/>
          <w:sz w:val="24"/>
          <w:szCs w:val="24"/>
        </w:rPr>
        <w:t xml:space="preserve">Yes, however </w:t>
      </w:r>
      <w:r w:rsidR="00BE67D8" w:rsidRPr="00F86D91">
        <w:rPr>
          <w:rFonts w:ascii="Tahoma" w:hAnsi="Tahoma" w:cs="Tahoma"/>
          <w:sz w:val="24"/>
          <w:szCs w:val="24"/>
        </w:rPr>
        <w:t xml:space="preserve">the project can only support the fleet or fleets </w:t>
      </w:r>
      <w:r w:rsidR="30AA678E" w:rsidRPr="00F86D91">
        <w:rPr>
          <w:rFonts w:ascii="Tahoma" w:hAnsi="Tahoma" w:cs="Tahoma"/>
          <w:sz w:val="24"/>
          <w:szCs w:val="24"/>
        </w:rPr>
        <w:t>owned</w:t>
      </w:r>
      <w:r w:rsidR="00D6555B" w:rsidRPr="00F86D91">
        <w:rPr>
          <w:rFonts w:ascii="Tahoma" w:hAnsi="Tahoma" w:cs="Tahoma"/>
          <w:sz w:val="24"/>
          <w:szCs w:val="24"/>
        </w:rPr>
        <w:t>, leased and/or operated</w:t>
      </w:r>
      <w:r w:rsidR="00BE67D8" w:rsidRPr="00F86D91">
        <w:rPr>
          <w:rFonts w:ascii="Tahoma" w:hAnsi="Tahoma" w:cs="Tahoma"/>
          <w:sz w:val="24"/>
          <w:szCs w:val="24"/>
        </w:rPr>
        <w:t xml:space="preserve"> </w:t>
      </w:r>
      <w:r w:rsidR="4094273D" w:rsidRPr="00F86D91">
        <w:rPr>
          <w:rFonts w:ascii="Tahoma" w:hAnsi="Tahoma" w:cs="Tahoma"/>
          <w:sz w:val="24"/>
          <w:szCs w:val="24"/>
        </w:rPr>
        <w:t xml:space="preserve">by </w:t>
      </w:r>
      <w:r w:rsidR="00BE67D8" w:rsidRPr="00F86D91">
        <w:rPr>
          <w:rFonts w:ascii="Tahoma" w:hAnsi="Tahoma" w:cs="Tahoma"/>
          <w:sz w:val="24"/>
          <w:szCs w:val="24"/>
        </w:rPr>
        <w:t xml:space="preserve">a </w:t>
      </w:r>
      <w:r w:rsidR="00BE67D8" w:rsidRPr="00F86D91">
        <w:rPr>
          <w:rFonts w:ascii="Tahoma" w:hAnsi="Tahoma" w:cs="Tahoma"/>
          <w:bCs/>
          <w:sz w:val="24"/>
          <w:szCs w:val="24"/>
        </w:rPr>
        <w:t>single</w:t>
      </w:r>
      <w:r w:rsidR="00BE67D8" w:rsidRPr="00F86D91">
        <w:rPr>
          <w:rFonts w:ascii="Tahoma" w:hAnsi="Tahoma" w:cs="Tahoma"/>
          <w:sz w:val="24"/>
          <w:szCs w:val="24"/>
        </w:rPr>
        <w:t xml:space="preserve"> government entity</w:t>
      </w:r>
      <w:r w:rsidR="00E74BF1" w:rsidRPr="00F86D91">
        <w:rPr>
          <w:rFonts w:ascii="Tahoma" w:hAnsi="Tahoma" w:cs="Tahoma"/>
          <w:sz w:val="24"/>
          <w:szCs w:val="24"/>
        </w:rPr>
        <w:t xml:space="preserve">. </w:t>
      </w:r>
      <w:r w:rsidR="00F6099C" w:rsidRPr="00F86D91">
        <w:rPr>
          <w:rFonts w:ascii="Tahoma" w:hAnsi="Tahoma" w:cs="Tahoma"/>
          <w:sz w:val="24"/>
          <w:szCs w:val="24"/>
        </w:rPr>
        <w:t>As clarified in the addended solicitation manual, “A government entity refers to either a California county government, a California city government, and/or a tribal government within California” (</w:t>
      </w:r>
      <w:r w:rsidR="00F6099C" w:rsidRPr="00F86D91">
        <w:rPr>
          <w:rFonts w:ascii="Tahoma" w:eastAsia="Arial" w:hAnsi="Tahoma" w:cs="Tahoma"/>
          <w:color w:val="000000" w:themeColor="text1"/>
          <w:sz w:val="24"/>
          <w:szCs w:val="24"/>
        </w:rPr>
        <w:t xml:space="preserve">Section </w:t>
      </w:r>
      <w:r w:rsidR="00FE543E" w:rsidRPr="00F86D91">
        <w:rPr>
          <w:rFonts w:ascii="Tahoma" w:eastAsia="Arial" w:hAnsi="Tahoma" w:cs="Tahoma"/>
          <w:color w:val="000000" w:themeColor="text1"/>
          <w:sz w:val="24"/>
          <w:szCs w:val="24"/>
        </w:rPr>
        <w:t>I</w:t>
      </w:r>
      <w:r w:rsidR="00F6099C" w:rsidRPr="00F86D91">
        <w:rPr>
          <w:rFonts w:ascii="Tahoma" w:eastAsia="Arial" w:hAnsi="Tahoma" w:cs="Tahoma"/>
          <w:color w:val="000000" w:themeColor="text1"/>
          <w:sz w:val="24"/>
          <w:szCs w:val="24"/>
        </w:rPr>
        <w:t xml:space="preserve">I.B.1, page </w:t>
      </w:r>
      <w:r w:rsidR="00295787" w:rsidRPr="00F86D91">
        <w:rPr>
          <w:rFonts w:ascii="Tahoma" w:eastAsia="Arial" w:hAnsi="Tahoma" w:cs="Tahoma"/>
          <w:color w:val="000000" w:themeColor="text1"/>
          <w:sz w:val="24"/>
          <w:szCs w:val="24"/>
        </w:rPr>
        <w:t>10</w:t>
      </w:r>
      <w:r w:rsidR="00F6099C" w:rsidRPr="00F86D91">
        <w:rPr>
          <w:rFonts w:ascii="Tahoma" w:eastAsia="Arial" w:hAnsi="Tahoma" w:cs="Tahoma"/>
          <w:color w:val="000000" w:themeColor="text1"/>
          <w:sz w:val="24"/>
          <w:szCs w:val="24"/>
        </w:rPr>
        <w:t>, “Eligible Projects”, Solicitation Manual).</w:t>
      </w:r>
    </w:p>
    <w:p w14:paraId="05E895A6" w14:textId="24884E85" w:rsidR="53234C4C" w:rsidRPr="00F86D91" w:rsidRDefault="53234C4C" w:rsidP="53234C4C">
      <w:pPr>
        <w:spacing w:after="0" w:line="240" w:lineRule="auto"/>
        <w:ind w:left="720" w:hanging="720"/>
        <w:rPr>
          <w:rFonts w:ascii="Tahoma" w:eastAsia="Arial" w:hAnsi="Tahoma" w:cs="Tahoma"/>
          <w:b/>
          <w:bCs/>
          <w:color w:val="000000" w:themeColor="text1"/>
          <w:sz w:val="24"/>
          <w:szCs w:val="24"/>
        </w:rPr>
      </w:pPr>
    </w:p>
    <w:p w14:paraId="57B182D0" w14:textId="386EBBD4" w:rsidR="53234C4C" w:rsidRPr="00F86D91" w:rsidRDefault="53234C4C" w:rsidP="53234C4C">
      <w:pPr>
        <w:spacing w:after="0" w:line="240" w:lineRule="auto"/>
        <w:ind w:left="720" w:hanging="720"/>
        <w:rPr>
          <w:rFonts w:ascii="Tahoma" w:eastAsia="Arial" w:hAnsi="Tahoma" w:cs="Tahoma"/>
          <w:b/>
          <w:bCs/>
          <w:color w:val="000000" w:themeColor="text1"/>
          <w:sz w:val="24"/>
          <w:szCs w:val="24"/>
        </w:rPr>
      </w:pPr>
    </w:p>
    <w:p w14:paraId="0E443BFC" w14:textId="44AA1D2C" w:rsidR="63A9A3FA" w:rsidRPr="00F86D91" w:rsidRDefault="63A9A3FA" w:rsidP="13BF8754">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E74BF1" w:rsidRPr="00F86D91">
        <w:rPr>
          <w:rFonts w:ascii="Tahoma" w:eastAsia="Arial" w:hAnsi="Tahoma" w:cs="Tahoma"/>
          <w:b/>
          <w:bCs/>
          <w:color w:val="000000" w:themeColor="text1"/>
          <w:sz w:val="24"/>
          <w:szCs w:val="24"/>
        </w:rPr>
        <w:t>14</w:t>
      </w:r>
      <w:r w:rsidRPr="00F86D91">
        <w:rPr>
          <w:rFonts w:ascii="Tahoma" w:eastAsia="Arial" w:hAnsi="Tahoma" w:cs="Tahoma"/>
          <w:b/>
          <w:bCs/>
          <w:color w:val="000000" w:themeColor="text1"/>
          <w:sz w:val="24"/>
          <w:szCs w:val="24"/>
        </w:rPr>
        <w:t>.</w:t>
      </w:r>
      <w:r w:rsidRPr="00F86D91">
        <w:rPr>
          <w:rFonts w:ascii="Tahoma" w:hAnsi="Tahoma" w:cs="Tahoma"/>
        </w:rPr>
        <w:tab/>
      </w:r>
      <w:r w:rsidR="64EAE0BD" w:rsidRPr="00F86D91">
        <w:rPr>
          <w:rFonts w:ascii="Tahoma" w:eastAsia="Arial" w:hAnsi="Tahoma" w:cs="Tahoma"/>
          <w:b/>
          <w:bCs/>
          <w:color w:val="000000" w:themeColor="text1"/>
          <w:sz w:val="24"/>
          <w:szCs w:val="24"/>
        </w:rPr>
        <w:t>Can a county include local cities in their application?</w:t>
      </w:r>
    </w:p>
    <w:p w14:paraId="6617AB56" w14:textId="15E9D8E9" w:rsidR="53234C4C" w:rsidRPr="00F86D91" w:rsidRDefault="53234C4C" w:rsidP="53234C4C">
      <w:pPr>
        <w:spacing w:after="0" w:line="240" w:lineRule="auto"/>
        <w:ind w:left="720" w:hanging="720"/>
        <w:rPr>
          <w:rFonts w:ascii="Tahoma" w:eastAsia="Arial" w:hAnsi="Tahoma" w:cs="Tahoma"/>
          <w:b/>
          <w:bCs/>
          <w:color w:val="000000" w:themeColor="text1"/>
          <w:sz w:val="24"/>
          <w:szCs w:val="24"/>
        </w:rPr>
      </w:pPr>
    </w:p>
    <w:p w14:paraId="66C215DB" w14:textId="3EF74D64" w:rsidR="00872FCD" w:rsidRPr="00F86D91" w:rsidRDefault="63A9A3FA" w:rsidP="00872FCD">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E74BF1" w:rsidRPr="00F86D91">
        <w:rPr>
          <w:rFonts w:ascii="Tahoma" w:eastAsia="Arial" w:hAnsi="Tahoma" w:cs="Tahoma"/>
          <w:color w:val="000000" w:themeColor="text1"/>
          <w:sz w:val="24"/>
          <w:szCs w:val="24"/>
        </w:rPr>
        <w:t>14</w:t>
      </w:r>
      <w:r w:rsidRPr="00F86D91">
        <w:rPr>
          <w:rFonts w:ascii="Tahoma" w:eastAsia="Arial" w:hAnsi="Tahoma" w:cs="Tahoma"/>
          <w:color w:val="000000" w:themeColor="text1"/>
          <w:sz w:val="24"/>
          <w:szCs w:val="24"/>
        </w:rPr>
        <w:t>.</w:t>
      </w:r>
      <w:r w:rsidRPr="00F86D91">
        <w:rPr>
          <w:rFonts w:ascii="Tahoma" w:hAnsi="Tahoma" w:cs="Tahoma"/>
        </w:rPr>
        <w:tab/>
      </w:r>
      <w:r w:rsidR="00872FCD" w:rsidRPr="00F86D91">
        <w:rPr>
          <w:rFonts w:ascii="Tahoma" w:hAnsi="Tahoma" w:cs="Tahoma"/>
          <w:sz w:val="24"/>
          <w:szCs w:val="24"/>
        </w:rPr>
        <w:t>A</w:t>
      </w:r>
      <w:r w:rsidR="001D4423" w:rsidRPr="00F86D91">
        <w:rPr>
          <w:rFonts w:ascii="Tahoma" w:hAnsi="Tahoma" w:cs="Tahoma"/>
          <w:sz w:val="24"/>
          <w:szCs w:val="24"/>
        </w:rPr>
        <w:t xml:space="preserve"> county may involve one or more cities as project partners and/or </w:t>
      </w:r>
      <w:r w:rsidR="00BA3627" w:rsidRPr="00F86D91">
        <w:rPr>
          <w:rFonts w:ascii="Tahoma" w:hAnsi="Tahoma" w:cs="Tahoma"/>
          <w:sz w:val="24"/>
          <w:szCs w:val="24"/>
        </w:rPr>
        <w:t>subrecipients</w:t>
      </w:r>
      <w:r w:rsidR="001D4423" w:rsidRPr="00F86D91">
        <w:rPr>
          <w:rFonts w:ascii="Tahoma" w:hAnsi="Tahoma" w:cs="Tahoma"/>
          <w:sz w:val="24"/>
          <w:szCs w:val="24"/>
        </w:rPr>
        <w:t>, however, a</w:t>
      </w:r>
      <w:r w:rsidR="00872FCD" w:rsidRPr="00F86D91">
        <w:rPr>
          <w:rFonts w:ascii="Tahoma" w:hAnsi="Tahoma" w:cs="Tahoma"/>
          <w:sz w:val="24"/>
          <w:szCs w:val="24"/>
        </w:rPr>
        <w:t>s clarified in the addended solicitation manual,</w:t>
      </w:r>
      <w:r w:rsidR="00872FCD" w:rsidRPr="00F86D91">
        <w:rPr>
          <w:rFonts w:ascii="Tahoma" w:eastAsia="Arial" w:hAnsi="Tahoma" w:cs="Tahoma"/>
          <w:color w:val="000000" w:themeColor="text1"/>
          <w:sz w:val="24"/>
          <w:szCs w:val="24"/>
        </w:rPr>
        <w:t xml:space="preserve"> “Eligible projects will deploy electric vehicle charging infrastructure to support a light-duty government fleet(s) owned, leased, and/or operated by a </w:t>
      </w:r>
      <w:r w:rsidR="00872FCD" w:rsidRPr="00F86D91">
        <w:rPr>
          <w:rFonts w:ascii="Tahoma" w:eastAsia="Arial" w:hAnsi="Tahoma" w:cs="Tahoma"/>
          <w:bCs/>
          <w:color w:val="000000" w:themeColor="text1"/>
          <w:sz w:val="24"/>
          <w:szCs w:val="24"/>
        </w:rPr>
        <w:t>single</w:t>
      </w:r>
      <w:r w:rsidR="00872FCD" w:rsidRPr="00F86D91">
        <w:rPr>
          <w:rFonts w:ascii="Tahoma" w:eastAsia="Arial" w:hAnsi="Tahoma" w:cs="Tahoma"/>
          <w:color w:val="000000" w:themeColor="text1"/>
          <w:sz w:val="24"/>
          <w:szCs w:val="24"/>
        </w:rPr>
        <w:t xml:space="preserve"> government entity</w:t>
      </w:r>
      <w:r w:rsidR="00E74BF1" w:rsidRPr="00F86D91">
        <w:rPr>
          <w:rFonts w:ascii="Tahoma" w:eastAsia="Arial" w:hAnsi="Tahoma" w:cs="Tahoma"/>
          <w:color w:val="000000" w:themeColor="text1"/>
          <w:sz w:val="24"/>
          <w:szCs w:val="24"/>
        </w:rPr>
        <w:t>.</w:t>
      </w:r>
    </w:p>
    <w:p w14:paraId="3ECD52EB" w14:textId="17816D91" w:rsidR="00872FCD" w:rsidRPr="00F86D91" w:rsidRDefault="00872FCD" w:rsidP="00872FCD">
      <w:pPr>
        <w:spacing w:after="0" w:line="240" w:lineRule="auto"/>
        <w:ind w:left="720" w:hanging="720"/>
        <w:rPr>
          <w:rFonts w:ascii="Tahoma" w:eastAsia="Arial" w:hAnsi="Tahoma" w:cs="Tahoma"/>
          <w:color w:val="000000" w:themeColor="text1"/>
          <w:sz w:val="24"/>
          <w:szCs w:val="24"/>
        </w:rPr>
      </w:pPr>
    </w:p>
    <w:p w14:paraId="65F2CB79" w14:textId="396483F7" w:rsidR="00872FCD" w:rsidRPr="00F86D91" w:rsidRDefault="00872FCD" w:rsidP="00872FCD">
      <w:pPr>
        <w:spacing w:after="0" w:line="240" w:lineRule="auto"/>
        <w:ind w:left="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 government entity refers to either a California county government fleet, a California city government, and/or a tribal government fleet within California. Special districts, such as water utility districts, sewer utility districts, sanitation districts or air districts are not considered government entities under this solicitation. Public school districts, including public colleges, public universities, and local education agencies are not considered government entities</w:t>
      </w:r>
      <w:r w:rsidR="002740A8" w:rsidRPr="00F86D91">
        <w:rPr>
          <w:rFonts w:ascii="Tahoma" w:eastAsia="Arial" w:hAnsi="Tahoma" w:cs="Tahoma"/>
          <w:color w:val="000000" w:themeColor="text1"/>
          <w:sz w:val="24"/>
          <w:szCs w:val="24"/>
        </w:rPr>
        <w:t xml:space="preserve"> under this solicitation</w:t>
      </w:r>
      <w:r w:rsidRPr="00F86D91">
        <w:rPr>
          <w:rFonts w:ascii="Tahoma" w:eastAsia="Arial" w:hAnsi="Tahoma" w:cs="Tahoma"/>
          <w:color w:val="000000" w:themeColor="text1"/>
          <w:sz w:val="24"/>
          <w:szCs w:val="24"/>
        </w:rPr>
        <w:t xml:space="preserve">” (Section </w:t>
      </w:r>
      <w:r w:rsidR="001D4423" w:rsidRPr="00F86D91">
        <w:rPr>
          <w:rFonts w:ascii="Tahoma" w:eastAsia="Arial" w:hAnsi="Tahoma" w:cs="Tahoma"/>
          <w:color w:val="000000" w:themeColor="text1"/>
          <w:sz w:val="24"/>
          <w:szCs w:val="24"/>
        </w:rPr>
        <w:t>I</w:t>
      </w:r>
      <w:r w:rsidRPr="00F86D91">
        <w:rPr>
          <w:rFonts w:ascii="Tahoma" w:eastAsia="Arial" w:hAnsi="Tahoma" w:cs="Tahoma"/>
          <w:color w:val="000000" w:themeColor="text1"/>
          <w:sz w:val="24"/>
          <w:szCs w:val="24"/>
        </w:rPr>
        <w:t xml:space="preserve">I.B.1, page </w:t>
      </w:r>
      <w:r w:rsidR="00B515CB">
        <w:rPr>
          <w:rFonts w:ascii="Tahoma" w:eastAsia="Arial" w:hAnsi="Tahoma" w:cs="Tahoma"/>
          <w:color w:val="000000" w:themeColor="text1"/>
          <w:sz w:val="24"/>
          <w:szCs w:val="24"/>
        </w:rPr>
        <w:t>10-11</w:t>
      </w:r>
      <w:r w:rsidR="006F7387" w:rsidRPr="00F86D91">
        <w:rPr>
          <w:rFonts w:ascii="Tahoma" w:eastAsia="Arial" w:hAnsi="Tahoma" w:cs="Tahoma"/>
          <w:color w:val="000000" w:themeColor="text1"/>
          <w:sz w:val="24"/>
          <w:szCs w:val="24"/>
        </w:rPr>
        <w:t>,</w:t>
      </w:r>
      <w:r w:rsidRPr="00F86D91">
        <w:rPr>
          <w:rFonts w:ascii="Tahoma" w:eastAsia="Arial" w:hAnsi="Tahoma" w:cs="Tahoma"/>
          <w:color w:val="000000" w:themeColor="text1"/>
          <w:sz w:val="24"/>
          <w:szCs w:val="24"/>
        </w:rPr>
        <w:t xml:space="preserve"> “Eligible Projects”, Solicitation Manual).</w:t>
      </w:r>
    </w:p>
    <w:p w14:paraId="10F074A4" w14:textId="09E961DA" w:rsidR="13BF8754" w:rsidRPr="00F86D91" w:rsidRDefault="13BF8754" w:rsidP="001D4423">
      <w:pPr>
        <w:spacing w:after="0" w:line="240" w:lineRule="auto"/>
        <w:rPr>
          <w:rFonts w:ascii="Tahoma" w:hAnsi="Tahoma" w:cs="Tahoma"/>
          <w:sz w:val="24"/>
          <w:szCs w:val="24"/>
        </w:rPr>
      </w:pPr>
    </w:p>
    <w:p w14:paraId="6FC576C3" w14:textId="07A05661" w:rsidR="13BF8754" w:rsidRPr="00F86D91" w:rsidRDefault="13BF8754" w:rsidP="13BF8754">
      <w:pPr>
        <w:spacing w:after="0" w:line="240" w:lineRule="auto"/>
        <w:ind w:left="720" w:hanging="720"/>
        <w:rPr>
          <w:rFonts w:ascii="Tahoma" w:eastAsia="Arial" w:hAnsi="Tahoma" w:cs="Tahoma"/>
          <w:color w:val="000000" w:themeColor="text1"/>
          <w:sz w:val="24"/>
          <w:szCs w:val="24"/>
        </w:rPr>
      </w:pPr>
    </w:p>
    <w:p w14:paraId="6273F03C" w14:textId="1843B9F1" w:rsidR="44B9B0DC" w:rsidRPr="00F86D91" w:rsidRDefault="44B9B0DC" w:rsidP="44A3F00F">
      <w:pPr>
        <w:spacing w:after="0" w:line="240" w:lineRule="auto"/>
        <w:ind w:left="720" w:hanging="720"/>
        <w:rPr>
          <w:rFonts w:ascii="Tahoma" w:eastAsia="Arial" w:hAnsi="Tahoma" w:cs="Tahoma"/>
          <w:b/>
          <w:color w:val="000000" w:themeColor="text1"/>
          <w:sz w:val="24"/>
          <w:szCs w:val="24"/>
        </w:rPr>
      </w:pPr>
      <w:r w:rsidRPr="00F86D91">
        <w:rPr>
          <w:rFonts w:ascii="Tahoma" w:eastAsia="Arial" w:hAnsi="Tahoma" w:cs="Tahoma"/>
          <w:b/>
          <w:bCs/>
          <w:color w:val="000000" w:themeColor="text1"/>
          <w:sz w:val="24"/>
          <w:szCs w:val="24"/>
        </w:rPr>
        <w:t>Q</w:t>
      </w:r>
      <w:r w:rsidR="006F7387" w:rsidRPr="00F86D91">
        <w:rPr>
          <w:rFonts w:ascii="Tahoma" w:eastAsia="Arial" w:hAnsi="Tahoma" w:cs="Tahoma"/>
          <w:b/>
          <w:bCs/>
          <w:color w:val="000000" w:themeColor="text1"/>
          <w:sz w:val="24"/>
          <w:szCs w:val="24"/>
        </w:rPr>
        <w:t>15</w:t>
      </w:r>
      <w:r w:rsidRPr="00F86D91">
        <w:rPr>
          <w:rFonts w:ascii="Tahoma" w:eastAsia="Arial" w:hAnsi="Tahoma" w:cs="Tahoma"/>
          <w:b/>
          <w:bCs/>
          <w:color w:val="000000" w:themeColor="text1"/>
          <w:sz w:val="24"/>
          <w:szCs w:val="24"/>
        </w:rPr>
        <w:t>.</w:t>
      </w:r>
      <w:r w:rsidRPr="00F86D91">
        <w:rPr>
          <w:rFonts w:ascii="Tahoma" w:hAnsi="Tahoma" w:cs="Tahoma"/>
        </w:rPr>
        <w:tab/>
      </w:r>
      <w:r w:rsidR="3349908B" w:rsidRPr="00F86D91">
        <w:rPr>
          <w:rFonts w:ascii="Tahoma" w:eastAsia="Arial" w:hAnsi="Tahoma" w:cs="Tahoma"/>
          <w:b/>
          <w:bCs/>
          <w:color w:val="000000" w:themeColor="text1"/>
          <w:sz w:val="24"/>
          <w:szCs w:val="24"/>
        </w:rPr>
        <w:t xml:space="preserve">Can Tribes </w:t>
      </w:r>
      <w:r w:rsidR="6ED79245" w:rsidRPr="00F86D91">
        <w:rPr>
          <w:rFonts w:ascii="Tahoma" w:eastAsia="Arial" w:hAnsi="Tahoma" w:cs="Tahoma"/>
          <w:b/>
          <w:bCs/>
          <w:color w:val="000000" w:themeColor="text1"/>
          <w:sz w:val="24"/>
          <w:szCs w:val="24"/>
        </w:rPr>
        <w:t xml:space="preserve">apply </w:t>
      </w:r>
      <w:r w:rsidR="3349908B" w:rsidRPr="00F86D91">
        <w:rPr>
          <w:rFonts w:ascii="Tahoma" w:eastAsia="Arial" w:hAnsi="Tahoma" w:cs="Tahoma"/>
          <w:b/>
          <w:bCs/>
          <w:color w:val="000000" w:themeColor="text1"/>
          <w:sz w:val="24"/>
          <w:szCs w:val="24"/>
        </w:rPr>
        <w:t>together to reach the 100</w:t>
      </w:r>
      <w:r w:rsidR="5B7F3E25" w:rsidRPr="00F86D91">
        <w:rPr>
          <w:rFonts w:ascii="Tahoma" w:eastAsia="Arial" w:hAnsi="Tahoma" w:cs="Tahoma"/>
          <w:b/>
          <w:bCs/>
          <w:color w:val="000000" w:themeColor="text1"/>
          <w:sz w:val="24"/>
          <w:szCs w:val="24"/>
        </w:rPr>
        <w:t>-</w:t>
      </w:r>
      <w:r w:rsidR="26608576" w:rsidRPr="00F86D91">
        <w:rPr>
          <w:rFonts w:ascii="Tahoma" w:eastAsia="Arial" w:hAnsi="Tahoma" w:cs="Tahoma"/>
          <w:b/>
          <w:bCs/>
          <w:color w:val="000000" w:themeColor="text1"/>
          <w:sz w:val="24"/>
          <w:szCs w:val="24"/>
        </w:rPr>
        <w:t>p</w:t>
      </w:r>
      <w:r w:rsidR="6A42B586" w:rsidRPr="00F86D91">
        <w:rPr>
          <w:rFonts w:ascii="Tahoma" w:eastAsia="Arial" w:hAnsi="Tahoma" w:cs="Tahoma"/>
          <w:b/>
          <w:bCs/>
          <w:color w:val="000000" w:themeColor="text1"/>
          <w:sz w:val="24"/>
          <w:szCs w:val="24"/>
        </w:rPr>
        <w:t>ort min</w:t>
      </w:r>
      <w:r w:rsidR="778C6B83" w:rsidRPr="00F86D91">
        <w:rPr>
          <w:rFonts w:ascii="Tahoma" w:eastAsia="Arial" w:hAnsi="Tahoma" w:cs="Tahoma"/>
          <w:b/>
          <w:bCs/>
          <w:color w:val="000000" w:themeColor="text1"/>
          <w:sz w:val="24"/>
          <w:szCs w:val="24"/>
        </w:rPr>
        <w:t>imum</w:t>
      </w:r>
      <w:r w:rsidR="6A42B586" w:rsidRPr="00F86D91">
        <w:rPr>
          <w:rFonts w:ascii="Tahoma" w:eastAsia="Arial" w:hAnsi="Tahoma" w:cs="Tahoma"/>
          <w:b/>
          <w:bCs/>
          <w:color w:val="000000" w:themeColor="text1"/>
          <w:sz w:val="24"/>
          <w:szCs w:val="24"/>
        </w:rPr>
        <w:t xml:space="preserve">?  </w:t>
      </w:r>
    </w:p>
    <w:p w14:paraId="20DA6DEC" w14:textId="716E647A" w:rsidR="13BF8754" w:rsidRPr="00F86D91" w:rsidRDefault="13BF8754" w:rsidP="13BF8754">
      <w:pPr>
        <w:spacing w:after="0" w:line="240" w:lineRule="auto"/>
        <w:ind w:left="720" w:hanging="720"/>
        <w:rPr>
          <w:rFonts w:ascii="Tahoma" w:eastAsia="Arial" w:hAnsi="Tahoma" w:cs="Tahoma"/>
          <w:b/>
          <w:bCs/>
          <w:color w:val="000000" w:themeColor="text1"/>
          <w:sz w:val="24"/>
          <w:szCs w:val="24"/>
        </w:rPr>
      </w:pPr>
    </w:p>
    <w:p w14:paraId="1D6DE6F0" w14:textId="416E28F1" w:rsidR="44B9B0DC" w:rsidRPr="00F86D91" w:rsidRDefault="44B9B0DC" w:rsidP="13BF8754">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6F7387" w:rsidRPr="00F86D91">
        <w:rPr>
          <w:rFonts w:ascii="Tahoma" w:eastAsia="Arial" w:hAnsi="Tahoma" w:cs="Tahoma"/>
          <w:color w:val="000000" w:themeColor="text1"/>
          <w:sz w:val="24"/>
          <w:szCs w:val="24"/>
        </w:rPr>
        <w:t>15</w:t>
      </w:r>
      <w:r w:rsidRPr="00F86D91">
        <w:rPr>
          <w:rFonts w:ascii="Tahoma" w:eastAsia="Arial" w:hAnsi="Tahoma" w:cs="Tahoma"/>
          <w:color w:val="000000" w:themeColor="text1"/>
          <w:sz w:val="24"/>
          <w:szCs w:val="24"/>
        </w:rPr>
        <w:t>.</w:t>
      </w:r>
      <w:r w:rsidRPr="00F86D91">
        <w:rPr>
          <w:rFonts w:ascii="Tahoma" w:hAnsi="Tahoma" w:cs="Tahoma"/>
        </w:rPr>
        <w:tab/>
      </w:r>
      <w:r w:rsidR="00074A60" w:rsidRPr="00F86D91">
        <w:rPr>
          <w:rFonts w:ascii="Tahoma" w:hAnsi="Tahoma" w:cs="Tahoma"/>
          <w:sz w:val="24"/>
          <w:szCs w:val="24"/>
        </w:rPr>
        <w:t>No, a</w:t>
      </w:r>
      <w:r w:rsidR="00872FCD" w:rsidRPr="00F86D91">
        <w:rPr>
          <w:rFonts w:ascii="Tahoma" w:hAnsi="Tahoma" w:cs="Tahoma"/>
          <w:sz w:val="24"/>
          <w:szCs w:val="24"/>
        </w:rPr>
        <w:t>s clarified in the addended solicitation manual,</w:t>
      </w:r>
      <w:r w:rsidR="00872FCD" w:rsidRPr="00F86D91">
        <w:rPr>
          <w:rFonts w:ascii="Tahoma" w:eastAsia="Arial" w:hAnsi="Tahoma" w:cs="Tahoma"/>
          <w:color w:val="000000" w:themeColor="text1"/>
          <w:sz w:val="24"/>
          <w:szCs w:val="24"/>
        </w:rPr>
        <w:t xml:space="preserve"> “Eligible projects will deploy electric vehicle charging infrastructure to support a light-duty government fleet(s) owned, leased, and/or operated by a </w:t>
      </w:r>
      <w:r w:rsidR="00872FCD" w:rsidRPr="00F86D91">
        <w:rPr>
          <w:rFonts w:ascii="Tahoma" w:eastAsia="Arial" w:hAnsi="Tahoma" w:cs="Tahoma"/>
          <w:bCs/>
          <w:color w:val="000000" w:themeColor="text1"/>
          <w:sz w:val="24"/>
          <w:szCs w:val="24"/>
        </w:rPr>
        <w:t>single</w:t>
      </w:r>
      <w:r w:rsidR="00872FCD" w:rsidRPr="00F86D91">
        <w:rPr>
          <w:rFonts w:ascii="Tahoma" w:eastAsia="Arial" w:hAnsi="Tahoma" w:cs="Tahoma"/>
          <w:color w:val="000000" w:themeColor="text1"/>
          <w:sz w:val="24"/>
          <w:szCs w:val="24"/>
        </w:rPr>
        <w:t xml:space="preserve"> government entity</w:t>
      </w:r>
      <w:r w:rsidR="00024637" w:rsidRPr="00F86D91">
        <w:rPr>
          <w:rFonts w:ascii="Tahoma" w:eastAsia="Arial" w:hAnsi="Tahoma" w:cs="Tahoma"/>
          <w:color w:val="000000" w:themeColor="text1"/>
          <w:sz w:val="24"/>
          <w:szCs w:val="24"/>
        </w:rPr>
        <w:t xml:space="preserve">” (Section </w:t>
      </w:r>
      <w:r w:rsidR="001D4423" w:rsidRPr="00F86D91">
        <w:rPr>
          <w:rFonts w:ascii="Tahoma" w:eastAsia="Arial" w:hAnsi="Tahoma" w:cs="Tahoma"/>
          <w:color w:val="000000" w:themeColor="text1"/>
          <w:sz w:val="24"/>
          <w:szCs w:val="24"/>
        </w:rPr>
        <w:t>I</w:t>
      </w:r>
      <w:r w:rsidR="00024637" w:rsidRPr="00F86D91">
        <w:rPr>
          <w:rFonts w:ascii="Tahoma" w:eastAsia="Arial" w:hAnsi="Tahoma" w:cs="Tahoma"/>
          <w:color w:val="000000" w:themeColor="text1"/>
          <w:sz w:val="24"/>
          <w:szCs w:val="24"/>
        </w:rPr>
        <w:t xml:space="preserve">I.B.1, page </w:t>
      </w:r>
      <w:r w:rsidR="00295787" w:rsidRPr="00F86D91">
        <w:rPr>
          <w:rFonts w:ascii="Tahoma" w:eastAsia="Arial" w:hAnsi="Tahoma" w:cs="Tahoma"/>
          <w:color w:val="000000" w:themeColor="text1"/>
          <w:sz w:val="24"/>
          <w:szCs w:val="24"/>
        </w:rPr>
        <w:t>10</w:t>
      </w:r>
      <w:r w:rsidR="00024637" w:rsidRPr="00F86D91">
        <w:rPr>
          <w:rFonts w:ascii="Tahoma" w:eastAsia="Arial" w:hAnsi="Tahoma" w:cs="Tahoma"/>
          <w:color w:val="000000" w:themeColor="text1"/>
          <w:sz w:val="24"/>
          <w:szCs w:val="24"/>
        </w:rPr>
        <w:t>, “Eligible Projects”, Solicitation Manual).</w:t>
      </w:r>
      <w:r w:rsidR="51AE9C8A" w:rsidRPr="00F86D91">
        <w:rPr>
          <w:rFonts w:ascii="Tahoma" w:hAnsi="Tahoma" w:cs="Tahoma"/>
          <w:sz w:val="24"/>
          <w:szCs w:val="24"/>
        </w:rPr>
        <w:t xml:space="preserve"> </w:t>
      </w:r>
    </w:p>
    <w:p w14:paraId="3A79CF5E" w14:textId="24D52EB1" w:rsidR="13BF8754" w:rsidRPr="00F86D91" w:rsidRDefault="13BF8754" w:rsidP="13BF8754">
      <w:pPr>
        <w:spacing w:after="0" w:line="240" w:lineRule="auto"/>
        <w:ind w:left="720" w:hanging="720"/>
        <w:rPr>
          <w:rFonts w:ascii="Tahoma" w:eastAsia="Arial" w:hAnsi="Tahoma" w:cs="Tahoma"/>
          <w:color w:val="000000" w:themeColor="text1"/>
          <w:sz w:val="24"/>
          <w:szCs w:val="24"/>
        </w:rPr>
      </w:pPr>
    </w:p>
    <w:p w14:paraId="726D8AB4" w14:textId="46A3F20A" w:rsidR="13BF8754" w:rsidRPr="00F86D91" w:rsidRDefault="13BF8754" w:rsidP="59BC4DF4">
      <w:pPr>
        <w:spacing w:after="0" w:line="240" w:lineRule="auto"/>
        <w:rPr>
          <w:rFonts w:ascii="Tahoma" w:eastAsia="Arial" w:hAnsi="Tahoma" w:cs="Tahoma"/>
          <w:color w:val="000000" w:themeColor="text1"/>
          <w:sz w:val="24"/>
          <w:szCs w:val="24"/>
        </w:rPr>
      </w:pPr>
    </w:p>
    <w:p w14:paraId="2ED1D77B" w14:textId="01063926" w:rsidR="00FA7319" w:rsidRPr="00F86D91" w:rsidRDefault="0A1F3C2A" w:rsidP="4447FCAA">
      <w:pPr>
        <w:spacing w:after="0" w:line="240" w:lineRule="auto"/>
        <w:ind w:left="720" w:hanging="720"/>
        <w:rPr>
          <w:rFonts w:ascii="Tahoma" w:eastAsia="Arial" w:hAnsi="Tahoma" w:cs="Tahoma"/>
          <w:b/>
          <w:bCs/>
          <w:color w:val="000000" w:themeColor="text1"/>
          <w:sz w:val="24"/>
          <w:szCs w:val="24"/>
          <w:u w:val="single"/>
        </w:rPr>
      </w:pPr>
      <w:r w:rsidRPr="00F86D91">
        <w:rPr>
          <w:rFonts w:ascii="Tahoma" w:eastAsia="Arial" w:hAnsi="Tahoma" w:cs="Tahoma"/>
          <w:b/>
          <w:bCs/>
          <w:color w:val="000000" w:themeColor="text1"/>
          <w:sz w:val="24"/>
          <w:szCs w:val="24"/>
          <w:u w:val="single"/>
        </w:rPr>
        <w:t>Project Eligibility</w:t>
      </w:r>
    </w:p>
    <w:p w14:paraId="642681B4" w14:textId="242EBEEF" w:rsidR="6932317B" w:rsidRPr="00F86D91" w:rsidRDefault="6932317B" w:rsidP="6932317B">
      <w:pPr>
        <w:spacing w:after="0" w:line="240" w:lineRule="auto"/>
        <w:ind w:left="720" w:hanging="720"/>
        <w:rPr>
          <w:rFonts w:ascii="Tahoma" w:eastAsia="Arial" w:hAnsi="Tahoma" w:cs="Tahoma"/>
          <w:b/>
          <w:bCs/>
          <w:color w:val="000000" w:themeColor="text1"/>
          <w:sz w:val="24"/>
          <w:szCs w:val="24"/>
        </w:rPr>
      </w:pPr>
    </w:p>
    <w:p w14:paraId="6F48E2DE" w14:textId="6E0D29AC" w:rsidR="00FA7319" w:rsidRPr="00F86D91" w:rsidRDefault="63BD1FB6" w:rsidP="00F77BF0">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6F7387" w:rsidRPr="00F86D91">
        <w:rPr>
          <w:rFonts w:ascii="Tahoma" w:eastAsia="Arial" w:hAnsi="Tahoma" w:cs="Tahoma"/>
          <w:b/>
          <w:bCs/>
          <w:color w:val="000000" w:themeColor="text1"/>
          <w:sz w:val="24"/>
          <w:szCs w:val="24"/>
        </w:rPr>
        <w:t>16</w:t>
      </w:r>
      <w:r w:rsidRPr="00F86D91">
        <w:rPr>
          <w:rFonts w:ascii="Tahoma" w:eastAsia="Arial" w:hAnsi="Tahoma" w:cs="Tahoma"/>
          <w:b/>
          <w:bCs/>
          <w:color w:val="000000" w:themeColor="text1"/>
          <w:sz w:val="24"/>
          <w:szCs w:val="24"/>
        </w:rPr>
        <w:t>.</w:t>
      </w:r>
      <w:r w:rsidRPr="00F86D91">
        <w:rPr>
          <w:rFonts w:ascii="Tahoma" w:hAnsi="Tahoma" w:cs="Tahoma"/>
        </w:rPr>
        <w:tab/>
      </w:r>
      <w:r w:rsidR="26604DBD" w:rsidRPr="00F86D91">
        <w:rPr>
          <w:rFonts w:ascii="Tahoma" w:eastAsia="Arial" w:hAnsi="Tahoma" w:cs="Tahoma"/>
          <w:b/>
          <w:bCs/>
          <w:color w:val="000000" w:themeColor="text1"/>
          <w:sz w:val="24"/>
          <w:szCs w:val="24"/>
        </w:rPr>
        <w:t xml:space="preserve">To maximize Oxnard's EV charging infrastructure opportunities, we are hoping to utilize secured funding from the Charging and Fueling Infrastructure (CFI) grant ($860,000) to be used as a 30% match for the CEC grant. The CFI award will provide publicly accessible EV </w:t>
      </w:r>
      <w:r w:rsidR="26604DBD" w:rsidRPr="00F86D91">
        <w:rPr>
          <w:rFonts w:ascii="Tahoma" w:eastAsia="Arial" w:hAnsi="Tahoma" w:cs="Tahoma"/>
          <w:b/>
          <w:bCs/>
          <w:color w:val="000000" w:themeColor="text1"/>
          <w:sz w:val="24"/>
          <w:szCs w:val="24"/>
        </w:rPr>
        <w:lastRenderedPageBreak/>
        <w:t>charging stations at four municipal facility locations. Note that many of our fleet vehicles park at these municipal facilities and use the facilities as a domicile location. As a requirement of the solicitation, we will incorporate a reservation system for EV charging stations to ensure that fleet vehicles have primary access. This is in addition to the 100 EV charging ports installed within the Oxnard fleet yard. Will this plan be acceptable for this solicitation?</w:t>
      </w:r>
    </w:p>
    <w:p w14:paraId="58DB4D91" w14:textId="15E9D8E9" w:rsidR="00FA7319" w:rsidRPr="00F86D91" w:rsidRDefault="00FA7319" w:rsidP="4447FCAA">
      <w:pPr>
        <w:spacing w:after="0" w:line="240" w:lineRule="auto"/>
        <w:ind w:left="720" w:hanging="720"/>
        <w:rPr>
          <w:rFonts w:ascii="Tahoma" w:eastAsia="Arial" w:hAnsi="Tahoma" w:cs="Tahoma"/>
          <w:b/>
          <w:bCs/>
          <w:color w:val="000000" w:themeColor="text1"/>
          <w:sz w:val="24"/>
          <w:szCs w:val="24"/>
        </w:rPr>
      </w:pPr>
    </w:p>
    <w:p w14:paraId="66CD61E0" w14:textId="6699214A" w:rsidR="00FA7319" w:rsidRPr="00F86D91" w:rsidRDefault="63BD1FB6" w:rsidP="4447FCAA">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6F7387" w:rsidRPr="00F86D91">
        <w:rPr>
          <w:rFonts w:ascii="Tahoma" w:eastAsia="Arial" w:hAnsi="Tahoma" w:cs="Tahoma"/>
          <w:color w:val="000000" w:themeColor="text1"/>
          <w:sz w:val="24"/>
          <w:szCs w:val="24"/>
        </w:rPr>
        <w:t>16</w:t>
      </w:r>
      <w:r w:rsidRPr="00F86D91">
        <w:rPr>
          <w:rFonts w:ascii="Tahoma" w:eastAsia="Arial" w:hAnsi="Tahoma" w:cs="Tahoma"/>
          <w:color w:val="000000" w:themeColor="text1"/>
          <w:sz w:val="24"/>
          <w:szCs w:val="24"/>
        </w:rPr>
        <w:t>.</w:t>
      </w:r>
      <w:r>
        <w:tab/>
      </w:r>
      <w:r w:rsidR="00842189" w:rsidRPr="00F86D91">
        <w:rPr>
          <w:rFonts w:ascii="Tahoma" w:hAnsi="Tahoma" w:cs="Tahoma"/>
          <w:sz w:val="24"/>
          <w:szCs w:val="24"/>
        </w:rPr>
        <w:t>The CEC cannot give advice as to whether or not a particular project is eligible for funding, because not all proposal details are known.</w:t>
      </w:r>
    </w:p>
    <w:p w14:paraId="2A400D98" w14:textId="24D52EB1" w:rsidR="00FA7319" w:rsidRPr="00F86D91" w:rsidRDefault="00FA7319" w:rsidP="4447FCAA">
      <w:pPr>
        <w:spacing w:after="0" w:line="240" w:lineRule="auto"/>
        <w:ind w:left="720" w:hanging="720"/>
        <w:rPr>
          <w:rFonts w:ascii="Tahoma" w:eastAsia="Arial" w:hAnsi="Tahoma" w:cs="Tahoma"/>
          <w:color w:val="000000" w:themeColor="text1"/>
          <w:sz w:val="24"/>
          <w:szCs w:val="24"/>
        </w:rPr>
      </w:pPr>
    </w:p>
    <w:p w14:paraId="28330846" w14:textId="07A05661" w:rsidR="00FA7319" w:rsidRPr="00F86D91" w:rsidRDefault="00FA7319" w:rsidP="4447FCAA">
      <w:pPr>
        <w:spacing w:after="0" w:line="240" w:lineRule="auto"/>
        <w:ind w:left="720" w:hanging="720"/>
        <w:rPr>
          <w:rFonts w:ascii="Tahoma" w:eastAsia="Arial" w:hAnsi="Tahoma" w:cs="Tahoma"/>
          <w:color w:val="000000" w:themeColor="text1"/>
          <w:sz w:val="24"/>
          <w:szCs w:val="24"/>
        </w:rPr>
      </w:pPr>
    </w:p>
    <w:p w14:paraId="10780F71" w14:textId="01F4C84C" w:rsidR="00FA7319" w:rsidRPr="00F86D91" w:rsidRDefault="63BD1FB6" w:rsidP="44A3F00F">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6F7387" w:rsidRPr="00F86D91">
        <w:rPr>
          <w:rFonts w:ascii="Tahoma" w:eastAsia="Arial" w:hAnsi="Tahoma" w:cs="Tahoma"/>
          <w:b/>
          <w:bCs/>
          <w:color w:val="000000" w:themeColor="text1"/>
          <w:sz w:val="24"/>
          <w:szCs w:val="24"/>
        </w:rPr>
        <w:t>17</w:t>
      </w:r>
      <w:r w:rsidRPr="00F86D91">
        <w:rPr>
          <w:rFonts w:ascii="Tahoma" w:eastAsia="Arial" w:hAnsi="Tahoma" w:cs="Tahoma"/>
          <w:b/>
          <w:bCs/>
          <w:color w:val="000000" w:themeColor="text1"/>
          <w:sz w:val="24"/>
          <w:szCs w:val="24"/>
        </w:rPr>
        <w:t>.</w:t>
      </w:r>
      <w:r w:rsidRPr="00F86D91">
        <w:rPr>
          <w:rFonts w:ascii="Tahoma" w:hAnsi="Tahoma" w:cs="Tahoma"/>
        </w:rPr>
        <w:tab/>
      </w:r>
      <w:r w:rsidR="7CD75765" w:rsidRPr="00F86D91">
        <w:rPr>
          <w:rFonts w:ascii="Tahoma" w:eastAsia="Arial" w:hAnsi="Tahoma" w:cs="Tahoma"/>
          <w:b/>
          <w:bCs/>
          <w:color w:val="000000" w:themeColor="text1"/>
          <w:sz w:val="24"/>
          <w:szCs w:val="24"/>
        </w:rPr>
        <w:t>If chargers are made publicly available, can the applicant charge a fee to public users for use of the charging stations?</w:t>
      </w:r>
      <w:r w:rsidR="50CB14E7" w:rsidRPr="00F86D91">
        <w:rPr>
          <w:rFonts w:ascii="Tahoma" w:eastAsia="Arial" w:hAnsi="Tahoma" w:cs="Tahoma"/>
          <w:b/>
          <w:bCs/>
          <w:color w:val="000000" w:themeColor="text1"/>
          <w:sz w:val="24"/>
          <w:szCs w:val="24"/>
        </w:rPr>
        <w:t xml:space="preserve">  </w:t>
      </w:r>
    </w:p>
    <w:p w14:paraId="69B79F25" w14:textId="716E647A" w:rsidR="00FA7319" w:rsidRPr="00F86D91" w:rsidRDefault="00FA7319" w:rsidP="4447FCAA">
      <w:pPr>
        <w:spacing w:after="0" w:line="240" w:lineRule="auto"/>
        <w:ind w:left="720" w:hanging="720"/>
        <w:rPr>
          <w:rFonts w:ascii="Tahoma" w:eastAsia="Arial" w:hAnsi="Tahoma" w:cs="Tahoma"/>
          <w:b/>
          <w:bCs/>
          <w:color w:val="000000" w:themeColor="text1"/>
          <w:sz w:val="24"/>
          <w:szCs w:val="24"/>
        </w:rPr>
      </w:pPr>
    </w:p>
    <w:p w14:paraId="1FC0573E" w14:textId="2359DF59" w:rsidR="00FA7319" w:rsidRPr="00FD10BE" w:rsidRDefault="1709991C" w:rsidP="00FD10BE">
      <w:pPr>
        <w:pStyle w:val="ListParagraph"/>
        <w:spacing w:after="0"/>
        <w:ind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17</w:t>
      </w:r>
      <w:r w:rsidRPr="00F86D91">
        <w:rPr>
          <w:rFonts w:ascii="Tahoma" w:eastAsia="Arial" w:hAnsi="Tahoma" w:cs="Tahoma"/>
          <w:color w:val="000000" w:themeColor="text1"/>
          <w:sz w:val="24"/>
          <w:szCs w:val="24"/>
        </w:rPr>
        <w:t>.</w:t>
      </w:r>
      <w:r w:rsidR="63BD1FB6">
        <w:tab/>
      </w:r>
      <w:r w:rsidR="6227605A" w:rsidRPr="00F86D91">
        <w:rPr>
          <w:rFonts w:ascii="Tahoma" w:eastAsia="Arial" w:hAnsi="Tahoma" w:cs="Tahoma"/>
          <w:color w:val="000000" w:themeColor="text1"/>
          <w:sz w:val="24"/>
          <w:szCs w:val="24"/>
        </w:rPr>
        <w:t>Yes</w:t>
      </w:r>
      <w:r w:rsidR="00823804" w:rsidRPr="00F86D91">
        <w:rPr>
          <w:rFonts w:ascii="Tahoma" w:eastAsia="Arial" w:hAnsi="Tahoma" w:cs="Tahoma"/>
          <w:color w:val="000000" w:themeColor="text1"/>
          <w:sz w:val="24"/>
          <w:szCs w:val="24"/>
        </w:rPr>
        <w:t>, t</w:t>
      </w:r>
      <w:r w:rsidR="6227605A" w:rsidRPr="00F86D91">
        <w:rPr>
          <w:rFonts w:ascii="Tahoma" w:eastAsia="Arial" w:hAnsi="Tahoma" w:cs="Tahoma"/>
          <w:color w:val="000000" w:themeColor="text1"/>
          <w:sz w:val="24"/>
          <w:szCs w:val="24"/>
        </w:rPr>
        <w:t xml:space="preserve">he applicant can charge a fee to public users. </w:t>
      </w:r>
      <w:r w:rsidR="008518F1">
        <w:rPr>
          <w:rFonts w:ascii="Tahoma" w:eastAsia="Arial" w:hAnsi="Tahoma" w:cs="Tahoma"/>
          <w:color w:val="000000" w:themeColor="text1"/>
          <w:sz w:val="24"/>
          <w:szCs w:val="24"/>
        </w:rPr>
        <w:t>As clarified in the addended solicitation</w:t>
      </w:r>
      <w:r w:rsidR="00643480" w:rsidRPr="00F86D91">
        <w:rPr>
          <w:rFonts w:ascii="Tahoma" w:eastAsia="Arial" w:hAnsi="Tahoma" w:cs="Tahoma"/>
          <w:color w:val="000000" w:themeColor="text1"/>
          <w:sz w:val="24"/>
          <w:szCs w:val="24"/>
        </w:rPr>
        <w:t xml:space="preserve"> manual “</w:t>
      </w:r>
      <w:r w:rsidR="6227605A" w:rsidRPr="00F86D91">
        <w:rPr>
          <w:rFonts w:ascii="Tahoma" w:eastAsia="Arial" w:hAnsi="Tahoma" w:cs="Tahoma"/>
          <w:color w:val="000000" w:themeColor="text1"/>
          <w:sz w:val="24"/>
          <w:szCs w:val="24"/>
        </w:rPr>
        <w:t>Project chargers are not required to be made available to the public. If chargers are made available to the public, public charging must not limit the fleet’s ability to charge. Plans for ensuring public charging does not limit the fleet’s ability to charge should be explained in the Electric Vehicle Fleet Procurement and Charger Utilization Plan described in Section III.C.2.</w:t>
      </w:r>
      <w:r w:rsidR="00FD10BE">
        <w:rPr>
          <w:rFonts w:ascii="Tahoma" w:eastAsia="Arial" w:hAnsi="Tahoma" w:cs="Tahoma"/>
          <w:color w:val="000000" w:themeColor="text1"/>
          <w:sz w:val="24"/>
          <w:szCs w:val="24"/>
        </w:rPr>
        <w:t xml:space="preserve"> </w:t>
      </w:r>
      <w:r w:rsidR="008518F1" w:rsidRPr="00396454">
        <w:rPr>
          <w:rFonts w:ascii="Tahoma" w:hAnsi="Tahoma" w:cs="Tahoma"/>
          <w:sz w:val="24"/>
          <w:szCs w:val="24"/>
        </w:rPr>
        <w:t>Fees for chargers made available to the public must be reasonable and may not exceed the costs of offering public charging</w:t>
      </w:r>
      <w:r w:rsidR="6227605A" w:rsidRPr="008518F1">
        <w:rPr>
          <w:rFonts w:ascii="Tahoma" w:eastAsia="Arial" w:hAnsi="Tahoma" w:cs="Tahoma"/>
          <w:color w:val="000000" w:themeColor="text1"/>
          <w:sz w:val="24"/>
          <w:szCs w:val="24"/>
        </w:rPr>
        <w:t xml:space="preserve">” </w:t>
      </w:r>
      <w:r w:rsidR="6227605A" w:rsidRPr="008518F1">
        <w:rPr>
          <w:rFonts w:ascii="Tahoma" w:hAnsi="Tahoma" w:cs="Tahoma"/>
          <w:sz w:val="24"/>
          <w:szCs w:val="24"/>
        </w:rPr>
        <w:t>(</w:t>
      </w:r>
      <w:r w:rsidR="00643480" w:rsidRPr="008518F1">
        <w:rPr>
          <w:rFonts w:ascii="Tahoma" w:hAnsi="Tahoma" w:cs="Tahoma"/>
          <w:sz w:val="24"/>
          <w:szCs w:val="24"/>
        </w:rPr>
        <w:t>S</w:t>
      </w:r>
      <w:r w:rsidR="6227605A" w:rsidRPr="008518F1">
        <w:rPr>
          <w:rFonts w:ascii="Tahoma" w:hAnsi="Tahoma" w:cs="Tahoma"/>
          <w:sz w:val="24"/>
          <w:szCs w:val="24"/>
        </w:rPr>
        <w:t>ection II.B.3, page 1</w:t>
      </w:r>
      <w:r w:rsidR="00461818">
        <w:rPr>
          <w:rFonts w:ascii="Tahoma" w:hAnsi="Tahoma" w:cs="Tahoma"/>
          <w:sz w:val="24"/>
          <w:szCs w:val="24"/>
        </w:rPr>
        <w:t>1</w:t>
      </w:r>
      <w:r w:rsidR="00643480" w:rsidRPr="008518F1">
        <w:rPr>
          <w:rFonts w:ascii="Tahoma" w:hAnsi="Tahoma" w:cs="Tahoma"/>
          <w:sz w:val="24"/>
          <w:szCs w:val="24"/>
        </w:rPr>
        <w:t>-</w:t>
      </w:r>
      <w:r w:rsidR="6227605A" w:rsidRPr="008518F1">
        <w:rPr>
          <w:rFonts w:ascii="Tahoma" w:hAnsi="Tahoma" w:cs="Tahoma"/>
          <w:sz w:val="24"/>
          <w:szCs w:val="24"/>
        </w:rPr>
        <w:t>1</w:t>
      </w:r>
      <w:r w:rsidR="00461818">
        <w:rPr>
          <w:rFonts w:ascii="Tahoma" w:hAnsi="Tahoma" w:cs="Tahoma"/>
          <w:sz w:val="24"/>
          <w:szCs w:val="24"/>
        </w:rPr>
        <w:t>2</w:t>
      </w:r>
      <w:r w:rsidR="6227605A" w:rsidRPr="008518F1">
        <w:rPr>
          <w:rFonts w:ascii="Tahoma" w:hAnsi="Tahoma" w:cs="Tahoma"/>
          <w:sz w:val="24"/>
          <w:szCs w:val="24"/>
        </w:rPr>
        <w:t xml:space="preserve">, </w:t>
      </w:r>
      <w:r w:rsidR="00643480" w:rsidRPr="008518F1">
        <w:rPr>
          <w:rFonts w:ascii="Tahoma" w:hAnsi="Tahoma" w:cs="Tahoma"/>
          <w:sz w:val="24"/>
          <w:szCs w:val="24"/>
        </w:rPr>
        <w:t>“</w:t>
      </w:r>
      <w:r w:rsidR="6227605A" w:rsidRPr="008518F1">
        <w:rPr>
          <w:rFonts w:ascii="Tahoma" w:hAnsi="Tahoma" w:cs="Tahoma"/>
          <w:sz w:val="24"/>
          <w:szCs w:val="24"/>
        </w:rPr>
        <w:t>Project Location</w:t>
      </w:r>
      <w:r w:rsidR="00643480" w:rsidRPr="008518F1">
        <w:rPr>
          <w:rFonts w:ascii="Tahoma" w:hAnsi="Tahoma" w:cs="Tahoma"/>
          <w:sz w:val="24"/>
          <w:szCs w:val="24"/>
        </w:rPr>
        <w:t>”</w:t>
      </w:r>
      <w:r w:rsidR="6227605A" w:rsidRPr="008518F1">
        <w:rPr>
          <w:rFonts w:ascii="Tahoma" w:hAnsi="Tahoma" w:cs="Tahoma"/>
          <w:sz w:val="24"/>
          <w:szCs w:val="24"/>
        </w:rPr>
        <w:t>, Solicitation Manual).</w:t>
      </w:r>
    </w:p>
    <w:p w14:paraId="1A43A432" w14:textId="48393A8C" w:rsidR="00FA7319" w:rsidRPr="00F86D91" w:rsidRDefault="00FA7319" w:rsidP="008F5173">
      <w:pPr>
        <w:spacing w:after="0" w:line="240" w:lineRule="auto"/>
        <w:rPr>
          <w:rFonts w:ascii="Tahoma" w:eastAsia="Arial" w:hAnsi="Tahoma" w:cs="Tahoma"/>
          <w:b/>
          <w:bCs/>
          <w:color w:val="000000" w:themeColor="text1"/>
          <w:sz w:val="24"/>
          <w:szCs w:val="24"/>
        </w:rPr>
      </w:pPr>
    </w:p>
    <w:p w14:paraId="25ED42ED" w14:textId="1F1C1672" w:rsidR="00FA7319" w:rsidRPr="00F86D91" w:rsidRDefault="00FA7319" w:rsidP="4447FCAA">
      <w:pPr>
        <w:spacing w:after="0" w:line="240" w:lineRule="auto"/>
        <w:ind w:left="720" w:hanging="720"/>
        <w:rPr>
          <w:rFonts w:ascii="Tahoma" w:eastAsia="Arial" w:hAnsi="Tahoma" w:cs="Tahoma"/>
          <w:b/>
          <w:bCs/>
          <w:color w:val="000000" w:themeColor="text1"/>
          <w:sz w:val="24"/>
          <w:szCs w:val="24"/>
        </w:rPr>
      </w:pPr>
    </w:p>
    <w:p w14:paraId="55DEA83F" w14:textId="102955C0" w:rsidR="00FA7319" w:rsidRPr="00F86D91" w:rsidRDefault="63BD1FB6" w:rsidP="44A3F00F">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18</w:t>
      </w:r>
      <w:r w:rsidRPr="00F86D91">
        <w:rPr>
          <w:rFonts w:ascii="Tahoma" w:eastAsia="Arial" w:hAnsi="Tahoma" w:cs="Tahoma"/>
          <w:b/>
          <w:bCs/>
          <w:color w:val="000000" w:themeColor="text1"/>
          <w:sz w:val="24"/>
          <w:szCs w:val="24"/>
        </w:rPr>
        <w:t>.</w:t>
      </w:r>
      <w:r w:rsidRPr="00F86D91">
        <w:rPr>
          <w:rFonts w:ascii="Tahoma" w:hAnsi="Tahoma" w:cs="Tahoma"/>
        </w:rPr>
        <w:tab/>
      </w:r>
      <w:r w:rsidR="0E16EBE0" w:rsidRPr="00F86D91">
        <w:rPr>
          <w:rFonts w:ascii="Tahoma" w:eastAsia="Arial" w:hAnsi="Tahoma" w:cs="Tahoma"/>
          <w:b/>
          <w:bCs/>
          <w:color w:val="000000" w:themeColor="text1"/>
          <w:sz w:val="24"/>
          <w:szCs w:val="24"/>
        </w:rPr>
        <w:t>Does an applicant need to have, or demonstrate future obtainment, of at least 100 vehicles</w:t>
      </w:r>
      <w:r w:rsidR="5904CBB7" w:rsidRPr="00F86D91">
        <w:rPr>
          <w:rFonts w:ascii="Tahoma" w:eastAsia="Arial" w:hAnsi="Tahoma" w:cs="Tahoma"/>
          <w:b/>
          <w:bCs/>
          <w:color w:val="000000" w:themeColor="text1"/>
          <w:sz w:val="24"/>
          <w:szCs w:val="24"/>
        </w:rPr>
        <w:t>?</w:t>
      </w:r>
    </w:p>
    <w:p w14:paraId="3600D898" w14:textId="15E9D8E9" w:rsidR="00FA7319" w:rsidRPr="00F86D91" w:rsidRDefault="00FA7319" w:rsidP="4447FCAA">
      <w:pPr>
        <w:spacing w:after="0" w:line="240" w:lineRule="auto"/>
        <w:ind w:left="720" w:hanging="720"/>
        <w:rPr>
          <w:rFonts w:ascii="Tahoma" w:eastAsia="Arial" w:hAnsi="Tahoma" w:cs="Tahoma"/>
          <w:b/>
          <w:bCs/>
          <w:color w:val="000000" w:themeColor="text1"/>
          <w:sz w:val="24"/>
          <w:szCs w:val="24"/>
        </w:rPr>
      </w:pPr>
    </w:p>
    <w:p w14:paraId="0B411101" w14:textId="345CE329" w:rsidR="00FA7319" w:rsidRPr="00F86D91" w:rsidRDefault="63BD1FB6" w:rsidP="44A3F00F">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18</w:t>
      </w:r>
      <w:r w:rsidRPr="00F86D91">
        <w:rPr>
          <w:rFonts w:ascii="Tahoma" w:eastAsia="Arial" w:hAnsi="Tahoma" w:cs="Tahoma"/>
          <w:color w:val="000000" w:themeColor="text1"/>
          <w:sz w:val="24"/>
          <w:szCs w:val="24"/>
        </w:rPr>
        <w:t>.</w:t>
      </w:r>
      <w:r w:rsidRPr="00F86D91">
        <w:rPr>
          <w:rFonts w:ascii="Tahoma" w:hAnsi="Tahoma" w:cs="Tahoma"/>
        </w:rPr>
        <w:tab/>
      </w:r>
      <w:r w:rsidR="353A3264" w:rsidRPr="00F86D91">
        <w:rPr>
          <w:rFonts w:ascii="Tahoma" w:eastAsia="Arial" w:hAnsi="Tahoma" w:cs="Tahoma"/>
          <w:color w:val="000000" w:themeColor="text1"/>
          <w:sz w:val="24"/>
          <w:szCs w:val="24"/>
        </w:rPr>
        <w:t>No. The</w:t>
      </w:r>
      <w:r w:rsidR="00D325BE" w:rsidRPr="00F86D91">
        <w:rPr>
          <w:rFonts w:ascii="Tahoma" w:eastAsia="Arial" w:hAnsi="Tahoma" w:cs="Tahoma"/>
          <w:color w:val="000000" w:themeColor="text1"/>
          <w:sz w:val="24"/>
          <w:szCs w:val="24"/>
        </w:rPr>
        <w:t xml:space="preserve"> solicitation manual states the</w:t>
      </w:r>
      <w:r w:rsidR="353A3264" w:rsidRPr="00F86D91">
        <w:rPr>
          <w:rFonts w:ascii="Tahoma" w:eastAsia="Arial" w:hAnsi="Tahoma" w:cs="Tahoma"/>
          <w:color w:val="000000" w:themeColor="text1"/>
          <w:sz w:val="24"/>
          <w:szCs w:val="24"/>
        </w:rPr>
        <w:t xml:space="preserve"> EV Fleet Procurement and Charger Utilization Plan should</w:t>
      </w:r>
      <w:r w:rsidR="001550DE" w:rsidRPr="00F86D91">
        <w:rPr>
          <w:rFonts w:ascii="Tahoma" w:eastAsia="Arial" w:hAnsi="Tahoma" w:cs="Tahoma"/>
          <w:color w:val="000000" w:themeColor="text1"/>
          <w:sz w:val="24"/>
          <w:szCs w:val="24"/>
        </w:rPr>
        <w:t>,</w:t>
      </w:r>
      <w:r w:rsidR="353A3264" w:rsidRPr="00F86D91">
        <w:rPr>
          <w:rFonts w:ascii="Tahoma" w:eastAsia="Arial" w:hAnsi="Tahoma" w:cs="Tahoma"/>
          <w:color w:val="000000" w:themeColor="text1"/>
          <w:sz w:val="24"/>
          <w:szCs w:val="24"/>
        </w:rPr>
        <w:t xml:space="preserve"> </w:t>
      </w:r>
      <w:r w:rsidR="001550DE" w:rsidRPr="00F86D91">
        <w:rPr>
          <w:rFonts w:ascii="Tahoma" w:eastAsia="Arial" w:hAnsi="Tahoma" w:cs="Tahoma"/>
          <w:color w:val="000000" w:themeColor="text1"/>
          <w:sz w:val="24"/>
          <w:szCs w:val="24"/>
        </w:rPr>
        <w:t>“</w:t>
      </w:r>
      <w:r w:rsidR="001550DE" w:rsidRPr="00F86D91">
        <w:rPr>
          <w:rFonts w:ascii="Tahoma" w:hAnsi="Tahoma" w:cs="Tahoma"/>
          <w:sz w:val="24"/>
          <w:szCs w:val="24"/>
        </w:rPr>
        <w:t>Explain how the number of chargers requested will support the expected number of electric vehicles in the fleet(s) over time. Describe anticipated charger utilization over the project’s timeline and identify how utilization will be maximized”</w:t>
      </w:r>
      <w:r w:rsidR="00B10681" w:rsidRPr="00F86D91">
        <w:rPr>
          <w:rFonts w:ascii="Tahoma" w:eastAsia="Arial" w:hAnsi="Tahoma" w:cs="Tahoma"/>
          <w:color w:val="000000" w:themeColor="text1"/>
          <w:sz w:val="24"/>
          <w:szCs w:val="24"/>
        </w:rPr>
        <w:t xml:space="preserve"> (Section III.C.2.b</w:t>
      </w:r>
      <w:r w:rsidR="000C4863" w:rsidRPr="00F86D91">
        <w:rPr>
          <w:rFonts w:ascii="Tahoma" w:eastAsia="Arial" w:hAnsi="Tahoma" w:cs="Tahoma"/>
          <w:color w:val="000000" w:themeColor="text1"/>
          <w:sz w:val="24"/>
          <w:szCs w:val="24"/>
        </w:rPr>
        <w:t>, page 2</w:t>
      </w:r>
      <w:r w:rsidR="008F4901">
        <w:rPr>
          <w:rFonts w:ascii="Tahoma" w:eastAsia="Arial" w:hAnsi="Tahoma" w:cs="Tahoma"/>
          <w:color w:val="000000" w:themeColor="text1"/>
          <w:sz w:val="24"/>
          <w:szCs w:val="24"/>
        </w:rPr>
        <w:t>5</w:t>
      </w:r>
      <w:r w:rsidR="000C4863" w:rsidRPr="00F86D91">
        <w:rPr>
          <w:rFonts w:ascii="Tahoma" w:eastAsia="Arial" w:hAnsi="Tahoma" w:cs="Tahoma"/>
          <w:color w:val="000000" w:themeColor="text1"/>
          <w:sz w:val="24"/>
          <w:szCs w:val="24"/>
        </w:rPr>
        <w:t>, “Electric Vehicle Fleet Procurement and Charger Utilization Plan”, Solicitation Manual</w:t>
      </w:r>
      <w:r w:rsidR="00B10681" w:rsidRPr="00F86D91">
        <w:rPr>
          <w:rFonts w:ascii="Tahoma" w:eastAsia="Arial" w:hAnsi="Tahoma" w:cs="Tahoma"/>
          <w:color w:val="000000" w:themeColor="text1"/>
          <w:sz w:val="24"/>
          <w:szCs w:val="24"/>
        </w:rPr>
        <w:t>)</w:t>
      </w:r>
      <w:r w:rsidR="7CDE87C3" w:rsidRPr="00F86D91">
        <w:rPr>
          <w:rFonts w:ascii="Tahoma" w:eastAsia="Arial" w:hAnsi="Tahoma" w:cs="Tahoma"/>
          <w:color w:val="000000" w:themeColor="text1"/>
          <w:sz w:val="24"/>
          <w:szCs w:val="24"/>
        </w:rPr>
        <w:t xml:space="preserve">. </w:t>
      </w:r>
    </w:p>
    <w:p w14:paraId="44530040" w14:textId="24D52EB1" w:rsidR="00FA7319" w:rsidRPr="00F86D91" w:rsidRDefault="00FA7319" w:rsidP="4447FCAA">
      <w:pPr>
        <w:spacing w:after="0" w:line="240" w:lineRule="auto"/>
        <w:ind w:left="720" w:hanging="720"/>
        <w:rPr>
          <w:rFonts w:ascii="Tahoma" w:eastAsia="Arial" w:hAnsi="Tahoma" w:cs="Tahoma"/>
          <w:color w:val="000000" w:themeColor="text1"/>
          <w:sz w:val="24"/>
          <w:szCs w:val="24"/>
        </w:rPr>
      </w:pPr>
    </w:p>
    <w:p w14:paraId="2F561450" w14:textId="07A05661" w:rsidR="00FA7319" w:rsidRPr="00F86D91" w:rsidRDefault="00FA7319" w:rsidP="4447FCAA">
      <w:pPr>
        <w:spacing w:after="0" w:line="240" w:lineRule="auto"/>
        <w:ind w:left="720" w:hanging="720"/>
        <w:rPr>
          <w:rFonts w:ascii="Tahoma" w:eastAsia="Arial" w:hAnsi="Tahoma" w:cs="Tahoma"/>
          <w:color w:val="000000" w:themeColor="text1"/>
          <w:sz w:val="24"/>
          <w:szCs w:val="24"/>
        </w:rPr>
      </w:pPr>
    </w:p>
    <w:p w14:paraId="4C19EF2B" w14:textId="13D8E89F" w:rsidR="00FA7319" w:rsidRPr="00F86D91" w:rsidRDefault="1709991C" w:rsidP="00E5603F">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19</w:t>
      </w:r>
      <w:r w:rsidRPr="00F86D91">
        <w:rPr>
          <w:rFonts w:ascii="Tahoma" w:eastAsia="Arial" w:hAnsi="Tahoma" w:cs="Tahoma"/>
          <w:b/>
          <w:bCs/>
          <w:color w:val="000000" w:themeColor="text1"/>
          <w:sz w:val="24"/>
          <w:szCs w:val="24"/>
        </w:rPr>
        <w:t>.</w:t>
      </w:r>
      <w:r w:rsidR="63BD1FB6" w:rsidRPr="00F86D91">
        <w:rPr>
          <w:rFonts w:ascii="Tahoma" w:hAnsi="Tahoma" w:cs="Tahoma"/>
        </w:rPr>
        <w:tab/>
      </w:r>
      <w:r w:rsidR="234E7FA8" w:rsidRPr="00F86D91">
        <w:rPr>
          <w:rFonts w:ascii="Tahoma" w:eastAsia="Arial" w:hAnsi="Tahoma" w:cs="Tahoma"/>
          <w:b/>
          <w:bCs/>
          <w:color w:val="000000" w:themeColor="text1"/>
          <w:sz w:val="24"/>
          <w:szCs w:val="24"/>
        </w:rPr>
        <w:t>If mobile, robotic chargers are implemented to meet the demand of the fleet, is there still a minimum port requirement?</w:t>
      </w:r>
    </w:p>
    <w:p w14:paraId="69D4BA8F" w14:textId="716E647A" w:rsidR="00FA7319" w:rsidRPr="00F86D91" w:rsidRDefault="00FA7319" w:rsidP="4447FCAA">
      <w:pPr>
        <w:spacing w:after="0" w:line="240" w:lineRule="auto"/>
        <w:ind w:left="720" w:hanging="720"/>
        <w:rPr>
          <w:rFonts w:ascii="Tahoma" w:eastAsia="Arial" w:hAnsi="Tahoma" w:cs="Tahoma"/>
          <w:b/>
          <w:bCs/>
          <w:color w:val="000000" w:themeColor="text1"/>
          <w:sz w:val="24"/>
          <w:szCs w:val="24"/>
        </w:rPr>
      </w:pPr>
    </w:p>
    <w:p w14:paraId="35E99D3B" w14:textId="21E1C4B9" w:rsidR="00FA7319" w:rsidRPr="00F86D91" w:rsidRDefault="63BD1FB6" w:rsidP="44A3F00F">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19</w:t>
      </w:r>
      <w:r w:rsidRPr="00F86D91">
        <w:rPr>
          <w:rFonts w:ascii="Tahoma" w:eastAsia="Arial" w:hAnsi="Tahoma" w:cs="Tahoma"/>
          <w:color w:val="000000" w:themeColor="text1"/>
          <w:sz w:val="24"/>
          <w:szCs w:val="24"/>
        </w:rPr>
        <w:t>.</w:t>
      </w:r>
      <w:r w:rsidRPr="00F86D91">
        <w:rPr>
          <w:rFonts w:ascii="Tahoma" w:hAnsi="Tahoma" w:cs="Tahoma"/>
        </w:rPr>
        <w:tab/>
      </w:r>
      <w:r w:rsidR="47283BB4" w:rsidRPr="00F86D91">
        <w:rPr>
          <w:rFonts w:ascii="Tahoma" w:eastAsia="Arial" w:hAnsi="Tahoma" w:cs="Tahoma"/>
          <w:color w:val="000000" w:themeColor="text1"/>
          <w:sz w:val="24"/>
          <w:szCs w:val="24"/>
        </w:rPr>
        <w:t>R</w:t>
      </w:r>
      <w:r w:rsidR="0EE9ECE7" w:rsidRPr="00F86D91">
        <w:rPr>
          <w:rFonts w:ascii="Tahoma" w:eastAsia="Arial" w:hAnsi="Tahoma" w:cs="Tahoma"/>
          <w:color w:val="000000" w:themeColor="text1"/>
          <w:sz w:val="24"/>
          <w:szCs w:val="24"/>
        </w:rPr>
        <w:t>egardless</w:t>
      </w:r>
      <w:r w:rsidR="0C53B10F" w:rsidRPr="00F86D91">
        <w:rPr>
          <w:rFonts w:ascii="Tahoma" w:eastAsia="Arial" w:hAnsi="Tahoma" w:cs="Tahoma"/>
          <w:color w:val="000000" w:themeColor="text1"/>
          <w:sz w:val="24"/>
          <w:szCs w:val="24"/>
        </w:rPr>
        <w:t xml:space="preserve"> of whether the chargers are mobile or stationary, a project must install a minimum of 100 charging ports. </w:t>
      </w:r>
    </w:p>
    <w:p w14:paraId="052139B6" w14:textId="2B639C23" w:rsidR="00FA7319" w:rsidRPr="00F86D91" w:rsidRDefault="00FA7319" w:rsidP="4447FCAA">
      <w:pPr>
        <w:spacing w:after="0" w:line="240" w:lineRule="auto"/>
        <w:ind w:left="720" w:hanging="720"/>
        <w:rPr>
          <w:rFonts w:ascii="Tahoma" w:eastAsia="Arial" w:hAnsi="Tahoma" w:cs="Tahoma"/>
          <w:b/>
          <w:bCs/>
          <w:color w:val="000000" w:themeColor="text1"/>
          <w:sz w:val="24"/>
          <w:szCs w:val="24"/>
        </w:rPr>
      </w:pPr>
    </w:p>
    <w:p w14:paraId="389530E8" w14:textId="10D9772C" w:rsidR="00FA7319" w:rsidRPr="00F86D91" w:rsidRDefault="00FA7319" w:rsidP="4447FCAA">
      <w:pPr>
        <w:spacing w:after="0" w:line="240" w:lineRule="auto"/>
        <w:ind w:left="720" w:hanging="720"/>
        <w:rPr>
          <w:rFonts w:ascii="Tahoma" w:eastAsia="Arial" w:hAnsi="Tahoma" w:cs="Tahoma"/>
          <w:b/>
          <w:bCs/>
          <w:color w:val="000000" w:themeColor="text1"/>
          <w:sz w:val="24"/>
          <w:szCs w:val="24"/>
        </w:rPr>
      </w:pPr>
    </w:p>
    <w:p w14:paraId="06520FC6" w14:textId="3B2E7A83" w:rsidR="003222AF" w:rsidRPr="00F86D91" w:rsidRDefault="63BD1FB6" w:rsidP="002B056E">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b/>
          <w:bCs/>
          <w:color w:val="000000" w:themeColor="text1"/>
          <w:sz w:val="24"/>
          <w:szCs w:val="24"/>
        </w:rPr>
        <w:lastRenderedPageBreak/>
        <w:t>Q</w:t>
      </w:r>
      <w:r w:rsidR="00823804" w:rsidRPr="00F86D91">
        <w:rPr>
          <w:rFonts w:ascii="Tahoma" w:eastAsia="Arial" w:hAnsi="Tahoma" w:cs="Tahoma"/>
          <w:b/>
          <w:bCs/>
          <w:color w:val="000000" w:themeColor="text1"/>
          <w:sz w:val="24"/>
          <w:szCs w:val="24"/>
        </w:rPr>
        <w:t>20</w:t>
      </w:r>
      <w:r w:rsidRPr="00F86D91">
        <w:rPr>
          <w:rFonts w:ascii="Tahoma" w:eastAsia="Arial" w:hAnsi="Tahoma" w:cs="Tahoma"/>
          <w:b/>
          <w:bCs/>
          <w:color w:val="000000" w:themeColor="text1"/>
          <w:sz w:val="24"/>
          <w:szCs w:val="24"/>
        </w:rPr>
        <w:t>.</w:t>
      </w:r>
      <w:r w:rsidRPr="00F86D91">
        <w:rPr>
          <w:rFonts w:ascii="Tahoma" w:hAnsi="Tahoma" w:cs="Tahoma"/>
        </w:rPr>
        <w:tab/>
      </w:r>
      <w:r w:rsidR="4E89AFCB" w:rsidRPr="00F86D91">
        <w:rPr>
          <w:rFonts w:ascii="Tahoma" w:eastAsia="Arial" w:hAnsi="Tahoma" w:cs="Tahoma"/>
          <w:b/>
          <w:bCs/>
          <w:color w:val="000000" w:themeColor="text1"/>
          <w:sz w:val="24"/>
          <w:szCs w:val="24"/>
        </w:rPr>
        <w:t xml:space="preserve">Does the EVSE need to be installed on </w:t>
      </w:r>
      <w:r w:rsidR="008EE88B" w:rsidRPr="00F86D91">
        <w:rPr>
          <w:rFonts w:ascii="Tahoma" w:eastAsia="Arial" w:hAnsi="Tahoma" w:cs="Tahoma"/>
          <w:b/>
          <w:bCs/>
          <w:color w:val="000000" w:themeColor="text1"/>
          <w:sz w:val="24"/>
          <w:szCs w:val="24"/>
        </w:rPr>
        <w:t xml:space="preserve">property owned by the government entity, or can an applicant propose to install chargers in any locations </w:t>
      </w:r>
      <w:r w:rsidR="710B8625" w:rsidRPr="00F86D91">
        <w:rPr>
          <w:rFonts w:ascii="Tahoma" w:eastAsia="Arial" w:hAnsi="Tahoma" w:cs="Tahoma"/>
          <w:b/>
          <w:bCs/>
          <w:color w:val="000000" w:themeColor="text1"/>
          <w:sz w:val="24"/>
          <w:szCs w:val="24"/>
        </w:rPr>
        <w:t>where the fleet vehicles dwell?</w:t>
      </w:r>
      <w:r w:rsidR="001C4642" w:rsidRPr="00F86D91">
        <w:rPr>
          <w:rFonts w:ascii="Tahoma" w:eastAsia="Arial" w:hAnsi="Tahoma" w:cs="Tahoma"/>
          <w:b/>
          <w:bCs/>
          <w:color w:val="000000" w:themeColor="text1"/>
          <w:sz w:val="24"/>
          <w:szCs w:val="24"/>
        </w:rPr>
        <w:t xml:space="preserve"> </w:t>
      </w:r>
    </w:p>
    <w:p w14:paraId="6FA273E8" w14:textId="568D45C7" w:rsidR="001C4642" w:rsidRPr="00F86D91" w:rsidRDefault="001C4642" w:rsidP="00E5603F">
      <w:pPr>
        <w:spacing w:after="0" w:line="240" w:lineRule="auto"/>
        <w:rPr>
          <w:rFonts w:ascii="Tahoma" w:eastAsia="Arial" w:hAnsi="Tahoma" w:cs="Tahoma"/>
          <w:b/>
          <w:bCs/>
          <w:color w:val="000000" w:themeColor="text1"/>
          <w:sz w:val="24"/>
          <w:szCs w:val="24"/>
        </w:rPr>
      </w:pPr>
    </w:p>
    <w:p w14:paraId="594935DD" w14:textId="19C19EFF" w:rsidR="005328E8" w:rsidRPr="00F86D91" w:rsidRDefault="001C4642" w:rsidP="59BC4DF4">
      <w:pPr>
        <w:pStyle w:val="ListParagraph"/>
        <w:ind w:hanging="720"/>
        <w:rPr>
          <w:rFonts w:ascii="Tahoma" w:hAnsi="Tahoma" w:cs="Tahoma"/>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20</w:t>
      </w:r>
      <w:r w:rsidRPr="00F86D91">
        <w:rPr>
          <w:rFonts w:ascii="Tahoma" w:eastAsia="Arial" w:hAnsi="Tahoma" w:cs="Tahoma"/>
          <w:color w:val="000000" w:themeColor="text1"/>
          <w:sz w:val="24"/>
          <w:szCs w:val="24"/>
        </w:rPr>
        <w:t>.</w:t>
      </w:r>
      <w:r w:rsidR="00386108">
        <w:tab/>
      </w:r>
      <w:r w:rsidR="00825014" w:rsidRPr="00F86D91">
        <w:rPr>
          <w:rFonts w:ascii="Tahoma" w:eastAsia="Arial" w:hAnsi="Tahoma" w:cs="Tahoma"/>
          <w:color w:val="000000" w:themeColor="text1"/>
          <w:sz w:val="24"/>
          <w:szCs w:val="24"/>
        </w:rPr>
        <w:t>As clarified in the addended solicitation manual, “</w:t>
      </w:r>
      <w:r w:rsidR="005328E8" w:rsidRPr="00F86D91">
        <w:rPr>
          <w:rFonts w:ascii="Tahoma" w:hAnsi="Tahoma" w:cs="Tahoma"/>
          <w:sz w:val="24"/>
          <w:szCs w:val="24"/>
        </w:rPr>
        <w:t>All project locations must be identified at the time of application. All project locations must be at the domicile location/address of the government fleet or in locations where the government fleet vehicles are designated to dwell. The fleet “domicile” is defined as the vehicle’s “home base” or deployment location, where the vehicle normally stays overnight, returns after its route, or is parked when not in use. If a site is not owned by the government entity that owns, leases and/or operates the fleet, a site-host agreement must be in place indicating the government fleet vehicles are designated to dwell at the site” (</w:t>
      </w:r>
      <w:r w:rsidR="001550DE" w:rsidRPr="00F86D91">
        <w:rPr>
          <w:rFonts w:ascii="Tahoma" w:hAnsi="Tahoma" w:cs="Tahoma"/>
          <w:sz w:val="24"/>
          <w:szCs w:val="24"/>
        </w:rPr>
        <w:t>S</w:t>
      </w:r>
      <w:r w:rsidR="00365359" w:rsidRPr="00F86D91">
        <w:rPr>
          <w:rFonts w:ascii="Tahoma" w:hAnsi="Tahoma" w:cs="Tahoma"/>
          <w:sz w:val="24"/>
          <w:szCs w:val="24"/>
        </w:rPr>
        <w:t>ection II.B.3, page 11</w:t>
      </w:r>
      <w:r w:rsidR="001550DE" w:rsidRPr="00F86D91">
        <w:rPr>
          <w:rFonts w:ascii="Tahoma" w:hAnsi="Tahoma" w:cs="Tahoma"/>
          <w:sz w:val="24"/>
          <w:szCs w:val="24"/>
        </w:rPr>
        <w:t>-</w:t>
      </w:r>
      <w:r w:rsidR="00365359" w:rsidRPr="00F86D91">
        <w:rPr>
          <w:rFonts w:ascii="Tahoma" w:hAnsi="Tahoma" w:cs="Tahoma"/>
          <w:sz w:val="24"/>
          <w:szCs w:val="24"/>
        </w:rPr>
        <w:t>1</w:t>
      </w:r>
      <w:r w:rsidR="00E908A5" w:rsidRPr="00F86D91">
        <w:rPr>
          <w:rFonts w:ascii="Tahoma" w:hAnsi="Tahoma" w:cs="Tahoma"/>
          <w:sz w:val="24"/>
          <w:szCs w:val="24"/>
        </w:rPr>
        <w:t>2</w:t>
      </w:r>
      <w:r w:rsidR="00365359" w:rsidRPr="00F86D91">
        <w:rPr>
          <w:rFonts w:ascii="Tahoma" w:hAnsi="Tahoma" w:cs="Tahoma"/>
          <w:sz w:val="24"/>
          <w:szCs w:val="24"/>
        </w:rPr>
        <w:t xml:space="preserve">, </w:t>
      </w:r>
      <w:r w:rsidR="001550DE" w:rsidRPr="00F86D91">
        <w:rPr>
          <w:rFonts w:ascii="Tahoma" w:hAnsi="Tahoma" w:cs="Tahoma"/>
          <w:sz w:val="24"/>
          <w:szCs w:val="24"/>
        </w:rPr>
        <w:t>“</w:t>
      </w:r>
      <w:r w:rsidR="00365359" w:rsidRPr="00F86D91">
        <w:rPr>
          <w:rFonts w:ascii="Tahoma" w:hAnsi="Tahoma" w:cs="Tahoma"/>
          <w:sz w:val="24"/>
          <w:szCs w:val="24"/>
        </w:rPr>
        <w:t>Project Location</w:t>
      </w:r>
      <w:r w:rsidR="001550DE" w:rsidRPr="00F86D91">
        <w:rPr>
          <w:rFonts w:ascii="Tahoma" w:hAnsi="Tahoma" w:cs="Tahoma"/>
          <w:sz w:val="24"/>
          <w:szCs w:val="24"/>
        </w:rPr>
        <w:t>”</w:t>
      </w:r>
      <w:r w:rsidR="00365359" w:rsidRPr="00F86D91">
        <w:rPr>
          <w:rFonts w:ascii="Tahoma" w:hAnsi="Tahoma" w:cs="Tahoma"/>
          <w:sz w:val="24"/>
          <w:szCs w:val="24"/>
        </w:rPr>
        <w:t>, Solicitation Manual).</w:t>
      </w:r>
    </w:p>
    <w:p w14:paraId="529A3680" w14:textId="66AFE362" w:rsidR="002B056E" w:rsidRPr="00F86D91" w:rsidRDefault="002B056E" w:rsidP="59BC4DF4">
      <w:pPr>
        <w:spacing w:after="0" w:line="240" w:lineRule="auto"/>
        <w:ind w:left="720" w:hanging="720"/>
        <w:rPr>
          <w:rFonts w:ascii="Tahoma" w:eastAsia="Arial" w:hAnsi="Tahoma" w:cs="Tahoma"/>
          <w:color w:val="000000" w:themeColor="text1"/>
          <w:sz w:val="24"/>
          <w:szCs w:val="24"/>
        </w:rPr>
      </w:pPr>
    </w:p>
    <w:p w14:paraId="25C651B0" w14:textId="77777777" w:rsidR="002B056E" w:rsidRPr="00F86D91" w:rsidRDefault="002B056E" w:rsidP="00956DD8">
      <w:pPr>
        <w:spacing w:after="0" w:line="240" w:lineRule="auto"/>
        <w:ind w:left="720"/>
        <w:rPr>
          <w:rFonts w:ascii="Tahoma" w:eastAsia="Arial" w:hAnsi="Tahoma" w:cs="Tahoma"/>
          <w:color w:val="000000" w:themeColor="text1"/>
          <w:sz w:val="24"/>
          <w:szCs w:val="24"/>
        </w:rPr>
      </w:pPr>
    </w:p>
    <w:p w14:paraId="59168322" w14:textId="2F40D681" w:rsidR="002B056E" w:rsidRPr="00F86D91" w:rsidRDefault="002B056E" w:rsidP="002B056E">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21</w:t>
      </w:r>
      <w:r w:rsidRPr="00F86D91">
        <w:rPr>
          <w:rFonts w:ascii="Tahoma" w:eastAsia="Arial" w:hAnsi="Tahoma" w:cs="Tahoma"/>
          <w:b/>
          <w:bCs/>
          <w:color w:val="000000" w:themeColor="text1"/>
          <w:sz w:val="24"/>
          <w:szCs w:val="24"/>
        </w:rPr>
        <w:t>.</w:t>
      </w:r>
      <w:r w:rsidRPr="00F86D91">
        <w:rPr>
          <w:rFonts w:ascii="Tahoma" w:hAnsi="Tahoma" w:cs="Tahoma"/>
        </w:rPr>
        <w:tab/>
      </w:r>
      <w:r w:rsidRPr="00F86D91">
        <w:rPr>
          <w:rFonts w:ascii="Tahoma" w:eastAsia="Arial" w:hAnsi="Tahoma" w:cs="Tahoma"/>
          <w:b/>
          <w:bCs/>
          <w:color w:val="000000" w:themeColor="text1"/>
          <w:sz w:val="24"/>
          <w:szCs w:val="24"/>
        </w:rPr>
        <w:t xml:space="preserve">Are municipal facilities such as City Hall, community parks, or </w:t>
      </w:r>
      <w:bookmarkStart w:id="0" w:name="_Int_H7F5r6Ia"/>
      <w:proofErr w:type="gramStart"/>
      <w:r w:rsidRPr="00F86D91">
        <w:rPr>
          <w:rFonts w:ascii="Tahoma" w:eastAsia="Arial" w:hAnsi="Tahoma" w:cs="Tahoma"/>
          <w:b/>
          <w:bCs/>
          <w:color w:val="000000" w:themeColor="text1"/>
          <w:sz w:val="24"/>
          <w:szCs w:val="24"/>
        </w:rPr>
        <w:t>libraries</w:t>
      </w:r>
      <w:bookmarkEnd w:id="0"/>
      <w:proofErr w:type="gramEnd"/>
      <w:r w:rsidRPr="00F86D91">
        <w:rPr>
          <w:rFonts w:ascii="Tahoma" w:eastAsia="Arial" w:hAnsi="Tahoma" w:cs="Tahoma"/>
          <w:b/>
          <w:bCs/>
          <w:color w:val="000000" w:themeColor="text1"/>
          <w:sz w:val="24"/>
          <w:szCs w:val="24"/>
        </w:rPr>
        <w:t xml:space="preserve"> eligible locations for EV chargers in this solicitation?</w:t>
      </w:r>
    </w:p>
    <w:p w14:paraId="4FB1951B" w14:textId="77777777" w:rsidR="002B056E" w:rsidRPr="00F86D91" w:rsidRDefault="002B056E" w:rsidP="002B056E">
      <w:pPr>
        <w:spacing w:after="0" w:line="240" w:lineRule="auto"/>
        <w:ind w:left="720" w:hanging="720"/>
        <w:rPr>
          <w:rFonts w:ascii="Tahoma" w:eastAsia="Arial" w:hAnsi="Tahoma" w:cs="Tahoma"/>
          <w:b/>
          <w:bCs/>
          <w:color w:val="000000" w:themeColor="text1"/>
          <w:sz w:val="24"/>
          <w:szCs w:val="24"/>
        </w:rPr>
      </w:pPr>
    </w:p>
    <w:p w14:paraId="3969E4D7" w14:textId="33FD4E3E" w:rsidR="00463E37" w:rsidRPr="000231E7" w:rsidRDefault="002B056E" w:rsidP="000231E7">
      <w:pPr>
        <w:pStyle w:val="ListParagraph"/>
        <w:ind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21</w:t>
      </w:r>
      <w:r w:rsidRPr="00F86D91">
        <w:rPr>
          <w:rFonts w:ascii="Tahoma" w:eastAsia="Arial" w:hAnsi="Tahoma" w:cs="Tahoma"/>
          <w:color w:val="000000" w:themeColor="text1"/>
          <w:sz w:val="24"/>
          <w:szCs w:val="24"/>
        </w:rPr>
        <w:t>.</w:t>
      </w:r>
      <w:r>
        <w:tab/>
      </w:r>
      <w:r w:rsidR="004D4D4B" w:rsidRPr="00F86D91">
        <w:rPr>
          <w:rFonts w:ascii="Tahoma" w:eastAsia="Arial" w:hAnsi="Tahoma" w:cs="Tahoma"/>
          <w:color w:val="000000" w:themeColor="text1"/>
          <w:sz w:val="24"/>
          <w:szCs w:val="24"/>
        </w:rPr>
        <w:t>As clarified in the addended solicitation manual, “</w:t>
      </w:r>
      <w:r w:rsidR="004D4D4B" w:rsidRPr="00F86D91">
        <w:rPr>
          <w:rFonts w:ascii="Tahoma" w:hAnsi="Tahoma" w:cs="Tahoma"/>
          <w:sz w:val="24"/>
          <w:szCs w:val="24"/>
        </w:rPr>
        <w:t>All project locations must be identified at the time of application. All project locations must be at the domicile location/address of the government fleet or in locations where the government fleet vehicles are designated to dwell. The fleet “domicile” is defined as the vehicle’s “home base” or deployment location, where the vehicle normally stays overnight, returns after its route, or is parked when not in use. If a site is not owned by the government entity that owns, leases and/or operates the fleet, a site-host agreement must be in place indicating the government fleet vehicles are designated to dwell at the site</w:t>
      </w:r>
      <w:r w:rsidR="006E03D2" w:rsidRPr="00F86D91">
        <w:rPr>
          <w:rFonts w:ascii="Tahoma" w:hAnsi="Tahoma" w:cs="Tahoma"/>
          <w:sz w:val="24"/>
          <w:szCs w:val="24"/>
        </w:rPr>
        <w:t>.</w:t>
      </w:r>
      <w:r w:rsidRPr="00F86D91">
        <w:rPr>
          <w:rFonts w:ascii="Tahoma" w:eastAsia="Arial" w:hAnsi="Tahoma" w:cs="Tahoma"/>
          <w:color w:val="000000" w:themeColor="text1"/>
          <w:sz w:val="24"/>
          <w:szCs w:val="24"/>
        </w:rPr>
        <w:t xml:space="preserve"> Project chargers are not required to be made available to the public. If chargers are made available to the public, public charging must not limit the fleet’s ability to charge. Plans for ensuring public charging does not limit the fleet’s ability to charge should be explained in the Electric Vehicle Fleet Procurement and Charger Utilization Plan described in Section III.C.2.</w:t>
      </w:r>
      <w:r w:rsidR="000231E7">
        <w:rPr>
          <w:rFonts w:ascii="Tahoma" w:eastAsia="Arial" w:hAnsi="Tahoma" w:cs="Tahoma"/>
          <w:color w:val="000000" w:themeColor="text1"/>
          <w:sz w:val="24"/>
          <w:szCs w:val="24"/>
        </w:rPr>
        <w:t xml:space="preserve"> </w:t>
      </w:r>
      <w:r w:rsidR="00B42A61" w:rsidRPr="000231E7">
        <w:rPr>
          <w:rFonts w:ascii="Tahoma" w:eastAsia="Arial" w:hAnsi="Tahoma" w:cs="Tahoma"/>
          <w:color w:val="000000" w:themeColor="text1"/>
          <w:sz w:val="24"/>
          <w:szCs w:val="24"/>
        </w:rPr>
        <w:t>Fees for chargers made available to the public must be reasonable and may not exceed the costs of offering public charging</w:t>
      </w:r>
      <w:r w:rsidR="00791603" w:rsidRPr="000231E7">
        <w:rPr>
          <w:rFonts w:ascii="Tahoma" w:eastAsia="Arial" w:hAnsi="Tahoma" w:cs="Tahoma"/>
          <w:color w:val="000000" w:themeColor="text1"/>
          <w:sz w:val="24"/>
          <w:szCs w:val="24"/>
        </w:rPr>
        <w:t xml:space="preserve">” </w:t>
      </w:r>
      <w:r w:rsidR="003D40E3" w:rsidRPr="000231E7">
        <w:rPr>
          <w:rFonts w:ascii="Tahoma" w:hAnsi="Tahoma" w:cs="Tahoma"/>
          <w:sz w:val="24"/>
          <w:szCs w:val="24"/>
        </w:rPr>
        <w:t>(</w:t>
      </w:r>
      <w:r w:rsidR="001550DE" w:rsidRPr="000231E7">
        <w:rPr>
          <w:rFonts w:ascii="Tahoma" w:hAnsi="Tahoma" w:cs="Tahoma"/>
          <w:sz w:val="24"/>
          <w:szCs w:val="24"/>
        </w:rPr>
        <w:t>S</w:t>
      </w:r>
      <w:r w:rsidR="003D40E3" w:rsidRPr="000231E7">
        <w:rPr>
          <w:rFonts w:ascii="Tahoma" w:hAnsi="Tahoma" w:cs="Tahoma"/>
          <w:sz w:val="24"/>
          <w:szCs w:val="24"/>
        </w:rPr>
        <w:t>ection II.B.3, page</w:t>
      </w:r>
      <w:r w:rsidR="001550DE" w:rsidRPr="000231E7">
        <w:rPr>
          <w:rFonts w:ascii="Tahoma" w:hAnsi="Tahoma" w:cs="Tahoma"/>
          <w:sz w:val="24"/>
          <w:szCs w:val="24"/>
        </w:rPr>
        <w:t xml:space="preserve"> </w:t>
      </w:r>
      <w:r w:rsidRPr="00C9EFA8">
        <w:rPr>
          <w:rFonts w:ascii="Tahoma" w:hAnsi="Tahoma" w:cs="Tahoma"/>
          <w:sz w:val="24"/>
          <w:szCs w:val="24"/>
        </w:rPr>
        <w:t>11</w:t>
      </w:r>
      <w:r w:rsidR="00E908A5" w:rsidRPr="000231E7">
        <w:rPr>
          <w:rFonts w:ascii="Tahoma" w:hAnsi="Tahoma" w:cs="Tahoma"/>
          <w:sz w:val="24"/>
          <w:szCs w:val="24"/>
        </w:rPr>
        <w:t>-12</w:t>
      </w:r>
      <w:r w:rsidR="003D40E3" w:rsidRPr="000231E7">
        <w:rPr>
          <w:rFonts w:ascii="Tahoma" w:hAnsi="Tahoma" w:cs="Tahoma"/>
          <w:sz w:val="24"/>
          <w:szCs w:val="24"/>
        </w:rPr>
        <w:t xml:space="preserve">, </w:t>
      </w:r>
      <w:r w:rsidR="001550DE" w:rsidRPr="000231E7">
        <w:rPr>
          <w:rFonts w:ascii="Tahoma" w:hAnsi="Tahoma" w:cs="Tahoma"/>
          <w:sz w:val="24"/>
          <w:szCs w:val="24"/>
        </w:rPr>
        <w:t>“</w:t>
      </w:r>
      <w:r w:rsidR="003D40E3" w:rsidRPr="000231E7">
        <w:rPr>
          <w:rFonts w:ascii="Tahoma" w:hAnsi="Tahoma" w:cs="Tahoma"/>
          <w:sz w:val="24"/>
          <w:szCs w:val="24"/>
        </w:rPr>
        <w:t>Project Location</w:t>
      </w:r>
      <w:r w:rsidR="001550DE" w:rsidRPr="000231E7">
        <w:rPr>
          <w:rFonts w:ascii="Tahoma" w:hAnsi="Tahoma" w:cs="Tahoma"/>
          <w:sz w:val="24"/>
          <w:szCs w:val="24"/>
        </w:rPr>
        <w:t>”</w:t>
      </w:r>
      <w:r w:rsidR="003D40E3" w:rsidRPr="000231E7">
        <w:rPr>
          <w:rFonts w:ascii="Tahoma" w:hAnsi="Tahoma" w:cs="Tahoma"/>
          <w:sz w:val="24"/>
          <w:szCs w:val="24"/>
        </w:rPr>
        <w:t>, Solicitation Manual).</w:t>
      </w:r>
    </w:p>
    <w:p w14:paraId="4B08B8D8" w14:textId="24D52EB1" w:rsidR="00FA7319" w:rsidRDefault="00FA7319" w:rsidP="4447FCAA">
      <w:pPr>
        <w:spacing w:after="0" w:line="240" w:lineRule="auto"/>
        <w:ind w:left="720" w:hanging="720"/>
        <w:rPr>
          <w:rFonts w:ascii="Tahoma" w:eastAsia="Arial" w:hAnsi="Tahoma" w:cs="Tahoma"/>
          <w:color w:val="000000" w:themeColor="text1"/>
          <w:sz w:val="24"/>
          <w:szCs w:val="24"/>
        </w:rPr>
      </w:pPr>
    </w:p>
    <w:p w14:paraId="22D62F58" w14:textId="77777777" w:rsidR="007E4323" w:rsidRPr="00F86D91" w:rsidRDefault="007E4323" w:rsidP="4447FCAA">
      <w:pPr>
        <w:spacing w:after="0" w:line="240" w:lineRule="auto"/>
        <w:ind w:left="720" w:hanging="720"/>
        <w:rPr>
          <w:rFonts w:ascii="Tahoma" w:eastAsia="Arial" w:hAnsi="Tahoma" w:cs="Tahoma"/>
          <w:color w:val="000000" w:themeColor="text1"/>
          <w:sz w:val="24"/>
          <w:szCs w:val="24"/>
        </w:rPr>
      </w:pPr>
    </w:p>
    <w:p w14:paraId="6B182902" w14:textId="3A93CB2A" w:rsidR="006963DA" w:rsidRPr="00F86D91" w:rsidRDefault="006963DA" w:rsidP="006963DA">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22</w:t>
      </w:r>
      <w:r w:rsidRPr="00F86D91">
        <w:rPr>
          <w:rFonts w:ascii="Tahoma" w:eastAsia="Arial" w:hAnsi="Tahoma" w:cs="Tahoma"/>
          <w:b/>
          <w:bCs/>
          <w:color w:val="000000" w:themeColor="text1"/>
          <w:sz w:val="24"/>
          <w:szCs w:val="24"/>
        </w:rPr>
        <w:t>.</w:t>
      </w:r>
      <w:r w:rsidRPr="00F86D91">
        <w:rPr>
          <w:rFonts w:ascii="Tahoma" w:hAnsi="Tahoma" w:cs="Tahoma"/>
        </w:rPr>
        <w:tab/>
      </w:r>
      <w:r w:rsidRPr="00F86D91">
        <w:rPr>
          <w:rFonts w:ascii="Tahoma" w:eastAsia="Arial" w:hAnsi="Tahoma" w:cs="Tahoma"/>
          <w:b/>
          <w:bCs/>
          <w:color w:val="000000" w:themeColor="text1"/>
          <w:sz w:val="24"/>
          <w:szCs w:val="24"/>
        </w:rPr>
        <w:t xml:space="preserve">Can the stations be located outside the city or county property? </w:t>
      </w:r>
    </w:p>
    <w:p w14:paraId="4B89BE7E" w14:textId="2E922FD3" w:rsidR="006963DA" w:rsidRPr="00F86D91" w:rsidDel="00102FA7" w:rsidRDefault="006963DA" w:rsidP="59BC4DF4">
      <w:pPr>
        <w:spacing w:after="0" w:line="240" w:lineRule="auto"/>
        <w:ind w:left="720" w:hanging="720"/>
        <w:rPr>
          <w:rFonts w:ascii="Tahoma" w:eastAsia="Arial" w:hAnsi="Tahoma" w:cs="Tahoma"/>
          <w:color w:val="000000" w:themeColor="text1"/>
          <w:sz w:val="24"/>
          <w:szCs w:val="24"/>
        </w:rPr>
      </w:pPr>
    </w:p>
    <w:p w14:paraId="2A5A186F" w14:textId="183F67E0" w:rsidR="006963DA" w:rsidRPr="00F86D91" w:rsidRDefault="006963DA" w:rsidP="00C31843">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22</w:t>
      </w:r>
      <w:r w:rsidRPr="00F86D91">
        <w:rPr>
          <w:rFonts w:ascii="Tahoma" w:eastAsia="Arial" w:hAnsi="Tahoma" w:cs="Tahoma"/>
          <w:color w:val="000000" w:themeColor="text1"/>
          <w:sz w:val="24"/>
          <w:szCs w:val="24"/>
        </w:rPr>
        <w:t>.</w:t>
      </w:r>
      <w:r w:rsidRPr="00F86D91">
        <w:rPr>
          <w:rFonts w:ascii="Tahoma" w:hAnsi="Tahoma" w:cs="Tahoma"/>
        </w:rPr>
        <w:tab/>
      </w:r>
      <w:r w:rsidR="003D40E3" w:rsidRPr="00F86D91">
        <w:rPr>
          <w:rFonts w:ascii="Tahoma" w:eastAsia="Arial" w:hAnsi="Tahoma" w:cs="Tahoma"/>
          <w:color w:val="000000" w:themeColor="text1"/>
          <w:sz w:val="24"/>
          <w:szCs w:val="24"/>
        </w:rPr>
        <w:t>As clarified in the addended solicitation manual, “</w:t>
      </w:r>
      <w:r w:rsidR="003D40E3" w:rsidRPr="00F86D91">
        <w:rPr>
          <w:rFonts w:ascii="Tahoma" w:eastAsia="Arial" w:hAnsi="Tahoma" w:cs="Tahoma"/>
          <w:sz w:val="24"/>
          <w:szCs w:val="24"/>
        </w:rPr>
        <w:t xml:space="preserve">All project locations must be identified at the time of application. All project locations must be at the domicile location/address of the government fleet or in locations where the government fleet vehicles are designated to dwell. The fleet “domicile” is defined as the </w:t>
      </w:r>
      <w:r w:rsidR="003D40E3" w:rsidRPr="00F86D91">
        <w:rPr>
          <w:rFonts w:ascii="Tahoma" w:eastAsia="Arial" w:hAnsi="Tahoma" w:cs="Tahoma"/>
          <w:sz w:val="24"/>
          <w:szCs w:val="24"/>
        </w:rPr>
        <w:lastRenderedPageBreak/>
        <w:t>vehicle’s “home base” or deployment location, where the vehicle normally stays overnight, returns after its route, or is parked when not in use. If a site is not owned by the government entity that owns, leases and/or operates the fleet, a site-host agreement must be in place indicating the government fleet vehicles are designated to dwell at the site.</w:t>
      </w:r>
      <w:r w:rsidR="003D40E3" w:rsidRPr="00F86D91">
        <w:rPr>
          <w:rFonts w:ascii="Tahoma" w:eastAsia="Arial" w:hAnsi="Tahoma" w:cs="Tahoma"/>
          <w:color w:val="000000" w:themeColor="text1"/>
          <w:sz w:val="24"/>
          <w:szCs w:val="24"/>
        </w:rPr>
        <w:t xml:space="preserve"> Project chargers are not required to be made available to the public. If chargers are made available to the public, public charging must not limit the fleet’s ability to charge. Plans for ensuring public charging does not limit the fleet’s ability to charge should be explained in the Electric Vehicle Fleet Procurement and Charger Utilization Plan described in Section III.C.2.</w:t>
      </w:r>
      <w:r w:rsidR="00B36A56">
        <w:rPr>
          <w:rFonts w:ascii="Tahoma" w:eastAsia="Arial" w:hAnsi="Tahoma" w:cs="Tahoma"/>
          <w:color w:val="000000" w:themeColor="text1"/>
          <w:sz w:val="24"/>
          <w:szCs w:val="24"/>
        </w:rPr>
        <w:t xml:space="preserve"> </w:t>
      </w:r>
      <w:r w:rsidR="00B36A56" w:rsidRPr="00B36A56">
        <w:rPr>
          <w:rFonts w:ascii="Tahoma" w:eastAsia="Arial" w:hAnsi="Tahoma" w:cs="Tahoma"/>
          <w:color w:val="000000" w:themeColor="text1"/>
          <w:sz w:val="24"/>
          <w:szCs w:val="24"/>
        </w:rPr>
        <w:t>Fees for chargers made available to the public must be reasonable and may not exceed the costs of offering public charging</w:t>
      </w:r>
      <w:r w:rsidR="003D40E3" w:rsidRPr="00F86D91">
        <w:rPr>
          <w:rFonts w:ascii="Tahoma" w:eastAsia="Arial" w:hAnsi="Tahoma" w:cs="Tahoma"/>
          <w:color w:val="000000" w:themeColor="text1"/>
          <w:sz w:val="24"/>
          <w:szCs w:val="24"/>
        </w:rPr>
        <w:t xml:space="preserve">” </w:t>
      </w:r>
      <w:r w:rsidR="001550DE" w:rsidRPr="00F86D91">
        <w:rPr>
          <w:rFonts w:ascii="Tahoma" w:hAnsi="Tahoma" w:cs="Tahoma"/>
          <w:sz w:val="24"/>
          <w:szCs w:val="24"/>
        </w:rPr>
        <w:t>(Section II.B.3, page 11</w:t>
      </w:r>
      <w:r w:rsidR="00E908A5" w:rsidRPr="00F86D91">
        <w:rPr>
          <w:rFonts w:ascii="Tahoma" w:hAnsi="Tahoma" w:cs="Tahoma"/>
          <w:sz w:val="24"/>
          <w:szCs w:val="24"/>
        </w:rPr>
        <w:t>-12</w:t>
      </w:r>
      <w:r w:rsidR="001550DE" w:rsidRPr="00F86D91">
        <w:rPr>
          <w:rFonts w:ascii="Tahoma" w:hAnsi="Tahoma" w:cs="Tahoma"/>
          <w:sz w:val="24"/>
          <w:szCs w:val="24"/>
        </w:rPr>
        <w:t>, “Project Location”, Solicitation Manual).</w:t>
      </w:r>
      <w:r w:rsidR="008F661E" w:rsidRPr="00F86D91">
        <w:rPr>
          <w:rFonts w:ascii="Tahoma" w:hAnsi="Tahoma" w:cs="Tahoma"/>
        </w:rPr>
        <w:br/>
      </w:r>
    </w:p>
    <w:p w14:paraId="48987D45" w14:textId="77777777" w:rsidR="006963DA" w:rsidRPr="00F86D91" w:rsidRDefault="006963DA" w:rsidP="4447FCAA">
      <w:pPr>
        <w:spacing w:after="0" w:line="240" w:lineRule="auto"/>
        <w:ind w:left="720" w:hanging="720"/>
        <w:rPr>
          <w:rFonts w:ascii="Tahoma" w:eastAsia="Arial" w:hAnsi="Tahoma" w:cs="Tahoma"/>
          <w:color w:val="000000" w:themeColor="text1"/>
          <w:sz w:val="24"/>
          <w:szCs w:val="24"/>
        </w:rPr>
      </w:pPr>
    </w:p>
    <w:p w14:paraId="758B8681" w14:textId="285B5CA2" w:rsidR="00102FA7" w:rsidRPr="00F86D91" w:rsidRDefault="00102FA7" w:rsidP="00C31843">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23</w:t>
      </w:r>
      <w:r w:rsidRPr="00F86D91">
        <w:rPr>
          <w:rFonts w:ascii="Tahoma" w:eastAsia="Arial" w:hAnsi="Tahoma" w:cs="Tahoma"/>
          <w:b/>
          <w:bCs/>
          <w:color w:val="000000" w:themeColor="text1"/>
          <w:sz w:val="24"/>
          <w:szCs w:val="24"/>
        </w:rPr>
        <w:t>.</w:t>
      </w:r>
      <w:r w:rsidRPr="00F86D91">
        <w:rPr>
          <w:rFonts w:ascii="Tahoma" w:hAnsi="Tahoma" w:cs="Tahoma"/>
        </w:rPr>
        <w:tab/>
      </w:r>
      <w:r w:rsidRPr="00F86D91">
        <w:rPr>
          <w:rFonts w:ascii="Tahoma" w:eastAsia="Arial" w:hAnsi="Tahoma" w:cs="Tahoma"/>
          <w:b/>
          <w:bCs/>
          <w:color w:val="000000" w:themeColor="text1"/>
          <w:sz w:val="24"/>
          <w:szCs w:val="24"/>
        </w:rPr>
        <w:t>Can stations serve multiple fleets at one location?</w:t>
      </w:r>
    </w:p>
    <w:p w14:paraId="04B3F8CE" w14:textId="77777777" w:rsidR="00102FA7" w:rsidRPr="00F86D91" w:rsidRDefault="00102FA7" w:rsidP="00102FA7">
      <w:pPr>
        <w:spacing w:after="0" w:line="240" w:lineRule="auto"/>
        <w:rPr>
          <w:rFonts w:ascii="Tahoma" w:eastAsia="Arial" w:hAnsi="Tahoma" w:cs="Tahoma"/>
          <w:b/>
          <w:bCs/>
          <w:color w:val="000000" w:themeColor="text1"/>
          <w:sz w:val="24"/>
          <w:szCs w:val="24"/>
        </w:rPr>
      </w:pPr>
    </w:p>
    <w:p w14:paraId="075CA6B8" w14:textId="294DE25C" w:rsidR="00102FA7" w:rsidRPr="00F86D91" w:rsidRDefault="00102FA7" w:rsidP="00102FA7">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23</w:t>
      </w:r>
      <w:r w:rsidRPr="00F86D91">
        <w:rPr>
          <w:rFonts w:ascii="Tahoma" w:eastAsia="Arial" w:hAnsi="Tahoma" w:cs="Tahoma"/>
          <w:color w:val="000000" w:themeColor="text1"/>
          <w:sz w:val="24"/>
          <w:szCs w:val="24"/>
        </w:rPr>
        <w:t>.</w:t>
      </w:r>
      <w:r w:rsidRPr="00F86D91">
        <w:rPr>
          <w:rFonts w:ascii="Tahoma" w:hAnsi="Tahoma" w:cs="Tahoma"/>
        </w:rPr>
        <w:tab/>
      </w:r>
      <w:r w:rsidR="00635FA4" w:rsidRPr="00F86D91">
        <w:rPr>
          <w:rFonts w:ascii="Tahoma" w:hAnsi="Tahoma" w:cs="Tahoma"/>
          <w:sz w:val="24"/>
          <w:szCs w:val="24"/>
        </w:rPr>
        <w:t xml:space="preserve">Yes, </w:t>
      </w:r>
      <w:r w:rsidR="00F63365" w:rsidRPr="00F86D91">
        <w:rPr>
          <w:rFonts w:ascii="Tahoma" w:hAnsi="Tahoma" w:cs="Tahoma"/>
          <w:sz w:val="24"/>
          <w:szCs w:val="24"/>
        </w:rPr>
        <w:t xml:space="preserve">a single site may </w:t>
      </w:r>
      <w:r w:rsidR="00ED179E" w:rsidRPr="00F86D91">
        <w:rPr>
          <w:rFonts w:ascii="Tahoma" w:hAnsi="Tahoma" w:cs="Tahoma"/>
          <w:sz w:val="24"/>
          <w:szCs w:val="24"/>
        </w:rPr>
        <w:t xml:space="preserve">serve multiple fleets. </w:t>
      </w:r>
      <w:r w:rsidR="005C4662" w:rsidRPr="00F86D91">
        <w:rPr>
          <w:rFonts w:ascii="Tahoma" w:hAnsi="Tahoma" w:cs="Tahoma"/>
          <w:sz w:val="24"/>
          <w:szCs w:val="24"/>
        </w:rPr>
        <w:t xml:space="preserve">As clarified in the addended solicitation manual, </w:t>
      </w:r>
      <w:r w:rsidR="009C0769" w:rsidRPr="00F86D91">
        <w:rPr>
          <w:rFonts w:ascii="Tahoma" w:hAnsi="Tahoma" w:cs="Tahoma"/>
          <w:sz w:val="24"/>
          <w:szCs w:val="24"/>
        </w:rPr>
        <w:t>“</w:t>
      </w:r>
      <w:r w:rsidR="005C4662" w:rsidRPr="00F86D91">
        <w:rPr>
          <w:rFonts w:ascii="Tahoma" w:hAnsi="Tahoma" w:cs="Tahoma"/>
          <w:sz w:val="24"/>
          <w:szCs w:val="24"/>
        </w:rPr>
        <w:t>Include a table that shows the numbers and types of chargers being installed at each project site, what fleet(s) the chargers are supporting, and the costs of the chargers</w:t>
      </w:r>
      <w:r w:rsidR="004A3370" w:rsidRPr="00F86D91">
        <w:rPr>
          <w:rFonts w:ascii="Tahoma" w:hAnsi="Tahoma" w:cs="Tahoma"/>
          <w:sz w:val="24"/>
          <w:szCs w:val="24"/>
        </w:rPr>
        <w:t>” (</w:t>
      </w:r>
      <w:r w:rsidR="00441543" w:rsidRPr="00F86D91">
        <w:rPr>
          <w:rFonts w:ascii="Tahoma" w:hAnsi="Tahoma" w:cs="Tahoma"/>
          <w:sz w:val="24"/>
          <w:szCs w:val="24"/>
        </w:rPr>
        <w:t xml:space="preserve">Section </w:t>
      </w:r>
      <w:r w:rsidR="001B078F" w:rsidRPr="00F86D91">
        <w:rPr>
          <w:rFonts w:ascii="Tahoma" w:hAnsi="Tahoma" w:cs="Tahoma"/>
          <w:sz w:val="24"/>
          <w:szCs w:val="24"/>
        </w:rPr>
        <w:t>III.C.</w:t>
      </w:r>
      <w:r w:rsidR="00F103D9" w:rsidRPr="00F86D91">
        <w:rPr>
          <w:rFonts w:ascii="Tahoma" w:hAnsi="Tahoma" w:cs="Tahoma"/>
          <w:sz w:val="24"/>
          <w:szCs w:val="24"/>
        </w:rPr>
        <w:t>2, page 2</w:t>
      </w:r>
      <w:r w:rsidR="00902AEA">
        <w:rPr>
          <w:rFonts w:ascii="Tahoma" w:hAnsi="Tahoma" w:cs="Tahoma"/>
          <w:sz w:val="24"/>
          <w:szCs w:val="24"/>
        </w:rPr>
        <w:t>5</w:t>
      </w:r>
      <w:r w:rsidR="00F103D9" w:rsidRPr="00F86D91">
        <w:rPr>
          <w:rFonts w:ascii="Tahoma" w:hAnsi="Tahoma" w:cs="Tahoma"/>
          <w:sz w:val="24"/>
          <w:szCs w:val="24"/>
        </w:rPr>
        <w:t xml:space="preserve">, </w:t>
      </w:r>
      <w:r w:rsidR="001550DE" w:rsidRPr="00F86D91">
        <w:rPr>
          <w:rFonts w:ascii="Tahoma" w:hAnsi="Tahoma" w:cs="Tahoma"/>
          <w:sz w:val="24"/>
          <w:szCs w:val="24"/>
        </w:rPr>
        <w:t>“</w:t>
      </w:r>
      <w:r w:rsidR="00F103D9" w:rsidRPr="00F86D91">
        <w:rPr>
          <w:rFonts w:ascii="Tahoma" w:hAnsi="Tahoma" w:cs="Tahoma"/>
          <w:sz w:val="24"/>
          <w:szCs w:val="24"/>
        </w:rPr>
        <w:t xml:space="preserve">Project </w:t>
      </w:r>
      <w:r w:rsidR="00487D6C">
        <w:rPr>
          <w:rFonts w:ascii="Tahoma" w:hAnsi="Tahoma" w:cs="Tahoma"/>
          <w:sz w:val="24"/>
          <w:szCs w:val="24"/>
        </w:rPr>
        <w:t>Description</w:t>
      </w:r>
      <w:r w:rsidR="001550DE" w:rsidRPr="00F86D91">
        <w:rPr>
          <w:rFonts w:ascii="Tahoma" w:hAnsi="Tahoma" w:cs="Tahoma"/>
          <w:sz w:val="24"/>
          <w:szCs w:val="24"/>
        </w:rPr>
        <w:t>”</w:t>
      </w:r>
      <w:r w:rsidR="00F103D9" w:rsidRPr="00F86D91">
        <w:rPr>
          <w:rFonts w:ascii="Tahoma" w:hAnsi="Tahoma" w:cs="Tahoma"/>
          <w:sz w:val="24"/>
          <w:szCs w:val="24"/>
        </w:rPr>
        <w:t>, Solicitation Manual)</w:t>
      </w:r>
      <w:r w:rsidR="0026600A" w:rsidRPr="00F86D91">
        <w:rPr>
          <w:rFonts w:ascii="Tahoma" w:hAnsi="Tahoma" w:cs="Tahoma"/>
          <w:sz w:val="24"/>
          <w:szCs w:val="24"/>
        </w:rPr>
        <w:t xml:space="preserve">. </w:t>
      </w:r>
      <w:r w:rsidR="00ED179E" w:rsidRPr="00F86D91">
        <w:rPr>
          <w:rFonts w:ascii="Tahoma" w:hAnsi="Tahoma" w:cs="Tahoma"/>
          <w:sz w:val="24"/>
          <w:szCs w:val="24"/>
        </w:rPr>
        <w:t>Charger u</w:t>
      </w:r>
      <w:r w:rsidR="00635FA4" w:rsidRPr="00F86D91">
        <w:rPr>
          <w:rFonts w:ascii="Tahoma" w:hAnsi="Tahoma" w:cs="Tahoma"/>
          <w:sz w:val="24"/>
          <w:szCs w:val="24"/>
        </w:rPr>
        <w:t>tilization should be described in the Fleet Procurement and Charger Utilization Plan</w:t>
      </w:r>
      <w:r w:rsidR="00ED179E" w:rsidRPr="00F86D91">
        <w:rPr>
          <w:rFonts w:ascii="Tahoma" w:hAnsi="Tahoma" w:cs="Tahoma"/>
          <w:sz w:val="24"/>
          <w:szCs w:val="24"/>
        </w:rPr>
        <w:t>.</w:t>
      </w:r>
    </w:p>
    <w:p w14:paraId="3BA47EF8" w14:textId="07A05661" w:rsidR="00FA7319" w:rsidRDefault="00FA7319" w:rsidP="4447FCAA">
      <w:pPr>
        <w:spacing w:after="0" w:line="240" w:lineRule="auto"/>
        <w:ind w:left="720" w:hanging="720"/>
        <w:rPr>
          <w:rFonts w:ascii="Tahoma" w:eastAsia="Arial" w:hAnsi="Tahoma" w:cs="Tahoma"/>
          <w:color w:val="000000" w:themeColor="text1"/>
          <w:sz w:val="24"/>
          <w:szCs w:val="24"/>
        </w:rPr>
      </w:pPr>
    </w:p>
    <w:p w14:paraId="2FC02E87" w14:textId="77777777" w:rsidR="003D1E94" w:rsidRPr="00F86D91" w:rsidRDefault="003D1E94" w:rsidP="4447FCAA">
      <w:pPr>
        <w:spacing w:after="0" w:line="240" w:lineRule="auto"/>
        <w:ind w:left="720" w:hanging="720"/>
        <w:rPr>
          <w:rFonts w:ascii="Tahoma" w:eastAsia="Arial" w:hAnsi="Tahoma" w:cs="Tahoma"/>
          <w:color w:val="000000" w:themeColor="text1"/>
          <w:sz w:val="24"/>
          <w:szCs w:val="24"/>
        </w:rPr>
      </w:pPr>
    </w:p>
    <w:p w14:paraId="308FC4D1" w14:textId="29F620FB" w:rsidR="00FA7319" w:rsidRPr="00F86D91" w:rsidRDefault="1709991C" w:rsidP="00C55568">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24</w:t>
      </w:r>
      <w:r w:rsidRPr="00F86D91">
        <w:rPr>
          <w:rFonts w:ascii="Tahoma" w:eastAsia="Arial" w:hAnsi="Tahoma" w:cs="Tahoma"/>
          <w:b/>
          <w:bCs/>
          <w:color w:val="000000" w:themeColor="text1"/>
          <w:sz w:val="24"/>
          <w:szCs w:val="24"/>
        </w:rPr>
        <w:t>.</w:t>
      </w:r>
      <w:r w:rsidR="63BD1FB6" w:rsidRPr="00F86D91">
        <w:rPr>
          <w:rFonts w:ascii="Tahoma" w:hAnsi="Tahoma" w:cs="Tahoma"/>
        </w:rPr>
        <w:tab/>
      </w:r>
      <w:r w:rsidR="14C5486D" w:rsidRPr="00F86D91">
        <w:rPr>
          <w:rFonts w:ascii="Tahoma" w:eastAsia="Arial" w:hAnsi="Tahoma" w:cs="Tahoma"/>
          <w:b/>
          <w:bCs/>
          <w:color w:val="000000" w:themeColor="text1"/>
          <w:sz w:val="24"/>
          <w:szCs w:val="24"/>
        </w:rPr>
        <w:t>Does the 100</w:t>
      </w:r>
      <w:r w:rsidR="0005330B" w:rsidRPr="00F86D91">
        <w:rPr>
          <w:rFonts w:ascii="Tahoma" w:eastAsia="Arial" w:hAnsi="Tahoma" w:cs="Tahoma"/>
          <w:b/>
          <w:bCs/>
          <w:color w:val="000000" w:themeColor="text1"/>
          <w:sz w:val="24"/>
          <w:szCs w:val="24"/>
        </w:rPr>
        <w:t>-</w:t>
      </w:r>
      <w:r w:rsidR="14C5486D" w:rsidRPr="00F86D91">
        <w:rPr>
          <w:rFonts w:ascii="Tahoma" w:eastAsia="Arial" w:hAnsi="Tahoma" w:cs="Tahoma"/>
          <w:b/>
          <w:bCs/>
          <w:color w:val="000000" w:themeColor="text1"/>
          <w:sz w:val="24"/>
          <w:szCs w:val="24"/>
        </w:rPr>
        <w:t>port minimum only apply to Level 2 charging ports?</w:t>
      </w:r>
    </w:p>
    <w:p w14:paraId="460B9CAB" w14:textId="716E647A" w:rsidR="00FA7319" w:rsidRPr="00F86D91" w:rsidRDefault="00FA7319" w:rsidP="4447FCAA">
      <w:pPr>
        <w:spacing w:after="0" w:line="240" w:lineRule="auto"/>
        <w:ind w:left="720" w:hanging="720"/>
        <w:rPr>
          <w:rFonts w:ascii="Tahoma" w:eastAsia="Arial" w:hAnsi="Tahoma" w:cs="Tahoma"/>
          <w:b/>
          <w:bCs/>
          <w:color w:val="000000" w:themeColor="text1"/>
          <w:sz w:val="24"/>
          <w:szCs w:val="24"/>
        </w:rPr>
      </w:pPr>
    </w:p>
    <w:p w14:paraId="47E64D25" w14:textId="17AF5D71" w:rsidR="00FA7319" w:rsidRPr="00F86D91" w:rsidRDefault="63BD1FB6" w:rsidP="00A7540C">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24</w:t>
      </w:r>
      <w:r w:rsidRPr="00F86D91">
        <w:rPr>
          <w:rFonts w:ascii="Tahoma" w:eastAsia="Arial" w:hAnsi="Tahoma" w:cs="Tahoma"/>
          <w:color w:val="000000" w:themeColor="text1"/>
          <w:sz w:val="24"/>
          <w:szCs w:val="24"/>
        </w:rPr>
        <w:t>.</w:t>
      </w:r>
      <w:r>
        <w:tab/>
      </w:r>
      <w:r w:rsidR="00D90B42" w:rsidRPr="00F86D91">
        <w:rPr>
          <w:rFonts w:ascii="Tahoma" w:eastAsia="Arial" w:hAnsi="Tahoma" w:cs="Tahoma"/>
          <w:color w:val="000000" w:themeColor="text1"/>
          <w:sz w:val="24"/>
          <w:szCs w:val="24"/>
        </w:rPr>
        <w:t>No</w:t>
      </w:r>
      <w:r w:rsidR="00D66065" w:rsidRPr="00F86D91">
        <w:rPr>
          <w:rFonts w:ascii="Tahoma" w:eastAsia="Arial" w:hAnsi="Tahoma" w:cs="Tahoma"/>
          <w:color w:val="000000" w:themeColor="text1"/>
          <w:sz w:val="24"/>
          <w:szCs w:val="24"/>
        </w:rPr>
        <w:t>,</w:t>
      </w:r>
      <w:r w:rsidR="000478A3" w:rsidRPr="00F86D91">
        <w:rPr>
          <w:rFonts w:ascii="Tahoma" w:eastAsia="Arial" w:hAnsi="Tahoma" w:cs="Tahoma"/>
          <w:color w:val="000000" w:themeColor="text1"/>
          <w:sz w:val="24"/>
          <w:szCs w:val="24"/>
        </w:rPr>
        <w:t xml:space="preserve"> the 100-port minimum applies to both Level 2 and DCFC ports</w:t>
      </w:r>
      <w:r w:rsidR="00D66065" w:rsidRPr="00F86D91">
        <w:rPr>
          <w:rFonts w:ascii="Tahoma" w:eastAsia="Arial" w:hAnsi="Tahoma" w:cs="Tahoma"/>
          <w:color w:val="000000" w:themeColor="text1"/>
          <w:sz w:val="24"/>
          <w:szCs w:val="24"/>
        </w:rPr>
        <w:t>.</w:t>
      </w:r>
      <w:r w:rsidR="00D90B42" w:rsidRPr="00F86D91">
        <w:rPr>
          <w:rFonts w:ascii="Tahoma" w:eastAsia="Arial" w:hAnsi="Tahoma" w:cs="Tahoma"/>
          <w:color w:val="000000" w:themeColor="text1"/>
          <w:sz w:val="24"/>
          <w:szCs w:val="24"/>
        </w:rPr>
        <w:t xml:space="preserve"> </w:t>
      </w:r>
      <w:r w:rsidR="00D66065" w:rsidRPr="00F86D91">
        <w:rPr>
          <w:rFonts w:ascii="Tahoma" w:eastAsia="Arial" w:hAnsi="Tahoma" w:cs="Tahoma"/>
          <w:color w:val="000000" w:themeColor="text1"/>
          <w:sz w:val="24"/>
          <w:szCs w:val="24"/>
        </w:rPr>
        <w:t>T</w:t>
      </w:r>
      <w:r w:rsidR="00D31429" w:rsidRPr="00F86D91">
        <w:rPr>
          <w:rFonts w:ascii="Tahoma" w:eastAsia="Arial" w:hAnsi="Tahoma" w:cs="Tahoma"/>
          <w:color w:val="000000" w:themeColor="text1"/>
          <w:sz w:val="24"/>
          <w:szCs w:val="24"/>
        </w:rPr>
        <w:t xml:space="preserve">he </w:t>
      </w:r>
      <w:r w:rsidR="00A25064" w:rsidRPr="00F86D91">
        <w:rPr>
          <w:rFonts w:ascii="Tahoma" w:eastAsia="Arial" w:hAnsi="Tahoma" w:cs="Tahoma"/>
          <w:color w:val="000000" w:themeColor="text1"/>
          <w:sz w:val="24"/>
          <w:szCs w:val="24"/>
        </w:rPr>
        <w:t>solicitation manual states, “</w:t>
      </w:r>
      <w:r w:rsidR="006902BE" w:rsidRPr="00F86D91">
        <w:rPr>
          <w:rFonts w:ascii="Tahoma" w:eastAsia="Arial" w:hAnsi="Tahoma" w:cs="Tahoma"/>
          <w:color w:val="000000" w:themeColor="text1"/>
          <w:sz w:val="24"/>
          <w:szCs w:val="24"/>
        </w:rPr>
        <w:t>A project must install a minimum of 100 charging ports. A project can be comprised of installations at multiple project sites and for multiple fleets under the same government entity</w:t>
      </w:r>
      <w:r w:rsidR="00A7540C" w:rsidRPr="00F86D91">
        <w:rPr>
          <w:rFonts w:ascii="Tahoma" w:eastAsia="Arial" w:hAnsi="Tahoma" w:cs="Tahoma"/>
          <w:color w:val="000000" w:themeColor="text1"/>
          <w:sz w:val="24"/>
          <w:szCs w:val="24"/>
        </w:rPr>
        <w:t xml:space="preserve">” (Section II.B.2, page </w:t>
      </w:r>
      <w:r w:rsidR="00A7540C" w:rsidRPr="00C9EFA8">
        <w:rPr>
          <w:rFonts w:ascii="Tahoma" w:eastAsia="Arial" w:hAnsi="Tahoma" w:cs="Tahoma"/>
          <w:color w:val="000000" w:themeColor="text1"/>
          <w:sz w:val="24"/>
          <w:szCs w:val="24"/>
        </w:rPr>
        <w:t>1</w:t>
      </w:r>
      <w:r w:rsidRPr="00C9EFA8">
        <w:rPr>
          <w:rFonts w:ascii="Tahoma" w:eastAsia="Arial" w:hAnsi="Tahoma" w:cs="Tahoma"/>
          <w:color w:val="000000" w:themeColor="text1"/>
          <w:sz w:val="24"/>
          <w:szCs w:val="24"/>
        </w:rPr>
        <w:t>1</w:t>
      </w:r>
      <w:r w:rsidR="00A7540C" w:rsidRPr="00F86D91">
        <w:rPr>
          <w:rFonts w:ascii="Tahoma" w:eastAsia="Arial" w:hAnsi="Tahoma" w:cs="Tahoma"/>
          <w:color w:val="000000" w:themeColor="text1"/>
          <w:sz w:val="24"/>
          <w:szCs w:val="24"/>
        </w:rPr>
        <w:t xml:space="preserve">, </w:t>
      </w:r>
      <w:r w:rsidR="00187AAB" w:rsidRPr="00F86D91">
        <w:rPr>
          <w:rFonts w:ascii="Tahoma" w:eastAsia="Arial" w:hAnsi="Tahoma" w:cs="Tahoma"/>
          <w:color w:val="000000" w:themeColor="text1"/>
          <w:sz w:val="24"/>
          <w:szCs w:val="24"/>
        </w:rPr>
        <w:t>“</w:t>
      </w:r>
      <w:r w:rsidR="00A7540C" w:rsidRPr="00F86D91">
        <w:rPr>
          <w:rFonts w:ascii="Tahoma" w:eastAsia="Arial" w:hAnsi="Tahoma" w:cs="Tahoma"/>
          <w:color w:val="000000" w:themeColor="text1"/>
          <w:sz w:val="24"/>
          <w:szCs w:val="24"/>
        </w:rPr>
        <w:t>Minimum Port Count</w:t>
      </w:r>
      <w:r w:rsidR="00187AAB" w:rsidRPr="00F86D91">
        <w:rPr>
          <w:rFonts w:ascii="Tahoma" w:eastAsia="Arial" w:hAnsi="Tahoma" w:cs="Tahoma"/>
          <w:color w:val="000000" w:themeColor="text1"/>
          <w:sz w:val="24"/>
          <w:szCs w:val="24"/>
        </w:rPr>
        <w:t>”</w:t>
      </w:r>
      <w:r w:rsidR="00A7540C" w:rsidRPr="00F86D91">
        <w:rPr>
          <w:rFonts w:ascii="Tahoma" w:eastAsia="Arial" w:hAnsi="Tahoma" w:cs="Tahoma"/>
          <w:color w:val="000000" w:themeColor="text1"/>
          <w:sz w:val="24"/>
          <w:szCs w:val="24"/>
        </w:rPr>
        <w:t>, Solicitation Manual).</w:t>
      </w:r>
    </w:p>
    <w:p w14:paraId="43977887" w14:textId="77777777" w:rsidR="00A7540C" w:rsidRPr="00F86D91" w:rsidRDefault="00A7540C" w:rsidP="00A7540C">
      <w:pPr>
        <w:spacing w:after="0" w:line="240" w:lineRule="auto"/>
        <w:ind w:left="720" w:hanging="720"/>
        <w:rPr>
          <w:rFonts w:ascii="Tahoma" w:eastAsia="Arial" w:hAnsi="Tahoma" w:cs="Tahoma"/>
          <w:color w:val="000000" w:themeColor="text1"/>
          <w:sz w:val="24"/>
          <w:szCs w:val="24"/>
        </w:rPr>
      </w:pPr>
    </w:p>
    <w:p w14:paraId="67B24910" w14:textId="54B22B8C" w:rsidR="00A7540C" w:rsidRPr="00F86D91" w:rsidRDefault="00A7540C" w:rsidP="00A7540C">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b/>
        <w:t>The solicitation manual also states, “</w:t>
      </w:r>
      <w:r w:rsidR="00187AAB" w:rsidRPr="00F86D91">
        <w:rPr>
          <w:rFonts w:ascii="Tahoma" w:eastAsia="Arial" w:hAnsi="Tahoma" w:cs="Tahoma"/>
          <w:color w:val="000000" w:themeColor="text1"/>
          <w:sz w:val="24"/>
          <w:szCs w:val="24"/>
        </w:rPr>
        <w:t>Applications must include Level 2 (L2), Direct Current Fast Chargers (DCFC), or any combination of these charger types. Chargers may be mobile (not grid connected) or stationary. Specific requirements for charging equipment are listed in Section II.B.6.” (Section II.B.1, page 1</w:t>
      </w:r>
      <w:r w:rsidR="005E6EC4">
        <w:rPr>
          <w:rFonts w:ascii="Tahoma" w:eastAsia="Arial" w:hAnsi="Tahoma" w:cs="Tahoma"/>
          <w:color w:val="000000" w:themeColor="text1"/>
          <w:sz w:val="24"/>
          <w:szCs w:val="24"/>
        </w:rPr>
        <w:t>1</w:t>
      </w:r>
      <w:r w:rsidR="00187AAB" w:rsidRPr="00F86D91">
        <w:rPr>
          <w:rFonts w:ascii="Tahoma" w:eastAsia="Arial" w:hAnsi="Tahoma" w:cs="Tahoma"/>
          <w:color w:val="000000" w:themeColor="text1"/>
          <w:sz w:val="24"/>
          <w:szCs w:val="24"/>
        </w:rPr>
        <w:t>, “Eligible Projects”, Solicitation Manual).</w:t>
      </w:r>
    </w:p>
    <w:p w14:paraId="0D257DDC" w14:textId="7CEC1041" w:rsidR="00FA7319" w:rsidRPr="00F86D91" w:rsidRDefault="00FA7319" w:rsidP="13BF8754">
      <w:pPr>
        <w:spacing w:after="0" w:line="240" w:lineRule="auto"/>
        <w:rPr>
          <w:rFonts w:ascii="Tahoma" w:eastAsia="Arial" w:hAnsi="Tahoma" w:cs="Tahoma"/>
          <w:b/>
          <w:bCs/>
          <w:color w:val="000000" w:themeColor="text1"/>
          <w:sz w:val="24"/>
          <w:szCs w:val="24"/>
        </w:rPr>
      </w:pPr>
    </w:p>
    <w:p w14:paraId="737D7327" w14:textId="07A05661" w:rsidR="00FA7319" w:rsidRPr="00F86D91" w:rsidRDefault="00FA7319" w:rsidP="4447FCAA">
      <w:pPr>
        <w:spacing w:after="0" w:line="240" w:lineRule="auto"/>
        <w:ind w:left="720" w:hanging="720"/>
        <w:rPr>
          <w:rFonts w:ascii="Tahoma" w:eastAsia="Arial" w:hAnsi="Tahoma" w:cs="Tahoma"/>
          <w:color w:val="000000" w:themeColor="text1"/>
          <w:sz w:val="24"/>
          <w:szCs w:val="24"/>
        </w:rPr>
      </w:pPr>
    </w:p>
    <w:p w14:paraId="3D0BB97F" w14:textId="71C74B5D" w:rsidR="00FA7319" w:rsidRPr="00F86D91" w:rsidRDefault="63BD1FB6" w:rsidP="44A3F00F">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25</w:t>
      </w:r>
      <w:r w:rsidRPr="00F86D91">
        <w:rPr>
          <w:rFonts w:ascii="Tahoma" w:eastAsia="Arial" w:hAnsi="Tahoma" w:cs="Tahoma"/>
          <w:b/>
          <w:bCs/>
          <w:color w:val="000000" w:themeColor="text1"/>
          <w:sz w:val="24"/>
          <w:szCs w:val="24"/>
        </w:rPr>
        <w:t>.</w:t>
      </w:r>
      <w:r w:rsidRPr="00F86D91">
        <w:rPr>
          <w:rFonts w:ascii="Tahoma" w:hAnsi="Tahoma" w:cs="Tahoma"/>
        </w:rPr>
        <w:tab/>
      </w:r>
      <w:r w:rsidR="7A9E4B2E" w:rsidRPr="00F86D91">
        <w:rPr>
          <w:rFonts w:ascii="Tahoma" w:eastAsia="Arial" w:hAnsi="Tahoma" w:cs="Tahoma"/>
          <w:b/>
          <w:bCs/>
          <w:color w:val="000000" w:themeColor="text1"/>
          <w:sz w:val="24"/>
          <w:szCs w:val="24"/>
        </w:rPr>
        <w:t>Can several projects, across various cities and jurisdictions, be combined to achieve the 100</w:t>
      </w:r>
      <w:r w:rsidR="0005330B" w:rsidRPr="00F86D91">
        <w:rPr>
          <w:rFonts w:ascii="Tahoma" w:eastAsia="Arial" w:hAnsi="Tahoma" w:cs="Tahoma"/>
          <w:b/>
          <w:bCs/>
          <w:color w:val="000000" w:themeColor="text1"/>
          <w:sz w:val="24"/>
          <w:szCs w:val="24"/>
        </w:rPr>
        <w:t>-</w:t>
      </w:r>
      <w:r w:rsidR="7A9E4B2E" w:rsidRPr="00F86D91">
        <w:rPr>
          <w:rFonts w:ascii="Tahoma" w:eastAsia="Arial" w:hAnsi="Tahoma" w:cs="Tahoma"/>
          <w:b/>
          <w:bCs/>
          <w:color w:val="000000" w:themeColor="text1"/>
          <w:sz w:val="24"/>
          <w:szCs w:val="24"/>
        </w:rPr>
        <w:t>port minimum?</w:t>
      </w:r>
    </w:p>
    <w:p w14:paraId="613D4812" w14:textId="716E647A" w:rsidR="00FA7319" w:rsidRPr="00F86D91" w:rsidRDefault="00FA7319" w:rsidP="4447FCAA">
      <w:pPr>
        <w:spacing w:after="0" w:line="240" w:lineRule="auto"/>
        <w:ind w:left="720" w:hanging="720"/>
        <w:rPr>
          <w:rFonts w:ascii="Tahoma" w:eastAsia="Arial" w:hAnsi="Tahoma" w:cs="Tahoma"/>
          <w:b/>
          <w:bCs/>
          <w:color w:val="000000" w:themeColor="text1"/>
          <w:sz w:val="24"/>
          <w:szCs w:val="24"/>
        </w:rPr>
      </w:pPr>
    </w:p>
    <w:p w14:paraId="3FC1D8C5" w14:textId="0FD50CA8" w:rsidR="00F82C85" w:rsidRPr="00F86D91" w:rsidRDefault="63BD1FB6" w:rsidP="00F82C85">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25</w:t>
      </w:r>
      <w:r w:rsidRPr="00F86D91">
        <w:rPr>
          <w:rFonts w:ascii="Tahoma" w:eastAsia="Arial" w:hAnsi="Tahoma" w:cs="Tahoma"/>
          <w:color w:val="000000" w:themeColor="text1"/>
          <w:sz w:val="24"/>
          <w:szCs w:val="24"/>
        </w:rPr>
        <w:t>.</w:t>
      </w:r>
      <w:r>
        <w:tab/>
      </w:r>
      <w:r w:rsidR="2B7857B9" w:rsidRPr="00C9EFA8">
        <w:rPr>
          <w:rFonts w:ascii="Tahoma" w:eastAsia="Arial" w:hAnsi="Tahoma" w:cs="Tahoma"/>
          <w:color w:val="000000" w:themeColor="text1"/>
          <w:sz w:val="24"/>
          <w:szCs w:val="24"/>
        </w:rPr>
        <w:t xml:space="preserve">No. </w:t>
      </w:r>
      <w:r w:rsidR="00F82C85" w:rsidRPr="00F86D91">
        <w:rPr>
          <w:rFonts w:ascii="Tahoma" w:eastAsia="Arial" w:hAnsi="Tahoma" w:cs="Tahoma"/>
          <w:color w:val="000000" w:themeColor="text1"/>
          <w:sz w:val="24"/>
          <w:szCs w:val="24"/>
        </w:rPr>
        <w:t>A</w:t>
      </w:r>
      <w:r w:rsidR="00F82C85" w:rsidRPr="00F86D91">
        <w:rPr>
          <w:rFonts w:ascii="Tahoma" w:hAnsi="Tahoma" w:cs="Tahoma"/>
          <w:sz w:val="24"/>
          <w:szCs w:val="24"/>
        </w:rPr>
        <w:t>s clarified in the addended solicitation manual,</w:t>
      </w:r>
      <w:r w:rsidR="00F82C85" w:rsidRPr="00F86D91">
        <w:rPr>
          <w:rFonts w:ascii="Tahoma" w:eastAsia="Arial" w:hAnsi="Tahoma" w:cs="Tahoma"/>
          <w:color w:val="000000" w:themeColor="text1"/>
          <w:sz w:val="24"/>
          <w:szCs w:val="24"/>
        </w:rPr>
        <w:t xml:space="preserve"> “Eligible projects will deploy electric vehicle charging infrastructure to support a light-duty government </w:t>
      </w:r>
      <w:r w:rsidR="00F82C85" w:rsidRPr="00F86D91">
        <w:rPr>
          <w:rFonts w:ascii="Tahoma" w:eastAsia="Arial" w:hAnsi="Tahoma" w:cs="Tahoma"/>
          <w:color w:val="000000" w:themeColor="text1"/>
          <w:sz w:val="24"/>
          <w:szCs w:val="24"/>
        </w:rPr>
        <w:lastRenderedPageBreak/>
        <w:t xml:space="preserve">fleet(s) owned, leased, and/or operated by a </w:t>
      </w:r>
      <w:r w:rsidR="00F82C85" w:rsidRPr="00F86D91">
        <w:rPr>
          <w:rFonts w:ascii="Tahoma" w:eastAsia="Arial" w:hAnsi="Tahoma" w:cs="Tahoma"/>
          <w:bCs/>
          <w:color w:val="000000" w:themeColor="text1"/>
          <w:sz w:val="24"/>
          <w:szCs w:val="24"/>
        </w:rPr>
        <w:t>single</w:t>
      </w:r>
      <w:r w:rsidR="00F82C85" w:rsidRPr="00F86D91">
        <w:rPr>
          <w:rFonts w:ascii="Tahoma" w:eastAsia="Arial" w:hAnsi="Tahoma" w:cs="Tahoma"/>
          <w:color w:val="000000" w:themeColor="text1"/>
          <w:sz w:val="24"/>
          <w:szCs w:val="24"/>
        </w:rPr>
        <w:t xml:space="preserve"> government entity” (Section II.B.1, page </w:t>
      </w:r>
      <w:r w:rsidR="00B1036C" w:rsidRPr="00F86D91">
        <w:rPr>
          <w:rFonts w:ascii="Tahoma" w:eastAsia="Arial" w:hAnsi="Tahoma" w:cs="Tahoma"/>
          <w:color w:val="000000" w:themeColor="text1"/>
          <w:sz w:val="24"/>
          <w:szCs w:val="24"/>
        </w:rPr>
        <w:t>10</w:t>
      </w:r>
      <w:r w:rsidR="00F82C85" w:rsidRPr="00F86D91">
        <w:rPr>
          <w:rFonts w:ascii="Tahoma" w:eastAsia="Arial" w:hAnsi="Tahoma" w:cs="Tahoma"/>
          <w:color w:val="000000" w:themeColor="text1"/>
          <w:sz w:val="24"/>
          <w:szCs w:val="24"/>
        </w:rPr>
        <w:t>, “Eligible Projects”, Solicitation Manual).</w:t>
      </w:r>
    </w:p>
    <w:p w14:paraId="0FA41BBF" w14:textId="30CFA14B" w:rsidR="00FA7319" w:rsidRPr="00F86D91" w:rsidRDefault="00FA7319" w:rsidP="00F82C85">
      <w:pPr>
        <w:spacing w:after="0" w:line="240" w:lineRule="auto"/>
        <w:rPr>
          <w:rFonts w:ascii="Tahoma" w:eastAsia="Arial" w:hAnsi="Tahoma" w:cs="Tahoma"/>
          <w:b/>
          <w:bCs/>
          <w:color w:val="000000" w:themeColor="text1"/>
          <w:sz w:val="24"/>
          <w:szCs w:val="24"/>
        </w:rPr>
      </w:pPr>
    </w:p>
    <w:p w14:paraId="01280C18" w14:textId="7DFBD13C" w:rsidR="00FA7319" w:rsidRPr="00F86D91" w:rsidRDefault="00FA7319" w:rsidP="4447FCAA">
      <w:pPr>
        <w:spacing w:after="0" w:line="240" w:lineRule="auto"/>
        <w:ind w:left="720" w:hanging="720"/>
        <w:rPr>
          <w:rFonts w:ascii="Tahoma" w:eastAsia="Arial" w:hAnsi="Tahoma" w:cs="Tahoma"/>
          <w:b/>
          <w:bCs/>
          <w:color w:val="000000" w:themeColor="text1"/>
          <w:sz w:val="24"/>
          <w:szCs w:val="24"/>
        </w:rPr>
      </w:pPr>
    </w:p>
    <w:p w14:paraId="0191CDAF" w14:textId="0B477010" w:rsidR="00FA7319" w:rsidRPr="00F86D91" w:rsidRDefault="2FB6D5B9" w:rsidP="4447FCAA">
      <w:pPr>
        <w:spacing w:after="0" w:line="240" w:lineRule="auto"/>
        <w:ind w:left="720" w:hanging="720"/>
        <w:rPr>
          <w:rFonts w:ascii="Tahoma" w:eastAsia="Arial" w:hAnsi="Tahoma" w:cs="Tahoma"/>
          <w:b/>
          <w:bCs/>
          <w:color w:val="000000" w:themeColor="text1"/>
          <w:sz w:val="24"/>
          <w:szCs w:val="24"/>
          <w:u w:val="single"/>
        </w:rPr>
      </w:pPr>
      <w:r w:rsidRPr="00F86D91">
        <w:rPr>
          <w:rFonts w:ascii="Tahoma" w:eastAsia="Arial" w:hAnsi="Tahoma" w:cs="Tahoma"/>
          <w:b/>
          <w:bCs/>
          <w:color w:val="000000" w:themeColor="text1"/>
          <w:sz w:val="24"/>
          <w:szCs w:val="24"/>
          <w:u w:val="single"/>
        </w:rPr>
        <w:t>Eligible Costs</w:t>
      </w:r>
    </w:p>
    <w:p w14:paraId="43017C05" w14:textId="5C6E116B" w:rsidR="00FA7319" w:rsidRPr="00F86D91" w:rsidRDefault="00FA7319" w:rsidP="003D1901">
      <w:pPr>
        <w:spacing w:after="0" w:line="240" w:lineRule="auto"/>
        <w:rPr>
          <w:rFonts w:ascii="Tahoma" w:eastAsia="Arial" w:hAnsi="Tahoma" w:cs="Tahoma"/>
          <w:color w:val="000000" w:themeColor="text1"/>
          <w:sz w:val="24"/>
          <w:szCs w:val="24"/>
        </w:rPr>
      </w:pPr>
    </w:p>
    <w:p w14:paraId="6DA6B7EA" w14:textId="454C2595" w:rsidR="00FA7319" w:rsidRPr="00F86D91" w:rsidRDefault="1875A934" w:rsidP="59BC4DF4">
      <w:pPr>
        <w:spacing w:after="0" w:line="240" w:lineRule="auto"/>
        <w:ind w:left="720" w:hanging="720"/>
        <w:rPr>
          <w:rFonts w:ascii="Tahoma" w:eastAsia="Arial" w:hAnsi="Tahoma" w:cs="Tahoma"/>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26</w:t>
      </w:r>
      <w:r w:rsidRPr="00F86D91">
        <w:rPr>
          <w:rFonts w:ascii="Tahoma" w:eastAsia="Arial" w:hAnsi="Tahoma" w:cs="Tahoma"/>
          <w:b/>
          <w:bCs/>
          <w:color w:val="000000" w:themeColor="text1"/>
          <w:sz w:val="24"/>
          <w:szCs w:val="24"/>
        </w:rPr>
        <w:t>.</w:t>
      </w:r>
      <w:r w:rsidR="00FA7319" w:rsidRPr="00F86D91">
        <w:rPr>
          <w:rFonts w:ascii="Tahoma" w:hAnsi="Tahoma" w:cs="Tahoma"/>
        </w:rPr>
        <w:tab/>
      </w:r>
      <w:r w:rsidRPr="00F86D91">
        <w:rPr>
          <w:rFonts w:ascii="Tahoma" w:eastAsia="Arial" w:hAnsi="Tahoma" w:cs="Tahoma"/>
          <w:b/>
          <w:bCs/>
          <w:color w:val="000000" w:themeColor="text1"/>
          <w:sz w:val="24"/>
          <w:szCs w:val="24"/>
        </w:rPr>
        <w:t>Are charger network costs (I.e. one-time upfront costs to provide access to the charging network/software for the charging equipment) considered eligible costs under this solicitation?</w:t>
      </w:r>
    </w:p>
    <w:p w14:paraId="707D0541" w14:textId="094C2337" w:rsidR="00FA7319" w:rsidRPr="00F86D91" w:rsidRDefault="00FA7319" w:rsidP="006C0035">
      <w:pPr>
        <w:spacing w:after="0" w:line="240" w:lineRule="auto"/>
        <w:rPr>
          <w:rFonts w:ascii="Tahoma" w:eastAsia="Arial" w:hAnsi="Tahoma" w:cs="Tahoma"/>
          <w:b/>
          <w:bCs/>
          <w:color w:val="000000" w:themeColor="text1"/>
          <w:sz w:val="24"/>
          <w:szCs w:val="24"/>
        </w:rPr>
      </w:pPr>
    </w:p>
    <w:p w14:paraId="17F1C931" w14:textId="3B48ED1A" w:rsidR="00FA7319" w:rsidRPr="00F86D91" w:rsidRDefault="582946AA" w:rsidP="4447FCAA">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26</w:t>
      </w:r>
      <w:r w:rsidRPr="00F86D91">
        <w:rPr>
          <w:rFonts w:ascii="Tahoma" w:eastAsia="Arial" w:hAnsi="Tahoma" w:cs="Tahoma"/>
          <w:color w:val="000000" w:themeColor="text1"/>
          <w:sz w:val="24"/>
          <w:szCs w:val="24"/>
        </w:rPr>
        <w:t>.</w:t>
      </w:r>
      <w:r w:rsidRPr="00F86D91">
        <w:rPr>
          <w:rFonts w:ascii="Tahoma" w:hAnsi="Tahoma" w:cs="Tahoma"/>
        </w:rPr>
        <w:tab/>
      </w:r>
      <w:r w:rsidR="00277874" w:rsidRPr="00F86D91">
        <w:rPr>
          <w:rFonts w:ascii="Tahoma" w:hAnsi="Tahoma" w:cs="Tahoma"/>
          <w:sz w:val="24"/>
          <w:szCs w:val="24"/>
        </w:rPr>
        <w:t>Yes, networking costs are eligible as CEC or match share during the term of the agreement.</w:t>
      </w:r>
    </w:p>
    <w:p w14:paraId="497119DD" w14:textId="7EEF5DC9" w:rsidR="00FA7319" w:rsidRPr="00F86D91" w:rsidRDefault="00FA7319" w:rsidP="4447FCAA">
      <w:pPr>
        <w:spacing w:after="0" w:line="240" w:lineRule="auto"/>
        <w:ind w:left="720" w:hanging="720"/>
        <w:rPr>
          <w:rFonts w:ascii="Tahoma" w:eastAsia="Arial" w:hAnsi="Tahoma" w:cs="Tahoma"/>
          <w:color w:val="000000" w:themeColor="text1"/>
          <w:sz w:val="24"/>
          <w:szCs w:val="24"/>
        </w:rPr>
      </w:pPr>
    </w:p>
    <w:p w14:paraId="59809C7B" w14:textId="5C6E116B" w:rsidR="00FA7319" w:rsidRPr="00F86D91" w:rsidRDefault="00FA7319" w:rsidP="7FB80AB3">
      <w:pPr>
        <w:spacing w:after="0" w:line="240" w:lineRule="auto"/>
        <w:ind w:left="720" w:hanging="720"/>
        <w:rPr>
          <w:rFonts w:ascii="Tahoma" w:eastAsia="Arial" w:hAnsi="Tahoma" w:cs="Tahoma"/>
          <w:color w:val="000000" w:themeColor="text1"/>
          <w:sz w:val="24"/>
          <w:szCs w:val="24"/>
        </w:rPr>
      </w:pPr>
    </w:p>
    <w:p w14:paraId="1D9B9462" w14:textId="4F4D0E30" w:rsidR="00FA7319" w:rsidRPr="00F86D91" w:rsidRDefault="140995E3"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27</w:t>
      </w:r>
      <w:r w:rsidRPr="00F86D91">
        <w:rPr>
          <w:rFonts w:ascii="Tahoma" w:eastAsia="Arial" w:hAnsi="Tahoma" w:cs="Tahoma"/>
          <w:b/>
          <w:bCs/>
          <w:color w:val="000000" w:themeColor="text1"/>
          <w:sz w:val="24"/>
          <w:szCs w:val="24"/>
        </w:rPr>
        <w:t>.</w:t>
      </w:r>
      <w:r w:rsidRPr="00F86D91">
        <w:rPr>
          <w:rFonts w:ascii="Tahoma" w:hAnsi="Tahoma" w:cs="Tahoma"/>
        </w:rPr>
        <w:tab/>
      </w:r>
      <w:r w:rsidR="114B3C32" w:rsidRPr="00F86D91">
        <w:rPr>
          <w:rFonts w:ascii="Tahoma" w:eastAsia="Arial" w:hAnsi="Tahoma" w:cs="Tahoma"/>
          <w:b/>
          <w:bCs/>
          <w:color w:val="000000" w:themeColor="text1"/>
          <w:sz w:val="24"/>
          <w:szCs w:val="24"/>
        </w:rPr>
        <w:t>Can rebates and incentives count as match funding if those rebates and incentives are not ratepayer-funded utility installation incentives</w:t>
      </w:r>
      <w:r w:rsidR="539C7484" w:rsidRPr="00F86D91">
        <w:rPr>
          <w:rFonts w:ascii="Tahoma" w:eastAsia="Arial" w:hAnsi="Tahoma" w:cs="Tahoma"/>
          <w:b/>
          <w:bCs/>
          <w:color w:val="000000" w:themeColor="text1"/>
          <w:sz w:val="24"/>
          <w:szCs w:val="24"/>
        </w:rPr>
        <w:t>?</w:t>
      </w:r>
    </w:p>
    <w:p w14:paraId="52AD47B2" w14:textId="716E647A" w:rsidR="00FA7319" w:rsidRPr="00F86D91" w:rsidRDefault="00FA7319" w:rsidP="4447FCAA">
      <w:pPr>
        <w:spacing w:after="0" w:line="240" w:lineRule="auto"/>
        <w:ind w:left="720" w:hanging="720"/>
        <w:rPr>
          <w:rFonts w:ascii="Tahoma" w:eastAsia="Arial" w:hAnsi="Tahoma" w:cs="Tahoma"/>
          <w:b/>
          <w:bCs/>
          <w:color w:val="000000" w:themeColor="text1"/>
          <w:sz w:val="24"/>
          <w:szCs w:val="24"/>
        </w:rPr>
      </w:pPr>
    </w:p>
    <w:p w14:paraId="33149669" w14:textId="393466E7" w:rsidR="00FA7319" w:rsidRPr="00F86D91" w:rsidRDefault="140995E3" w:rsidP="4447FCAA">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27</w:t>
      </w:r>
      <w:r w:rsidRPr="00F86D91">
        <w:rPr>
          <w:rFonts w:ascii="Tahoma" w:eastAsia="Arial" w:hAnsi="Tahoma" w:cs="Tahoma"/>
          <w:color w:val="000000" w:themeColor="text1"/>
          <w:sz w:val="24"/>
          <w:szCs w:val="24"/>
        </w:rPr>
        <w:t>.</w:t>
      </w:r>
      <w:r w:rsidRPr="00F86D91">
        <w:rPr>
          <w:rFonts w:ascii="Tahoma" w:hAnsi="Tahoma" w:cs="Tahoma"/>
        </w:rPr>
        <w:tab/>
      </w:r>
      <w:r w:rsidR="008B34DF" w:rsidRPr="00F86D91">
        <w:rPr>
          <w:rFonts w:ascii="Tahoma" w:hAnsi="Tahoma" w:cs="Tahoma"/>
          <w:sz w:val="24"/>
          <w:szCs w:val="24"/>
        </w:rPr>
        <w:t>Yes</w:t>
      </w:r>
      <w:r w:rsidR="00DC19F0" w:rsidRPr="00F86D91">
        <w:rPr>
          <w:rFonts w:ascii="Tahoma" w:hAnsi="Tahoma" w:cs="Tahoma"/>
          <w:sz w:val="24"/>
          <w:szCs w:val="24"/>
        </w:rPr>
        <w:t xml:space="preserve">, as long as the </w:t>
      </w:r>
      <w:r w:rsidR="00783AC9" w:rsidRPr="00F86D91">
        <w:rPr>
          <w:rFonts w:ascii="Tahoma" w:hAnsi="Tahoma" w:cs="Tahoma"/>
          <w:sz w:val="24"/>
          <w:szCs w:val="24"/>
        </w:rPr>
        <w:t xml:space="preserve">rebates and incentives </w:t>
      </w:r>
      <w:r w:rsidR="00D45FF1" w:rsidRPr="00F86D91">
        <w:rPr>
          <w:rFonts w:ascii="Tahoma" w:hAnsi="Tahoma" w:cs="Tahoma"/>
          <w:sz w:val="24"/>
          <w:szCs w:val="24"/>
        </w:rPr>
        <w:t>do not come from other CEC funding sources or through a utility program, tariff, or other ratepayer funding</w:t>
      </w:r>
      <w:r w:rsidR="00C73AD8" w:rsidRPr="00F86D91">
        <w:rPr>
          <w:rFonts w:ascii="Tahoma" w:hAnsi="Tahoma" w:cs="Tahoma"/>
          <w:sz w:val="24"/>
          <w:szCs w:val="24"/>
        </w:rPr>
        <w:t xml:space="preserve"> (Sectio</w:t>
      </w:r>
      <w:r w:rsidR="008F2A55" w:rsidRPr="00F86D91">
        <w:rPr>
          <w:rFonts w:ascii="Tahoma" w:hAnsi="Tahoma" w:cs="Tahoma"/>
          <w:sz w:val="24"/>
          <w:szCs w:val="24"/>
        </w:rPr>
        <w:t xml:space="preserve">n II.C., </w:t>
      </w:r>
      <w:r w:rsidR="001A5C9B" w:rsidRPr="00F86D91">
        <w:rPr>
          <w:rFonts w:ascii="Tahoma" w:hAnsi="Tahoma" w:cs="Tahoma"/>
          <w:sz w:val="24"/>
          <w:szCs w:val="24"/>
        </w:rPr>
        <w:t>“</w:t>
      </w:r>
      <w:r w:rsidR="008F2A55" w:rsidRPr="00F86D91">
        <w:rPr>
          <w:rFonts w:ascii="Tahoma" w:hAnsi="Tahoma" w:cs="Tahoma"/>
          <w:sz w:val="24"/>
          <w:szCs w:val="24"/>
        </w:rPr>
        <w:t xml:space="preserve">Match </w:t>
      </w:r>
      <w:r w:rsidR="003906E5" w:rsidRPr="00F86D91">
        <w:rPr>
          <w:rFonts w:ascii="Tahoma" w:hAnsi="Tahoma" w:cs="Tahoma"/>
          <w:sz w:val="24"/>
          <w:szCs w:val="24"/>
        </w:rPr>
        <w:t>Share Restrictions</w:t>
      </w:r>
      <w:r w:rsidR="001A5C9B" w:rsidRPr="00F86D91">
        <w:rPr>
          <w:rFonts w:ascii="Tahoma" w:hAnsi="Tahoma" w:cs="Tahoma"/>
          <w:sz w:val="24"/>
          <w:szCs w:val="24"/>
        </w:rPr>
        <w:t>”</w:t>
      </w:r>
      <w:r w:rsidR="008F2A55" w:rsidRPr="00F86D91">
        <w:rPr>
          <w:rFonts w:ascii="Tahoma" w:hAnsi="Tahoma" w:cs="Tahoma"/>
          <w:sz w:val="24"/>
          <w:szCs w:val="24"/>
        </w:rPr>
        <w:t>,</w:t>
      </w:r>
      <w:r w:rsidR="00780503" w:rsidRPr="00F86D91">
        <w:rPr>
          <w:rFonts w:ascii="Tahoma" w:hAnsi="Tahoma" w:cs="Tahoma"/>
          <w:sz w:val="24"/>
          <w:szCs w:val="24"/>
        </w:rPr>
        <w:t xml:space="preserve"> page </w:t>
      </w:r>
      <w:r w:rsidR="003906E5" w:rsidRPr="00F86D91">
        <w:rPr>
          <w:rFonts w:ascii="Tahoma" w:hAnsi="Tahoma" w:cs="Tahoma"/>
          <w:sz w:val="24"/>
          <w:szCs w:val="24"/>
        </w:rPr>
        <w:t>1</w:t>
      </w:r>
      <w:r w:rsidR="00A37492">
        <w:rPr>
          <w:rFonts w:ascii="Tahoma" w:hAnsi="Tahoma" w:cs="Tahoma"/>
          <w:sz w:val="24"/>
          <w:szCs w:val="24"/>
        </w:rPr>
        <w:t>8-20</w:t>
      </w:r>
      <w:r w:rsidR="003906E5" w:rsidRPr="00F86D91">
        <w:rPr>
          <w:rFonts w:ascii="Tahoma" w:hAnsi="Tahoma" w:cs="Tahoma"/>
          <w:sz w:val="24"/>
          <w:szCs w:val="24"/>
        </w:rPr>
        <w:t>,</w:t>
      </w:r>
      <w:r w:rsidR="008F2A55" w:rsidRPr="00F86D91">
        <w:rPr>
          <w:rFonts w:ascii="Tahoma" w:hAnsi="Tahoma" w:cs="Tahoma"/>
          <w:sz w:val="24"/>
          <w:szCs w:val="24"/>
        </w:rPr>
        <w:t xml:space="preserve"> and Section II.D. </w:t>
      </w:r>
      <w:r w:rsidR="001A5C9B" w:rsidRPr="00F86D91">
        <w:rPr>
          <w:rFonts w:ascii="Tahoma" w:hAnsi="Tahoma" w:cs="Tahoma"/>
          <w:sz w:val="24"/>
          <w:szCs w:val="24"/>
        </w:rPr>
        <w:t>“</w:t>
      </w:r>
      <w:r w:rsidR="008F2A55" w:rsidRPr="00F86D91">
        <w:rPr>
          <w:rFonts w:ascii="Tahoma" w:hAnsi="Tahoma" w:cs="Tahoma"/>
          <w:sz w:val="24"/>
          <w:szCs w:val="24"/>
        </w:rPr>
        <w:t>Unallowable Costs</w:t>
      </w:r>
      <w:r w:rsidR="001A5C9B" w:rsidRPr="00F86D91">
        <w:rPr>
          <w:rFonts w:ascii="Tahoma" w:hAnsi="Tahoma" w:cs="Tahoma"/>
          <w:sz w:val="24"/>
          <w:szCs w:val="24"/>
        </w:rPr>
        <w:t>”</w:t>
      </w:r>
      <w:r w:rsidR="008F2A55" w:rsidRPr="00F86D91">
        <w:rPr>
          <w:rFonts w:ascii="Tahoma" w:hAnsi="Tahoma" w:cs="Tahoma"/>
          <w:sz w:val="24"/>
          <w:szCs w:val="24"/>
        </w:rPr>
        <w:t xml:space="preserve">, </w:t>
      </w:r>
      <w:r w:rsidR="003906E5" w:rsidRPr="00F86D91">
        <w:rPr>
          <w:rFonts w:ascii="Tahoma" w:hAnsi="Tahoma" w:cs="Tahoma"/>
          <w:sz w:val="24"/>
          <w:szCs w:val="24"/>
        </w:rPr>
        <w:t>page</w:t>
      </w:r>
      <w:r w:rsidR="009F7DF9" w:rsidRPr="00F86D91">
        <w:rPr>
          <w:rFonts w:ascii="Tahoma" w:hAnsi="Tahoma" w:cs="Tahoma"/>
          <w:sz w:val="24"/>
          <w:szCs w:val="24"/>
        </w:rPr>
        <w:t xml:space="preserve"> </w:t>
      </w:r>
      <w:r w:rsidR="00A37492">
        <w:rPr>
          <w:rFonts w:ascii="Tahoma" w:hAnsi="Tahoma" w:cs="Tahoma"/>
          <w:sz w:val="24"/>
          <w:szCs w:val="24"/>
        </w:rPr>
        <w:t>20-21</w:t>
      </w:r>
      <w:r w:rsidR="009F7DF9" w:rsidRPr="00F86D91">
        <w:rPr>
          <w:rFonts w:ascii="Tahoma" w:hAnsi="Tahoma" w:cs="Tahoma"/>
          <w:sz w:val="24"/>
          <w:szCs w:val="24"/>
        </w:rPr>
        <w:t>, Solicitation Manual).</w:t>
      </w:r>
    </w:p>
    <w:p w14:paraId="118881FD" w14:textId="77777777" w:rsidR="00CC0BEC" w:rsidRPr="00F86D91" w:rsidRDefault="00CC0BEC" w:rsidP="00CC0BEC">
      <w:pPr>
        <w:spacing w:after="0" w:line="240" w:lineRule="auto"/>
        <w:ind w:left="720" w:hanging="720"/>
        <w:rPr>
          <w:rFonts w:ascii="Tahoma" w:eastAsia="Arial" w:hAnsi="Tahoma" w:cs="Tahoma"/>
          <w:color w:val="000000" w:themeColor="text1"/>
          <w:sz w:val="24"/>
          <w:szCs w:val="24"/>
        </w:rPr>
      </w:pPr>
    </w:p>
    <w:p w14:paraId="625C563C" w14:textId="77777777" w:rsidR="00CC0BEC" w:rsidRPr="00F86D91" w:rsidRDefault="00CC0BEC" w:rsidP="00CC0BEC">
      <w:pPr>
        <w:spacing w:after="0" w:line="240" w:lineRule="auto"/>
        <w:ind w:left="720" w:hanging="720"/>
        <w:rPr>
          <w:rFonts w:ascii="Tahoma" w:eastAsia="Arial" w:hAnsi="Tahoma" w:cs="Tahoma"/>
          <w:color w:val="000000" w:themeColor="text1"/>
          <w:sz w:val="24"/>
          <w:szCs w:val="24"/>
        </w:rPr>
      </w:pPr>
    </w:p>
    <w:p w14:paraId="4DFCCE2F" w14:textId="63E0E00B" w:rsidR="00CC0BEC" w:rsidRPr="00A37492" w:rsidRDefault="00CC0BEC" w:rsidP="00A37492">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28</w:t>
      </w:r>
      <w:r w:rsidRPr="00F86D91">
        <w:rPr>
          <w:rFonts w:ascii="Tahoma" w:eastAsia="Arial" w:hAnsi="Tahoma" w:cs="Tahoma"/>
          <w:b/>
          <w:bCs/>
          <w:color w:val="000000" w:themeColor="text1"/>
          <w:sz w:val="24"/>
          <w:szCs w:val="24"/>
        </w:rPr>
        <w:t>.</w:t>
      </w:r>
      <w:r w:rsidRPr="00F86D91">
        <w:rPr>
          <w:rFonts w:ascii="Tahoma" w:hAnsi="Tahoma" w:cs="Tahoma"/>
        </w:rPr>
        <w:tab/>
      </w:r>
      <w:r w:rsidRPr="00F86D91">
        <w:rPr>
          <w:rFonts w:ascii="Tahoma" w:eastAsia="Arial" w:hAnsi="Tahoma" w:cs="Tahoma"/>
          <w:b/>
          <w:bCs/>
          <w:color w:val="000000" w:themeColor="text1"/>
          <w:sz w:val="24"/>
          <w:szCs w:val="24"/>
        </w:rPr>
        <w:t>Is funding under this solicitation stackable with other funding from local, state, federal, and/or utility services? Does this include LCFS credits?</w:t>
      </w:r>
    </w:p>
    <w:p w14:paraId="767EB6DD" w14:textId="77777777" w:rsidR="00CC0BEC" w:rsidRPr="00F86D91" w:rsidRDefault="00CC0BEC" w:rsidP="00CC0BEC">
      <w:pPr>
        <w:spacing w:after="0" w:line="240" w:lineRule="auto"/>
        <w:ind w:left="720" w:hanging="720"/>
        <w:rPr>
          <w:rFonts w:ascii="Tahoma" w:eastAsia="Arial" w:hAnsi="Tahoma" w:cs="Tahoma"/>
          <w:b/>
          <w:bCs/>
          <w:color w:val="000000" w:themeColor="text1"/>
          <w:sz w:val="24"/>
          <w:szCs w:val="24"/>
        </w:rPr>
      </w:pPr>
    </w:p>
    <w:p w14:paraId="763A3BA9" w14:textId="7DC86CB4" w:rsidR="00CC0BEC" w:rsidRPr="00F86D91" w:rsidRDefault="00CC0BEC" w:rsidP="005A3798">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28</w:t>
      </w:r>
      <w:r w:rsidRPr="00F86D91">
        <w:rPr>
          <w:rFonts w:ascii="Tahoma" w:eastAsia="Arial" w:hAnsi="Tahoma" w:cs="Tahoma"/>
          <w:color w:val="000000" w:themeColor="text1"/>
          <w:sz w:val="24"/>
          <w:szCs w:val="24"/>
        </w:rPr>
        <w:t>.</w:t>
      </w:r>
      <w:r>
        <w:tab/>
      </w:r>
      <w:r w:rsidR="003906E5" w:rsidRPr="00F86D91">
        <w:rPr>
          <w:rFonts w:ascii="Tahoma" w:hAnsi="Tahoma" w:cs="Tahoma"/>
          <w:sz w:val="24"/>
          <w:szCs w:val="24"/>
        </w:rPr>
        <w:t xml:space="preserve">Yes, as long as the rebates and incentives do not come from other CEC funding sources or through a utility program, tariff, or other ratepayer funding (Section II.C., “Match Share Restrictions”, </w:t>
      </w:r>
      <w:r w:rsidR="003906E5" w:rsidRPr="00C9EFA8">
        <w:rPr>
          <w:rFonts w:ascii="Tahoma" w:hAnsi="Tahoma" w:cs="Tahoma"/>
          <w:sz w:val="24"/>
          <w:szCs w:val="24"/>
        </w:rPr>
        <w:t>page</w:t>
      </w:r>
      <w:r w:rsidR="0DAB68CD" w:rsidRPr="00C9EFA8">
        <w:rPr>
          <w:rFonts w:ascii="Tahoma" w:hAnsi="Tahoma" w:cs="Tahoma"/>
          <w:sz w:val="24"/>
          <w:szCs w:val="24"/>
        </w:rPr>
        <w:t>s</w:t>
      </w:r>
      <w:r w:rsidR="003906E5" w:rsidRPr="00C9EFA8">
        <w:rPr>
          <w:rFonts w:ascii="Tahoma" w:hAnsi="Tahoma" w:cs="Tahoma"/>
          <w:sz w:val="24"/>
          <w:szCs w:val="24"/>
        </w:rPr>
        <w:t xml:space="preserve"> </w:t>
      </w:r>
      <w:r w:rsidR="003906E5" w:rsidRPr="00F86D91">
        <w:rPr>
          <w:rFonts w:ascii="Tahoma" w:hAnsi="Tahoma" w:cs="Tahoma"/>
          <w:sz w:val="24"/>
          <w:szCs w:val="24"/>
        </w:rPr>
        <w:t>1</w:t>
      </w:r>
      <w:r w:rsidR="00A37492">
        <w:rPr>
          <w:rFonts w:ascii="Tahoma" w:hAnsi="Tahoma" w:cs="Tahoma"/>
          <w:sz w:val="24"/>
          <w:szCs w:val="24"/>
        </w:rPr>
        <w:t>8-20</w:t>
      </w:r>
      <w:r w:rsidR="003906E5" w:rsidRPr="00F86D91">
        <w:rPr>
          <w:rFonts w:ascii="Tahoma" w:hAnsi="Tahoma" w:cs="Tahoma"/>
          <w:sz w:val="24"/>
          <w:szCs w:val="24"/>
        </w:rPr>
        <w:t xml:space="preserve">, and Section II.D. “Unallowable Costs”, </w:t>
      </w:r>
      <w:r w:rsidR="003906E5" w:rsidRPr="00C9EFA8">
        <w:rPr>
          <w:rFonts w:ascii="Tahoma" w:hAnsi="Tahoma" w:cs="Tahoma"/>
          <w:sz w:val="24"/>
          <w:szCs w:val="24"/>
        </w:rPr>
        <w:t>page</w:t>
      </w:r>
      <w:r w:rsidR="19A046CC" w:rsidRPr="00C9EFA8">
        <w:rPr>
          <w:rFonts w:ascii="Tahoma" w:hAnsi="Tahoma" w:cs="Tahoma"/>
          <w:sz w:val="24"/>
          <w:szCs w:val="24"/>
        </w:rPr>
        <w:t>s</w:t>
      </w:r>
      <w:r w:rsidR="003906E5" w:rsidRPr="00C9EFA8">
        <w:rPr>
          <w:rFonts w:ascii="Tahoma" w:hAnsi="Tahoma" w:cs="Tahoma"/>
          <w:sz w:val="24"/>
          <w:szCs w:val="24"/>
        </w:rPr>
        <w:t xml:space="preserve"> </w:t>
      </w:r>
      <w:r w:rsidR="00A37492">
        <w:rPr>
          <w:rFonts w:ascii="Tahoma" w:hAnsi="Tahoma" w:cs="Tahoma"/>
          <w:sz w:val="24"/>
          <w:szCs w:val="24"/>
        </w:rPr>
        <w:t>20-21</w:t>
      </w:r>
      <w:r w:rsidR="003906E5" w:rsidRPr="00F86D91">
        <w:rPr>
          <w:rFonts w:ascii="Tahoma" w:hAnsi="Tahoma" w:cs="Tahoma"/>
          <w:sz w:val="24"/>
          <w:szCs w:val="24"/>
        </w:rPr>
        <w:t xml:space="preserve">, Solicitation Manual). </w:t>
      </w:r>
      <w:r w:rsidRPr="00F86D91">
        <w:rPr>
          <w:rFonts w:ascii="Tahoma" w:eastAsia="Arial" w:hAnsi="Tahoma" w:cs="Tahoma"/>
          <w:color w:val="000000" w:themeColor="text1"/>
          <w:sz w:val="24"/>
          <w:szCs w:val="24"/>
        </w:rPr>
        <w:t>Projects receiving LCFS credits are eligible.</w:t>
      </w:r>
    </w:p>
    <w:p w14:paraId="72517FBA" w14:textId="71993AAD" w:rsidR="00FA7319" w:rsidRPr="00F86D91" w:rsidRDefault="00FA7319" w:rsidP="4447FCAA">
      <w:pPr>
        <w:spacing w:after="0" w:line="240" w:lineRule="auto"/>
        <w:ind w:left="720" w:hanging="720"/>
        <w:rPr>
          <w:rFonts w:ascii="Tahoma" w:eastAsia="Arial" w:hAnsi="Tahoma" w:cs="Tahoma"/>
          <w:color w:val="000000" w:themeColor="text1"/>
          <w:sz w:val="24"/>
          <w:szCs w:val="24"/>
        </w:rPr>
      </w:pPr>
    </w:p>
    <w:p w14:paraId="0FB2B8A2" w14:textId="0365693D" w:rsidR="00FA7319" w:rsidRPr="00F86D91" w:rsidRDefault="00FA7319" w:rsidP="4447FCAA">
      <w:pPr>
        <w:spacing w:after="0" w:line="240" w:lineRule="auto"/>
        <w:ind w:left="720" w:hanging="720"/>
        <w:rPr>
          <w:rFonts w:ascii="Tahoma" w:eastAsia="Arial" w:hAnsi="Tahoma" w:cs="Tahoma"/>
          <w:color w:val="000000" w:themeColor="text1"/>
          <w:sz w:val="24"/>
          <w:szCs w:val="24"/>
        </w:rPr>
      </w:pPr>
    </w:p>
    <w:p w14:paraId="06F56401" w14:textId="21850558" w:rsidR="00FA7319" w:rsidRPr="00F86D91" w:rsidRDefault="140995E3"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29</w:t>
      </w:r>
      <w:r w:rsidRPr="00F86D91">
        <w:rPr>
          <w:rFonts w:ascii="Tahoma" w:eastAsia="Arial" w:hAnsi="Tahoma" w:cs="Tahoma"/>
          <w:b/>
          <w:bCs/>
          <w:color w:val="000000" w:themeColor="text1"/>
          <w:sz w:val="24"/>
          <w:szCs w:val="24"/>
        </w:rPr>
        <w:t>.</w:t>
      </w:r>
      <w:r w:rsidRPr="00F86D91">
        <w:rPr>
          <w:rFonts w:ascii="Tahoma" w:hAnsi="Tahoma" w:cs="Tahoma"/>
        </w:rPr>
        <w:tab/>
      </w:r>
      <w:r w:rsidR="097E3436" w:rsidRPr="00F86D91">
        <w:rPr>
          <w:rFonts w:ascii="Tahoma" w:eastAsia="Arial" w:hAnsi="Tahoma" w:cs="Tahoma"/>
          <w:b/>
          <w:bCs/>
          <w:color w:val="000000" w:themeColor="text1"/>
          <w:sz w:val="24"/>
          <w:szCs w:val="24"/>
        </w:rPr>
        <w:t xml:space="preserve">If EVSE lease costs are allowed for reimbursement, can the government entity seek reimbursement for lease costs for the entire life of the installed charger if those costs are pre-paid to the lessor during the term of the grant (Section </w:t>
      </w:r>
      <w:r w:rsidR="002947BF" w:rsidRPr="00F86D91">
        <w:rPr>
          <w:rFonts w:ascii="Tahoma" w:eastAsia="Arial" w:hAnsi="Tahoma" w:cs="Tahoma"/>
          <w:b/>
          <w:bCs/>
          <w:color w:val="000000" w:themeColor="text1"/>
          <w:sz w:val="24"/>
          <w:szCs w:val="24"/>
        </w:rPr>
        <w:t>II.</w:t>
      </w:r>
      <w:r w:rsidR="097E3436" w:rsidRPr="00F86D91">
        <w:rPr>
          <w:rFonts w:ascii="Tahoma" w:eastAsia="Arial" w:hAnsi="Tahoma" w:cs="Tahoma"/>
          <w:b/>
          <w:bCs/>
          <w:color w:val="000000" w:themeColor="text1"/>
          <w:sz w:val="24"/>
          <w:szCs w:val="24"/>
        </w:rPr>
        <w:t>B.7)?</w:t>
      </w:r>
    </w:p>
    <w:p w14:paraId="3FF1FF6A" w14:textId="15E9D8E9" w:rsidR="00FA7319" w:rsidRPr="00F86D91" w:rsidRDefault="00FA7319" w:rsidP="4447FCAA">
      <w:pPr>
        <w:spacing w:after="0" w:line="240" w:lineRule="auto"/>
        <w:ind w:left="720" w:hanging="720"/>
        <w:rPr>
          <w:rFonts w:ascii="Tahoma" w:eastAsia="Arial" w:hAnsi="Tahoma" w:cs="Tahoma"/>
          <w:b/>
          <w:bCs/>
          <w:color w:val="000000" w:themeColor="text1"/>
          <w:sz w:val="24"/>
          <w:szCs w:val="24"/>
        </w:rPr>
      </w:pPr>
    </w:p>
    <w:p w14:paraId="1FFFEFF6" w14:textId="359B1B42" w:rsidR="00FA7319" w:rsidRPr="00F86D91" w:rsidRDefault="140995E3" w:rsidP="00E312C1">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29</w:t>
      </w:r>
      <w:r w:rsidRPr="00F86D91">
        <w:rPr>
          <w:rFonts w:ascii="Tahoma" w:eastAsia="Arial" w:hAnsi="Tahoma" w:cs="Tahoma"/>
          <w:color w:val="000000" w:themeColor="text1"/>
          <w:sz w:val="24"/>
          <w:szCs w:val="24"/>
        </w:rPr>
        <w:t>.</w:t>
      </w:r>
      <w:r>
        <w:tab/>
      </w:r>
      <w:r w:rsidR="00B70B2F" w:rsidRPr="00F86D91">
        <w:rPr>
          <w:rFonts w:ascii="Tahoma" w:eastAsia="Arial" w:hAnsi="Tahoma" w:cs="Tahoma"/>
          <w:color w:val="000000" w:themeColor="text1"/>
          <w:sz w:val="24"/>
          <w:szCs w:val="24"/>
        </w:rPr>
        <w:t>Leased equipment is</w:t>
      </w:r>
      <w:r w:rsidR="002947BF" w:rsidRPr="00F86D91">
        <w:rPr>
          <w:rFonts w:ascii="Tahoma" w:eastAsia="Arial" w:hAnsi="Tahoma" w:cs="Tahoma"/>
          <w:color w:val="000000" w:themeColor="text1"/>
          <w:sz w:val="24"/>
          <w:szCs w:val="24"/>
        </w:rPr>
        <w:t xml:space="preserve"> </w:t>
      </w:r>
      <w:r w:rsidR="00DD490A" w:rsidRPr="00F86D91">
        <w:rPr>
          <w:rFonts w:ascii="Tahoma" w:eastAsia="Arial" w:hAnsi="Tahoma" w:cs="Tahoma"/>
          <w:color w:val="000000" w:themeColor="text1"/>
          <w:sz w:val="24"/>
          <w:szCs w:val="24"/>
        </w:rPr>
        <w:t>only</w:t>
      </w:r>
      <w:r w:rsidR="00B70B2F" w:rsidRPr="00F86D91">
        <w:rPr>
          <w:rFonts w:ascii="Tahoma" w:eastAsia="Arial" w:hAnsi="Tahoma" w:cs="Tahoma"/>
          <w:color w:val="000000" w:themeColor="text1"/>
          <w:sz w:val="24"/>
          <w:szCs w:val="24"/>
        </w:rPr>
        <w:t xml:space="preserve"> eligible for reimbursement </w:t>
      </w:r>
      <w:r w:rsidR="000C76E0" w:rsidRPr="00F86D91">
        <w:rPr>
          <w:rFonts w:ascii="Tahoma" w:eastAsia="Arial" w:hAnsi="Tahoma" w:cs="Tahoma"/>
          <w:color w:val="000000" w:themeColor="text1"/>
          <w:sz w:val="24"/>
          <w:szCs w:val="24"/>
        </w:rPr>
        <w:t>for</w:t>
      </w:r>
      <w:r w:rsidR="6B63B8DB" w:rsidRPr="00F86D91">
        <w:rPr>
          <w:rFonts w:ascii="Tahoma" w:eastAsia="Arial" w:hAnsi="Tahoma" w:cs="Tahoma"/>
          <w:color w:val="000000" w:themeColor="text1"/>
          <w:sz w:val="24"/>
          <w:szCs w:val="24"/>
        </w:rPr>
        <w:t xml:space="preserve"> the term of the agreement. </w:t>
      </w:r>
      <w:r w:rsidR="000D293E" w:rsidRPr="00F86D91">
        <w:rPr>
          <w:rFonts w:ascii="Tahoma" w:eastAsia="Arial" w:hAnsi="Tahoma" w:cs="Tahoma"/>
          <w:color w:val="000000" w:themeColor="text1"/>
          <w:sz w:val="24"/>
          <w:szCs w:val="24"/>
        </w:rPr>
        <w:t>The solicitation manual states, “</w:t>
      </w:r>
      <w:r w:rsidR="007C1C45" w:rsidRPr="00F86D91">
        <w:rPr>
          <w:rFonts w:ascii="Tahoma" w:hAnsi="Tahoma" w:cs="Tahoma"/>
          <w:sz w:val="24"/>
          <w:szCs w:val="24"/>
        </w:rPr>
        <w:t>All reimbursable expenditures must be expended within the approved term of the grant agreement</w:t>
      </w:r>
      <w:r w:rsidR="00C12800" w:rsidRPr="00F86D91">
        <w:rPr>
          <w:rFonts w:ascii="Tahoma" w:hAnsi="Tahoma" w:cs="Tahoma"/>
          <w:sz w:val="24"/>
          <w:szCs w:val="24"/>
        </w:rPr>
        <w:t>” (Section III.C.5.a.3., page</w:t>
      </w:r>
      <w:r w:rsidR="00813E4B" w:rsidRPr="00F86D91">
        <w:rPr>
          <w:rFonts w:ascii="Tahoma" w:hAnsi="Tahoma" w:cs="Tahoma"/>
          <w:sz w:val="24"/>
          <w:szCs w:val="24"/>
        </w:rPr>
        <w:t xml:space="preserve"> </w:t>
      </w:r>
      <w:r w:rsidR="00813E4B" w:rsidRPr="00C9EFA8">
        <w:rPr>
          <w:rFonts w:ascii="Tahoma" w:hAnsi="Tahoma" w:cs="Tahoma"/>
          <w:sz w:val="24"/>
          <w:szCs w:val="24"/>
        </w:rPr>
        <w:t>2</w:t>
      </w:r>
      <w:r w:rsidRPr="00C9EFA8">
        <w:rPr>
          <w:rFonts w:ascii="Tahoma" w:hAnsi="Tahoma" w:cs="Tahoma"/>
          <w:sz w:val="24"/>
          <w:szCs w:val="24"/>
        </w:rPr>
        <w:t>8</w:t>
      </w:r>
      <w:r w:rsidR="00813E4B" w:rsidRPr="00F86D91">
        <w:rPr>
          <w:rFonts w:ascii="Tahoma" w:hAnsi="Tahoma" w:cs="Tahoma"/>
          <w:sz w:val="24"/>
          <w:szCs w:val="24"/>
        </w:rPr>
        <w:t>, “</w:t>
      </w:r>
      <w:r w:rsidR="003C7AF7" w:rsidRPr="00F86D91">
        <w:rPr>
          <w:rFonts w:ascii="Tahoma" w:hAnsi="Tahoma" w:cs="Tahoma"/>
          <w:sz w:val="24"/>
          <w:szCs w:val="24"/>
        </w:rPr>
        <w:t>Budget Forms”, Solicitation Manual). The solicitation manual also states</w:t>
      </w:r>
      <w:r w:rsidR="00382A11" w:rsidRPr="00F86D91">
        <w:rPr>
          <w:rFonts w:ascii="Tahoma" w:hAnsi="Tahoma" w:cs="Tahoma"/>
          <w:sz w:val="24"/>
          <w:szCs w:val="24"/>
        </w:rPr>
        <w:t xml:space="preserve">, “The Budget must reflect estimates for actual costs to be </w:t>
      </w:r>
      <w:r w:rsidR="00382A11" w:rsidRPr="00F86D91">
        <w:rPr>
          <w:rFonts w:ascii="Tahoma" w:hAnsi="Tahoma" w:cs="Tahoma"/>
          <w:sz w:val="24"/>
          <w:szCs w:val="24"/>
        </w:rPr>
        <w:lastRenderedPageBreak/>
        <w:t xml:space="preserve">incurred during the approved term of the agreement” (Section III.C.5.b., page </w:t>
      </w:r>
      <w:r w:rsidR="00382A11" w:rsidRPr="00C9EFA8">
        <w:rPr>
          <w:rFonts w:ascii="Tahoma" w:hAnsi="Tahoma" w:cs="Tahoma"/>
          <w:sz w:val="24"/>
          <w:szCs w:val="24"/>
        </w:rPr>
        <w:t>2</w:t>
      </w:r>
      <w:r w:rsidRPr="00C9EFA8">
        <w:rPr>
          <w:rFonts w:ascii="Tahoma" w:hAnsi="Tahoma" w:cs="Tahoma"/>
          <w:sz w:val="24"/>
          <w:szCs w:val="24"/>
        </w:rPr>
        <w:t>9</w:t>
      </w:r>
      <w:r w:rsidR="00382A11" w:rsidRPr="00F86D91">
        <w:rPr>
          <w:rFonts w:ascii="Tahoma" w:hAnsi="Tahoma" w:cs="Tahoma"/>
          <w:sz w:val="24"/>
          <w:szCs w:val="24"/>
        </w:rPr>
        <w:t>, “Budget Forms”, Solicitation Manual</w:t>
      </w:r>
      <w:r w:rsidR="00D95F88" w:rsidRPr="00F86D91">
        <w:rPr>
          <w:rFonts w:ascii="Tahoma" w:hAnsi="Tahoma" w:cs="Tahoma"/>
          <w:sz w:val="24"/>
          <w:szCs w:val="24"/>
        </w:rPr>
        <w:t>).</w:t>
      </w:r>
    </w:p>
    <w:p w14:paraId="566698FD" w14:textId="07A05661" w:rsidR="00FA7319" w:rsidRDefault="00FA7319" w:rsidP="4447FCAA">
      <w:pPr>
        <w:spacing w:after="0" w:line="240" w:lineRule="auto"/>
        <w:ind w:left="720" w:hanging="720"/>
        <w:rPr>
          <w:rFonts w:ascii="Tahoma" w:eastAsia="Arial" w:hAnsi="Tahoma" w:cs="Tahoma"/>
          <w:color w:val="000000" w:themeColor="text1"/>
          <w:sz w:val="24"/>
          <w:szCs w:val="24"/>
        </w:rPr>
      </w:pPr>
    </w:p>
    <w:p w14:paraId="488F8D7C" w14:textId="77777777" w:rsidR="004F2AF3" w:rsidRPr="00F86D91" w:rsidRDefault="004F2AF3" w:rsidP="4447FCAA">
      <w:pPr>
        <w:spacing w:after="0" w:line="240" w:lineRule="auto"/>
        <w:ind w:left="720" w:hanging="720"/>
        <w:rPr>
          <w:rFonts w:ascii="Tahoma" w:eastAsia="Arial" w:hAnsi="Tahoma" w:cs="Tahoma"/>
          <w:color w:val="000000" w:themeColor="text1"/>
          <w:sz w:val="24"/>
          <w:szCs w:val="24"/>
        </w:rPr>
      </w:pPr>
    </w:p>
    <w:p w14:paraId="6268AD1E" w14:textId="64C120C8" w:rsidR="00FA7319" w:rsidRPr="00F86D91" w:rsidRDefault="140995E3"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30</w:t>
      </w:r>
      <w:r w:rsidRPr="00F86D91">
        <w:rPr>
          <w:rFonts w:ascii="Tahoma" w:eastAsia="Arial" w:hAnsi="Tahoma" w:cs="Tahoma"/>
          <w:b/>
          <w:bCs/>
          <w:color w:val="000000" w:themeColor="text1"/>
          <w:sz w:val="24"/>
          <w:szCs w:val="24"/>
        </w:rPr>
        <w:t>.</w:t>
      </w:r>
      <w:r w:rsidRPr="00F86D91">
        <w:rPr>
          <w:rFonts w:ascii="Tahoma" w:hAnsi="Tahoma" w:cs="Tahoma"/>
        </w:rPr>
        <w:tab/>
      </w:r>
      <w:r w:rsidR="7519A174" w:rsidRPr="00F86D91">
        <w:rPr>
          <w:rFonts w:ascii="Tahoma" w:eastAsia="Arial" w:hAnsi="Tahoma" w:cs="Tahoma"/>
          <w:b/>
          <w:bCs/>
          <w:color w:val="000000" w:themeColor="text1"/>
          <w:sz w:val="24"/>
          <w:szCs w:val="24"/>
        </w:rPr>
        <w:t>Can the CEC please clarify if local city or county permit costs for EVSE are reimbursable under this grant, or are such permit costs only allowed as a match share expenditure?</w:t>
      </w:r>
    </w:p>
    <w:p w14:paraId="3793873F" w14:textId="716E647A" w:rsidR="00FA7319" w:rsidRPr="00F86D91" w:rsidRDefault="00FA7319" w:rsidP="4447FCAA">
      <w:pPr>
        <w:spacing w:after="0" w:line="240" w:lineRule="auto"/>
        <w:ind w:left="720" w:hanging="720"/>
        <w:rPr>
          <w:rFonts w:ascii="Tahoma" w:eastAsia="Arial" w:hAnsi="Tahoma" w:cs="Tahoma"/>
          <w:b/>
          <w:bCs/>
          <w:color w:val="000000" w:themeColor="text1"/>
          <w:sz w:val="24"/>
          <w:szCs w:val="24"/>
        </w:rPr>
      </w:pPr>
    </w:p>
    <w:p w14:paraId="3473E3BD" w14:textId="1A71962F" w:rsidR="003313F2" w:rsidRPr="00F86D91" w:rsidRDefault="140995E3" w:rsidP="4447FCAA">
      <w:pPr>
        <w:spacing w:after="0" w:line="240" w:lineRule="auto"/>
        <w:ind w:left="720" w:hanging="720"/>
        <w:rPr>
          <w:rFonts w:ascii="Tahoma" w:hAnsi="Tahoma" w:cs="Tahoma"/>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30</w:t>
      </w:r>
      <w:r w:rsidRPr="00F86D91">
        <w:rPr>
          <w:rFonts w:ascii="Tahoma" w:eastAsia="Arial" w:hAnsi="Tahoma" w:cs="Tahoma"/>
          <w:color w:val="000000" w:themeColor="text1"/>
          <w:sz w:val="24"/>
          <w:szCs w:val="24"/>
        </w:rPr>
        <w:t>.</w:t>
      </w:r>
      <w:r>
        <w:tab/>
      </w:r>
      <w:r w:rsidR="00A00B3F" w:rsidRPr="00F86D91">
        <w:rPr>
          <w:rFonts w:ascii="Tahoma" w:eastAsia="Tahoma" w:hAnsi="Tahoma" w:cs="Tahoma"/>
          <w:sz w:val="24"/>
          <w:szCs w:val="24"/>
        </w:rPr>
        <w:t xml:space="preserve">The </w:t>
      </w:r>
      <w:r w:rsidR="005346F0" w:rsidRPr="00F86D91">
        <w:rPr>
          <w:rFonts w:ascii="Tahoma" w:eastAsia="Tahoma" w:hAnsi="Tahoma" w:cs="Tahoma"/>
          <w:sz w:val="24"/>
          <w:szCs w:val="24"/>
        </w:rPr>
        <w:t xml:space="preserve">solicitation manual states, “the </w:t>
      </w:r>
      <w:r w:rsidR="00A00B3F" w:rsidRPr="00F86D91">
        <w:rPr>
          <w:rFonts w:ascii="Tahoma" w:eastAsia="Tahoma" w:hAnsi="Tahoma" w:cs="Tahoma"/>
          <w:sz w:val="24"/>
          <w:szCs w:val="24"/>
        </w:rPr>
        <w:t>following are not eligible for CEC reimbursement but may be included as an Applicant’s match share</w:t>
      </w:r>
      <w:r w:rsidR="005346F0" w:rsidRPr="00F86D91">
        <w:rPr>
          <w:rFonts w:ascii="Tahoma" w:eastAsia="Tahoma" w:hAnsi="Tahoma" w:cs="Tahoma"/>
          <w:sz w:val="24"/>
          <w:szCs w:val="24"/>
        </w:rPr>
        <w:t>: …Processes to comply with otherwise applicable legal requirements (e.g., permits from the local authority having jurisdiction (AHJ) and compliance with the Americans with Disabilities Act (ADA))” (Section II.B</w:t>
      </w:r>
      <w:r w:rsidR="00A90AAE" w:rsidRPr="00F86D91">
        <w:rPr>
          <w:rFonts w:ascii="Tahoma" w:eastAsia="Tahoma" w:hAnsi="Tahoma" w:cs="Tahoma"/>
          <w:sz w:val="24"/>
          <w:szCs w:val="24"/>
        </w:rPr>
        <w:t xml:space="preserve">.7., page </w:t>
      </w:r>
      <w:r w:rsidR="00A90AAE" w:rsidRPr="00C9EFA8">
        <w:rPr>
          <w:rFonts w:ascii="Tahoma" w:eastAsia="Tahoma" w:hAnsi="Tahoma" w:cs="Tahoma"/>
          <w:sz w:val="24"/>
          <w:szCs w:val="24"/>
        </w:rPr>
        <w:t>1</w:t>
      </w:r>
      <w:r w:rsidRPr="00C9EFA8">
        <w:rPr>
          <w:rFonts w:ascii="Tahoma" w:eastAsia="Tahoma" w:hAnsi="Tahoma" w:cs="Tahoma"/>
          <w:sz w:val="24"/>
          <w:szCs w:val="24"/>
        </w:rPr>
        <w:t>5</w:t>
      </w:r>
      <w:r w:rsidR="002A460F" w:rsidRPr="00F86D91">
        <w:rPr>
          <w:rFonts w:ascii="Tahoma" w:eastAsia="Tahoma" w:hAnsi="Tahoma" w:cs="Tahoma"/>
          <w:sz w:val="24"/>
          <w:szCs w:val="24"/>
        </w:rPr>
        <w:t xml:space="preserve">, </w:t>
      </w:r>
      <w:r w:rsidR="000738D0" w:rsidRPr="00F86D91">
        <w:rPr>
          <w:rFonts w:ascii="Tahoma" w:eastAsia="Tahoma" w:hAnsi="Tahoma" w:cs="Tahoma"/>
          <w:sz w:val="24"/>
          <w:szCs w:val="24"/>
        </w:rPr>
        <w:t>“</w:t>
      </w:r>
      <w:r w:rsidR="002A460F" w:rsidRPr="00F86D91">
        <w:rPr>
          <w:rFonts w:ascii="Tahoma" w:eastAsia="Tahoma" w:hAnsi="Tahoma" w:cs="Tahoma"/>
          <w:sz w:val="24"/>
          <w:szCs w:val="24"/>
        </w:rPr>
        <w:t>Eligible Project Costs</w:t>
      </w:r>
      <w:r w:rsidR="000738D0" w:rsidRPr="00F86D91">
        <w:rPr>
          <w:rFonts w:ascii="Tahoma" w:eastAsia="Tahoma" w:hAnsi="Tahoma" w:cs="Tahoma"/>
          <w:sz w:val="24"/>
          <w:szCs w:val="24"/>
        </w:rPr>
        <w:t>”</w:t>
      </w:r>
      <w:r w:rsidR="002A460F" w:rsidRPr="00F86D91">
        <w:rPr>
          <w:rFonts w:ascii="Tahoma" w:eastAsia="Tahoma" w:hAnsi="Tahoma" w:cs="Tahoma"/>
          <w:sz w:val="24"/>
          <w:szCs w:val="24"/>
        </w:rPr>
        <w:t>, Solicitation Manual).</w:t>
      </w:r>
    </w:p>
    <w:p w14:paraId="3ED3F1FB" w14:textId="77777777" w:rsidR="003313F2" w:rsidRPr="00F86D91" w:rsidRDefault="003313F2" w:rsidP="4447FCAA">
      <w:pPr>
        <w:spacing w:after="0" w:line="240" w:lineRule="auto"/>
        <w:ind w:left="720" w:hanging="720"/>
        <w:rPr>
          <w:rFonts w:ascii="Tahoma" w:hAnsi="Tahoma" w:cs="Tahoma"/>
        </w:rPr>
      </w:pPr>
    </w:p>
    <w:p w14:paraId="7A68C13A" w14:textId="129B4F6F" w:rsidR="00FA7319" w:rsidRPr="00F86D91" w:rsidRDefault="00F95455" w:rsidP="003313F2">
      <w:pPr>
        <w:spacing w:after="0" w:line="240" w:lineRule="auto"/>
        <w:ind w:left="720"/>
        <w:rPr>
          <w:rFonts w:ascii="Tahoma" w:eastAsia="Arial" w:hAnsi="Tahoma" w:cs="Tahoma"/>
          <w:color w:val="000000" w:themeColor="text1"/>
          <w:sz w:val="24"/>
          <w:szCs w:val="24"/>
        </w:rPr>
      </w:pPr>
      <w:r w:rsidRPr="00F86D91">
        <w:rPr>
          <w:rFonts w:ascii="Tahoma" w:eastAsia="Tahoma" w:hAnsi="Tahoma" w:cs="Tahoma"/>
          <w:sz w:val="24"/>
          <w:szCs w:val="24"/>
        </w:rPr>
        <w:t xml:space="preserve">The solicitation manual also states, </w:t>
      </w:r>
      <w:r w:rsidR="002A460F" w:rsidRPr="00F86D91">
        <w:rPr>
          <w:rFonts w:ascii="Tahoma" w:hAnsi="Tahoma" w:cs="Tahoma"/>
          <w:sz w:val="24"/>
          <w:szCs w:val="24"/>
        </w:rPr>
        <w:t>“</w:t>
      </w:r>
      <w:r w:rsidR="00EA4CB6" w:rsidRPr="00F86D91">
        <w:rPr>
          <w:rFonts w:ascii="Tahoma" w:hAnsi="Tahoma" w:cs="Tahoma"/>
          <w:sz w:val="24"/>
          <w:szCs w:val="24"/>
        </w:rPr>
        <w:t>Applicants must budget for permits, insurance, etc. CEC will not reimburse expenditures for permitting or insurance. However, these expenditures can be included as match share expenditure</w:t>
      </w:r>
      <w:r w:rsidRPr="00F86D91">
        <w:rPr>
          <w:rFonts w:ascii="Tahoma" w:hAnsi="Tahoma" w:cs="Tahoma"/>
          <w:sz w:val="24"/>
          <w:szCs w:val="24"/>
        </w:rPr>
        <w:t>”</w:t>
      </w:r>
      <w:r w:rsidR="00EA4CB6" w:rsidRPr="00F86D91">
        <w:rPr>
          <w:rFonts w:ascii="Tahoma" w:hAnsi="Tahoma" w:cs="Tahoma"/>
          <w:sz w:val="24"/>
          <w:szCs w:val="24"/>
        </w:rPr>
        <w:t xml:space="preserve"> (Section III.C.5.2</w:t>
      </w:r>
      <w:r w:rsidR="00F76E28" w:rsidRPr="00F86D91">
        <w:rPr>
          <w:rFonts w:ascii="Tahoma" w:hAnsi="Tahoma" w:cs="Tahoma"/>
          <w:sz w:val="24"/>
          <w:szCs w:val="24"/>
        </w:rPr>
        <w:t>.a</w:t>
      </w:r>
      <w:r w:rsidR="00154200" w:rsidRPr="00F86D91">
        <w:rPr>
          <w:rFonts w:ascii="Tahoma" w:hAnsi="Tahoma" w:cs="Tahoma"/>
          <w:sz w:val="24"/>
          <w:szCs w:val="24"/>
        </w:rPr>
        <w:t>.5.</w:t>
      </w:r>
      <w:r w:rsidR="003313F2" w:rsidRPr="00F86D91">
        <w:rPr>
          <w:rFonts w:ascii="Tahoma" w:hAnsi="Tahoma" w:cs="Tahoma"/>
          <w:sz w:val="24"/>
          <w:szCs w:val="24"/>
        </w:rPr>
        <w:t xml:space="preserve">, Page </w:t>
      </w:r>
      <w:r w:rsidR="003313F2" w:rsidRPr="00C9EFA8">
        <w:rPr>
          <w:rFonts w:ascii="Tahoma" w:hAnsi="Tahoma" w:cs="Tahoma"/>
          <w:sz w:val="24"/>
          <w:szCs w:val="24"/>
        </w:rPr>
        <w:t>2</w:t>
      </w:r>
      <w:r w:rsidRPr="00C9EFA8">
        <w:rPr>
          <w:rFonts w:ascii="Tahoma" w:hAnsi="Tahoma" w:cs="Tahoma"/>
          <w:sz w:val="24"/>
          <w:szCs w:val="24"/>
        </w:rPr>
        <w:t>9</w:t>
      </w:r>
      <w:r w:rsidR="003313F2" w:rsidRPr="00F86D91">
        <w:rPr>
          <w:rFonts w:ascii="Tahoma" w:hAnsi="Tahoma" w:cs="Tahoma"/>
          <w:sz w:val="24"/>
          <w:szCs w:val="24"/>
        </w:rPr>
        <w:t xml:space="preserve">, </w:t>
      </w:r>
      <w:r w:rsidR="00E23EC4" w:rsidRPr="00F86D91">
        <w:rPr>
          <w:rFonts w:ascii="Tahoma" w:hAnsi="Tahoma" w:cs="Tahoma"/>
          <w:sz w:val="24"/>
          <w:szCs w:val="24"/>
        </w:rPr>
        <w:t>“</w:t>
      </w:r>
      <w:r w:rsidR="003313F2" w:rsidRPr="00F86D91">
        <w:rPr>
          <w:rFonts w:ascii="Tahoma" w:hAnsi="Tahoma" w:cs="Tahoma"/>
          <w:sz w:val="24"/>
          <w:szCs w:val="24"/>
        </w:rPr>
        <w:t>Budget Forms</w:t>
      </w:r>
      <w:r w:rsidR="00E23EC4" w:rsidRPr="00F86D91">
        <w:rPr>
          <w:rFonts w:ascii="Tahoma" w:hAnsi="Tahoma" w:cs="Tahoma"/>
          <w:sz w:val="24"/>
          <w:szCs w:val="24"/>
        </w:rPr>
        <w:t>”</w:t>
      </w:r>
      <w:r w:rsidR="003313F2" w:rsidRPr="00F86D91">
        <w:rPr>
          <w:rFonts w:ascii="Tahoma" w:hAnsi="Tahoma" w:cs="Tahoma"/>
          <w:sz w:val="24"/>
          <w:szCs w:val="24"/>
        </w:rPr>
        <w:t>, Solicitation Manual</w:t>
      </w:r>
      <w:r w:rsidR="00E16C08" w:rsidRPr="00F86D91">
        <w:rPr>
          <w:rFonts w:ascii="Tahoma" w:hAnsi="Tahoma" w:cs="Tahoma"/>
          <w:sz w:val="24"/>
          <w:szCs w:val="24"/>
        </w:rPr>
        <w:t>)</w:t>
      </w:r>
      <w:r w:rsidR="003313F2" w:rsidRPr="00F86D91">
        <w:rPr>
          <w:rFonts w:ascii="Tahoma" w:hAnsi="Tahoma" w:cs="Tahoma"/>
          <w:sz w:val="24"/>
          <w:szCs w:val="24"/>
        </w:rPr>
        <w:t>.</w:t>
      </w:r>
    </w:p>
    <w:p w14:paraId="4F11B803" w14:textId="033A44DF" w:rsidR="00FA7319" w:rsidRDefault="00FA7319" w:rsidP="4447FCAA">
      <w:pPr>
        <w:spacing w:after="0" w:line="240" w:lineRule="auto"/>
        <w:ind w:left="720" w:hanging="720"/>
        <w:rPr>
          <w:rFonts w:ascii="Tahoma" w:eastAsia="Arial" w:hAnsi="Tahoma" w:cs="Tahoma"/>
          <w:color w:val="000000" w:themeColor="text1"/>
          <w:sz w:val="24"/>
          <w:szCs w:val="24"/>
        </w:rPr>
      </w:pPr>
    </w:p>
    <w:p w14:paraId="66596AF4" w14:textId="77777777" w:rsidR="004F2AF3" w:rsidRPr="00F86D91" w:rsidRDefault="004F2AF3" w:rsidP="4447FCAA">
      <w:pPr>
        <w:spacing w:after="0" w:line="240" w:lineRule="auto"/>
        <w:ind w:left="720" w:hanging="720"/>
        <w:rPr>
          <w:rFonts w:ascii="Tahoma" w:eastAsia="Arial" w:hAnsi="Tahoma" w:cs="Tahoma"/>
          <w:color w:val="000000" w:themeColor="text1"/>
          <w:sz w:val="24"/>
          <w:szCs w:val="24"/>
        </w:rPr>
      </w:pPr>
    </w:p>
    <w:p w14:paraId="1383D2AB" w14:textId="4BCCC2D3" w:rsidR="00BB143B" w:rsidRPr="00F86D91" w:rsidRDefault="140995E3" w:rsidP="00BB143B">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31</w:t>
      </w:r>
      <w:r w:rsidRPr="00F86D91">
        <w:rPr>
          <w:rFonts w:ascii="Tahoma" w:eastAsia="Arial" w:hAnsi="Tahoma" w:cs="Tahoma"/>
          <w:b/>
          <w:bCs/>
          <w:color w:val="000000" w:themeColor="text1"/>
          <w:sz w:val="24"/>
          <w:szCs w:val="24"/>
        </w:rPr>
        <w:t>.</w:t>
      </w:r>
      <w:r w:rsidRPr="00F86D91">
        <w:rPr>
          <w:rFonts w:ascii="Tahoma" w:hAnsi="Tahoma" w:cs="Tahoma"/>
        </w:rPr>
        <w:tab/>
      </w:r>
      <w:r w:rsidR="00BB143B" w:rsidRPr="00F86D91">
        <w:rPr>
          <w:rFonts w:ascii="Tahoma" w:eastAsia="Arial" w:hAnsi="Tahoma" w:cs="Tahoma"/>
          <w:b/>
          <w:bCs/>
          <w:color w:val="000000" w:themeColor="text1"/>
          <w:sz w:val="24"/>
          <w:szCs w:val="24"/>
        </w:rPr>
        <w:t xml:space="preserve">Can grid resiliency infrastructure, such as a zero-emission generator using fuel cell technology, </w:t>
      </w:r>
      <w:r w:rsidR="000C710C" w:rsidRPr="00F86D91">
        <w:rPr>
          <w:rFonts w:ascii="Tahoma" w:eastAsia="Arial" w:hAnsi="Tahoma" w:cs="Tahoma"/>
          <w:b/>
          <w:bCs/>
          <w:color w:val="000000" w:themeColor="text1"/>
          <w:sz w:val="24"/>
          <w:szCs w:val="24"/>
        </w:rPr>
        <w:t>battery energy storage systems, and/or solar pane</w:t>
      </w:r>
      <w:r w:rsidR="005961A5" w:rsidRPr="00F86D91">
        <w:rPr>
          <w:rFonts w:ascii="Tahoma" w:eastAsia="Arial" w:hAnsi="Tahoma" w:cs="Tahoma"/>
          <w:b/>
          <w:bCs/>
          <w:color w:val="000000" w:themeColor="text1"/>
          <w:sz w:val="24"/>
          <w:szCs w:val="24"/>
        </w:rPr>
        <w:t xml:space="preserve">ls </w:t>
      </w:r>
      <w:r w:rsidR="00BB143B" w:rsidRPr="00F86D91">
        <w:rPr>
          <w:rFonts w:ascii="Tahoma" w:eastAsia="Arial" w:hAnsi="Tahoma" w:cs="Tahoma"/>
          <w:b/>
          <w:bCs/>
          <w:color w:val="000000" w:themeColor="text1"/>
          <w:sz w:val="24"/>
          <w:szCs w:val="24"/>
        </w:rPr>
        <w:t>be eligible for reimbursement?</w:t>
      </w:r>
    </w:p>
    <w:p w14:paraId="64D7BEA0" w14:textId="258B18E6" w:rsidR="00FA7319" w:rsidRPr="00F86D91" w:rsidRDefault="00FA7319" w:rsidP="4447FCAA">
      <w:pPr>
        <w:spacing w:after="0" w:line="240" w:lineRule="auto"/>
        <w:ind w:left="720" w:hanging="720"/>
        <w:rPr>
          <w:rFonts w:ascii="Tahoma" w:eastAsia="Arial" w:hAnsi="Tahoma" w:cs="Tahoma"/>
          <w:b/>
          <w:bCs/>
          <w:color w:val="000000" w:themeColor="text1"/>
          <w:sz w:val="24"/>
          <w:szCs w:val="24"/>
        </w:rPr>
      </w:pPr>
    </w:p>
    <w:p w14:paraId="235FBC77" w14:textId="568F1E05" w:rsidR="00FA7319" w:rsidRPr="00F86D91" w:rsidRDefault="140995E3" w:rsidP="53234C4C">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31</w:t>
      </w:r>
      <w:r w:rsidRPr="00F86D91">
        <w:rPr>
          <w:rFonts w:ascii="Tahoma" w:eastAsia="Arial" w:hAnsi="Tahoma" w:cs="Tahoma"/>
          <w:color w:val="000000" w:themeColor="text1"/>
          <w:sz w:val="24"/>
          <w:szCs w:val="24"/>
        </w:rPr>
        <w:t>.</w:t>
      </w:r>
      <w:r w:rsidRPr="00F86D91">
        <w:rPr>
          <w:rFonts w:ascii="Tahoma" w:hAnsi="Tahoma" w:cs="Tahoma"/>
        </w:rPr>
        <w:tab/>
      </w:r>
      <w:r w:rsidR="00846A64" w:rsidRPr="00F86D91">
        <w:rPr>
          <w:rFonts w:ascii="Tahoma" w:eastAsia="Tahoma" w:hAnsi="Tahoma" w:cs="Tahoma"/>
          <w:sz w:val="24"/>
          <w:szCs w:val="24"/>
        </w:rPr>
        <w:t>The solicitation manual states, “</w:t>
      </w:r>
      <w:r w:rsidR="1AF2AF34" w:rsidRPr="00F86D91">
        <w:rPr>
          <w:rFonts w:ascii="Tahoma" w:eastAsia="Arial" w:hAnsi="Tahoma" w:cs="Tahoma"/>
          <w:color w:val="000000" w:themeColor="text1"/>
          <w:sz w:val="24"/>
          <w:szCs w:val="24"/>
        </w:rPr>
        <w:t>The following are not eligible for CEC reimbursement but may be included as an Applicant’s match share: Renewable distributed energy resources capable of providing independent or supplemental power to the EV chargers. Eligible renewable distributed energy resources include photovoltaic solar photovoltaic and wind and if desired can be coupled with a battery energy storage system. Any of these systems must be interconnected to the charging system and must be separately metered from the site host's regular business meter</w:t>
      </w:r>
      <w:r w:rsidR="00846A64" w:rsidRPr="00F86D91">
        <w:rPr>
          <w:rFonts w:ascii="Tahoma" w:eastAsia="Arial" w:hAnsi="Tahoma" w:cs="Tahoma"/>
          <w:color w:val="000000" w:themeColor="text1"/>
          <w:sz w:val="24"/>
          <w:szCs w:val="24"/>
        </w:rPr>
        <w:t>”</w:t>
      </w:r>
      <w:r w:rsidR="1AF2AF34" w:rsidRPr="00F86D91">
        <w:rPr>
          <w:rFonts w:ascii="Tahoma" w:eastAsia="Arial" w:hAnsi="Tahoma" w:cs="Tahoma"/>
          <w:color w:val="000000" w:themeColor="text1"/>
          <w:sz w:val="24"/>
          <w:szCs w:val="24"/>
        </w:rPr>
        <w:t xml:space="preserve"> </w:t>
      </w:r>
      <w:r w:rsidR="00804DBF" w:rsidRPr="00F86D91">
        <w:rPr>
          <w:rFonts w:ascii="Tahoma" w:eastAsia="Tahoma" w:hAnsi="Tahoma" w:cs="Tahoma"/>
          <w:sz w:val="24"/>
          <w:szCs w:val="24"/>
        </w:rPr>
        <w:t xml:space="preserve">(Section II.B.7., page 13, </w:t>
      </w:r>
      <w:r w:rsidR="00277A19" w:rsidRPr="00F86D91">
        <w:rPr>
          <w:rFonts w:ascii="Tahoma" w:eastAsia="Tahoma" w:hAnsi="Tahoma" w:cs="Tahoma"/>
          <w:sz w:val="24"/>
          <w:szCs w:val="24"/>
        </w:rPr>
        <w:t>“</w:t>
      </w:r>
      <w:r w:rsidR="00804DBF" w:rsidRPr="00F86D91">
        <w:rPr>
          <w:rFonts w:ascii="Tahoma" w:eastAsia="Tahoma" w:hAnsi="Tahoma" w:cs="Tahoma"/>
          <w:sz w:val="24"/>
          <w:szCs w:val="24"/>
        </w:rPr>
        <w:t>Eligible Project Costs</w:t>
      </w:r>
      <w:r w:rsidR="0023573E" w:rsidRPr="00F86D91">
        <w:rPr>
          <w:rFonts w:ascii="Tahoma" w:eastAsia="Tahoma" w:hAnsi="Tahoma" w:cs="Tahoma"/>
          <w:sz w:val="24"/>
          <w:szCs w:val="24"/>
        </w:rPr>
        <w:t>”</w:t>
      </w:r>
      <w:r w:rsidR="00804DBF" w:rsidRPr="00F86D91">
        <w:rPr>
          <w:rFonts w:ascii="Tahoma" w:eastAsia="Tahoma" w:hAnsi="Tahoma" w:cs="Tahoma"/>
          <w:sz w:val="24"/>
          <w:szCs w:val="24"/>
        </w:rPr>
        <w:t>, Solicitation Manual).</w:t>
      </w:r>
    </w:p>
    <w:p w14:paraId="0BBEEBC3" w14:textId="77777777" w:rsidR="00933666" w:rsidRPr="00F86D91" w:rsidRDefault="00933666" w:rsidP="00933666">
      <w:pPr>
        <w:spacing w:after="0" w:line="240" w:lineRule="auto"/>
        <w:ind w:left="720" w:hanging="720"/>
        <w:rPr>
          <w:rFonts w:ascii="Tahoma" w:eastAsia="Arial" w:hAnsi="Tahoma" w:cs="Tahoma"/>
          <w:color w:val="000000" w:themeColor="text1"/>
          <w:sz w:val="24"/>
          <w:szCs w:val="24"/>
        </w:rPr>
      </w:pPr>
    </w:p>
    <w:p w14:paraId="3DDA35F9" w14:textId="6347E896" w:rsidR="00FA7319" w:rsidRPr="00F86D91" w:rsidRDefault="00FA7319" w:rsidP="4447FCAA">
      <w:pPr>
        <w:spacing w:after="0" w:line="240" w:lineRule="auto"/>
        <w:ind w:left="720" w:hanging="720"/>
        <w:rPr>
          <w:rFonts w:ascii="Tahoma" w:eastAsia="Arial" w:hAnsi="Tahoma" w:cs="Tahoma"/>
          <w:color w:val="000000" w:themeColor="text1"/>
          <w:sz w:val="24"/>
          <w:szCs w:val="24"/>
        </w:rPr>
      </w:pPr>
    </w:p>
    <w:p w14:paraId="274A6A7D" w14:textId="067A5846" w:rsidR="007F4194" w:rsidRPr="00F86D91" w:rsidRDefault="140995E3" w:rsidP="59BC4DF4">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32</w:t>
      </w:r>
      <w:r w:rsidRPr="00F86D91">
        <w:rPr>
          <w:rFonts w:ascii="Tahoma" w:eastAsia="Arial" w:hAnsi="Tahoma" w:cs="Tahoma"/>
          <w:b/>
          <w:bCs/>
          <w:color w:val="000000" w:themeColor="text1"/>
          <w:sz w:val="24"/>
          <w:szCs w:val="24"/>
        </w:rPr>
        <w:t>.</w:t>
      </w:r>
      <w:r w:rsidRPr="00F86D91">
        <w:rPr>
          <w:rFonts w:ascii="Tahoma" w:hAnsi="Tahoma" w:cs="Tahoma"/>
        </w:rPr>
        <w:tab/>
      </w:r>
      <w:r w:rsidR="1D41173D" w:rsidRPr="00F86D91">
        <w:rPr>
          <w:rFonts w:ascii="Tahoma" w:eastAsia="Arial" w:hAnsi="Tahoma" w:cs="Tahoma"/>
          <w:b/>
          <w:bCs/>
          <w:color w:val="000000" w:themeColor="text1"/>
          <w:sz w:val="24"/>
          <w:szCs w:val="24"/>
        </w:rPr>
        <w:t>Would costs related to managed charging and/or bidirectional charging be considered eligible costs?</w:t>
      </w:r>
      <w:r w:rsidR="6C40823D" w:rsidRPr="00F86D91">
        <w:rPr>
          <w:rFonts w:ascii="Tahoma" w:eastAsia="Arial" w:hAnsi="Tahoma" w:cs="Tahoma"/>
          <w:b/>
          <w:bCs/>
          <w:color w:val="000000" w:themeColor="text1"/>
          <w:sz w:val="24"/>
          <w:szCs w:val="24"/>
        </w:rPr>
        <w:t xml:space="preserve"> </w:t>
      </w:r>
    </w:p>
    <w:p w14:paraId="30A739A8" w14:textId="77777777" w:rsidR="00C00456" w:rsidRPr="00F86D91" w:rsidRDefault="00C00456" w:rsidP="59BC4DF4">
      <w:pPr>
        <w:spacing w:after="0" w:line="240" w:lineRule="auto"/>
        <w:ind w:left="720" w:hanging="720"/>
        <w:rPr>
          <w:rFonts w:ascii="Tahoma" w:eastAsia="Arial" w:hAnsi="Tahoma" w:cs="Tahoma"/>
          <w:b/>
          <w:bCs/>
          <w:color w:val="000000" w:themeColor="text1"/>
          <w:sz w:val="24"/>
          <w:szCs w:val="24"/>
        </w:rPr>
      </w:pPr>
    </w:p>
    <w:p w14:paraId="1CDB0991" w14:textId="1D0D0DB5" w:rsidR="007F4194" w:rsidRPr="00F86D91" w:rsidRDefault="007F4194" w:rsidP="007C1EA7">
      <w:pPr>
        <w:spacing w:after="0" w:line="240" w:lineRule="auto"/>
        <w:ind w:left="720" w:hanging="720"/>
        <w:rPr>
          <w:rFonts w:ascii="Tahoma" w:hAnsi="Tahoma" w:cs="Tahoma"/>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32</w:t>
      </w:r>
      <w:r w:rsidRPr="00F86D91">
        <w:rPr>
          <w:rFonts w:ascii="Tahoma" w:eastAsia="Arial" w:hAnsi="Tahoma" w:cs="Tahoma"/>
          <w:color w:val="000000" w:themeColor="text1"/>
          <w:sz w:val="24"/>
          <w:szCs w:val="24"/>
        </w:rPr>
        <w:t>.</w:t>
      </w:r>
      <w:r w:rsidRPr="00F86D91">
        <w:rPr>
          <w:rFonts w:ascii="Tahoma" w:hAnsi="Tahoma" w:cs="Tahoma"/>
        </w:rPr>
        <w:tab/>
      </w:r>
      <w:r w:rsidR="007C1EA7" w:rsidRPr="00F86D91">
        <w:rPr>
          <w:rFonts w:ascii="Tahoma" w:hAnsi="Tahoma" w:cs="Tahoma"/>
          <w:sz w:val="24"/>
          <w:szCs w:val="24"/>
        </w:rPr>
        <w:t>Yes, managed charging and bidirectional charging equipment would be considered “demand management equipment” which is an eligible reimbursable cost</w:t>
      </w:r>
      <w:r w:rsidR="00FE450E" w:rsidRPr="00F86D91">
        <w:rPr>
          <w:rFonts w:ascii="Tahoma" w:hAnsi="Tahoma" w:cs="Tahoma"/>
          <w:sz w:val="24"/>
          <w:szCs w:val="24"/>
        </w:rPr>
        <w:t xml:space="preserve"> </w:t>
      </w:r>
      <w:r w:rsidR="00D86FA5" w:rsidRPr="00F86D91">
        <w:rPr>
          <w:rFonts w:ascii="Tahoma" w:eastAsia="Tahoma" w:hAnsi="Tahoma" w:cs="Tahoma"/>
          <w:sz w:val="24"/>
          <w:szCs w:val="24"/>
        </w:rPr>
        <w:t>(Section II.B.7., page 1</w:t>
      </w:r>
      <w:r w:rsidR="00CD6CC2">
        <w:rPr>
          <w:rFonts w:ascii="Tahoma" w:eastAsia="Tahoma" w:hAnsi="Tahoma" w:cs="Tahoma"/>
          <w:sz w:val="24"/>
          <w:szCs w:val="24"/>
        </w:rPr>
        <w:t>4</w:t>
      </w:r>
      <w:r w:rsidR="00D86FA5" w:rsidRPr="00F86D91">
        <w:rPr>
          <w:rFonts w:ascii="Tahoma" w:eastAsia="Tahoma" w:hAnsi="Tahoma" w:cs="Tahoma"/>
          <w:sz w:val="24"/>
          <w:szCs w:val="24"/>
        </w:rPr>
        <w:t xml:space="preserve">, </w:t>
      </w:r>
      <w:r w:rsidR="0023573E" w:rsidRPr="00F86D91">
        <w:rPr>
          <w:rFonts w:ascii="Tahoma" w:eastAsia="Tahoma" w:hAnsi="Tahoma" w:cs="Tahoma"/>
          <w:sz w:val="24"/>
          <w:szCs w:val="24"/>
        </w:rPr>
        <w:t>“</w:t>
      </w:r>
      <w:r w:rsidR="00D86FA5" w:rsidRPr="00F86D91">
        <w:rPr>
          <w:rFonts w:ascii="Tahoma" w:eastAsia="Tahoma" w:hAnsi="Tahoma" w:cs="Tahoma"/>
          <w:sz w:val="24"/>
          <w:szCs w:val="24"/>
        </w:rPr>
        <w:t>Eligible Project Costs</w:t>
      </w:r>
      <w:r w:rsidR="0023573E" w:rsidRPr="00F86D91">
        <w:rPr>
          <w:rFonts w:ascii="Tahoma" w:eastAsia="Tahoma" w:hAnsi="Tahoma" w:cs="Tahoma"/>
          <w:sz w:val="24"/>
          <w:szCs w:val="24"/>
        </w:rPr>
        <w:t>”</w:t>
      </w:r>
      <w:r w:rsidR="00D86FA5" w:rsidRPr="00F86D91">
        <w:rPr>
          <w:rFonts w:ascii="Tahoma" w:eastAsia="Tahoma" w:hAnsi="Tahoma" w:cs="Tahoma"/>
          <w:sz w:val="24"/>
          <w:szCs w:val="24"/>
        </w:rPr>
        <w:t>, Solicitation Manual).</w:t>
      </w:r>
    </w:p>
    <w:p w14:paraId="1A0AC85C" w14:textId="77777777" w:rsidR="007F4194" w:rsidRPr="00F86D91" w:rsidRDefault="007F4194" w:rsidP="007F4194">
      <w:pPr>
        <w:spacing w:after="0" w:line="240" w:lineRule="auto"/>
        <w:ind w:left="720" w:hanging="720"/>
        <w:rPr>
          <w:rFonts w:ascii="Tahoma" w:eastAsia="Arial" w:hAnsi="Tahoma" w:cs="Tahoma"/>
          <w:color w:val="000000" w:themeColor="text1"/>
          <w:sz w:val="24"/>
          <w:szCs w:val="24"/>
        </w:rPr>
      </w:pPr>
    </w:p>
    <w:p w14:paraId="2AB52C3E" w14:textId="77777777" w:rsidR="007F4194" w:rsidRPr="00F86D91" w:rsidRDefault="007F4194" w:rsidP="007F4194">
      <w:pPr>
        <w:spacing w:after="0" w:line="240" w:lineRule="auto"/>
        <w:ind w:left="720" w:hanging="720"/>
        <w:rPr>
          <w:rFonts w:ascii="Tahoma" w:eastAsia="Arial" w:hAnsi="Tahoma" w:cs="Tahoma"/>
          <w:color w:val="000000" w:themeColor="text1"/>
          <w:sz w:val="24"/>
          <w:szCs w:val="24"/>
        </w:rPr>
      </w:pPr>
    </w:p>
    <w:p w14:paraId="2FAA5C05" w14:textId="10A32940" w:rsidR="00FA7319" w:rsidRPr="00F86D91" w:rsidRDefault="007F4194" w:rsidP="007F4194">
      <w:pPr>
        <w:spacing w:after="0" w:line="240" w:lineRule="auto"/>
        <w:ind w:left="720" w:hanging="720"/>
        <w:rPr>
          <w:rFonts w:ascii="Tahoma" w:eastAsia="Arial" w:hAnsi="Tahoma" w:cs="Tahoma"/>
          <w:sz w:val="24"/>
          <w:szCs w:val="24"/>
        </w:rPr>
      </w:pPr>
      <w:r w:rsidRPr="00F86D91">
        <w:rPr>
          <w:rFonts w:ascii="Tahoma" w:eastAsia="Arial" w:hAnsi="Tahoma" w:cs="Tahoma"/>
          <w:b/>
          <w:bCs/>
          <w:color w:val="000000" w:themeColor="text1"/>
          <w:sz w:val="24"/>
          <w:szCs w:val="24"/>
        </w:rPr>
        <w:lastRenderedPageBreak/>
        <w:t>Q</w:t>
      </w:r>
      <w:r w:rsidR="00823804" w:rsidRPr="00F86D91">
        <w:rPr>
          <w:rFonts w:ascii="Tahoma" w:eastAsia="Arial" w:hAnsi="Tahoma" w:cs="Tahoma"/>
          <w:b/>
          <w:bCs/>
          <w:color w:val="000000" w:themeColor="text1"/>
          <w:sz w:val="24"/>
          <w:szCs w:val="24"/>
        </w:rPr>
        <w:t>33</w:t>
      </w:r>
      <w:r w:rsidRPr="00F86D91">
        <w:rPr>
          <w:rFonts w:ascii="Tahoma" w:eastAsia="Arial" w:hAnsi="Tahoma" w:cs="Tahoma"/>
          <w:b/>
          <w:bCs/>
          <w:color w:val="000000" w:themeColor="text1"/>
          <w:sz w:val="24"/>
          <w:szCs w:val="24"/>
        </w:rPr>
        <w:t>.</w:t>
      </w:r>
      <w:r w:rsidRPr="00F86D91">
        <w:rPr>
          <w:rFonts w:ascii="Tahoma" w:eastAsia="Arial" w:hAnsi="Tahoma" w:cs="Tahoma"/>
          <w:b/>
          <w:bCs/>
          <w:color w:val="000000" w:themeColor="text1"/>
          <w:sz w:val="24"/>
          <w:szCs w:val="24"/>
        </w:rPr>
        <w:tab/>
      </w:r>
      <w:r w:rsidR="6C40823D" w:rsidRPr="00F86D91">
        <w:rPr>
          <w:rFonts w:ascii="Tahoma" w:eastAsia="Arial" w:hAnsi="Tahoma" w:cs="Tahoma"/>
          <w:b/>
          <w:bCs/>
          <w:color w:val="000000" w:themeColor="text1"/>
          <w:sz w:val="24"/>
          <w:szCs w:val="24"/>
        </w:rPr>
        <w:t xml:space="preserve">The solicitation lists "demand management equipment" as costs eligible for reimbursement in Section B.7. If a government entity fleet installs advanced demand management software in existing DCFC, can the cost of that software be reimbursed, and can that DCFC "count" towards the </w:t>
      </w:r>
      <w:proofErr w:type="gramStart"/>
      <w:r w:rsidR="6C40823D" w:rsidRPr="00F86D91">
        <w:rPr>
          <w:rFonts w:ascii="Tahoma" w:eastAsia="Arial" w:hAnsi="Tahoma" w:cs="Tahoma"/>
          <w:b/>
          <w:bCs/>
          <w:color w:val="000000" w:themeColor="text1"/>
          <w:sz w:val="24"/>
          <w:szCs w:val="24"/>
        </w:rPr>
        <w:t>100 charging</w:t>
      </w:r>
      <w:proofErr w:type="gramEnd"/>
      <w:r w:rsidR="6C40823D" w:rsidRPr="00F86D91">
        <w:rPr>
          <w:rFonts w:ascii="Tahoma" w:eastAsia="Arial" w:hAnsi="Tahoma" w:cs="Tahoma"/>
          <w:b/>
          <w:bCs/>
          <w:color w:val="000000" w:themeColor="text1"/>
          <w:sz w:val="24"/>
          <w:szCs w:val="24"/>
        </w:rPr>
        <w:t xml:space="preserve"> port minimum in this solicitation?</w:t>
      </w:r>
    </w:p>
    <w:p w14:paraId="0ED46898" w14:textId="15E9D8E9" w:rsidR="00FA7319" w:rsidRPr="00F86D91" w:rsidRDefault="00FA7319" w:rsidP="006F2EB4">
      <w:pPr>
        <w:spacing w:after="0" w:line="240" w:lineRule="auto"/>
        <w:rPr>
          <w:rFonts w:ascii="Tahoma" w:eastAsia="Arial" w:hAnsi="Tahoma" w:cs="Tahoma"/>
          <w:b/>
          <w:bCs/>
          <w:color w:val="000000" w:themeColor="text1"/>
          <w:sz w:val="24"/>
          <w:szCs w:val="24"/>
        </w:rPr>
      </w:pPr>
    </w:p>
    <w:p w14:paraId="0885DBAE" w14:textId="63014F1D" w:rsidR="00FA7319" w:rsidRPr="00F86D91" w:rsidRDefault="140995E3" w:rsidP="7FB80AB3">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33</w:t>
      </w:r>
      <w:r w:rsidRPr="00F86D91">
        <w:rPr>
          <w:rFonts w:ascii="Tahoma" w:eastAsia="Arial" w:hAnsi="Tahoma" w:cs="Tahoma"/>
          <w:color w:val="000000" w:themeColor="text1"/>
          <w:sz w:val="24"/>
          <w:szCs w:val="24"/>
        </w:rPr>
        <w:t>.</w:t>
      </w:r>
      <w:r w:rsidRPr="00F86D91">
        <w:rPr>
          <w:rFonts w:ascii="Tahoma" w:hAnsi="Tahoma" w:cs="Tahoma"/>
        </w:rPr>
        <w:tab/>
      </w:r>
      <w:r w:rsidR="007356D5" w:rsidRPr="00F86D91">
        <w:rPr>
          <w:rFonts w:ascii="Tahoma" w:eastAsia="Arial" w:hAnsi="Tahoma" w:cs="Tahoma"/>
          <w:color w:val="000000" w:themeColor="text1"/>
          <w:sz w:val="24"/>
          <w:szCs w:val="24"/>
        </w:rPr>
        <w:t xml:space="preserve">No, </w:t>
      </w:r>
      <w:r w:rsidR="00DB4C8C" w:rsidRPr="00F86D91">
        <w:rPr>
          <w:rFonts w:ascii="Tahoma" w:eastAsia="Arial" w:hAnsi="Tahoma" w:cs="Tahoma"/>
          <w:color w:val="000000" w:themeColor="text1"/>
          <w:sz w:val="24"/>
          <w:szCs w:val="24"/>
        </w:rPr>
        <w:t>only charging equipment installed through the project will count toward the 100-charging port minimum.</w:t>
      </w:r>
      <w:r w:rsidR="004642AD" w:rsidRPr="00F86D91">
        <w:rPr>
          <w:rFonts w:ascii="Tahoma" w:eastAsia="Arial" w:hAnsi="Tahoma" w:cs="Tahoma"/>
          <w:color w:val="000000" w:themeColor="text1"/>
          <w:sz w:val="24"/>
          <w:szCs w:val="24"/>
        </w:rPr>
        <w:t xml:space="preserve"> T</w:t>
      </w:r>
      <w:r w:rsidR="008119D0" w:rsidRPr="00F86D91">
        <w:rPr>
          <w:rFonts w:ascii="Tahoma" w:eastAsia="Arial" w:hAnsi="Tahoma" w:cs="Tahoma"/>
          <w:color w:val="000000" w:themeColor="text1"/>
          <w:sz w:val="24"/>
          <w:szCs w:val="24"/>
        </w:rPr>
        <w:t>he solicitation manual states “</w:t>
      </w:r>
      <w:r w:rsidR="008119D0" w:rsidRPr="00F86D91">
        <w:rPr>
          <w:rFonts w:ascii="Tahoma" w:hAnsi="Tahoma" w:cs="Tahoma"/>
          <w:sz w:val="24"/>
          <w:szCs w:val="24"/>
        </w:rPr>
        <w:t>A project must install a minimum of 100 charging ports</w:t>
      </w:r>
      <w:r w:rsidR="008119D0" w:rsidRPr="00F86D91">
        <w:rPr>
          <w:rFonts w:ascii="Tahoma" w:eastAsia="Arial" w:hAnsi="Tahoma" w:cs="Tahoma"/>
          <w:color w:val="000000" w:themeColor="text1"/>
          <w:sz w:val="24"/>
          <w:szCs w:val="24"/>
        </w:rPr>
        <w:t>”</w:t>
      </w:r>
      <w:r w:rsidR="009F20B3" w:rsidRPr="00F86D91">
        <w:rPr>
          <w:rFonts w:ascii="Tahoma" w:eastAsia="Arial" w:hAnsi="Tahoma" w:cs="Tahoma"/>
          <w:color w:val="000000" w:themeColor="text1"/>
          <w:sz w:val="24"/>
          <w:szCs w:val="24"/>
        </w:rPr>
        <w:t xml:space="preserve"> (</w:t>
      </w:r>
      <w:r w:rsidR="0081400A" w:rsidRPr="00F86D91">
        <w:rPr>
          <w:rFonts w:ascii="Tahoma" w:eastAsia="Arial" w:hAnsi="Tahoma" w:cs="Tahoma"/>
          <w:color w:val="000000" w:themeColor="text1"/>
          <w:sz w:val="24"/>
          <w:szCs w:val="24"/>
        </w:rPr>
        <w:t>Section II.B.</w:t>
      </w:r>
      <w:r w:rsidR="00140913" w:rsidRPr="00F86D91">
        <w:rPr>
          <w:rFonts w:ascii="Tahoma" w:eastAsia="Arial" w:hAnsi="Tahoma" w:cs="Tahoma"/>
          <w:color w:val="000000" w:themeColor="text1"/>
          <w:sz w:val="24"/>
          <w:szCs w:val="24"/>
        </w:rPr>
        <w:t>2</w:t>
      </w:r>
      <w:r w:rsidR="0081400A" w:rsidRPr="00F86D91">
        <w:rPr>
          <w:rFonts w:ascii="Tahoma" w:eastAsia="Arial" w:hAnsi="Tahoma" w:cs="Tahoma"/>
          <w:color w:val="000000" w:themeColor="text1"/>
          <w:sz w:val="24"/>
          <w:szCs w:val="24"/>
        </w:rPr>
        <w:t xml:space="preserve">, page </w:t>
      </w:r>
      <w:r w:rsidR="00140913" w:rsidRPr="00F86D91">
        <w:rPr>
          <w:rFonts w:ascii="Tahoma" w:eastAsia="Arial" w:hAnsi="Tahoma" w:cs="Tahoma"/>
          <w:color w:val="000000" w:themeColor="text1"/>
          <w:sz w:val="24"/>
          <w:szCs w:val="24"/>
        </w:rPr>
        <w:t>1</w:t>
      </w:r>
      <w:r w:rsidR="002F205A">
        <w:rPr>
          <w:rFonts w:ascii="Tahoma" w:eastAsia="Arial" w:hAnsi="Tahoma" w:cs="Tahoma"/>
          <w:color w:val="000000" w:themeColor="text1"/>
          <w:sz w:val="24"/>
          <w:szCs w:val="24"/>
        </w:rPr>
        <w:t>1</w:t>
      </w:r>
      <w:r w:rsidR="0081400A" w:rsidRPr="00F86D91">
        <w:rPr>
          <w:rFonts w:ascii="Tahoma" w:eastAsia="Arial" w:hAnsi="Tahoma" w:cs="Tahoma"/>
          <w:color w:val="000000" w:themeColor="text1"/>
          <w:sz w:val="24"/>
          <w:szCs w:val="24"/>
        </w:rPr>
        <w:t>, “Eligible Projects”, Solicitation Manual).</w:t>
      </w:r>
      <w:r w:rsidR="0081400A" w:rsidRPr="00F86D91">
        <w:rPr>
          <w:rFonts w:ascii="Tahoma" w:hAnsi="Tahoma" w:cs="Tahoma"/>
          <w:sz w:val="24"/>
          <w:szCs w:val="24"/>
        </w:rPr>
        <w:t xml:space="preserve"> </w:t>
      </w:r>
      <w:r w:rsidR="008119D0" w:rsidRPr="00F86D91">
        <w:rPr>
          <w:rFonts w:ascii="Tahoma" w:eastAsia="Arial" w:hAnsi="Tahoma" w:cs="Tahoma"/>
          <w:color w:val="000000" w:themeColor="text1"/>
          <w:sz w:val="24"/>
          <w:szCs w:val="24"/>
        </w:rPr>
        <w:t xml:space="preserve"> </w:t>
      </w:r>
    </w:p>
    <w:p w14:paraId="7D683C8D" w14:textId="20BE9F59" w:rsidR="00FA7319" w:rsidRPr="00F86D91" w:rsidRDefault="00FA7319" w:rsidP="53234C4C">
      <w:pPr>
        <w:spacing w:after="0" w:line="240" w:lineRule="auto"/>
        <w:ind w:left="720" w:hanging="720"/>
        <w:rPr>
          <w:rFonts w:ascii="Tahoma" w:eastAsia="Arial" w:hAnsi="Tahoma" w:cs="Tahoma"/>
          <w:color w:val="000000" w:themeColor="text1"/>
          <w:sz w:val="24"/>
          <w:szCs w:val="24"/>
        </w:rPr>
      </w:pPr>
    </w:p>
    <w:p w14:paraId="128AE753" w14:textId="07A05661" w:rsidR="00FA7319" w:rsidRPr="00F86D91" w:rsidRDefault="00FA7319" w:rsidP="53234C4C">
      <w:pPr>
        <w:spacing w:after="0" w:line="240" w:lineRule="auto"/>
        <w:ind w:left="720" w:hanging="720"/>
        <w:rPr>
          <w:rFonts w:ascii="Tahoma" w:eastAsia="Arial" w:hAnsi="Tahoma" w:cs="Tahoma"/>
          <w:color w:val="000000" w:themeColor="text1"/>
          <w:sz w:val="24"/>
          <w:szCs w:val="24"/>
        </w:rPr>
      </w:pPr>
    </w:p>
    <w:p w14:paraId="1C5367CE" w14:textId="52724EE1" w:rsidR="00FA7319" w:rsidRPr="00F86D91" w:rsidRDefault="557F660A"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34</w:t>
      </w:r>
      <w:r w:rsidRPr="00F86D91">
        <w:rPr>
          <w:rFonts w:ascii="Tahoma" w:eastAsia="Arial" w:hAnsi="Tahoma" w:cs="Tahoma"/>
          <w:b/>
          <w:bCs/>
          <w:color w:val="000000" w:themeColor="text1"/>
          <w:sz w:val="24"/>
          <w:szCs w:val="24"/>
        </w:rPr>
        <w:t>.</w:t>
      </w:r>
      <w:r w:rsidRPr="00F86D91">
        <w:rPr>
          <w:rFonts w:ascii="Tahoma" w:hAnsi="Tahoma" w:cs="Tahoma"/>
        </w:rPr>
        <w:tab/>
      </w:r>
      <w:r w:rsidR="15A5DB34" w:rsidRPr="00F86D91">
        <w:rPr>
          <w:rFonts w:ascii="Tahoma" w:eastAsia="Arial" w:hAnsi="Tahoma" w:cs="Tahoma"/>
          <w:b/>
          <w:bCs/>
          <w:color w:val="000000" w:themeColor="text1"/>
          <w:sz w:val="24"/>
          <w:szCs w:val="24"/>
        </w:rPr>
        <w:t>Is</w:t>
      </w:r>
      <w:r w:rsidR="62EAAE3C" w:rsidRPr="00F86D91">
        <w:rPr>
          <w:rFonts w:ascii="Tahoma" w:eastAsia="Arial" w:hAnsi="Tahoma" w:cs="Tahoma"/>
          <w:b/>
          <w:bCs/>
          <w:color w:val="000000" w:themeColor="text1"/>
          <w:sz w:val="24"/>
          <w:szCs w:val="24"/>
        </w:rPr>
        <w:t xml:space="preserve"> the electrical infrastructure needed for the chargers an </w:t>
      </w:r>
      <w:r w:rsidR="00D84162" w:rsidRPr="00F86D91">
        <w:rPr>
          <w:rFonts w:ascii="Tahoma" w:eastAsia="Arial" w:hAnsi="Tahoma" w:cs="Tahoma"/>
          <w:b/>
          <w:bCs/>
          <w:color w:val="000000" w:themeColor="text1"/>
          <w:sz w:val="24"/>
          <w:szCs w:val="24"/>
        </w:rPr>
        <w:t xml:space="preserve">eligible reimbursable </w:t>
      </w:r>
      <w:r w:rsidR="62EAAE3C" w:rsidRPr="00F86D91">
        <w:rPr>
          <w:rFonts w:ascii="Tahoma" w:eastAsia="Arial" w:hAnsi="Tahoma" w:cs="Tahoma"/>
          <w:b/>
          <w:bCs/>
          <w:color w:val="000000" w:themeColor="text1"/>
          <w:sz w:val="24"/>
          <w:szCs w:val="24"/>
        </w:rPr>
        <w:t xml:space="preserve">expense? </w:t>
      </w:r>
    </w:p>
    <w:p w14:paraId="55C7D2DB" w14:textId="716E647A" w:rsidR="00FA7319" w:rsidRPr="00F86D91" w:rsidRDefault="00FA7319" w:rsidP="53234C4C">
      <w:pPr>
        <w:spacing w:after="0" w:line="240" w:lineRule="auto"/>
        <w:ind w:left="720" w:hanging="720"/>
        <w:rPr>
          <w:rFonts w:ascii="Tahoma" w:eastAsia="Arial" w:hAnsi="Tahoma" w:cs="Tahoma"/>
          <w:b/>
          <w:bCs/>
          <w:color w:val="000000" w:themeColor="text1"/>
          <w:sz w:val="24"/>
          <w:szCs w:val="24"/>
        </w:rPr>
      </w:pPr>
    </w:p>
    <w:p w14:paraId="0794E364" w14:textId="6C8F391A" w:rsidR="00C53D66" w:rsidRPr="00F86D91" w:rsidRDefault="557F660A" w:rsidP="53234C4C">
      <w:pPr>
        <w:spacing w:after="0" w:line="240" w:lineRule="auto"/>
        <w:ind w:left="720" w:hanging="720"/>
        <w:rPr>
          <w:rFonts w:ascii="Tahoma" w:hAnsi="Tahoma" w:cs="Tahoma"/>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34</w:t>
      </w:r>
      <w:r w:rsidRPr="00F86D91">
        <w:rPr>
          <w:rFonts w:ascii="Tahoma" w:eastAsia="Arial" w:hAnsi="Tahoma" w:cs="Tahoma"/>
          <w:color w:val="000000" w:themeColor="text1"/>
          <w:sz w:val="24"/>
          <w:szCs w:val="24"/>
        </w:rPr>
        <w:t>.</w:t>
      </w:r>
      <w:r w:rsidRPr="00F86D91">
        <w:rPr>
          <w:rFonts w:ascii="Tahoma" w:hAnsi="Tahoma" w:cs="Tahoma"/>
        </w:rPr>
        <w:tab/>
      </w:r>
      <w:r w:rsidR="0030320E" w:rsidRPr="00F86D91">
        <w:rPr>
          <w:rFonts w:ascii="Tahoma" w:hAnsi="Tahoma" w:cs="Tahoma"/>
          <w:sz w:val="24"/>
          <w:szCs w:val="24"/>
        </w:rPr>
        <w:t>Yes</w:t>
      </w:r>
      <w:r w:rsidR="00C53D66" w:rsidRPr="00F86D91">
        <w:rPr>
          <w:rFonts w:ascii="Tahoma" w:hAnsi="Tahoma" w:cs="Tahoma"/>
          <w:sz w:val="24"/>
          <w:szCs w:val="24"/>
        </w:rPr>
        <w:t xml:space="preserve">, </w:t>
      </w:r>
      <w:r w:rsidR="00494E19" w:rsidRPr="00F86D91">
        <w:rPr>
          <w:rFonts w:ascii="Tahoma" w:hAnsi="Tahoma" w:cs="Tahoma"/>
          <w:sz w:val="24"/>
          <w:szCs w:val="24"/>
        </w:rPr>
        <w:t>the solicitation manual states</w:t>
      </w:r>
      <w:r w:rsidR="00F66475" w:rsidRPr="00F86D91">
        <w:rPr>
          <w:rFonts w:ascii="Tahoma" w:hAnsi="Tahoma" w:cs="Tahoma"/>
          <w:sz w:val="24"/>
          <w:szCs w:val="24"/>
        </w:rPr>
        <w:t>,</w:t>
      </w:r>
      <w:r w:rsidR="00494E19" w:rsidRPr="00F86D91">
        <w:rPr>
          <w:rFonts w:ascii="Tahoma" w:hAnsi="Tahoma" w:cs="Tahoma"/>
          <w:sz w:val="24"/>
          <w:szCs w:val="24"/>
        </w:rPr>
        <w:t xml:space="preserve"> “</w:t>
      </w:r>
      <w:r w:rsidR="00BE5279" w:rsidRPr="00F86D91">
        <w:rPr>
          <w:rFonts w:ascii="Tahoma" w:hAnsi="Tahoma" w:cs="Tahoma"/>
          <w:sz w:val="24"/>
          <w:szCs w:val="24"/>
        </w:rPr>
        <w:t>Costs incurred for</w:t>
      </w:r>
      <w:r w:rsidR="00C53D66" w:rsidRPr="00F86D91">
        <w:rPr>
          <w:rFonts w:ascii="Tahoma" w:hAnsi="Tahoma" w:cs="Tahoma"/>
          <w:sz w:val="24"/>
          <w:szCs w:val="24"/>
        </w:rPr>
        <w:t xml:space="preserve"> the following are eligible </w:t>
      </w:r>
      <w:r w:rsidR="00BE5279" w:rsidRPr="00F86D91">
        <w:rPr>
          <w:rFonts w:ascii="Tahoma" w:hAnsi="Tahoma" w:cs="Tahoma"/>
          <w:sz w:val="24"/>
          <w:szCs w:val="24"/>
        </w:rPr>
        <w:t>for CEC reimbursement or as the Applicant’s match share:</w:t>
      </w:r>
    </w:p>
    <w:p w14:paraId="193E6CC9" w14:textId="77777777" w:rsidR="00AB0467" w:rsidRPr="00F86D91" w:rsidRDefault="00AB0467" w:rsidP="59BC4DF4">
      <w:pPr>
        <w:pStyle w:val="ListParagraph"/>
        <w:numPr>
          <w:ilvl w:val="0"/>
          <w:numId w:val="3"/>
        </w:numPr>
        <w:spacing w:before="120" w:after="0" w:line="259" w:lineRule="auto"/>
        <w:ind w:left="1440" w:hanging="720"/>
        <w:rPr>
          <w:rFonts w:ascii="Tahoma" w:hAnsi="Tahoma" w:cs="Tahoma"/>
          <w:sz w:val="24"/>
          <w:szCs w:val="24"/>
        </w:rPr>
      </w:pPr>
      <w:r w:rsidRPr="00F86D91">
        <w:rPr>
          <w:rFonts w:ascii="Tahoma" w:hAnsi="Tahoma" w:cs="Tahoma"/>
          <w:sz w:val="24"/>
          <w:szCs w:val="24"/>
        </w:rPr>
        <w:t>EVSE</w:t>
      </w:r>
    </w:p>
    <w:p w14:paraId="0AE01132" w14:textId="77777777" w:rsidR="00AB0467" w:rsidRPr="00F86D91" w:rsidRDefault="00AB0467" w:rsidP="59BC4DF4">
      <w:pPr>
        <w:pStyle w:val="ListParagraph"/>
        <w:numPr>
          <w:ilvl w:val="0"/>
          <w:numId w:val="3"/>
        </w:numPr>
        <w:spacing w:before="120" w:after="0" w:line="259" w:lineRule="auto"/>
        <w:ind w:left="1440" w:hanging="720"/>
        <w:rPr>
          <w:rFonts w:ascii="Tahoma" w:hAnsi="Tahoma" w:cs="Tahoma"/>
          <w:sz w:val="24"/>
          <w:szCs w:val="24"/>
        </w:rPr>
      </w:pPr>
      <w:r w:rsidRPr="00F86D91">
        <w:rPr>
          <w:rFonts w:ascii="Tahoma" w:hAnsi="Tahoma" w:cs="Tahoma"/>
          <w:sz w:val="24"/>
          <w:szCs w:val="24"/>
        </w:rPr>
        <w:t>Applicant’s cost-share of utility installation:</w:t>
      </w:r>
    </w:p>
    <w:p w14:paraId="51006B27" w14:textId="4870D150" w:rsidR="00AB0467" w:rsidRPr="00F86D91" w:rsidRDefault="00AB0467" w:rsidP="006042F5">
      <w:pPr>
        <w:pStyle w:val="ListParagraph"/>
        <w:numPr>
          <w:ilvl w:val="1"/>
          <w:numId w:val="11"/>
        </w:numPr>
        <w:spacing w:before="120" w:after="0" w:line="259" w:lineRule="auto"/>
        <w:ind w:left="2160"/>
        <w:rPr>
          <w:rFonts w:ascii="Tahoma" w:eastAsia="Tahoma" w:hAnsi="Tahoma" w:cs="Tahoma"/>
          <w:sz w:val="24"/>
          <w:szCs w:val="24"/>
        </w:rPr>
      </w:pPr>
      <w:r w:rsidRPr="00F86D91">
        <w:rPr>
          <w:rFonts w:ascii="Tahoma" w:eastAsia="Tahoma" w:hAnsi="Tahoma" w:cs="Tahoma"/>
          <w:sz w:val="24"/>
          <w:szCs w:val="24"/>
        </w:rPr>
        <w:t xml:space="preserve">Transformers </w:t>
      </w:r>
    </w:p>
    <w:p w14:paraId="181B95A8" w14:textId="77777777" w:rsidR="00AB0467" w:rsidRPr="00F86D91" w:rsidRDefault="00AB0467" w:rsidP="006042F5">
      <w:pPr>
        <w:pStyle w:val="ListParagraph"/>
        <w:numPr>
          <w:ilvl w:val="0"/>
          <w:numId w:val="11"/>
        </w:numPr>
        <w:spacing w:before="120" w:after="0" w:line="259" w:lineRule="auto"/>
        <w:rPr>
          <w:rFonts w:ascii="Tahoma" w:eastAsia="Symbol" w:hAnsi="Tahoma" w:cs="Tahoma"/>
          <w:sz w:val="24"/>
          <w:szCs w:val="24"/>
        </w:rPr>
      </w:pPr>
      <w:r w:rsidRPr="00F86D91">
        <w:rPr>
          <w:rFonts w:ascii="Tahoma" w:eastAsia="Tahoma" w:hAnsi="Tahoma" w:cs="Tahoma"/>
          <w:sz w:val="24"/>
          <w:szCs w:val="24"/>
        </w:rPr>
        <w:t xml:space="preserve">Electric panels </w:t>
      </w:r>
    </w:p>
    <w:p w14:paraId="75490361" w14:textId="2B1ABBD0" w:rsidR="00AB0467" w:rsidRPr="00F86D91" w:rsidRDefault="00AB0467" w:rsidP="006042F5">
      <w:pPr>
        <w:pStyle w:val="ListParagraph"/>
        <w:numPr>
          <w:ilvl w:val="1"/>
          <w:numId w:val="11"/>
        </w:numPr>
        <w:spacing w:before="120" w:after="0" w:line="259" w:lineRule="auto"/>
        <w:ind w:left="2160"/>
        <w:rPr>
          <w:rFonts w:ascii="Tahoma" w:eastAsia="Symbol" w:hAnsi="Tahoma" w:cs="Tahoma"/>
          <w:sz w:val="24"/>
          <w:szCs w:val="24"/>
        </w:rPr>
      </w:pPr>
      <w:r w:rsidRPr="00F86D91">
        <w:rPr>
          <w:rFonts w:ascii="Tahoma" w:eastAsia="Tahoma" w:hAnsi="Tahoma" w:cs="Tahoma"/>
          <w:sz w:val="24"/>
          <w:szCs w:val="24"/>
        </w:rPr>
        <w:t xml:space="preserve">Conduit </w:t>
      </w:r>
    </w:p>
    <w:p w14:paraId="0D1386AB" w14:textId="3BA3D48F" w:rsidR="00AB0467" w:rsidRPr="00F86D91" w:rsidRDefault="00AB0467" w:rsidP="006042F5">
      <w:pPr>
        <w:pStyle w:val="ListParagraph"/>
        <w:numPr>
          <w:ilvl w:val="1"/>
          <w:numId w:val="11"/>
        </w:numPr>
        <w:spacing w:before="120" w:after="0" w:line="259" w:lineRule="auto"/>
        <w:ind w:left="2160"/>
        <w:rPr>
          <w:rFonts w:ascii="Tahoma" w:eastAsia="Symbol" w:hAnsi="Tahoma" w:cs="Tahoma"/>
          <w:sz w:val="24"/>
          <w:szCs w:val="24"/>
        </w:rPr>
      </w:pPr>
      <w:r w:rsidRPr="00F86D91">
        <w:rPr>
          <w:rFonts w:ascii="Tahoma" w:eastAsia="Tahoma" w:hAnsi="Tahoma" w:cs="Tahoma"/>
          <w:sz w:val="24"/>
          <w:szCs w:val="24"/>
        </w:rPr>
        <w:t xml:space="preserve">Wiring </w:t>
      </w:r>
    </w:p>
    <w:p w14:paraId="41220D49" w14:textId="171E3C0E" w:rsidR="00AB0467" w:rsidRPr="00F86D91" w:rsidRDefault="00AB0467" w:rsidP="006042F5">
      <w:pPr>
        <w:pStyle w:val="ListParagraph"/>
        <w:numPr>
          <w:ilvl w:val="1"/>
          <w:numId w:val="11"/>
        </w:numPr>
        <w:spacing w:before="120" w:after="0" w:line="259" w:lineRule="auto"/>
        <w:ind w:left="2160"/>
        <w:rPr>
          <w:rFonts w:ascii="Tahoma" w:eastAsia="Symbol" w:hAnsi="Tahoma" w:cs="Tahoma"/>
          <w:sz w:val="24"/>
          <w:szCs w:val="24"/>
        </w:rPr>
      </w:pPr>
      <w:r w:rsidRPr="00F86D91">
        <w:rPr>
          <w:rFonts w:ascii="Tahoma" w:eastAsia="Tahoma" w:hAnsi="Tahoma" w:cs="Tahoma"/>
          <w:sz w:val="24"/>
          <w:szCs w:val="24"/>
        </w:rPr>
        <w:t xml:space="preserve">Meters </w:t>
      </w:r>
    </w:p>
    <w:p w14:paraId="52648814" w14:textId="77777777" w:rsidR="00AB0467" w:rsidRPr="00F86D91" w:rsidRDefault="00AB0467" w:rsidP="59BC4DF4">
      <w:pPr>
        <w:pStyle w:val="ListParagraph"/>
        <w:spacing w:before="120" w:after="0" w:line="259" w:lineRule="auto"/>
        <w:rPr>
          <w:rFonts w:ascii="Tahoma" w:eastAsia="Symbol" w:hAnsi="Tahoma" w:cs="Tahoma"/>
          <w:sz w:val="24"/>
          <w:szCs w:val="24"/>
        </w:rPr>
      </w:pPr>
      <w:r w:rsidRPr="00F86D91" w:rsidDel="0088073F">
        <w:rPr>
          <w:rFonts w:ascii="Tahoma" w:eastAsia="Tahoma" w:hAnsi="Tahoma" w:cs="Tahoma"/>
          <w:sz w:val="24"/>
          <w:szCs w:val="24"/>
        </w:rPr>
        <w:t>•</w:t>
      </w:r>
      <w:r w:rsidRPr="00F86D91">
        <w:rPr>
          <w:rFonts w:ascii="Tahoma" w:hAnsi="Tahoma" w:cs="Tahoma"/>
        </w:rPr>
        <w:tab/>
      </w:r>
      <w:r w:rsidRPr="00F86D91">
        <w:rPr>
          <w:rFonts w:ascii="Tahoma" w:eastAsia="Tahoma" w:hAnsi="Tahoma" w:cs="Tahoma"/>
          <w:sz w:val="24"/>
          <w:szCs w:val="24"/>
        </w:rPr>
        <w:t xml:space="preserve">Installation costs </w:t>
      </w:r>
    </w:p>
    <w:p w14:paraId="75C549F1" w14:textId="77777777" w:rsidR="00AB0467" w:rsidRPr="00F86D91" w:rsidRDefault="00AB0467" w:rsidP="59BC4DF4">
      <w:pPr>
        <w:pStyle w:val="ListParagraph"/>
        <w:spacing w:before="120" w:after="0" w:line="259" w:lineRule="auto"/>
        <w:rPr>
          <w:rFonts w:ascii="Tahoma" w:eastAsia="Symbol" w:hAnsi="Tahoma" w:cs="Tahoma"/>
          <w:sz w:val="24"/>
          <w:szCs w:val="24"/>
        </w:rPr>
      </w:pPr>
      <w:r w:rsidRPr="00F86D91">
        <w:rPr>
          <w:rFonts w:ascii="Tahoma" w:eastAsia="Tahoma" w:hAnsi="Tahoma" w:cs="Tahoma"/>
          <w:sz w:val="24"/>
          <w:szCs w:val="24"/>
        </w:rPr>
        <w:t>•</w:t>
      </w:r>
      <w:r w:rsidRPr="00F86D91">
        <w:rPr>
          <w:rFonts w:ascii="Tahoma" w:hAnsi="Tahoma" w:cs="Tahoma"/>
        </w:rPr>
        <w:tab/>
      </w:r>
      <w:r w:rsidRPr="00F86D91">
        <w:rPr>
          <w:rFonts w:ascii="Tahoma" w:eastAsia="Tahoma" w:hAnsi="Tahoma" w:cs="Tahoma"/>
          <w:sz w:val="24"/>
          <w:szCs w:val="24"/>
        </w:rPr>
        <w:t xml:space="preserve">Planning and engineering design costs </w:t>
      </w:r>
    </w:p>
    <w:p w14:paraId="2CB2AB39" w14:textId="77777777" w:rsidR="00AB0467" w:rsidRPr="00F86D91" w:rsidRDefault="00AB0467" w:rsidP="59BC4DF4">
      <w:pPr>
        <w:pStyle w:val="ListParagraph"/>
        <w:spacing w:before="120" w:after="0" w:line="259" w:lineRule="auto"/>
        <w:ind w:left="1440" w:hanging="720"/>
        <w:rPr>
          <w:rFonts w:ascii="Tahoma" w:eastAsia="Symbol" w:hAnsi="Tahoma" w:cs="Tahoma"/>
          <w:sz w:val="24"/>
          <w:szCs w:val="24"/>
        </w:rPr>
      </w:pPr>
      <w:r w:rsidRPr="00F86D91">
        <w:rPr>
          <w:rFonts w:ascii="Tahoma" w:eastAsia="Tahoma" w:hAnsi="Tahoma" w:cs="Tahoma"/>
          <w:sz w:val="24"/>
          <w:szCs w:val="24"/>
        </w:rPr>
        <w:t>•</w:t>
      </w:r>
      <w:r w:rsidRPr="00F86D91">
        <w:rPr>
          <w:rFonts w:ascii="Tahoma" w:hAnsi="Tahoma" w:cs="Tahoma"/>
        </w:rPr>
        <w:tab/>
      </w:r>
      <w:r w:rsidRPr="00F86D91">
        <w:rPr>
          <w:rFonts w:ascii="Tahoma" w:eastAsia="Tahoma" w:hAnsi="Tahoma" w:cs="Tahoma"/>
          <w:sz w:val="24"/>
          <w:szCs w:val="24"/>
        </w:rPr>
        <w:t>Stub-outs (i.e. exposed conduit for connection of future charging infrastructure)</w:t>
      </w:r>
    </w:p>
    <w:p w14:paraId="5D5F692B" w14:textId="77777777" w:rsidR="00AB0467" w:rsidRPr="00F86D91" w:rsidRDefault="00AB0467" w:rsidP="59BC4DF4">
      <w:pPr>
        <w:pStyle w:val="ListParagraph"/>
        <w:spacing w:before="120" w:after="0" w:line="259" w:lineRule="auto"/>
        <w:rPr>
          <w:rFonts w:ascii="Tahoma" w:eastAsia="Symbol" w:hAnsi="Tahoma" w:cs="Tahoma"/>
          <w:sz w:val="24"/>
          <w:szCs w:val="24"/>
        </w:rPr>
      </w:pPr>
      <w:r w:rsidRPr="00F86D91">
        <w:rPr>
          <w:rFonts w:ascii="Tahoma" w:eastAsia="Tahoma" w:hAnsi="Tahoma" w:cs="Tahoma"/>
          <w:sz w:val="24"/>
          <w:szCs w:val="24"/>
        </w:rPr>
        <w:t>•</w:t>
      </w:r>
      <w:r w:rsidRPr="00F86D91">
        <w:rPr>
          <w:rFonts w:ascii="Tahoma" w:hAnsi="Tahoma" w:cs="Tahoma"/>
        </w:rPr>
        <w:tab/>
      </w:r>
      <w:r w:rsidRPr="00F86D91">
        <w:rPr>
          <w:rFonts w:ascii="Tahoma" w:eastAsia="Tahoma" w:hAnsi="Tahoma" w:cs="Tahoma"/>
          <w:sz w:val="24"/>
          <w:szCs w:val="24"/>
        </w:rPr>
        <w:t xml:space="preserve">Demand management equipment </w:t>
      </w:r>
    </w:p>
    <w:p w14:paraId="3052910E" w14:textId="77777777" w:rsidR="00AB0467" w:rsidRPr="00F86D91" w:rsidRDefault="00AB0467" w:rsidP="59BC4DF4">
      <w:pPr>
        <w:pStyle w:val="ListParagraph"/>
        <w:numPr>
          <w:ilvl w:val="2"/>
          <w:numId w:val="2"/>
        </w:numPr>
        <w:spacing w:before="120" w:after="0" w:line="259" w:lineRule="auto"/>
        <w:ind w:left="1440" w:hanging="720"/>
        <w:rPr>
          <w:rFonts w:ascii="Tahoma" w:eastAsia="Arial" w:hAnsi="Tahoma" w:cs="Tahoma"/>
          <w:sz w:val="24"/>
          <w:szCs w:val="24"/>
        </w:rPr>
      </w:pPr>
      <w:r w:rsidRPr="00F86D91">
        <w:rPr>
          <w:rFonts w:ascii="Tahoma" w:eastAsia="Tahoma" w:hAnsi="Tahoma" w:cs="Tahoma"/>
          <w:sz w:val="24"/>
          <w:szCs w:val="24"/>
        </w:rPr>
        <w:t>Maintenance, or maintenance agreement for term of the agreement</w:t>
      </w:r>
    </w:p>
    <w:p w14:paraId="6A939848" w14:textId="0DB48FD0" w:rsidR="00AB0467" w:rsidRPr="00F86D91" w:rsidRDefault="00AB0467" w:rsidP="59BC4DF4">
      <w:pPr>
        <w:pStyle w:val="ListParagraph"/>
        <w:numPr>
          <w:ilvl w:val="2"/>
          <w:numId w:val="2"/>
        </w:numPr>
        <w:spacing w:before="120" w:after="0" w:line="259" w:lineRule="auto"/>
        <w:ind w:left="1440" w:hanging="720"/>
        <w:rPr>
          <w:rFonts w:ascii="Tahoma" w:eastAsia="Arial" w:hAnsi="Tahoma" w:cs="Tahoma"/>
          <w:sz w:val="24"/>
          <w:szCs w:val="24"/>
        </w:rPr>
      </w:pPr>
      <w:r w:rsidRPr="00F86D91">
        <w:rPr>
          <w:rFonts w:ascii="Tahoma" w:eastAsia="Tahoma" w:hAnsi="Tahoma" w:cs="Tahoma"/>
          <w:sz w:val="24"/>
          <w:szCs w:val="24"/>
        </w:rPr>
        <w:t>Lighting and signage</w:t>
      </w:r>
      <w:r w:rsidR="00C12C9C" w:rsidRPr="00F86D91">
        <w:rPr>
          <w:rFonts w:ascii="Tahoma" w:eastAsia="Tahoma" w:hAnsi="Tahoma" w:cs="Tahoma"/>
          <w:sz w:val="24"/>
          <w:szCs w:val="24"/>
        </w:rPr>
        <w:t>”</w:t>
      </w:r>
    </w:p>
    <w:p w14:paraId="7EF23AE6" w14:textId="57A555EF" w:rsidR="00550CEB" w:rsidRPr="00F86D91" w:rsidRDefault="00550CEB" w:rsidP="00550CEB">
      <w:pPr>
        <w:spacing w:after="0" w:line="240" w:lineRule="auto"/>
        <w:ind w:left="720" w:hanging="720"/>
        <w:rPr>
          <w:rFonts w:ascii="Tahoma" w:eastAsia="Arial" w:hAnsi="Tahoma" w:cs="Tahoma"/>
          <w:color w:val="000000" w:themeColor="text1"/>
          <w:sz w:val="24"/>
          <w:szCs w:val="24"/>
        </w:rPr>
      </w:pPr>
    </w:p>
    <w:p w14:paraId="212C5004" w14:textId="686057C9" w:rsidR="00AB0467" w:rsidRPr="00F86D91" w:rsidRDefault="00C12C9C" w:rsidP="00D16871">
      <w:pPr>
        <w:spacing w:after="0" w:line="240" w:lineRule="auto"/>
        <w:ind w:left="720"/>
        <w:rPr>
          <w:rFonts w:ascii="Tahoma" w:eastAsia="Arial" w:hAnsi="Tahoma" w:cs="Tahoma"/>
          <w:color w:val="000000" w:themeColor="text1"/>
          <w:sz w:val="24"/>
          <w:szCs w:val="24"/>
        </w:rPr>
      </w:pPr>
      <w:r w:rsidRPr="00F86D91">
        <w:rPr>
          <w:rFonts w:ascii="Tahoma" w:eastAsia="Tahoma" w:hAnsi="Tahoma" w:cs="Tahoma"/>
          <w:sz w:val="24"/>
          <w:szCs w:val="24"/>
        </w:rPr>
        <w:t>(Section II.B.7., page 1</w:t>
      </w:r>
      <w:r w:rsidR="00E81166">
        <w:rPr>
          <w:rFonts w:ascii="Tahoma" w:eastAsia="Tahoma" w:hAnsi="Tahoma" w:cs="Tahoma"/>
          <w:sz w:val="24"/>
          <w:szCs w:val="24"/>
        </w:rPr>
        <w:t>4</w:t>
      </w:r>
      <w:r w:rsidRPr="00F86D91">
        <w:rPr>
          <w:rFonts w:ascii="Tahoma" w:eastAsia="Tahoma" w:hAnsi="Tahoma" w:cs="Tahoma"/>
          <w:sz w:val="24"/>
          <w:szCs w:val="24"/>
        </w:rPr>
        <w:t xml:space="preserve">, </w:t>
      </w:r>
      <w:r w:rsidR="00F66475" w:rsidRPr="00F86D91">
        <w:rPr>
          <w:rFonts w:ascii="Tahoma" w:eastAsia="Tahoma" w:hAnsi="Tahoma" w:cs="Tahoma"/>
          <w:sz w:val="24"/>
          <w:szCs w:val="24"/>
        </w:rPr>
        <w:t>“</w:t>
      </w:r>
      <w:r w:rsidRPr="00F86D91">
        <w:rPr>
          <w:rFonts w:ascii="Tahoma" w:eastAsia="Tahoma" w:hAnsi="Tahoma" w:cs="Tahoma"/>
          <w:sz w:val="24"/>
          <w:szCs w:val="24"/>
        </w:rPr>
        <w:t>Eligible Project Costs</w:t>
      </w:r>
      <w:r w:rsidR="00F66475" w:rsidRPr="00F86D91">
        <w:rPr>
          <w:rFonts w:ascii="Tahoma" w:eastAsia="Tahoma" w:hAnsi="Tahoma" w:cs="Tahoma"/>
          <w:sz w:val="24"/>
          <w:szCs w:val="24"/>
        </w:rPr>
        <w:t>”</w:t>
      </w:r>
      <w:r w:rsidRPr="00F86D91">
        <w:rPr>
          <w:rFonts w:ascii="Tahoma" w:eastAsia="Tahoma" w:hAnsi="Tahoma" w:cs="Tahoma"/>
          <w:sz w:val="24"/>
          <w:szCs w:val="24"/>
        </w:rPr>
        <w:t>, Solicitation Manual</w:t>
      </w:r>
      <w:r w:rsidR="001C2D74" w:rsidRPr="00F86D91">
        <w:rPr>
          <w:rFonts w:ascii="Tahoma" w:eastAsia="Tahoma" w:hAnsi="Tahoma" w:cs="Tahoma"/>
          <w:sz w:val="24"/>
          <w:szCs w:val="24"/>
        </w:rPr>
        <w:t>)</w:t>
      </w:r>
      <w:r w:rsidR="0067338B" w:rsidRPr="00F86D91">
        <w:rPr>
          <w:rFonts w:ascii="Tahoma" w:eastAsia="Tahoma" w:hAnsi="Tahoma" w:cs="Tahoma"/>
          <w:sz w:val="24"/>
          <w:szCs w:val="24"/>
        </w:rPr>
        <w:t>.</w:t>
      </w:r>
    </w:p>
    <w:p w14:paraId="2CC6DBF8" w14:textId="77777777" w:rsidR="00550CEB" w:rsidRPr="00F86D91" w:rsidRDefault="00550CEB" w:rsidP="00550CEB">
      <w:pPr>
        <w:spacing w:after="0" w:line="240" w:lineRule="auto"/>
        <w:ind w:left="720" w:hanging="720"/>
        <w:rPr>
          <w:rFonts w:ascii="Tahoma" w:eastAsia="Arial" w:hAnsi="Tahoma" w:cs="Tahoma"/>
          <w:color w:val="000000" w:themeColor="text1"/>
          <w:sz w:val="24"/>
          <w:szCs w:val="24"/>
        </w:rPr>
      </w:pPr>
    </w:p>
    <w:p w14:paraId="097B75C5" w14:textId="39EAC99A" w:rsidR="13BF8754" w:rsidRPr="00F86D91" w:rsidRDefault="13BF8754" w:rsidP="13BF8754">
      <w:pPr>
        <w:spacing w:after="0" w:line="240" w:lineRule="auto"/>
        <w:ind w:left="720" w:hanging="720"/>
        <w:rPr>
          <w:rFonts w:ascii="Tahoma" w:eastAsia="Arial" w:hAnsi="Tahoma" w:cs="Tahoma"/>
          <w:color w:val="000000" w:themeColor="text1"/>
          <w:sz w:val="24"/>
          <w:szCs w:val="24"/>
        </w:rPr>
      </w:pPr>
    </w:p>
    <w:p w14:paraId="59333721" w14:textId="63C8145B" w:rsidR="00FA7319" w:rsidRPr="00F86D91" w:rsidRDefault="557F660A" w:rsidP="13BF8754">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35</w:t>
      </w:r>
      <w:r w:rsidRPr="00F86D91">
        <w:rPr>
          <w:rFonts w:ascii="Tahoma" w:eastAsia="Arial" w:hAnsi="Tahoma" w:cs="Tahoma"/>
          <w:b/>
          <w:bCs/>
          <w:color w:val="000000" w:themeColor="text1"/>
          <w:sz w:val="24"/>
          <w:szCs w:val="24"/>
        </w:rPr>
        <w:t>.</w:t>
      </w:r>
      <w:r w:rsidRPr="00F86D91">
        <w:rPr>
          <w:rFonts w:ascii="Tahoma" w:hAnsi="Tahoma" w:cs="Tahoma"/>
        </w:rPr>
        <w:tab/>
      </w:r>
      <w:r w:rsidR="74B220D8" w:rsidRPr="00F86D91">
        <w:rPr>
          <w:rFonts w:ascii="Tahoma" w:eastAsia="Arial" w:hAnsi="Tahoma" w:cs="Tahoma"/>
          <w:b/>
          <w:bCs/>
          <w:color w:val="000000" w:themeColor="text1"/>
          <w:sz w:val="24"/>
          <w:szCs w:val="24"/>
        </w:rPr>
        <w:t>We have a design close to 100% completion. Would the cost associated with the efforts already been done be considered to the total cost?</w:t>
      </w:r>
      <w:r w:rsidR="01E8054B" w:rsidRPr="00F86D91">
        <w:rPr>
          <w:rFonts w:ascii="Tahoma" w:eastAsia="Arial" w:hAnsi="Tahoma" w:cs="Tahoma"/>
          <w:b/>
          <w:bCs/>
          <w:color w:val="000000" w:themeColor="text1"/>
          <w:sz w:val="24"/>
          <w:szCs w:val="24"/>
        </w:rPr>
        <w:t xml:space="preserve"> </w:t>
      </w:r>
    </w:p>
    <w:p w14:paraId="442C1874" w14:textId="716E647A" w:rsidR="00FA7319" w:rsidRPr="00F86D91" w:rsidRDefault="00FA7319" w:rsidP="53234C4C">
      <w:pPr>
        <w:spacing w:after="0" w:line="240" w:lineRule="auto"/>
        <w:ind w:left="720" w:hanging="720"/>
        <w:rPr>
          <w:rFonts w:ascii="Tahoma" w:eastAsia="Arial" w:hAnsi="Tahoma" w:cs="Tahoma"/>
          <w:b/>
          <w:bCs/>
          <w:color w:val="000000" w:themeColor="text1"/>
          <w:sz w:val="24"/>
          <w:szCs w:val="24"/>
        </w:rPr>
      </w:pPr>
    </w:p>
    <w:p w14:paraId="20420FFA" w14:textId="7F589D18" w:rsidR="00131445" w:rsidRPr="00F86D91" w:rsidRDefault="557F660A" w:rsidP="00131445">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35</w:t>
      </w:r>
      <w:r w:rsidRPr="00F86D91">
        <w:rPr>
          <w:rFonts w:ascii="Tahoma" w:eastAsia="Arial" w:hAnsi="Tahoma" w:cs="Tahoma"/>
          <w:color w:val="000000" w:themeColor="text1"/>
          <w:sz w:val="24"/>
          <w:szCs w:val="24"/>
        </w:rPr>
        <w:t>.</w:t>
      </w:r>
      <w:r w:rsidRPr="00F86D91">
        <w:rPr>
          <w:rFonts w:ascii="Tahoma" w:hAnsi="Tahoma" w:cs="Tahoma"/>
        </w:rPr>
        <w:tab/>
      </w:r>
      <w:r w:rsidR="00E34A82" w:rsidRPr="00F86D91">
        <w:rPr>
          <w:rFonts w:ascii="Tahoma" w:eastAsia="Arial" w:hAnsi="Tahoma" w:cs="Tahoma"/>
          <w:color w:val="000000" w:themeColor="text1"/>
          <w:sz w:val="24"/>
          <w:szCs w:val="24"/>
        </w:rPr>
        <w:t>No,</w:t>
      </w:r>
      <w:r w:rsidR="004A3FA8" w:rsidRPr="00F86D91">
        <w:rPr>
          <w:rFonts w:ascii="Tahoma" w:eastAsia="Arial" w:hAnsi="Tahoma" w:cs="Tahoma"/>
          <w:color w:val="000000" w:themeColor="text1"/>
          <w:sz w:val="24"/>
          <w:szCs w:val="24"/>
        </w:rPr>
        <w:t xml:space="preserve"> eligible</w:t>
      </w:r>
      <w:r w:rsidR="00E34A82" w:rsidRPr="00F86D91">
        <w:rPr>
          <w:rFonts w:ascii="Tahoma" w:eastAsia="Arial" w:hAnsi="Tahoma" w:cs="Tahoma"/>
          <w:color w:val="000000" w:themeColor="text1"/>
          <w:sz w:val="24"/>
          <w:szCs w:val="24"/>
        </w:rPr>
        <w:t xml:space="preserve"> </w:t>
      </w:r>
      <w:r w:rsidR="004A3FA8" w:rsidRPr="00F86D91">
        <w:rPr>
          <w:rFonts w:ascii="Tahoma" w:eastAsia="Arial" w:hAnsi="Tahoma" w:cs="Tahoma"/>
          <w:color w:val="000000" w:themeColor="text1"/>
          <w:sz w:val="24"/>
          <w:szCs w:val="24"/>
        </w:rPr>
        <w:t xml:space="preserve">match share costs can only be incurred </w:t>
      </w:r>
      <w:r w:rsidR="00DD0993" w:rsidRPr="00F86D91">
        <w:rPr>
          <w:rFonts w:ascii="Tahoma" w:eastAsia="Arial" w:hAnsi="Tahoma" w:cs="Tahoma"/>
          <w:color w:val="000000" w:themeColor="text1"/>
          <w:sz w:val="24"/>
          <w:szCs w:val="24"/>
        </w:rPr>
        <w:t>after the Notice of Proposed Awards is released, and eligible reimbursable costs can only be incurred after the grant has been executed.</w:t>
      </w:r>
      <w:r w:rsidR="00555299" w:rsidRPr="00F86D91">
        <w:rPr>
          <w:rFonts w:ascii="Tahoma" w:eastAsia="Arial" w:hAnsi="Tahoma" w:cs="Tahoma"/>
          <w:color w:val="000000" w:themeColor="text1"/>
          <w:sz w:val="24"/>
          <w:szCs w:val="24"/>
        </w:rPr>
        <w:t xml:space="preserve"> The solicitation manual states,</w:t>
      </w:r>
      <w:r w:rsidR="00300778" w:rsidRPr="00F86D91">
        <w:rPr>
          <w:rFonts w:ascii="Tahoma" w:eastAsia="Arial" w:hAnsi="Tahoma" w:cs="Tahoma"/>
          <w:color w:val="000000" w:themeColor="text1"/>
          <w:sz w:val="24"/>
          <w:szCs w:val="24"/>
        </w:rPr>
        <w:t xml:space="preserve"> </w:t>
      </w:r>
      <w:r w:rsidR="00A12C0D" w:rsidRPr="00F86D91">
        <w:rPr>
          <w:rFonts w:ascii="Tahoma" w:eastAsia="Arial" w:hAnsi="Tahoma" w:cs="Tahoma"/>
          <w:color w:val="000000" w:themeColor="text1"/>
          <w:sz w:val="24"/>
          <w:szCs w:val="24"/>
        </w:rPr>
        <w:t xml:space="preserve">“All reimbursable expenditures must be expended within the approved term of the grant agreement. Expenditures may be 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 </w:t>
      </w:r>
      <w:r w:rsidR="00A12C0D" w:rsidRPr="00F86D91">
        <w:rPr>
          <w:rFonts w:ascii="Tahoma" w:hAnsi="Tahoma" w:cs="Tahoma"/>
          <w:sz w:val="24"/>
          <w:szCs w:val="24"/>
        </w:rPr>
        <w:t xml:space="preserve">(Section III.C.5.2.a.3., </w:t>
      </w:r>
      <w:r w:rsidR="00F454CF" w:rsidRPr="00F86D91">
        <w:rPr>
          <w:rFonts w:ascii="Tahoma" w:hAnsi="Tahoma" w:cs="Tahoma"/>
          <w:sz w:val="24"/>
          <w:szCs w:val="24"/>
        </w:rPr>
        <w:t>p</w:t>
      </w:r>
      <w:r w:rsidR="00A12C0D" w:rsidRPr="00F86D91">
        <w:rPr>
          <w:rFonts w:ascii="Tahoma" w:hAnsi="Tahoma" w:cs="Tahoma"/>
          <w:sz w:val="24"/>
          <w:szCs w:val="24"/>
        </w:rPr>
        <w:t>age 2</w:t>
      </w:r>
      <w:r w:rsidR="00AB6E8D">
        <w:rPr>
          <w:rFonts w:ascii="Tahoma" w:hAnsi="Tahoma" w:cs="Tahoma"/>
          <w:sz w:val="24"/>
          <w:szCs w:val="24"/>
        </w:rPr>
        <w:t>9</w:t>
      </w:r>
      <w:r w:rsidR="00A12C0D" w:rsidRPr="00F86D91">
        <w:rPr>
          <w:rFonts w:ascii="Tahoma" w:hAnsi="Tahoma" w:cs="Tahoma"/>
          <w:sz w:val="24"/>
          <w:szCs w:val="24"/>
        </w:rPr>
        <w:t xml:space="preserve">, </w:t>
      </w:r>
      <w:r w:rsidR="00F454CF" w:rsidRPr="00F86D91">
        <w:rPr>
          <w:rFonts w:ascii="Tahoma" w:hAnsi="Tahoma" w:cs="Tahoma"/>
          <w:sz w:val="24"/>
          <w:szCs w:val="24"/>
        </w:rPr>
        <w:t>“</w:t>
      </w:r>
      <w:r w:rsidR="00A12C0D" w:rsidRPr="00F86D91">
        <w:rPr>
          <w:rFonts w:ascii="Tahoma" w:hAnsi="Tahoma" w:cs="Tahoma"/>
          <w:sz w:val="24"/>
          <w:szCs w:val="24"/>
        </w:rPr>
        <w:t>Budget Forms</w:t>
      </w:r>
      <w:r w:rsidR="00F454CF" w:rsidRPr="00F86D91">
        <w:rPr>
          <w:rFonts w:ascii="Tahoma" w:hAnsi="Tahoma" w:cs="Tahoma"/>
          <w:sz w:val="24"/>
          <w:szCs w:val="24"/>
        </w:rPr>
        <w:t>”</w:t>
      </w:r>
      <w:r w:rsidR="00A12C0D" w:rsidRPr="00F86D91">
        <w:rPr>
          <w:rFonts w:ascii="Tahoma" w:hAnsi="Tahoma" w:cs="Tahoma"/>
          <w:sz w:val="24"/>
          <w:szCs w:val="24"/>
        </w:rPr>
        <w:t>, Solicitation Manual).</w:t>
      </w:r>
    </w:p>
    <w:p w14:paraId="2C27F00E" w14:textId="216B9AC0" w:rsidR="00FA7319" w:rsidRPr="00F86D91" w:rsidRDefault="00FA7319" w:rsidP="53234C4C">
      <w:pPr>
        <w:spacing w:after="0" w:line="240" w:lineRule="auto"/>
        <w:ind w:left="720" w:hanging="720"/>
        <w:rPr>
          <w:rFonts w:ascii="Tahoma" w:eastAsia="Arial" w:hAnsi="Tahoma" w:cs="Tahoma"/>
          <w:color w:val="000000" w:themeColor="text1"/>
          <w:sz w:val="24"/>
          <w:szCs w:val="24"/>
        </w:rPr>
      </w:pPr>
    </w:p>
    <w:p w14:paraId="08C39A98" w14:textId="6A342CD2" w:rsidR="00FA7319" w:rsidRPr="00F86D91" w:rsidRDefault="00FA7319" w:rsidP="13BF8754">
      <w:pPr>
        <w:spacing w:after="0" w:line="240" w:lineRule="auto"/>
        <w:ind w:left="720" w:hanging="720"/>
        <w:rPr>
          <w:rFonts w:ascii="Tahoma" w:eastAsia="Arial" w:hAnsi="Tahoma" w:cs="Tahoma"/>
          <w:color w:val="000000" w:themeColor="text1"/>
          <w:sz w:val="24"/>
          <w:szCs w:val="24"/>
        </w:rPr>
      </w:pPr>
    </w:p>
    <w:p w14:paraId="3D3D1236" w14:textId="3DD0F69A" w:rsidR="00570589" w:rsidRPr="00F86D91" w:rsidRDefault="00570589" w:rsidP="00570589">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36</w:t>
      </w:r>
      <w:r w:rsidRPr="00F86D91">
        <w:rPr>
          <w:rFonts w:ascii="Tahoma" w:eastAsia="Arial" w:hAnsi="Tahoma" w:cs="Tahoma"/>
          <w:b/>
          <w:bCs/>
          <w:color w:val="000000" w:themeColor="text1"/>
          <w:sz w:val="24"/>
          <w:szCs w:val="24"/>
        </w:rPr>
        <w:t>.</w:t>
      </w:r>
      <w:r w:rsidRPr="00F86D91">
        <w:rPr>
          <w:rFonts w:ascii="Tahoma" w:hAnsi="Tahoma" w:cs="Tahoma"/>
        </w:rPr>
        <w:tab/>
      </w:r>
      <w:r w:rsidR="474BEC69" w:rsidRPr="00F86D91">
        <w:rPr>
          <w:rFonts w:ascii="Tahoma" w:eastAsia="Arial" w:hAnsi="Tahoma" w:cs="Tahoma"/>
          <w:b/>
          <w:bCs/>
          <w:color w:val="000000" w:themeColor="text1"/>
          <w:sz w:val="24"/>
          <w:szCs w:val="24"/>
        </w:rPr>
        <w:t>C</w:t>
      </w:r>
      <w:r w:rsidR="61542E0C" w:rsidRPr="00F86D91">
        <w:rPr>
          <w:rFonts w:ascii="Tahoma" w:eastAsia="Arial" w:hAnsi="Tahoma" w:cs="Tahoma"/>
          <w:b/>
          <w:bCs/>
          <w:color w:val="000000" w:themeColor="text1"/>
          <w:sz w:val="24"/>
          <w:szCs w:val="24"/>
        </w:rPr>
        <w:t>an</w:t>
      </w:r>
      <w:r w:rsidRPr="00F86D91">
        <w:rPr>
          <w:rFonts w:ascii="Tahoma" w:eastAsia="Arial" w:hAnsi="Tahoma" w:cs="Tahoma"/>
          <w:b/>
          <w:bCs/>
          <w:color w:val="000000" w:themeColor="text1"/>
          <w:sz w:val="24"/>
          <w:szCs w:val="24"/>
        </w:rPr>
        <w:t xml:space="preserve"> the match funds include costs already incurred or paid where our application would be to expand charging stations at a site?  </w:t>
      </w:r>
    </w:p>
    <w:p w14:paraId="6AF07682" w14:textId="77777777" w:rsidR="00570589" w:rsidRPr="00F86D91" w:rsidRDefault="00570589" w:rsidP="00570589">
      <w:pPr>
        <w:spacing w:after="0" w:line="240" w:lineRule="auto"/>
        <w:ind w:left="720" w:hanging="720"/>
        <w:rPr>
          <w:rFonts w:ascii="Tahoma" w:eastAsia="Arial" w:hAnsi="Tahoma" w:cs="Tahoma"/>
          <w:b/>
          <w:bCs/>
          <w:color w:val="000000" w:themeColor="text1"/>
          <w:sz w:val="24"/>
          <w:szCs w:val="24"/>
        </w:rPr>
      </w:pPr>
    </w:p>
    <w:p w14:paraId="594EFE4A" w14:textId="72CAC67A" w:rsidR="009319B3" w:rsidRPr="00F86D91" w:rsidRDefault="00570589" w:rsidP="009319B3">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36</w:t>
      </w:r>
      <w:r w:rsidRPr="00F86D91">
        <w:rPr>
          <w:rFonts w:ascii="Tahoma" w:eastAsia="Arial" w:hAnsi="Tahoma" w:cs="Tahoma"/>
          <w:color w:val="000000" w:themeColor="text1"/>
          <w:sz w:val="24"/>
          <w:szCs w:val="24"/>
        </w:rPr>
        <w:t>.</w:t>
      </w:r>
      <w:r w:rsidR="003F748A" w:rsidRPr="00F86D91">
        <w:rPr>
          <w:rFonts w:ascii="Tahoma" w:hAnsi="Tahoma" w:cs="Tahoma"/>
        </w:rPr>
        <w:tab/>
      </w:r>
      <w:r w:rsidR="003F748A" w:rsidRPr="00F86D91">
        <w:rPr>
          <w:rFonts w:ascii="Tahoma" w:eastAsia="Arial" w:hAnsi="Tahoma" w:cs="Tahoma"/>
          <w:color w:val="000000" w:themeColor="text1"/>
          <w:sz w:val="24"/>
          <w:szCs w:val="24"/>
        </w:rPr>
        <w:t>No,</w:t>
      </w:r>
      <w:r w:rsidR="00177CA3" w:rsidRPr="00F86D91">
        <w:rPr>
          <w:rFonts w:ascii="Tahoma" w:eastAsia="Arial" w:hAnsi="Tahoma" w:cs="Tahoma"/>
          <w:color w:val="000000" w:themeColor="text1"/>
          <w:sz w:val="24"/>
          <w:szCs w:val="24"/>
        </w:rPr>
        <w:t xml:space="preserve"> </w:t>
      </w:r>
      <w:r w:rsidR="002A6D7A" w:rsidRPr="00F86D91">
        <w:rPr>
          <w:rFonts w:ascii="Tahoma" w:eastAsia="Arial" w:hAnsi="Tahoma" w:cs="Tahoma"/>
          <w:color w:val="000000" w:themeColor="text1"/>
          <w:sz w:val="24"/>
          <w:szCs w:val="24"/>
        </w:rPr>
        <w:t>the solicitation manual states “All reimbursable expenditures must be expended within the approved term of the grant agreement. Expenditures may be counted as match share only after CEC notifies the Applicant that its project has been proposed for an award through the release of a Notice of Proposed Awards (NOPA). However, match expenditures incurred after release of the NOPA but prior to the execution of a grant agreement are made solely at the Applicant’s own risk”</w:t>
      </w:r>
      <w:r w:rsidR="0004402C" w:rsidRPr="00F86D91">
        <w:rPr>
          <w:rFonts w:ascii="Tahoma" w:eastAsia="Arial" w:hAnsi="Tahoma" w:cs="Tahoma"/>
          <w:color w:val="000000" w:themeColor="text1"/>
          <w:sz w:val="24"/>
          <w:szCs w:val="24"/>
        </w:rPr>
        <w:t xml:space="preserve"> </w:t>
      </w:r>
      <w:r w:rsidR="0004402C" w:rsidRPr="00F86D91">
        <w:rPr>
          <w:rFonts w:ascii="Tahoma" w:hAnsi="Tahoma" w:cs="Tahoma"/>
          <w:sz w:val="24"/>
          <w:szCs w:val="24"/>
        </w:rPr>
        <w:t>(Section III.C.5.2.a.</w:t>
      </w:r>
      <w:r w:rsidR="002A6D7A" w:rsidRPr="00F86D91">
        <w:rPr>
          <w:rFonts w:ascii="Tahoma" w:hAnsi="Tahoma" w:cs="Tahoma"/>
          <w:sz w:val="24"/>
          <w:szCs w:val="24"/>
        </w:rPr>
        <w:t>3</w:t>
      </w:r>
      <w:r w:rsidR="0004402C" w:rsidRPr="00F86D91">
        <w:rPr>
          <w:rFonts w:ascii="Tahoma" w:hAnsi="Tahoma" w:cs="Tahoma"/>
          <w:sz w:val="24"/>
          <w:szCs w:val="24"/>
        </w:rPr>
        <w:t xml:space="preserve">., </w:t>
      </w:r>
      <w:r w:rsidR="00F454CF" w:rsidRPr="00F86D91">
        <w:rPr>
          <w:rFonts w:ascii="Tahoma" w:hAnsi="Tahoma" w:cs="Tahoma"/>
          <w:sz w:val="24"/>
          <w:szCs w:val="24"/>
        </w:rPr>
        <w:t>p</w:t>
      </w:r>
      <w:r w:rsidR="0004402C" w:rsidRPr="00F86D91">
        <w:rPr>
          <w:rFonts w:ascii="Tahoma" w:hAnsi="Tahoma" w:cs="Tahoma"/>
          <w:sz w:val="24"/>
          <w:szCs w:val="24"/>
        </w:rPr>
        <w:t>age 2</w:t>
      </w:r>
      <w:r w:rsidR="00AB6E8D">
        <w:rPr>
          <w:rFonts w:ascii="Tahoma" w:hAnsi="Tahoma" w:cs="Tahoma"/>
          <w:sz w:val="24"/>
          <w:szCs w:val="24"/>
        </w:rPr>
        <w:t>9</w:t>
      </w:r>
      <w:r w:rsidR="0004402C" w:rsidRPr="00F86D91">
        <w:rPr>
          <w:rFonts w:ascii="Tahoma" w:hAnsi="Tahoma" w:cs="Tahoma"/>
          <w:sz w:val="24"/>
          <w:szCs w:val="24"/>
        </w:rPr>
        <w:t xml:space="preserve">, </w:t>
      </w:r>
      <w:r w:rsidR="00F454CF" w:rsidRPr="00F86D91">
        <w:rPr>
          <w:rFonts w:ascii="Tahoma" w:hAnsi="Tahoma" w:cs="Tahoma"/>
          <w:sz w:val="24"/>
          <w:szCs w:val="24"/>
        </w:rPr>
        <w:t>“</w:t>
      </w:r>
      <w:r w:rsidR="0004402C" w:rsidRPr="00F86D91">
        <w:rPr>
          <w:rFonts w:ascii="Tahoma" w:hAnsi="Tahoma" w:cs="Tahoma"/>
          <w:sz w:val="24"/>
          <w:szCs w:val="24"/>
        </w:rPr>
        <w:t>Budget Forms</w:t>
      </w:r>
      <w:r w:rsidR="00F454CF" w:rsidRPr="00F86D91">
        <w:rPr>
          <w:rFonts w:ascii="Tahoma" w:hAnsi="Tahoma" w:cs="Tahoma"/>
          <w:sz w:val="24"/>
          <w:szCs w:val="24"/>
        </w:rPr>
        <w:t>”</w:t>
      </w:r>
      <w:r w:rsidR="0004402C" w:rsidRPr="00F86D91">
        <w:rPr>
          <w:rFonts w:ascii="Tahoma" w:hAnsi="Tahoma" w:cs="Tahoma"/>
          <w:sz w:val="24"/>
          <w:szCs w:val="24"/>
        </w:rPr>
        <w:t>, Solicitation Manual).</w:t>
      </w:r>
    </w:p>
    <w:p w14:paraId="7265BD47" w14:textId="467E536B" w:rsidR="00FA7319" w:rsidRPr="00F86D91" w:rsidRDefault="00FA7319" w:rsidP="00570589">
      <w:pPr>
        <w:spacing w:after="0" w:line="240" w:lineRule="auto"/>
        <w:ind w:left="720" w:hanging="720"/>
        <w:rPr>
          <w:rFonts w:ascii="Tahoma" w:eastAsia="Arial" w:hAnsi="Tahoma" w:cs="Tahoma"/>
          <w:color w:val="000000" w:themeColor="text1"/>
          <w:sz w:val="24"/>
          <w:szCs w:val="24"/>
        </w:rPr>
      </w:pPr>
    </w:p>
    <w:p w14:paraId="369A282F" w14:textId="77777777" w:rsidR="00570589" w:rsidRPr="00F86D91" w:rsidRDefault="00570589" w:rsidP="00570589">
      <w:pPr>
        <w:spacing w:after="0" w:line="240" w:lineRule="auto"/>
        <w:ind w:left="720" w:hanging="720"/>
        <w:rPr>
          <w:rFonts w:ascii="Tahoma" w:eastAsia="Arial" w:hAnsi="Tahoma" w:cs="Tahoma"/>
          <w:color w:val="000000" w:themeColor="text1"/>
          <w:sz w:val="24"/>
          <w:szCs w:val="24"/>
        </w:rPr>
      </w:pPr>
    </w:p>
    <w:p w14:paraId="5018EC54" w14:textId="2804DD40" w:rsidR="00FA7319" w:rsidRPr="00F86D91" w:rsidRDefault="557F660A" w:rsidP="00B42019">
      <w:pPr>
        <w:spacing w:after="0" w:line="240" w:lineRule="auto"/>
        <w:ind w:left="720" w:hanging="720"/>
        <w:rPr>
          <w:rFonts w:ascii="Tahoma" w:eastAsia="Arial" w:hAnsi="Tahoma" w:cs="Tahoma"/>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37</w:t>
      </w:r>
      <w:r w:rsidRPr="00F86D91">
        <w:rPr>
          <w:rFonts w:ascii="Tahoma" w:eastAsia="Arial" w:hAnsi="Tahoma" w:cs="Tahoma"/>
          <w:b/>
          <w:bCs/>
          <w:color w:val="000000" w:themeColor="text1"/>
          <w:sz w:val="24"/>
          <w:szCs w:val="24"/>
        </w:rPr>
        <w:t>.</w:t>
      </w:r>
      <w:r w:rsidRPr="00F86D91">
        <w:rPr>
          <w:rFonts w:ascii="Tahoma" w:hAnsi="Tahoma" w:cs="Tahoma"/>
        </w:rPr>
        <w:tab/>
      </w:r>
      <w:r w:rsidR="77DE4F7D" w:rsidRPr="00F86D91">
        <w:rPr>
          <w:rFonts w:ascii="Tahoma" w:eastAsia="Arial" w:hAnsi="Tahoma" w:cs="Tahoma"/>
          <w:b/>
          <w:bCs/>
          <w:color w:val="000000" w:themeColor="text1"/>
          <w:sz w:val="24"/>
          <w:szCs w:val="24"/>
        </w:rPr>
        <w:t>Can the value of the land that the charging stations are being installed upon be considered match funds</w:t>
      </w:r>
      <w:r w:rsidR="00177CA3" w:rsidRPr="00F86D91">
        <w:rPr>
          <w:rFonts w:ascii="Tahoma" w:eastAsia="Arial" w:hAnsi="Tahoma" w:cs="Tahoma"/>
          <w:b/>
          <w:bCs/>
          <w:color w:val="000000" w:themeColor="text1"/>
          <w:sz w:val="24"/>
          <w:szCs w:val="24"/>
        </w:rPr>
        <w:t xml:space="preserve">, and if so, would this be </w:t>
      </w:r>
      <w:r w:rsidR="69C31D0D" w:rsidRPr="00F86D91">
        <w:rPr>
          <w:rFonts w:ascii="Tahoma" w:eastAsia="Arial" w:hAnsi="Tahoma" w:cs="Tahoma"/>
          <w:b/>
          <w:bCs/>
          <w:color w:val="000000" w:themeColor="text1"/>
          <w:sz w:val="24"/>
          <w:szCs w:val="24"/>
        </w:rPr>
        <w:t>considered “cash” or in-kind match funds</w:t>
      </w:r>
      <w:r w:rsidR="00234C14" w:rsidRPr="00F86D91">
        <w:rPr>
          <w:rFonts w:ascii="Tahoma" w:eastAsia="Arial" w:hAnsi="Tahoma" w:cs="Tahoma"/>
          <w:b/>
          <w:bCs/>
          <w:color w:val="000000" w:themeColor="text1"/>
          <w:sz w:val="24"/>
          <w:szCs w:val="24"/>
        </w:rPr>
        <w:t>?</w:t>
      </w:r>
    </w:p>
    <w:p w14:paraId="500CF0D8" w14:textId="716E647A" w:rsidR="00FA7319" w:rsidRPr="00F86D91" w:rsidRDefault="00FA7319" w:rsidP="53234C4C">
      <w:pPr>
        <w:spacing w:after="0" w:line="240" w:lineRule="auto"/>
        <w:ind w:left="720" w:hanging="720"/>
        <w:rPr>
          <w:rFonts w:ascii="Tahoma" w:eastAsia="Arial" w:hAnsi="Tahoma" w:cs="Tahoma"/>
          <w:b/>
          <w:bCs/>
          <w:color w:val="000000" w:themeColor="text1"/>
          <w:sz w:val="24"/>
          <w:szCs w:val="24"/>
        </w:rPr>
      </w:pPr>
    </w:p>
    <w:p w14:paraId="667A34FA" w14:textId="6336A508" w:rsidR="00142B1D" w:rsidRPr="00F86D91" w:rsidRDefault="557F660A" w:rsidP="53234C4C">
      <w:pPr>
        <w:spacing w:after="0" w:line="240" w:lineRule="auto"/>
        <w:ind w:left="720" w:hanging="720"/>
        <w:rPr>
          <w:rFonts w:ascii="Tahoma" w:hAnsi="Tahoma" w:cs="Tahoma"/>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37</w:t>
      </w:r>
      <w:r w:rsidRPr="00F86D91">
        <w:rPr>
          <w:rFonts w:ascii="Tahoma" w:eastAsia="Arial" w:hAnsi="Tahoma" w:cs="Tahoma"/>
          <w:color w:val="000000" w:themeColor="text1"/>
          <w:sz w:val="24"/>
          <w:szCs w:val="24"/>
        </w:rPr>
        <w:t>.</w:t>
      </w:r>
      <w:r w:rsidRPr="00F86D91">
        <w:rPr>
          <w:rFonts w:ascii="Tahoma" w:hAnsi="Tahoma" w:cs="Tahoma"/>
        </w:rPr>
        <w:tab/>
      </w:r>
      <w:r w:rsidR="0072321E" w:rsidRPr="00F86D91">
        <w:rPr>
          <w:rFonts w:ascii="Tahoma" w:eastAsia="Arial" w:hAnsi="Tahoma" w:cs="Tahoma"/>
          <w:color w:val="000000" w:themeColor="text1"/>
          <w:sz w:val="24"/>
          <w:szCs w:val="24"/>
        </w:rPr>
        <w:t>The</w:t>
      </w:r>
      <w:r w:rsidR="00142B1D" w:rsidRPr="00F86D91">
        <w:rPr>
          <w:rFonts w:ascii="Tahoma" w:eastAsia="Arial" w:hAnsi="Tahoma" w:cs="Tahoma"/>
          <w:color w:val="000000" w:themeColor="text1"/>
          <w:sz w:val="24"/>
          <w:szCs w:val="24"/>
        </w:rPr>
        <w:t xml:space="preserve"> solicitation manual states, “</w:t>
      </w:r>
      <w:r w:rsidR="00142B1D" w:rsidRPr="00F86D91">
        <w:rPr>
          <w:rFonts w:ascii="Tahoma" w:hAnsi="Tahoma" w:cs="Tahoma"/>
          <w:sz w:val="24"/>
          <w:szCs w:val="24"/>
        </w:rPr>
        <w:t>Applicant in-kind match share can be in the form of volunteer labor, real property, existing equipment, existing supplies, services provided by a third-party or subcontract, and other expendable property. The value of in-kind match is based on the fair market value of the goods and services provided at the time it is claimed as match</w:t>
      </w:r>
      <w:r w:rsidR="00AE3EB6" w:rsidRPr="00F86D91">
        <w:rPr>
          <w:rFonts w:ascii="Tahoma" w:hAnsi="Tahoma" w:cs="Tahoma"/>
          <w:sz w:val="24"/>
          <w:szCs w:val="24"/>
        </w:rPr>
        <w:t>” (Section II.C.3</w:t>
      </w:r>
      <w:r w:rsidR="00785323" w:rsidRPr="00F86D91">
        <w:rPr>
          <w:rFonts w:ascii="Tahoma" w:hAnsi="Tahoma" w:cs="Tahoma"/>
          <w:sz w:val="24"/>
          <w:szCs w:val="24"/>
        </w:rPr>
        <w:t xml:space="preserve">., page </w:t>
      </w:r>
      <w:r w:rsidR="00F70496">
        <w:rPr>
          <w:rFonts w:ascii="Tahoma" w:hAnsi="Tahoma" w:cs="Tahoma"/>
          <w:sz w:val="24"/>
          <w:szCs w:val="24"/>
        </w:rPr>
        <w:t>18</w:t>
      </w:r>
      <w:r w:rsidR="00785323" w:rsidRPr="00F86D91">
        <w:rPr>
          <w:rFonts w:ascii="Tahoma" w:hAnsi="Tahoma" w:cs="Tahoma"/>
          <w:sz w:val="24"/>
          <w:szCs w:val="24"/>
        </w:rPr>
        <w:t xml:space="preserve">, </w:t>
      </w:r>
      <w:r w:rsidR="00F454CF" w:rsidRPr="00F86D91">
        <w:rPr>
          <w:rFonts w:ascii="Tahoma" w:hAnsi="Tahoma" w:cs="Tahoma"/>
          <w:sz w:val="24"/>
          <w:szCs w:val="24"/>
        </w:rPr>
        <w:t>“</w:t>
      </w:r>
      <w:r w:rsidR="00785323" w:rsidRPr="00F86D91">
        <w:rPr>
          <w:rFonts w:ascii="Tahoma" w:hAnsi="Tahoma" w:cs="Tahoma"/>
          <w:sz w:val="24"/>
          <w:szCs w:val="24"/>
        </w:rPr>
        <w:t>In-Kind Match Share</w:t>
      </w:r>
      <w:r w:rsidR="00F454CF" w:rsidRPr="00F86D91">
        <w:rPr>
          <w:rFonts w:ascii="Tahoma" w:hAnsi="Tahoma" w:cs="Tahoma"/>
          <w:sz w:val="24"/>
          <w:szCs w:val="24"/>
        </w:rPr>
        <w:t>”</w:t>
      </w:r>
      <w:r w:rsidR="00785323" w:rsidRPr="00F86D91">
        <w:rPr>
          <w:rFonts w:ascii="Tahoma" w:hAnsi="Tahoma" w:cs="Tahoma"/>
          <w:sz w:val="24"/>
          <w:szCs w:val="24"/>
        </w:rPr>
        <w:t>, Solicitation Manual)</w:t>
      </w:r>
      <w:r w:rsidR="0016254B" w:rsidRPr="00F86D91">
        <w:rPr>
          <w:rFonts w:ascii="Tahoma" w:hAnsi="Tahoma" w:cs="Tahoma"/>
          <w:sz w:val="24"/>
          <w:szCs w:val="24"/>
        </w:rPr>
        <w:t>.</w:t>
      </w:r>
    </w:p>
    <w:p w14:paraId="2E03B37A" w14:textId="77777777" w:rsidR="00142B1D" w:rsidRPr="00F86D91" w:rsidRDefault="00142B1D" w:rsidP="53234C4C">
      <w:pPr>
        <w:spacing w:after="0" w:line="240" w:lineRule="auto"/>
        <w:ind w:left="720" w:hanging="720"/>
        <w:rPr>
          <w:rFonts w:ascii="Tahoma" w:eastAsia="Arial" w:hAnsi="Tahoma" w:cs="Tahoma"/>
          <w:color w:val="000000" w:themeColor="text1"/>
          <w:sz w:val="24"/>
          <w:szCs w:val="24"/>
        </w:rPr>
      </w:pPr>
    </w:p>
    <w:p w14:paraId="3B0114F8" w14:textId="42EBA670" w:rsidR="00DE27C8" w:rsidRPr="00F86D91" w:rsidRDefault="00142B1D" w:rsidP="00142B1D">
      <w:pPr>
        <w:spacing w:after="0" w:line="240" w:lineRule="auto"/>
        <w:ind w:left="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The</w:t>
      </w:r>
      <w:r w:rsidR="0072321E" w:rsidRPr="00F86D91">
        <w:rPr>
          <w:rFonts w:ascii="Tahoma" w:eastAsia="Arial" w:hAnsi="Tahoma" w:cs="Tahoma"/>
          <w:color w:val="000000" w:themeColor="text1"/>
          <w:sz w:val="24"/>
          <w:szCs w:val="24"/>
        </w:rPr>
        <w:t xml:space="preserve"> solicitation manual </w:t>
      </w:r>
      <w:r w:rsidRPr="00F86D91">
        <w:rPr>
          <w:rFonts w:ascii="Tahoma" w:eastAsia="Arial" w:hAnsi="Tahoma" w:cs="Tahoma"/>
          <w:color w:val="000000" w:themeColor="text1"/>
          <w:sz w:val="24"/>
          <w:szCs w:val="24"/>
        </w:rPr>
        <w:t xml:space="preserve">also </w:t>
      </w:r>
      <w:r w:rsidR="0072321E" w:rsidRPr="00F86D91">
        <w:rPr>
          <w:rFonts w:ascii="Tahoma" w:eastAsia="Arial" w:hAnsi="Tahoma" w:cs="Tahoma"/>
          <w:color w:val="000000" w:themeColor="text1"/>
          <w:sz w:val="24"/>
          <w:szCs w:val="24"/>
        </w:rPr>
        <w:t>states, “</w:t>
      </w:r>
      <w:r w:rsidR="301C9E4B" w:rsidRPr="00F86D91">
        <w:rPr>
          <w:rFonts w:ascii="Tahoma" w:eastAsia="Arial" w:hAnsi="Tahoma" w:cs="Tahoma"/>
          <w:color w:val="000000" w:themeColor="text1"/>
          <w:sz w:val="24"/>
          <w:szCs w:val="24"/>
        </w:rPr>
        <w:t>Donated property may be claimed as match based on the fair market value of renting or leasing the property. Fair market value is based on rental costs of comparable property (if any), market conditions in the area, alternatives available and the type, life expectancy, condition, and value of the property</w:t>
      </w:r>
      <w:r w:rsidR="00AB67CF" w:rsidRPr="00F86D91">
        <w:rPr>
          <w:rFonts w:ascii="Tahoma" w:eastAsia="Arial" w:hAnsi="Tahoma" w:cs="Tahoma"/>
          <w:color w:val="000000" w:themeColor="text1"/>
          <w:sz w:val="24"/>
          <w:szCs w:val="24"/>
        </w:rPr>
        <w:t>.</w:t>
      </w:r>
      <w:r w:rsidR="00F473F7" w:rsidRPr="00F86D91">
        <w:rPr>
          <w:rFonts w:ascii="Tahoma" w:eastAsia="Arial" w:hAnsi="Tahoma" w:cs="Tahoma"/>
          <w:color w:val="000000" w:themeColor="text1"/>
          <w:sz w:val="24"/>
          <w:szCs w:val="24"/>
        </w:rPr>
        <w:t>”</w:t>
      </w:r>
      <w:r w:rsidR="00AC699A" w:rsidRPr="00F86D91">
        <w:rPr>
          <w:rFonts w:ascii="Tahoma" w:eastAsia="Arial" w:hAnsi="Tahoma" w:cs="Tahoma"/>
          <w:color w:val="000000" w:themeColor="text1"/>
          <w:sz w:val="24"/>
          <w:szCs w:val="24"/>
        </w:rPr>
        <w:t xml:space="preserve"> </w:t>
      </w:r>
      <w:r w:rsidR="00AC699A" w:rsidRPr="00F86D91">
        <w:rPr>
          <w:rFonts w:ascii="Tahoma" w:hAnsi="Tahoma" w:cs="Tahoma"/>
          <w:sz w:val="24"/>
          <w:szCs w:val="24"/>
        </w:rPr>
        <w:t>(Section II.C.4., page 1</w:t>
      </w:r>
      <w:r w:rsidR="00F270BC">
        <w:rPr>
          <w:rFonts w:ascii="Tahoma" w:hAnsi="Tahoma" w:cs="Tahoma"/>
          <w:sz w:val="24"/>
          <w:szCs w:val="24"/>
        </w:rPr>
        <w:t>9</w:t>
      </w:r>
      <w:r w:rsidR="00AC699A" w:rsidRPr="00F86D91">
        <w:rPr>
          <w:rFonts w:ascii="Tahoma" w:hAnsi="Tahoma" w:cs="Tahoma"/>
          <w:sz w:val="24"/>
          <w:szCs w:val="24"/>
        </w:rPr>
        <w:t>, “Match Share Restrictions”, Solicitation Manual).</w:t>
      </w:r>
    </w:p>
    <w:p w14:paraId="6F701183" w14:textId="77777777" w:rsidR="00DE27C8" w:rsidRPr="00F86D91" w:rsidRDefault="00DE27C8" w:rsidP="53234C4C">
      <w:pPr>
        <w:spacing w:after="0" w:line="240" w:lineRule="auto"/>
        <w:ind w:left="720" w:hanging="720"/>
        <w:rPr>
          <w:rFonts w:ascii="Tahoma" w:eastAsia="Arial" w:hAnsi="Tahoma" w:cs="Tahoma"/>
          <w:color w:val="000000" w:themeColor="text1"/>
          <w:sz w:val="24"/>
          <w:szCs w:val="24"/>
        </w:rPr>
      </w:pPr>
    </w:p>
    <w:p w14:paraId="0F1D7CF6" w14:textId="606AC700" w:rsidR="00D35098" w:rsidRPr="00F86D91" w:rsidRDefault="00315F90" w:rsidP="00176477">
      <w:pPr>
        <w:spacing w:after="0" w:line="240" w:lineRule="auto"/>
        <w:ind w:left="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lastRenderedPageBreak/>
        <w:t>For existing property owned by the grant recipient, the solicitation manual states, “</w:t>
      </w:r>
      <w:r w:rsidR="301C9E4B" w:rsidRPr="00F86D91">
        <w:rPr>
          <w:rFonts w:ascii="Tahoma" w:eastAsia="Arial" w:hAnsi="Tahoma" w:cs="Tahoma"/>
          <w:color w:val="000000" w:themeColor="text1"/>
          <w:sz w:val="24"/>
          <w:szCs w:val="24"/>
        </w:rPr>
        <w:t>Applicants may use the</w:t>
      </w:r>
      <w:r w:rsidR="00DE27C8" w:rsidRPr="00F86D91">
        <w:rPr>
          <w:rFonts w:ascii="Tahoma" w:eastAsia="Arial" w:hAnsi="Tahoma" w:cs="Tahoma"/>
          <w:color w:val="000000" w:themeColor="text1"/>
          <w:sz w:val="24"/>
          <w:szCs w:val="24"/>
        </w:rPr>
        <w:t xml:space="preserve"> </w:t>
      </w:r>
      <w:r w:rsidR="301C9E4B" w:rsidRPr="00F86D91">
        <w:rPr>
          <w:rFonts w:ascii="Tahoma" w:eastAsia="Arial" w:hAnsi="Tahoma" w:cs="Tahoma"/>
          <w:color w:val="000000" w:themeColor="text1"/>
          <w:sz w:val="24"/>
          <w:szCs w:val="24"/>
        </w:rPr>
        <w:t>property’s depreciation expense as a method to allocate the value of the property to the project. Valuation will need to be documented to support the initial acquisition costs as well as the method of depreciation.</w:t>
      </w:r>
      <w:r w:rsidRPr="00F86D91">
        <w:rPr>
          <w:rFonts w:ascii="Tahoma" w:eastAsia="Arial" w:hAnsi="Tahoma" w:cs="Tahoma"/>
          <w:color w:val="000000" w:themeColor="text1"/>
          <w:sz w:val="24"/>
          <w:szCs w:val="24"/>
        </w:rPr>
        <w:t>”</w:t>
      </w:r>
      <w:r w:rsidR="00AC699A" w:rsidRPr="00F86D91">
        <w:rPr>
          <w:rFonts w:ascii="Tahoma" w:hAnsi="Tahoma" w:cs="Tahoma"/>
          <w:sz w:val="24"/>
          <w:szCs w:val="24"/>
        </w:rPr>
        <w:t xml:space="preserve"> (Section II.C.4., page 1</w:t>
      </w:r>
      <w:r w:rsidR="00F70496">
        <w:rPr>
          <w:rFonts w:ascii="Tahoma" w:hAnsi="Tahoma" w:cs="Tahoma"/>
          <w:sz w:val="24"/>
          <w:szCs w:val="24"/>
        </w:rPr>
        <w:t>9</w:t>
      </w:r>
      <w:r w:rsidR="00AC699A" w:rsidRPr="00F86D91">
        <w:rPr>
          <w:rFonts w:ascii="Tahoma" w:hAnsi="Tahoma" w:cs="Tahoma"/>
          <w:sz w:val="24"/>
          <w:szCs w:val="24"/>
        </w:rPr>
        <w:t>, “Match Share Restrictions”, Solicitation Manual).</w:t>
      </w:r>
    </w:p>
    <w:p w14:paraId="1B4F24D1" w14:textId="77777777" w:rsidR="00D35098" w:rsidRPr="00F86D91" w:rsidRDefault="00D35098" w:rsidP="00176477">
      <w:pPr>
        <w:spacing w:after="0" w:line="240" w:lineRule="auto"/>
        <w:ind w:left="720"/>
        <w:rPr>
          <w:rFonts w:ascii="Tahoma" w:eastAsia="Arial" w:hAnsi="Tahoma" w:cs="Tahoma"/>
          <w:color w:val="000000" w:themeColor="text1"/>
          <w:sz w:val="24"/>
          <w:szCs w:val="24"/>
        </w:rPr>
      </w:pPr>
    </w:p>
    <w:p w14:paraId="3BAE6DF9" w14:textId="6D5A1916" w:rsidR="00FA7319" w:rsidRPr="00F86D91" w:rsidRDefault="00D35098" w:rsidP="00176477">
      <w:pPr>
        <w:spacing w:after="0" w:line="240" w:lineRule="auto"/>
        <w:ind w:left="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Additionally, the solicitation manual states, “</w:t>
      </w:r>
      <w:r w:rsidR="301C9E4B" w:rsidRPr="00F86D91">
        <w:rPr>
          <w:rFonts w:ascii="Tahoma" w:eastAsia="Arial" w:hAnsi="Tahoma" w:cs="Tahoma"/>
          <w:color w:val="000000" w:themeColor="text1"/>
          <w:sz w:val="24"/>
          <w:szCs w:val="24"/>
        </w:rPr>
        <w:t xml:space="preserve">Valuation of Land – Land cannot be depreciated. If the value of land is claimed as match, the Applicant must provide documentation to support a fair market value for the use of the land (i.e., rent or lease cost) for the time period it is used. Appraised value of land cannot be used since this represents the full </w:t>
      </w:r>
      <w:r w:rsidR="000F3ED8" w:rsidRPr="00F86D91">
        <w:rPr>
          <w:rFonts w:ascii="Tahoma" w:hAnsi="Tahoma" w:cs="Tahoma"/>
          <w:sz w:val="24"/>
          <w:szCs w:val="24"/>
        </w:rPr>
        <w:t>value of the land if it is sold which includes value beyond the term of the proposed project</w:t>
      </w:r>
      <w:r w:rsidR="00B42019" w:rsidRPr="00F86D91">
        <w:rPr>
          <w:rFonts w:ascii="Tahoma" w:hAnsi="Tahoma" w:cs="Tahoma"/>
          <w:sz w:val="24"/>
          <w:szCs w:val="24"/>
        </w:rPr>
        <w:t xml:space="preserve">” </w:t>
      </w:r>
      <w:bookmarkStart w:id="1" w:name="_Hlk161231068"/>
      <w:r w:rsidR="00B42019" w:rsidRPr="00F86D91">
        <w:rPr>
          <w:rFonts w:ascii="Tahoma" w:hAnsi="Tahoma" w:cs="Tahoma"/>
          <w:sz w:val="24"/>
          <w:szCs w:val="24"/>
        </w:rPr>
        <w:t>(Section II.C.4., page 1</w:t>
      </w:r>
      <w:r w:rsidR="007F7290" w:rsidRPr="00F86D91">
        <w:rPr>
          <w:rFonts w:ascii="Tahoma" w:hAnsi="Tahoma" w:cs="Tahoma"/>
          <w:sz w:val="24"/>
          <w:szCs w:val="24"/>
        </w:rPr>
        <w:t>9</w:t>
      </w:r>
      <w:r w:rsidR="00B42019" w:rsidRPr="00F86D91">
        <w:rPr>
          <w:rFonts w:ascii="Tahoma" w:hAnsi="Tahoma" w:cs="Tahoma"/>
          <w:sz w:val="24"/>
          <w:szCs w:val="24"/>
        </w:rPr>
        <w:t xml:space="preserve">, </w:t>
      </w:r>
      <w:r w:rsidR="0067338B" w:rsidRPr="00F86D91">
        <w:rPr>
          <w:rFonts w:ascii="Tahoma" w:hAnsi="Tahoma" w:cs="Tahoma"/>
          <w:sz w:val="24"/>
          <w:szCs w:val="24"/>
        </w:rPr>
        <w:t>“</w:t>
      </w:r>
      <w:r w:rsidR="00B42019" w:rsidRPr="00F86D91">
        <w:rPr>
          <w:rFonts w:ascii="Tahoma" w:hAnsi="Tahoma" w:cs="Tahoma"/>
          <w:sz w:val="24"/>
          <w:szCs w:val="24"/>
        </w:rPr>
        <w:t>Match Share Restrictions</w:t>
      </w:r>
      <w:r w:rsidR="0067338B" w:rsidRPr="00F86D91">
        <w:rPr>
          <w:rFonts w:ascii="Tahoma" w:hAnsi="Tahoma" w:cs="Tahoma"/>
          <w:sz w:val="24"/>
          <w:szCs w:val="24"/>
        </w:rPr>
        <w:t>”</w:t>
      </w:r>
      <w:r w:rsidR="00B42019" w:rsidRPr="00F86D91">
        <w:rPr>
          <w:rFonts w:ascii="Tahoma" w:hAnsi="Tahoma" w:cs="Tahoma"/>
          <w:sz w:val="24"/>
          <w:szCs w:val="24"/>
        </w:rPr>
        <w:t>, Solicitation Manual).</w:t>
      </w:r>
      <w:bookmarkEnd w:id="1"/>
    </w:p>
    <w:p w14:paraId="62E83BB6" w14:textId="12C5635F" w:rsidR="00FA7319" w:rsidRPr="00F86D91" w:rsidRDefault="00FA7319" w:rsidP="53234C4C">
      <w:pPr>
        <w:spacing w:after="0" w:line="240" w:lineRule="auto"/>
        <w:ind w:left="720" w:hanging="720"/>
        <w:rPr>
          <w:rFonts w:ascii="Tahoma" w:eastAsia="Arial" w:hAnsi="Tahoma" w:cs="Tahoma"/>
          <w:color w:val="000000" w:themeColor="text1"/>
          <w:sz w:val="24"/>
          <w:szCs w:val="24"/>
        </w:rPr>
      </w:pPr>
    </w:p>
    <w:p w14:paraId="64EC35EF" w14:textId="77777777" w:rsidR="00B42019" w:rsidRPr="00F86D91" w:rsidRDefault="00B42019" w:rsidP="53234C4C">
      <w:pPr>
        <w:spacing w:after="0" w:line="240" w:lineRule="auto"/>
        <w:ind w:left="720" w:hanging="720"/>
        <w:rPr>
          <w:rFonts w:ascii="Tahoma" w:eastAsia="Arial" w:hAnsi="Tahoma" w:cs="Tahoma"/>
          <w:color w:val="000000" w:themeColor="text1"/>
          <w:sz w:val="24"/>
          <w:szCs w:val="24"/>
        </w:rPr>
      </w:pPr>
    </w:p>
    <w:p w14:paraId="1CDD35CF" w14:textId="18BE9AA0" w:rsidR="00FA7319" w:rsidRPr="00F86D91" w:rsidRDefault="65730F06"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38</w:t>
      </w:r>
      <w:r w:rsidRPr="00F86D91">
        <w:rPr>
          <w:rFonts w:ascii="Tahoma" w:eastAsia="Arial" w:hAnsi="Tahoma" w:cs="Tahoma"/>
          <w:b/>
          <w:bCs/>
          <w:color w:val="000000" w:themeColor="text1"/>
          <w:sz w:val="24"/>
          <w:szCs w:val="24"/>
        </w:rPr>
        <w:t>.</w:t>
      </w:r>
      <w:r w:rsidRPr="00F86D91">
        <w:rPr>
          <w:rFonts w:ascii="Tahoma" w:hAnsi="Tahoma" w:cs="Tahoma"/>
        </w:rPr>
        <w:tab/>
      </w:r>
      <w:r w:rsidR="0335DC7E" w:rsidRPr="00F86D91">
        <w:rPr>
          <w:rFonts w:ascii="Tahoma" w:eastAsia="Arial" w:hAnsi="Tahoma" w:cs="Tahoma"/>
          <w:b/>
          <w:bCs/>
          <w:color w:val="000000" w:themeColor="text1"/>
          <w:sz w:val="24"/>
          <w:szCs w:val="24"/>
        </w:rPr>
        <w:t xml:space="preserve">Can the funding be used for </w:t>
      </w:r>
      <w:r w:rsidR="7C43048E" w:rsidRPr="00F86D91">
        <w:rPr>
          <w:rFonts w:ascii="Tahoma" w:eastAsia="Arial" w:hAnsi="Tahoma" w:cs="Tahoma"/>
          <w:b/>
          <w:bCs/>
          <w:color w:val="000000" w:themeColor="text1"/>
          <w:sz w:val="24"/>
          <w:szCs w:val="24"/>
        </w:rPr>
        <w:t>architecture</w:t>
      </w:r>
      <w:r w:rsidR="007F66E7" w:rsidRPr="00F86D91">
        <w:rPr>
          <w:rFonts w:ascii="Tahoma" w:eastAsia="Arial" w:hAnsi="Tahoma" w:cs="Tahoma"/>
          <w:b/>
          <w:bCs/>
          <w:color w:val="000000" w:themeColor="text1"/>
          <w:sz w:val="24"/>
          <w:szCs w:val="24"/>
        </w:rPr>
        <w:t xml:space="preserve"> </w:t>
      </w:r>
      <w:r w:rsidR="00DB3D2E" w:rsidRPr="00F86D91">
        <w:rPr>
          <w:rFonts w:ascii="Tahoma" w:eastAsia="Arial" w:hAnsi="Tahoma" w:cs="Tahoma"/>
          <w:b/>
          <w:bCs/>
          <w:color w:val="000000" w:themeColor="text1"/>
          <w:sz w:val="24"/>
          <w:szCs w:val="24"/>
        </w:rPr>
        <w:t>and engineering</w:t>
      </w:r>
      <w:r w:rsidR="0335DC7E" w:rsidRPr="00F86D91" w:rsidDel="00DB3D2E">
        <w:rPr>
          <w:rFonts w:ascii="Tahoma" w:eastAsia="Arial" w:hAnsi="Tahoma" w:cs="Tahoma"/>
          <w:b/>
          <w:bCs/>
          <w:color w:val="000000" w:themeColor="text1"/>
          <w:sz w:val="24"/>
          <w:szCs w:val="24"/>
        </w:rPr>
        <w:t xml:space="preserve"> </w:t>
      </w:r>
      <w:r w:rsidR="0335DC7E" w:rsidRPr="00F86D91">
        <w:rPr>
          <w:rFonts w:ascii="Tahoma" w:eastAsia="Arial" w:hAnsi="Tahoma" w:cs="Tahoma"/>
          <w:b/>
          <w:bCs/>
          <w:color w:val="000000" w:themeColor="text1"/>
          <w:sz w:val="24"/>
          <w:szCs w:val="24"/>
        </w:rPr>
        <w:t>for site design or is it specifically for the EV stations hardware?</w:t>
      </w:r>
    </w:p>
    <w:p w14:paraId="638A233C" w14:textId="716E647A" w:rsidR="00FA7319" w:rsidRPr="00F86D91" w:rsidRDefault="00FA7319" w:rsidP="53234C4C">
      <w:pPr>
        <w:spacing w:after="0" w:line="240" w:lineRule="auto"/>
        <w:ind w:left="720" w:hanging="720"/>
        <w:rPr>
          <w:rFonts w:ascii="Tahoma" w:eastAsia="Arial" w:hAnsi="Tahoma" w:cs="Tahoma"/>
          <w:b/>
          <w:bCs/>
          <w:color w:val="000000" w:themeColor="text1"/>
          <w:sz w:val="24"/>
          <w:szCs w:val="24"/>
        </w:rPr>
      </w:pPr>
    </w:p>
    <w:p w14:paraId="56A82ACC" w14:textId="2377197F" w:rsidR="00910E65" w:rsidRPr="00F86D91" w:rsidRDefault="65730F06" w:rsidP="00910E65">
      <w:pPr>
        <w:spacing w:after="0" w:line="240" w:lineRule="auto"/>
        <w:ind w:left="720" w:hanging="720"/>
        <w:rPr>
          <w:rFonts w:ascii="Tahoma" w:hAnsi="Tahoma" w:cs="Tahoma"/>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38</w:t>
      </w:r>
      <w:r w:rsidRPr="00F86D91">
        <w:rPr>
          <w:rFonts w:ascii="Tahoma" w:eastAsia="Arial" w:hAnsi="Tahoma" w:cs="Tahoma"/>
          <w:color w:val="000000" w:themeColor="text1"/>
          <w:sz w:val="24"/>
          <w:szCs w:val="24"/>
        </w:rPr>
        <w:t>.</w:t>
      </w:r>
      <w:r w:rsidRPr="00F86D91">
        <w:rPr>
          <w:rFonts w:ascii="Tahoma" w:hAnsi="Tahoma" w:cs="Tahoma"/>
        </w:rPr>
        <w:tab/>
      </w:r>
      <w:r w:rsidR="00910E65" w:rsidRPr="00F86D91">
        <w:rPr>
          <w:rFonts w:ascii="Tahoma" w:hAnsi="Tahoma" w:cs="Tahoma"/>
          <w:sz w:val="24"/>
          <w:szCs w:val="24"/>
        </w:rPr>
        <w:t>Yes, the solicitation manual states “</w:t>
      </w:r>
      <w:r w:rsidR="00456809" w:rsidRPr="00F86D91">
        <w:rPr>
          <w:rFonts w:ascii="Tahoma" w:hAnsi="Tahoma" w:cs="Tahoma"/>
          <w:sz w:val="24"/>
          <w:szCs w:val="24"/>
        </w:rPr>
        <w:t>Costs incurred for</w:t>
      </w:r>
      <w:r w:rsidR="00910E65" w:rsidRPr="00F86D91">
        <w:rPr>
          <w:rFonts w:ascii="Tahoma" w:hAnsi="Tahoma" w:cs="Tahoma"/>
          <w:sz w:val="24"/>
          <w:szCs w:val="24"/>
        </w:rPr>
        <w:t xml:space="preserve"> the following are eligible </w:t>
      </w:r>
      <w:r w:rsidR="00456809" w:rsidRPr="00F86D91">
        <w:rPr>
          <w:rFonts w:ascii="Tahoma" w:hAnsi="Tahoma" w:cs="Tahoma"/>
          <w:sz w:val="24"/>
          <w:szCs w:val="24"/>
        </w:rPr>
        <w:t>for CEC reimbursement or as the Applicant’s match share:</w:t>
      </w:r>
    </w:p>
    <w:p w14:paraId="0C7EAE07" w14:textId="77777777" w:rsidR="00910E65" w:rsidRPr="00F86D91" w:rsidRDefault="00910E65" w:rsidP="00910E65">
      <w:pPr>
        <w:pStyle w:val="ListParagraph"/>
        <w:numPr>
          <w:ilvl w:val="0"/>
          <w:numId w:val="3"/>
        </w:numPr>
        <w:spacing w:before="120" w:after="0" w:line="259" w:lineRule="auto"/>
        <w:ind w:left="1440" w:hanging="720"/>
        <w:rPr>
          <w:rFonts w:ascii="Tahoma" w:hAnsi="Tahoma" w:cs="Tahoma"/>
          <w:sz w:val="24"/>
          <w:szCs w:val="24"/>
        </w:rPr>
      </w:pPr>
      <w:r w:rsidRPr="00F86D91">
        <w:rPr>
          <w:rFonts w:ascii="Tahoma" w:hAnsi="Tahoma" w:cs="Tahoma"/>
          <w:sz w:val="24"/>
          <w:szCs w:val="24"/>
        </w:rPr>
        <w:t>EVSE</w:t>
      </w:r>
    </w:p>
    <w:p w14:paraId="72E6F4D1" w14:textId="77777777" w:rsidR="00910E65" w:rsidRPr="00F86D91" w:rsidRDefault="00910E65" w:rsidP="00910E65">
      <w:pPr>
        <w:pStyle w:val="ListParagraph"/>
        <w:numPr>
          <w:ilvl w:val="0"/>
          <w:numId w:val="3"/>
        </w:numPr>
        <w:spacing w:before="120" w:after="0" w:line="259" w:lineRule="auto"/>
        <w:ind w:left="1440" w:hanging="720"/>
        <w:rPr>
          <w:rFonts w:ascii="Tahoma" w:hAnsi="Tahoma" w:cs="Tahoma"/>
          <w:sz w:val="24"/>
          <w:szCs w:val="24"/>
        </w:rPr>
      </w:pPr>
      <w:r w:rsidRPr="00F86D91">
        <w:rPr>
          <w:rFonts w:ascii="Tahoma" w:hAnsi="Tahoma" w:cs="Tahoma"/>
          <w:sz w:val="24"/>
          <w:szCs w:val="24"/>
        </w:rPr>
        <w:t>Applicant’s cost-share of utility installation:</w:t>
      </w:r>
    </w:p>
    <w:p w14:paraId="214AF18F" w14:textId="76B42313" w:rsidR="00910E65" w:rsidRPr="00F86D91" w:rsidRDefault="00910E65" w:rsidP="006042F5">
      <w:pPr>
        <w:pStyle w:val="ListParagraph"/>
        <w:numPr>
          <w:ilvl w:val="1"/>
          <w:numId w:val="10"/>
        </w:numPr>
        <w:spacing w:before="120" w:after="0" w:line="259" w:lineRule="auto"/>
        <w:ind w:left="2160"/>
        <w:rPr>
          <w:rFonts w:ascii="Tahoma" w:eastAsia="Tahoma" w:hAnsi="Tahoma" w:cs="Tahoma"/>
          <w:sz w:val="24"/>
          <w:szCs w:val="24"/>
        </w:rPr>
      </w:pPr>
      <w:r w:rsidRPr="00F86D91">
        <w:rPr>
          <w:rFonts w:ascii="Tahoma" w:eastAsia="Tahoma" w:hAnsi="Tahoma" w:cs="Tahoma"/>
          <w:sz w:val="24"/>
          <w:szCs w:val="24"/>
        </w:rPr>
        <w:t xml:space="preserve">Transformers </w:t>
      </w:r>
    </w:p>
    <w:p w14:paraId="5321C9B3" w14:textId="77777777" w:rsidR="00910E65" w:rsidRPr="00F86D91" w:rsidRDefault="00910E65" w:rsidP="006042F5">
      <w:pPr>
        <w:pStyle w:val="ListParagraph"/>
        <w:numPr>
          <w:ilvl w:val="0"/>
          <w:numId w:val="10"/>
        </w:numPr>
        <w:spacing w:before="120" w:after="0" w:line="259" w:lineRule="auto"/>
        <w:rPr>
          <w:rFonts w:ascii="Tahoma" w:eastAsia="Symbol" w:hAnsi="Tahoma" w:cs="Tahoma"/>
          <w:sz w:val="24"/>
          <w:szCs w:val="24"/>
        </w:rPr>
      </w:pPr>
      <w:r w:rsidRPr="00F86D91">
        <w:rPr>
          <w:rFonts w:ascii="Tahoma" w:eastAsia="Tahoma" w:hAnsi="Tahoma" w:cs="Tahoma"/>
          <w:sz w:val="24"/>
          <w:szCs w:val="24"/>
        </w:rPr>
        <w:t xml:space="preserve">Electric panels </w:t>
      </w:r>
    </w:p>
    <w:p w14:paraId="5243AE32" w14:textId="511FE6F1" w:rsidR="00910E65" w:rsidRPr="00F86D91" w:rsidRDefault="00910E65" w:rsidP="006042F5">
      <w:pPr>
        <w:pStyle w:val="ListParagraph"/>
        <w:numPr>
          <w:ilvl w:val="1"/>
          <w:numId w:val="10"/>
        </w:numPr>
        <w:spacing w:before="120" w:after="0" w:line="259" w:lineRule="auto"/>
        <w:ind w:left="2160"/>
        <w:rPr>
          <w:rFonts w:ascii="Tahoma" w:eastAsia="Symbol" w:hAnsi="Tahoma" w:cs="Tahoma"/>
          <w:sz w:val="24"/>
          <w:szCs w:val="24"/>
        </w:rPr>
      </w:pPr>
      <w:r w:rsidRPr="00F86D91">
        <w:rPr>
          <w:rFonts w:ascii="Tahoma" w:eastAsia="Tahoma" w:hAnsi="Tahoma" w:cs="Tahoma"/>
          <w:sz w:val="24"/>
          <w:szCs w:val="24"/>
        </w:rPr>
        <w:t xml:space="preserve">Conduit </w:t>
      </w:r>
    </w:p>
    <w:p w14:paraId="097E89A9" w14:textId="4FEB797A" w:rsidR="00910E65" w:rsidRPr="00F86D91" w:rsidRDefault="00910E65" w:rsidP="006042F5">
      <w:pPr>
        <w:pStyle w:val="ListParagraph"/>
        <w:numPr>
          <w:ilvl w:val="1"/>
          <w:numId w:val="10"/>
        </w:numPr>
        <w:spacing w:before="120" w:after="0" w:line="259" w:lineRule="auto"/>
        <w:ind w:left="2160"/>
        <w:rPr>
          <w:rFonts w:ascii="Tahoma" w:eastAsia="Symbol" w:hAnsi="Tahoma" w:cs="Tahoma"/>
          <w:sz w:val="24"/>
          <w:szCs w:val="24"/>
        </w:rPr>
      </w:pPr>
      <w:r w:rsidRPr="00F86D91">
        <w:rPr>
          <w:rFonts w:ascii="Tahoma" w:eastAsia="Tahoma" w:hAnsi="Tahoma" w:cs="Tahoma"/>
          <w:sz w:val="24"/>
          <w:szCs w:val="24"/>
        </w:rPr>
        <w:t xml:space="preserve">Wiring </w:t>
      </w:r>
    </w:p>
    <w:p w14:paraId="5673D589" w14:textId="17A01391" w:rsidR="00910E65" w:rsidRPr="00F86D91" w:rsidRDefault="00910E65" w:rsidP="006042F5">
      <w:pPr>
        <w:pStyle w:val="ListParagraph"/>
        <w:numPr>
          <w:ilvl w:val="1"/>
          <w:numId w:val="10"/>
        </w:numPr>
        <w:spacing w:before="120" w:after="0" w:line="259" w:lineRule="auto"/>
        <w:ind w:left="2160"/>
        <w:rPr>
          <w:rFonts w:ascii="Tahoma" w:eastAsia="Symbol" w:hAnsi="Tahoma" w:cs="Tahoma"/>
          <w:sz w:val="24"/>
          <w:szCs w:val="24"/>
        </w:rPr>
      </w:pPr>
      <w:r w:rsidRPr="00F86D91">
        <w:rPr>
          <w:rFonts w:ascii="Tahoma" w:eastAsia="Tahoma" w:hAnsi="Tahoma" w:cs="Tahoma"/>
          <w:sz w:val="24"/>
          <w:szCs w:val="24"/>
        </w:rPr>
        <w:t xml:space="preserve">Meters </w:t>
      </w:r>
    </w:p>
    <w:p w14:paraId="34D3CB00" w14:textId="77777777" w:rsidR="00910E65" w:rsidRPr="00F86D91" w:rsidRDefault="00910E65" w:rsidP="00910E65">
      <w:pPr>
        <w:pStyle w:val="ListParagraph"/>
        <w:spacing w:before="120" w:after="0" w:line="259" w:lineRule="auto"/>
        <w:rPr>
          <w:rFonts w:ascii="Tahoma" w:eastAsia="Symbol" w:hAnsi="Tahoma" w:cs="Tahoma"/>
          <w:sz w:val="24"/>
          <w:szCs w:val="24"/>
        </w:rPr>
      </w:pPr>
      <w:r w:rsidRPr="00F86D91" w:rsidDel="0088073F">
        <w:rPr>
          <w:rFonts w:ascii="Tahoma" w:eastAsia="Tahoma" w:hAnsi="Tahoma" w:cs="Tahoma"/>
          <w:sz w:val="24"/>
          <w:szCs w:val="24"/>
        </w:rPr>
        <w:t>•</w:t>
      </w:r>
      <w:r w:rsidRPr="00F86D91">
        <w:rPr>
          <w:rFonts w:ascii="Tahoma" w:hAnsi="Tahoma" w:cs="Tahoma"/>
          <w:sz w:val="24"/>
          <w:szCs w:val="24"/>
        </w:rPr>
        <w:tab/>
      </w:r>
      <w:r w:rsidRPr="00F86D91">
        <w:rPr>
          <w:rFonts w:ascii="Tahoma" w:eastAsia="Tahoma" w:hAnsi="Tahoma" w:cs="Tahoma"/>
          <w:sz w:val="24"/>
          <w:szCs w:val="24"/>
        </w:rPr>
        <w:t xml:space="preserve">Installation costs </w:t>
      </w:r>
    </w:p>
    <w:p w14:paraId="3C1F9DDC" w14:textId="77777777" w:rsidR="00910E65" w:rsidRPr="00F86D91" w:rsidRDefault="00910E65" w:rsidP="00910E65">
      <w:pPr>
        <w:pStyle w:val="ListParagraph"/>
        <w:spacing w:before="120" w:after="0" w:line="259" w:lineRule="auto"/>
        <w:rPr>
          <w:rFonts w:ascii="Tahoma" w:eastAsia="Symbol" w:hAnsi="Tahoma" w:cs="Tahoma"/>
          <w:sz w:val="24"/>
          <w:szCs w:val="24"/>
        </w:rPr>
      </w:pPr>
      <w:r w:rsidRPr="00F86D91">
        <w:rPr>
          <w:rFonts w:ascii="Tahoma" w:eastAsia="Tahoma" w:hAnsi="Tahoma" w:cs="Tahoma"/>
          <w:sz w:val="24"/>
          <w:szCs w:val="24"/>
        </w:rPr>
        <w:t>•</w:t>
      </w:r>
      <w:r w:rsidRPr="00F86D91">
        <w:rPr>
          <w:rFonts w:ascii="Tahoma" w:hAnsi="Tahoma" w:cs="Tahoma"/>
          <w:sz w:val="24"/>
          <w:szCs w:val="24"/>
        </w:rPr>
        <w:tab/>
      </w:r>
      <w:r w:rsidRPr="00F86D91">
        <w:rPr>
          <w:rFonts w:ascii="Tahoma" w:eastAsia="Tahoma" w:hAnsi="Tahoma" w:cs="Tahoma"/>
          <w:sz w:val="24"/>
          <w:szCs w:val="24"/>
        </w:rPr>
        <w:t xml:space="preserve">Planning and engineering design costs </w:t>
      </w:r>
    </w:p>
    <w:p w14:paraId="23F7D91D" w14:textId="77777777" w:rsidR="00910E65" w:rsidRPr="00F86D91" w:rsidRDefault="00910E65" w:rsidP="00910E65">
      <w:pPr>
        <w:pStyle w:val="ListParagraph"/>
        <w:spacing w:before="120" w:after="0" w:line="259" w:lineRule="auto"/>
        <w:ind w:left="1440" w:hanging="720"/>
        <w:rPr>
          <w:rFonts w:ascii="Tahoma" w:eastAsia="Symbol" w:hAnsi="Tahoma" w:cs="Tahoma"/>
          <w:sz w:val="24"/>
          <w:szCs w:val="24"/>
        </w:rPr>
      </w:pPr>
      <w:r w:rsidRPr="00F86D91">
        <w:rPr>
          <w:rFonts w:ascii="Tahoma" w:eastAsia="Tahoma" w:hAnsi="Tahoma" w:cs="Tahoma"/>
          <w:sz w:val="24"/>
          <w:szCs w:val="24"/>
        </w:rPr>
        <w:t>•</w:t>
      </w:r>
      <w:r w:rsidRPr="00F86D91">
        <w:rPr>
          <w:rFonts w:ascii="Tahoma" w:hAnsi="Tahoma" w:cs="Tahoma"/>
          <w:sz w:val="24"/>
          <w:szCs w:val="24"/>
        </w:rPr>
        <w:tab/>
      </w:r>
      <w:r w:rsidRPr="00F86D91">
        <w:rPr>
          <w:rFonts w:ascii="Tahoma" w:eastAsia="Tahoma" w:hAnsi="Tahoma" w:cs="Tahoma"/>
          <w:sz w:val="24"/>
          <w:szCs w:val="24"/>
        </w:rPr>
        <w:t>Stub-outs (i.e. exposed conduit for connection of future charging infrastructure)</w:t>
      </w:r>
    </w:p>
    <w:p w14:paraId="7650FF5B" w14:textId="77777777" w:rsidR="00910E65" w:rsidRPr="00F86D91" w:rsidRDefault="00910E65" w:rsidP="00910E65">
      <w:pPr>
        <w:pStyle w:val="ListParagraph"/>
        <w:spacing w:before="120" w:after="0" w:line="259" w:lineRule="auto"/>
        <w:rPr>
          <w:rFonts w:ascii="Tahoma" w:eastAsia="Symbol" w:hAnsi="Tahoma" w:cs="Tahoma"/>
          <w:sz w:val="24"/>
          <w:szCs w:val="24"/>
        </w:rPr>
      </w:pPr>
      <w:r w:rsidRPr="00F86D91">
        <w:rPr>
          <w:rFonts w:ascii="Tahoma" w:eastAsia="Tahoma" w:hAnsi="Tahoma" w:cs="Tahoma"/>
          <w:sz w:val="24"/>
          <w:szCs w:val="24"/>
        </w:rPr>
        <w:t>•</w:t>
      </w:r>
      <w:r w:rsidRPr="00F86D91">
        <w:rPr>
          <w:rFonts w:ascii="Tahoma" w:hAnsi="Tahoma" w:cs="Tahoma"/>
          <w:sz w:val="24"/>
          <w:szCs w:val="24"/>
        </w:rPr>
        <w:tab/>
      </w:r>
      <w:r w:rsidRPr="00F86D91">
        <w:rPr>
          <w:rFonts w:ascii="Tahoma" w:eastAsia="Tahoma" w:hAnsi="Tahoma" w:cs="Tahoma"/>
          <w:sz w:val="24"/>
          <w:szCs w:val="24"/>
        </w:rPr>
        <w:t xml:space="preserve">Demand management equipment </w:t>
      </w:r>
    </w:p>
    <w:p w14:paraId="1C612D63" w14:textId="77777777" w:rsidR="00910E65" w:rsidRPr="00F86D91" w:rsidRDefault="00910E65" w:rsidP="00910E65">
      <w:pPr>
        <w:pStyle w:val="ListParagraph"/>
        <w:numPr>
          <w:ilvl w:val="2"/>
          <w:numId w:val="2"/>
        </w:numPr>
        <w:spacing w:before="120" w:after="0" w:line="259" w:lineRule="auto"/>
        <w:ind w:left="1440" w:hanging="720"/>
        <w:rPr>
          <w:rFonts w:ascii="Tahoma" w:eastAsia="Arial" w:hAnsi="Tahoma" w:cs="Tahoma"/>
          <w:sz w:val="24"/>
          <w:szCs w:val="24"/>
        </w:rPr>
      </w:pPr>
      <w:r w:rsidRPr="00F86D91">
        <w:rPr>
          <w:rFonts w:ascii="Tahoma" w:eastAsia="Tahoma" w:hAnsi="Tahoma" w:cs="Tahoma"/>
          <w:sz w:val="24"/>
          <w:szCs w:val="24"/>
        </w:rPr>
        <w:t>Maintenance, or maintenance agreement for term of the agreement</w:t>
      </w:r>
    </w:p>
    <w:p w14:paraId="5716F506" w14:textId="77777777" w:rsidR="00910E65" w:rsidRPr="00F86D91" w:rsidRDefault="00910E65" w:rsidP="00910E65">
      <w:pPr>
        <w:pStyle w:val="ListParagraph"/>
        <w:numPr>
          <w:ilvl w:val="2"/>
          <w:numId w:val="2"/>
        </w:numPr>
        <w:spacing w:before="120" w:after="0" w:line="259" w:lineRule="auto"/>
        <w:ind w:left="1440" w:hanging="720"/>
        <w:rPr>
          <w:rFonts w:ascii="Tahoma" w:eastAsia="Arial" w:hAnsi="Tahoma" w:cs="Tahoma"/>
          <w:sz w:val="24"/>
          <w:szCs w:val="24"/>
        </w:rPr>
      </w:pPr>
      <w:r w:rsidRPr="00F86D91">
        <w:rPr>
          <w:rFonts w:ascii="Tahoma" w:eastAsia="Tahoma" w:hAnsi="Tahoma" w:cs="Tahoma"/>
          <w:sz w:val="24"/>
          <w:szCs w:val="24"/>
        </w:rPr>
        <w:t>Lighting and signage”</w:t>
      </w:r>
    </w:p>
    <w:p w14:paraId="26C2BAA7" w14:textId="77777777" w:rsidR="00910E65" w:rsidRPr="00F86D91" w:rsidRDefault="00910E65" w:rsidP="00910E65">
      <w:pPr>
        <w:spacing w:after="0" w:line="240" w:lineRule="auto"/>
        <w:ind w:left="720" w:hanging="720"/>
        <w:rPr>
          <w:rFonts w:ascii="Tahoma" w:eastAsia="Arial" w:hAnsi="Tahoma" w:cs="Tahoma"/>
          <w:color w:val="000000" w:themeColor="text1"/>
          <w:sz w:val="24"/>
          <w:szCs w:val="24"/>
        </w:rPr>
      </w:pPr>
    </w:p>
    <w:p w14:paraId="177F597C" w14:textId="67445987" w:rsidR="00910E65" w:rsidRPr="00F86D91" w:rsidRDefault="00910E65" w:rsidP="00823804">
      <w:pPr>
        <w:spacing w:after="0" w:line="240" w:lineRule="auto"/>
        <w:ind w:left="720"/>
        <w:rPr>
          <w:rFonts w:ascii="Tahoma" w:eastAsia="Arial" w:hAnsi="Tahoma" w:cs="Tahoma"/>
          <w:color w:val="000000" w:themeColor="text1"/>
          <w:sz w:val="24"/>
          <w:szCs w:val="24"/>
        </w:rPr>
      </w:pPr>
      <w:r w:rsidRPr="00F86D91">
        <w:rPr>
          <w:rFonts w:ascii="Tahoma" w:eastAsia="Tahoma" w:hAnsi="Tahoma" w:cs="Tahoma"/>
          <w:sz w:val="24"/>
          <w:szCs w:val="24"/>
        </w:rPr>
        <w:t>(Section II.B.7., page 1</w:t>
      </w:r>
      <w:r w:rsidR="00CF5FD9">
        <w:rPr>
          <w:rFonts w:ascii="Tahoma" w:eastAsia="Tahoma" w:hAnsi="Tahoma" w:cs="Tahoma"/>
          <w:sz w:val="24"/>
          <w:szCs w:val="24"/>
        </w:rPr>
        <w:t>4</w:t>
      </w:r>
      <w:r w:rsidRPr="00F86D91">
        <w:rPr>
          <w:rFonts w:ascii="Tahoma" w:eastAsia="Tahoma" w:hAnsi="Tahoma" w:cs="Tahoma"/>
          <w:sz w:val="24"/>
          <w:szCs w:val="24"/>
        </w:rPr>
        <w:t xml:space="preserve">, </w:t>
      </w:r>
      <w:r w:rsidR="0067338B" w:rsidRPr="00F86D91">
        <w:rPr>
          <w:rFonts w:ascii="Tahoma" w:eastAsia="Tahoma" w:hAnsi="Tahoma" w:cs="Tahoma"/>
          <w:sz w:val="24"/>
          <w:szCs w:val="24"/>
        </w:rPr>
        <w:t>“</w:t>
      </w:r>
      <w:r w:rsidRPr="00F86D91">
        <w:rPr>
          <w:rFonts w:ascii="Tahoma" w:eastAsia="Tahoma" w:hAnsi="Tahoma" w:cs="Tahoma"/>
          <w:sz w:val="24"/>
          <w:szCs w:val="24"/>
        </w:rPr>
        <w:t>Eligible Project Costs</w:t>
      </w:r>
      <w:r w:rsidR="0067338B" w:rsidRPr="00F86D91">
        <w:rPr>
          <w:rFonts w:ascii="Tahoma" w:eastAsia="Tahoma" w:hAnsi="Tahoma" w:cs="Tahoma"/>
          <w:sz w:val="24"/>
          <w:szCs w:val="24"/>
        </w:rPr>
        <w:t>”</w:t>
      </w:r>
      <w:r w:rsidRPr="00F86D91">
        <w:rPr>
          <w:rFonts w:ascii="Tahoma" w:eastAsia="Tahoma" w:hAnsi="Tahoma" w:cs="Tahoma"/>
          <w:sz w:val="24"/>
          <w:szCs w:val="24"/>
        </w:rPr>
        <w:t>, Solicitation Manual)</w:t>
      </w:r>
      <w:r w:rsidR="0067338B" w:rsidRPr="00F86D91">
        <w:rPr>
          <w:rFonts w:ascii="Tahoma" w:eastAsia="Tahoma" w:hAnsi="Tahoma" w:cs="Tahoma"/>
          <w:sz w:val="24"/>
          <w:szCs w:val="24"/>
        </w:rPr>
        <w:t>.</w:t>
      </w:r>
    </w:p>
    <w:p w14:paraId="312ED6D0" w14:textId="0B98A219" w:rsidR="00CC69E4" w:rsidRPr="00F86D91" w:rsidRDefault="00CC69E4" w:rsidP="00910E65">
      <w:pPr>
        <w:spacing w:after="0" w:line="240" w:lineRule="auto"/>
        <w:ind w:left="720" w:hanging="720"/>
        <w:rPr>
          <w:rFonts w:ascii="Tahoma" w:eastAsia="Arial" w:hAnsi="Tahoma" w:cs="Tahoma"/>
          <w:color w:val="000000" w:themeColor="text1"/>
          <w:sz w:val="24"/>
          <w:szCs w:val="24"/>
        </w:rPr>
      </w:pPr>
    </w:p>
    <w:p w14:paraId="3DA04CF1" w14:textId="77777777" w:rsidR="00CC69E4" w:rsidRPr="00F86D91" w:rsidRDefault="00CC69E4" w:rsidP="59BC4DF4">
      <w:pPr>
        <w:spacing w:after="0" w:line="240" w:lineRule="auto"/>
        <w:rPr>
          <w:rFonts w:ascii="Tahoma" w:eastAsia="Arial" w:hAnsi="Tahoma" w:cs="Tahoma"/>
          <w:color w:val="000000" w:themeColor="text1"/>
          <w:sz w:val="24"/>
          <w:szCs w:val="24"/>
        </w:rPr>
      </w:pPr>
    </w:p>
    <w:p w14:paraId="017DE8BD" w14:textId="5876FB21" w:rsidR="00FA7319" w:rsidRPr="00F86D91" w:rsidRDefault="65730F06" w:rsidP="13BF8754">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lastRenderedPageBreak/>
        <w:t>Q</w:t>
      </w:r>
      <w:r w:rsidR="00823804" w:rsidRPr="00F86D91">
        <w:rPr>
          <w:rFonts w:ascii="Tahoma" w:eastAsia="Arial" w:hAnsi="Tahoma" w:cs="Tahoma"/>
          <w:b/>
          <w:bCs/>
          <w:color w:val="000000" w:themeColor="text1"/>
          <w:sz w:val="24"/>
          <w:szCs w:val="24"/>
        </w:rPr>
        <w:t>39</w:t>
      </w:r>
      <w:r w:rsidRPr="00F86D91">
        <w:rPr>
          <w:rFonts w:ascii="Tahoma" w:eastAsia="Arial" w:hAnsi="Tahoma" w:cs="Tahoma"/>
          <w:b/>
          <w:bCs/>
          <w:color w:val="000000" w:themeColor="text1"/>
          <w:sz w:val="24"/>
          <w:szCs w:val="24"/>
        </w:rPr>
        <w:t>.</w:t>
      </w:r>
      <w:r w:rsidRPr="00F86D91">
        <w:rPr>
          <w:rFonts w:ascii="Tahoma" w:hAnsi="Tahoma" w:cs="Tahoma"/>
        </w:rPr>
        <w:tab/>
      </w:r>
      <w:r w:rsidR="7C429241" w:rsidRPr="00F86D91">
        <w:rPr>
          <w:rFonts w:ascii="Tahoma" w:eastAsia="Arial" w:hAnsi="Tahoma" w:cs="Tahoma"/>
          <w:b/>
          <w:bCs/>
          <w:color w:val="000000" w:themeColor="text1"/>
          <w:sz w:val="24"/>
          <w:szCs w:val="24"/>
        </w:rPr>
        <w:t>Can future proofing for the site which will later include medium- and heavy-duty vehicles be eligible as match funding?</w:t>
      </w:r>
    </w:p>
    <w:p w14:paraId="45AE6CE4" w14:textId="716E647A" w:rsidR="00FA7319" w:rsidRPr="00F86D91" w:rsidRDefault="00FA7319" w:rsidP="53234C4C">
      <w:pPr>
        <w:spacing w:after="0" w:line="240" w:lineRule="auto"/>
        <w:ind w:left="720" w:hanging="720"/>
        <w:rPr>
          <w:rFonts w:ascii="Tahoma" w:eastAsia="Arial" w:hAnsi="Tahoma" w:cs="Tahoma"/>
          <w:b/>
          <w:bCs/>
          <w:color w:val="000000" w:themeColor="text1"/>
          <w:sz w:val="24"/>
          <w:szCs w:val="24"/>
        </w:rPr>
      </w:pPr>
    </w:p>
    <w:p w14:paraId="7E5E378C" w14:textId="15D5E621" w:rsidR="00FA7319" w:rsidRPr="00F86D91" w:rsidRDefault="1CC2A41F" w:rsidP="53234C4C">
      <w:pPr>
        <w:spacing w:after="0" w:line="240" w:lineRule="auto"/>
        <w:ind w:left="720" w:hanging="720"/>
        <w:rPr>
          <w:rFonts w:ascii="Tahoma" w:eastAsia="Arial" w:hAnsi="Tahoma" w:cs="Tahoma"/>
          <w:b/>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39</w:t>
      </w:r>
      <w:r w:rsidRPr="00F86D91">
        <w:rPr>
          <w:rFonts w:ascii="Tahoma" w:eastAsia="Arial" w:hAnsi="Tahoma" w:cs="Tahoma"/>
          <w:color w:val="000000" w:themeColor="text1"/>
          <w:sz w:val="24"/>
          <w:szCs w:val="24"/>
        </w:rPr>
        <w:t>.</w:t>
      </w:r>
      <w:r w:rsidR="65730F06" w:rsidRPr="00F86D91">
        <w:rPr>
          <w:rFonts w:ascii="Tahoma" w:hAnsi="Tahoma" w:cs="Tahoma"/>
        </w:rPr>
        <w:tab/>
      </w:r>
      <w:r w:rsidR="57410A22" w:rsidRPr="00F86D91">
        <w:rPr>
          <w:rFonts w:ascii="Tahoma" w:eastAsia="Arial" w:hAnsi="Tahoma" w:cs="Tahoma"/>
          <w:color w:val="000000" w:themeColor="text1"/>
          <w:sz w:val="24"/>
          <w:szCs w:val="24"/>
        </w:rPr>
        <w:t xml:space="preserve">No. Match and CEC </w:t>
      </w:r>
      <w:r w:rsidR="69F09B2C" w:rsidRPr="00F86D91">
        <w:rPr>
          <w:rFonts w:ascii="Tahoma" w:eastAsia="Arial" w:hAnsi="Tahoma" w:cs="Tahoma"/>
          <w:color w:val="000000" w:themeColor="text1"/>
          <w:sz w:val="24"/>
          <w:szCs w:val="24"/>
        </w:rPr>
        <w:t>funds are for projects that will provide electric vehicle charging infrastructure for</w:t>
      </w:r>
      <w:r w:rsidR="69F09B2C" w:rsidRPr="00F86D91">
        <w:rPr>
          <w:rFonts w:ascii="Tahoma" w:eastAsia="Arial" w:hAnsi="Tahoma" w:cs="Tahoma"/>
          <w:b/>
          <w:bCs/>
          <w:color w:val="000000" w:themeColor="text1"/>
          <w:sz w:val="24"/>
          <w:szCs w:val="24"/>
        </w:rPr>
        <w:t xml:space="preserve"> </w:t>
      </w:r>
      <w:r w:rsidR="69F09B2C" w:rsidRPr="00F86D91">
        <w:rPr>
          <w:rFonts w:ascii="Tahoma" w:eastAsia="Arial" w:hAnsi="Tahoma" w:cs="Tahoma"/>
          <w:color w:val="000000" w:themeColor="text1"/>
          <w:sz w:val="24"/>
          <w:szCs w:val="24"/>
        </w:rPr>
        <w:t>light-duty government fleets</w:t>
      </w:r>
      <w:r w:rsidR="69F09B2C" w:rsidRPr="00F86D91">
        <w:rPr>
          <w:rFonts w:ascii="Tahoma" w:eastAsia="Arial" w:hAnsi="Tahoma" w:cs="Tahoma"/>
          <w:b/>
          <w:bCs/>
          <w:color w:val="000000" w:themeColor="text1"/>
          <w:sz w:val="24"/>
          <w:szCs w:val="24"/>
        </w:rPr>
        <w:t xml:space="preserve">. </w:t>
      </w:r>
    </w:p>
    <w:p w14:paraId="61440E3E" w14:textId="02036C0A" w:rsidR="13BF8754" w:rsidRPr="00F86D91" w:rsidRDefault="13BF8754" w:rsidP="13BF8754">
      <w:pPr>
        <w:spacing w:after="0" w:line="240" w:lineRule="auto"/>
        <w:ind w:left="720" w:hanging="720"/>
        <w:rPr>
          <w:rFonts w:ascii="Tahoma" w:eastAsia="Arial" w:hAnsi="Tahoma" w:cs="Tahoma"/>
          <w:color w:val="000000" w:themeColor="text1"/>
          <w:sz w:val="24"/>
          <w:szCs w:val="24"/>
        </w:rPr>
      </w:pPr>
    </w:p>
    <w:p w14:paraId="4E5DB127" w14:textId="386EBBD4" w:rsidR="13BF8754" w:rsidRPr="00F86D91" w:rsidRDefault="13BF8754" w:rsidP="13BF8754">
      <w:pPr>
        <w:spacing w:after="0" w:line="240" w:lineRule="auto"/>
        <w:ind w:left="720" w:hanging="720"/>
        <w:rPr>
          <w:rFonts w:ascii="Tahoma" w:eastAsia="Arial" w:hAnsi="Tahoma" w:cs="Tahoma"/>
          <w:b/>
          <w:bCs/>
          <w:color w:val="000000" w:themeColor="text1"/>
          <w:sz w:val="24"/>
          <w:szCs w:val="24"/>
        </w:rPr>
      </w:pPr>
    </w:p>
    <w:p w14:paraId="32F9F475" w14:textId="079D96F7" w:rsidR="7CA4B489" w:rsidRPr="00F86D91" w:rsidRDefault="7CA4B489" w:rsidP="44A3F00F">
      <w:pPr>
        <w:spacing w:after="0" w:line="240" w:lineRule="auto"/>
        <w:ind w:left="720" w:hanging="720"/>
        <w:rPr>
          <w:rFonts w:ascii="Tahoma" w:eastAsia="Arial" w:hAnsi="Tahoma" w:cs="Tahoma"/>
          <w:b/>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40</w:t>
      </w:r>
      <w:r w:rsidRPr="00F86D91">
        <w:rPr>
          <w:rFonts w:ascii="Tahoma" w:eastAsia="Arial" w:hAnsi="Tahoma" w:cs="Tahoma"/>
          <w:b/>
          <w:bCs/>
          <w:color w:val="000000" w:themeColor="text1"/>
          <w:sz w:val="24"/>
          <w:szCs w:val="24"/>
        </w:rPr>
        <w:t>.</w:t>
      </w:r>
      <w:r w:rsidRPr="00F86D91">
        <w:rPr>
          <w:rFonts w:ascii="Tahoma" w:hAnsi="Tahoma" w:cs="Tahoma"/>
        </w:rPr>
        <w:tab/>
      </w:r>
      <w:r w:rsidR="5E784531" w:rsidRPr="00F86D91">
        <w:rPr>
          <w:rFonts w:ascii="Tahoma" w:eastAsia="Arial" w:hAnsi="Tahoma" w:cs="Tahoma"/>
          <w:b/>
          <w:bCs/>
          <w:color w:val="000000" w:themeColor="text1"/>
          <w:sz w:val="24"/>
          <w:szCs w:val="24"/>
        </w:rPr>
        <w:t xml:space="preserve">Can </w:t>
      </w:r>
      <w:r w:rsidR="000D2F68" w:rsidRPr="00F86D91">
        <w:rPr>
          <w:rFonts w:ascii="Tahoma" w:eastAsia="Arial" w:hAnsi="Tahoma" w:cs="Tahoma"/>
          <w:b/>
          <w:bCs/>
          <w:color w:val="000000" w:themeColor="text1"/>
          <w:sz w:val="24"/>
          <w:szCs w:val="24"/>
        </w:rPr>
        <w:t>a</w:t>
      </w:r>
      <w:r w:rsidR="00784BC1" w:rsidRPr="00F86D91">
        <w:rPr>
          <w:rFonts w:ascii="Tahoma" w:eastAsia="Arial" w:hAnsi="Tahoma" w:cs="Tahoma"/>
          <w:b/>
          <w:bCs/>
          <w:color w:val="000000" w:themeColor="text1"/>
          <w:sz w:val="24"/>
          <w:szCs w:val="24"/>
        </w:rPr>
        <w:t xml:space="preserve"> third</w:t>
      </w:r>
      <w:r w:rsidR="00750AF6" w:rsidRPr="00F86D91">
        <w:rPr>
          <w:rFonts w:ascii="Tahoma" w:eastAsia="Arial" w:hAnsi="Tahoma" w:cs="Tahoma"/>
          <w:b/>
          <w:bCs/>
          <w:color w:val="000000" w:themeColor="text1"/>
          <w:sz w:val="24"/>
          <w:szCs w:val="24"/>
        </w:rPr>
        <w:t>-</w:t>
      </w:r>
      <w:r w:rsidR="00784BC1" w:rsidRPr="00F86D91">
        <w:rPr>
          <w:rFonts w:ascii="Tahoma" w:eastAsia="Arial" w:hAnsi="Tahoma" w:cs="Tahoma"/>
          <w:b/>
          <w:bCs/>
          <w:color w:val="000000" w:themeColor="text1"/>
          <w:sz w:val="24"/>
          <w:szCs w:val="24"/>
        </w:rPr>
        <w:t>party partner in the</w:t>
      </w:r>
      <w:r w:rsidR="000D2F68" w:rsidRPr="00F86D91">
        <w:rPr>
          <w:rFonts w:ascii="Tahoma" w:eastAsia="Arial" w:hAnsi="Tahoma" w:cs="Tahoma"/>
          <w:b/>
          <w:bCs/>
          <w:color w:val="000000" w:themeColor="text1"/>
          <w:sz w:val="24"/>
          <w:szCs w:val="24"/>
        </w:rPr>
        <w:t xml:space="preserve"> private sector provide match share</w:t>
      </w:r>
      <w:r w:rsidR="00784BC1" w:rsidRPr="00F86D91">
        <w:rPr>
          <w:rFonts w:ascii="Tahoma" w:eastAsia="Arial" w:hAnsi="Tahoma" w:cs="Tahoma"/>
          <w:b/>
          <w:bCs/>
          <w:color w:val="000000" w:themeColor="text1"/>
          <w:sz w:val="24"/>
          <w:szCs w:val="24"/>
        </w:rPr>
        <w:t xml:space="preserve"> and/or be reimbursed for eligible expenses including installation and operation and maintenance? </w:t>
      </w:r>
      <w:r w:rsidR="6159EEBE" w:rsidRPr="00F86D91">
        <w:rPr>
          <w:rFonts w:ascii="Tahoma" w:eastAsia="Arial" w:hAnsi="Tahoma" w:cs="Tahoma"/>
          <w:b/>
          <w:bCs/>
          <w:color w:val="000000" w:themeColor="text1"/>
          <w:sz w:val="24"/>
          <w:szCs w:val="24"/>
        </w:rPr>
        <w:t xml:space="preserve"> </w:t>
      </w:r>
      <w:r w:rsidR="54FB3681" w:rsidRPr="00F86D91">
        <w:rPr>
          <w:rFonts w:ascii="Tahoma" w:eastAsia="Arial" w:hAnsi="Tahoma" w:cs="Tahoma"/>
          <w:b/>
          <w:bCs/>
          <w:color w:val="000000" w:themeColor="text1"/>
          <w:sz w:val="24"/>
          <w:szCs w:val="24"/>
        </w:rPr>
        <w:t xml:space="preserve"> </w:t>
      </w:r>
    </w:p>
    <w:p w14:paraId="555821B2" w14:textId="15E9D8E9" w:rsidR="13BF8754" w:rsidRPr="00F86D91" w:rsidRDefault="13BF8754" w:rsidP="13BF8754">
      <w:pPr>
        <w:spacing w:after="0" w:line="240" w:lineRule="auto"/>
        <w:ind w:left="720" w:hanging="720"/>
        <w:rPr>
          <w:rFonts w:ascii="Tahoma" w:eastAsia="Arial" w:hAnsi="Tahoma" w:cs="Tahoma"/>
          <w:b/>
          <w:bCs/>
          <w:color w:val="000000" w:themeColor="text1"/>
          <w:sz w:val="24"/>
          <w:szCs w:val="24"/>
        </w:rPr>
      </w:pPr>
    </w:p>
    <w:p w14:paraId="4E80BA21" w14:textId="792F2AA3" w:rsidR="7CA4B489" w:rsidRPr="00F86D91" w:rsidRDefault="7CA4B489" w:rsidP="13BF8754">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40</w:t>
      </w:r>
      <w:r w:rsidRPr="00F86D91">
        <w:rPr>
          <w:rFonts w:ascii="Tahoma" w:eastAsia="Arial" w:hAnsi="Tahoma" w:cs="Tahoma"/>
          <w:color w:val="000000" w:themeColor="text1"/>
          <w:sz w:val="24"/>
          <w:szCs w:val="24"/>
        </w:rPr>
        <w:t>.</w:t>
      </w:r>
      <w:r w:rsidRPr="00F86D91">
        <w:rPr>
          <w:rFonts w:ascii="Tahoma" w:hAnsi="Tahoma" w:cs="Tahoma"/>
        </w:rPr>
        <w:tab/>
      </w:r>
      <w:r w:rsidR="00784BC1" w:rsidRPr="00F86D91">
        <w:rPr>
          <w:rFonts w:ascii="Tahoma" w:hAnsi="Tahoma" w:cs="Tahoma"/>
          <w:sz w:val="24"/>
          <w:szCs w:val="24"/>
        </w:rPr>
        <w:t xml:space="preserve">Yes, </w:t>
      </w:r>
      <w:r w:rsidR="00246DDD" w:rsidRPr="00F86D91">
        <w:rPr>
          <w:rFonts w:ascii="Tahoma" w:hAnsi="Tahoma" w:cs="Tahoma"/>
          <w:sz w:val="24"/>
          <w:szCs w:val="24"/>
        </w:rPr>
        <w:t xml:space="preserve">entities in the </w:t>
      </w:r>
      <w:r w:rsidR="00784BC1" w:rsidRPr="00F86D91">
        <w:rPr>
          <w:rFonts w:ascii="Tahoma" w:hAnsi="Tahoma" w:cs="Tahoma"/>
          <w:sz w:val="24"/>
          <w:szCs w:val="24"/>
        </w:rPr>
        <w:t xml:space="preserve">private </w:t>
      </w:r>
      <w:r w:rsidR="00246DDD" w:rsidRPr="00F86D91">
        <w:rPr>
          <w:rFonts w:ascii="Tahoma" w:hAnsi="Tahoma" w:cs="Tahoma"/>
          <w:sz w:val="24"/>
          <w:szCs w:val="24"/>
        </w:rPr>
        <w:t>sector</w:t>
      </w:r>
      <w:r w:rsidR="00784BC1" w:rsidRPr="00F86D91">
        <w:rPr>
          <w:rFonts w:ascii="Tahoma" w:hAnsi="Tahoma" w:cs="Tahoma"/>
          <w:sz w:val="24"/>
          <w:szCs w:val="24"/>
        </w:rPr>
        <w:t xml:space="preserve"> are eligible as primary </w:t>
      </w:r>
      <w:r w:rsidR="00246DDD" w:rsidRPr="00F86D91">
        <w:rPr>
          <w:rFonts w:ascii="Tahoma" w:hAnsi="Tahoma" w:cs="Tahoma"/>
          <w:sz w:val="24"/>
          <w:szCs w:val="24"/>
        </w:rPr>
        <w:t>recipients</w:t>
      </w:r>
      <w:r w:rsidR="00784BC1" w:rsidRPr="00F86D91">
        <w:rPr>
          <w:rFonts w:ascii="Tahoma" w:hAnsi="Tahoma" w:cs="Tahoma"/>
          <w:sz w:val="24"/>
          <w:szCs w:val="24"/>
        </w:rPr>
        <w:t xml:space="preserve"> or subrecipients</w:t>
      </w:r>
      <w:r w:rsidR="000F3DA2" w:rsidRPr="00F86D91">
        <w:rPr>
          <w:rFonts w:ascii="Tahoma" w:hAnsi="Tahoma" w:cs="Tahoma"/>
          <w:sz w:val="24"/>
          <w:szCs w:val="24"/>
        </w:rPr>
        <w:t xml:space="preserve"> and may </w:t>
      </w:r>
      <w:r w:rsidR="00D44D9C" w:rsidRPr="00F86D91">
        <w:rPr>
          <w:rFonts w:ascii="Tahoma" w:hAnsi="Tahoma" w:cs="Tahoma"/>
          <w:sz w:val="24"/>
          <w:szCs w:val="24"/>
        </w:rPr>
        <w:t xml:space="preserve">provide </w:t>
      </w:r>
      <w:r w:rsidR="000F3DA2" w:rsidRPr="00F86D91">
        <w:rPr>
          <w:rFonts w:ascii="Tahoma" w:hAnsi="Tahoma" w:cs="Tahoma"/>
          <w:sz w:val="24"/>
          <w:szCs w:val="24"/>
        </w:rPr>
        <w:t xml:space="preserve">match funding </w:t>
      </w:r>
      <w:r w:rsidR="00906F45" w:rsidRPr="00F86D91">
        <w:rPr>
          <w:rFonts w:ascii="Tahoma" w:hAnsi="Tahoma" w:cs="Tahoma"/>
          <w:sz w:val="24"/>
          <w:szCs w:val="24"/>
        </w:rPr>
        <w:t>and may be</w:t>
      </w:r>
      <w:r w:rsidR="000F3DA2" w:rsidRPr="00F86D91">
        <w:rPr>
          <w:rFonts w:ascii="Tahoma" w:hAnsi="Tahoma" w:cs="Tahoma"/>
          <w:sz w:val="24"/>
          <w:szCs w:val="24"/>
        </w:rPr>
        <w:t xml:space="preserve"> reimbursed for eligible expenses.</w:t>
      </w:r>
      <w:r w:rsidR="000436DF" w:rsidRPr="00F86D91">
        <w:rPr>
          <w:rFonts w:ascii="Tahoma" w:hAnsi="Tahoma" w:cs="Tahoma"/>
          <w:sz w:val="24"/>
          <w:szCs w:val="24"/>
        </w:rPr>
        <w:t xml:space="preserve"> </w:t>
      </w:r>
    </w:p>
    <w:p w14:paraId="1AC4C79A" w14:textId="24D52EB1" w:rsidR="13BF8754" w:rsidRPr="00F86D91" w:rsidRDefault="13BF8754" w:rsidP="13BF8754">
      <w:pPr>
        <w:spacing w:after="0" w:line="240" w:lineRule="auto"/>
        <w:ind w:left="720" w:hanging="720"/>
        <w:rPr>
          <w:rFonts w:ascii="Tahoma" w:eastAsia="Arial" w:hAnsi="Tahoma" w:cs="Tahoma"/>
          <w:color w:val="000000" w:themeColor="text1"/>
          <w:sz w:val="24"/>
          <w:szCs w:val="24"/>
        </w:rPr>
      </w:pPr>
    </w:p>
    <w:p w14:paraId="523C2F66" w14:textId="07A05661" w:rsidR="13BF8754" w:rsidRPr="00F86D91" w:rsidRDefault="13BF8754" w:rsidP="13BF8754">
      <w:pPr>
        <w:spacing w:after="0" w:line="240" w:lineRule="auto"/>
        <w:ind w:left="720" w:hanging="720"/>
        <w:rPr>
          <w:rFonts w:ascii="Tahoma" w:eastAsia="Arial" w:hAnsi="Tahoma" w:cs="Tahoma"/>
          <w:color w:val="000000" w:themeColor="text1"/>
          <w:sz w:val="24"/>
          <w:szCs w:val="24"/>
        </w:rPr>
      </w:pPr>
    </w:p>
    <w:p w14:paraId="569E0879" w14:textId="6006B01D" w:rsidR="7CA4B489" w:rsidRPr="00F86D91" w:rsidRDefault="7CA4B489" w:rsidP="13BF8754">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41</w:t>
      </w:r>
      <w:r w:rsidRPr="00F86D91">
        <w:rPr>
          <w:rFonts w:ascii="Tahoma" w:eastAsia="Arial" w:hAnsi="Tahoma" w:cs="Tahoma"/>
          <w:b/>
          <w:bCs/>
          <w:color w:val="000000" w:themeColor="text1"/>
          <w:sz w:val="24"/>
          <w:szCs w:val="24"/>
        </w:rPr>
        <w:t>.</w:t>
      </w:r>
      <w:r w:rsidRPr="00F86D91">
        <w:rPr>
          <w:rFonts w:ascii="Tahoma" w:hAnsi="Tahoma" w:cs="Tahoma"/>
        </w:rPr>
        <w:tab/>
      </w:r>
      <w:r w:rsidR="52B37CAD" w:rsidRPr="00F86D91">
        <w:rPr>
          <w:rFonts w:ascii="Tahoma" w:eastAsia="Arial" w:hAnsi="Tahoma" w:cs="Tahoma"/>
          <w:b/>
          <w:bCs/>
          <w:color w:val="000000" w:themeColor="text1"/>
          <w:sz w:val="24"/>
          <w:szCs w:val="24"/>
        </w:rPr>
        <w:t>In addition to lighting and signage is the more general category “provisions for security” acceptable for CEC reimbursement and Applicant’s match share?</w:t>
      </w:r>
    </w:p>
    <w:p w14:paraId="41C53800" w14:textId="11A5F5D5" w:rsidR="13BF8754" w:rsidRPr="00F86D91" w:rsidRDefault="13BF8754" w:rsidP="13BF8754">
      <w:pPr>
        <w:spacing w:after="0" w:line="240" w:lineRule="auto"/>
        <w:ind w:left="720" w:hanging="720"/>
        <w:rPr>
          <w:rFonts w:ascii="Tahoma" w:eastAsia="Arial" w:hAnsi="Tahoma" w:cs="Tahoma"/>
          <w:b/>
          <w:bCs/>
          <w:color w:val="000000" w:themeColor="text1"/>
          <w:sz w:val="24"/>
          <w:szCs w:val="24"/>
        </w:rPr>
      </w:pPr>
    </w:p>
    <w:p w14:paraId="70C3CBFF" w14:textId="75966916" w:rsidR="00B40F92" w:rsidRPr="00F86D91" w:rsidRDefault="7CA4B489" w:rsidP="00B40F92">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41</w:t>
      </w:r>
      <w:r w:rsidRPr="00F86D91">
        <w:rPr>
          <w:rFonts w:ascii="Tahoma" w:eastAsia="Arial" w:hAnsi="Tahoma" w:cs="Tahoma"/>
          <w:color w:val="000000" w:themeColor="text1"/>
          <w:sz w:val="24"/>
          <w:szCs w:val="24"/>
        </w:rPr>
        <w:t>.</w:t>
      </w:r>
      <w:r w:rsidRPr="00F86D91">
        <w:rPr>
          <w:rFonts w:ascii="Tahoma" w:hAnsi="Tahoma" w:cs="Tahoma"/>
        </w:rPr>
        <w:tab/>
      </w:r>
      <w:r w:rsidR="00956832" w:rsidRPr="00F86D91">
        <w:rPr>
          <w:rFonts w:ascii="Tahoma" w:hAnsi="Tahoma" w:cs="Tahoma"/>
          <w:sz w:val="24"/>
          <w:szCs w:val="24"/>
        </w:rPr>
        <w:t xml:space="preserve">No, </w:t>
      </w:r>
      <w:r w:rsidR="00216384" w:rsidRPr="00F86D91">
        <w:rPr>
          <w:rFonts w:ascii="Tahoma" w:hAnsi="Tahoma" w:cs="Tahoma"/>
          <w:sz w:val="24"/>
          <w:szCs w:val="24"/>
        </w:rPr>
        <w:t>the solicitation manual states, “</w:t>
      </w:r>
      <w:r w:rsidR="00216384" w:rsidRPr="00F86D91">
        <w:rPr>
          <w:rFonts w:ascii="Tahoma" w:eastAsia="Tahoma" w:hAnsi="Tahoma" w:cs="Tahoma"/>
          <w:sz w:val="24"/>
          <w:szCs w:val="24"/>
        </w:rPr>
        <w:t>Costs other than those listed as eligible for CEC reimbursement or as match share, are not eligible as reimbursement or match share” (</w:t>
      </w:r>
      <w:r w:rsidR="00B40F92" w:rsidRPr="00F86D91">
        <w:rPr>
          <w:rFonts w:ascii="Tahoma" w:eastAsia="Tahoma" w:hAnsi="Tahoma" w:cs="Tahoma"/>
          <w:sz w:val="24"/>
          <w:szCs w:val="24"/>
        </w:rPr>
        <w:t>Section II.B.7., page 1</w:t>
      </w:r>
      <w:r w:rsidR="000E662A">
        <w:rPr>
          <w:rFonts w:ascii="Tahoma" w:eastAsia="Tahoma" w:hAnsi="Tahoma" w:cs="Tahoma"/>
          <w:sz w:val="24"/>
          <w:szCs w:val="24"/>
        </w:rPr>
        <w:t>5</w:t>
      </w:r>
      <w:r w:rsidR="00B40F92" w:rsidRPr="00F86D91">
        <w:rPr>
          <w:rFonts w:ascii="Tahoma" w:eastAsia="Tahoma" w:hAnsi="Tahoma" w:cs="Tahoma"/>
          <w:sz w:val="24"/>
          <w:szCs w:val="24"/>
        </w:rPr>
        <w:t xml:space="preserve">, </w:t>
      </w:r>
      <w:r w:rsidR="000A3A6E" w:rsidRPr="00F86D91">
        <w:rPr>
          <w:rFonts w:ascii="Tahoma" w:eastAsia="Tahoma" w:hAnsi="Tahoma" w:cs="Tahoma"/>
          <w:sz w:val="24"/>
          <w:szCs w:val="24"/>
        </w:rPr>
        <w:t>“</w:t>
      </w:r>
      <w:r w:rsidR="00B40F92" w:rsidRPr="00F86D91">
        <w:rPr>
          <w:rFonts w:ascii="Tahoma" w:eastAsia="Tahoma" w:hAnsi="Tahoma" w:cs="Tahoma"/>
          <w:sz w:val="24"/>
          <w:szCs w:val="24"/>
        </w:rPr>
        <w:t>Eligible Project Costs</w:t>
      </w:r>
      <w:r w:rsidR="000A3A6E" w:rsidRPr="00F86D91">
        <w:rPr>
          <w:rFonts w:ascii="Tahoma" w:eastAsia="Tahoma" w:hAnsi="Tahoma" w:cs="Tahoma"/>
          <w:sz w:val="24"/>
          <w:szCs w:val="24"/>
        </w:rPr>
        <w:t>”</w:t>
      </w:r>
      <w:r w:rsidR="00B40F92" w:rsidRPr="00F86D91">
        <w:rPr>
          <w:rFonts w:ascii="Tahoma" w:eastAsia="Tahoma" w:hAnsi="Tahoma" w:cs="Tahoma"/>
          <w:sz w:val="24"/>
          <w:szCs w:val="24"/>
        </w:rPr>
        <w:t>, Solicitation Manual)</w:t>
      </w:r>
      <w:r w:rsidR="00985874" w:rsidRPr="00F86D91">
        <w:rPr>
          <w:rFonts w:ascii="Tahoma" w:eastAsia="Tahoma" w:hAnsi="Tahoma" w:cs="Tahoma"/>
          <w:sz w:val="24"/>
          <w:szCs w:val="24"/>
        </w:rPr>
        <w:t>.</w:t>
      </w:r>
    </w:p>
    <w:p w14:paraId="5B9B65A4" w14:textId="2275F40B" w:rsidR="7CA4B489" w:rsidRPr="00F86D91" w:rsidRDefault="7CA4B489" w:rsidP="13BF8754">
      <w:pPr>
        <w:spacing w:after="0" w:line="240" w:lineRule="auto"/>
        <w:ind w:left="720" w:hanging="720"/>
        <w:rPr>
          <w:rFonts w:ascii="Tahoma" w:eastAsia="Arial" w:hAnsi="Tahoma" w:cs="Tahoma"/>
          <w:color w:val="000000" w:themeColor="text1"/>
          <w:sz w:val="24"/>
          <w:szCs w:val="24"/>
        </w:rPr>
      </w:pPr>
    </w:p>
    <w:p w14:paraId="360EB863" w14:textId="3CB16532" w:rsidR="13BF8754" w:rsidRPr="00F86D91" w:rsidRDefault="13BF8754" w:rsidP="13BF8754">
      <w:pPr>
        <w:spacing w:after="0" w:line="240" w:lineRule="auto"/>
        <w:ind w:left="720" w:hanging="720"/>
        <w:rPr>
          <w:rFonts w:ascii="Tahoma" w:eastAsia="Arial" w:hAnsi="Tahoma" w:cs="Tahoma"/>
          <w:color w:val="000000" w:themeColor="text1"/>
          <w:sz w:val="24"/>
          <w:szCs w:val="24"/>
        </w:rPr>
      </w:pPr>
    </w:p>
    <w:p w14:paraId="070C09CB" w14:textId="4FEC338C" w:rsidR="00FA7319" w:rsidRPr="00F86D91" w:rsidRDefault="00FA7319" w:rsidP="53234C4C">
      <w:pPr>
        <w:spacing w:after="0" w:line="240" w:lineRule="auto"/>
        <w:ind w:left="720" w:hanging="720"/>
        <w:rPr>
          <w:rFonts w:ascii="Tahoma" w:eastAsia="Arial" w:hAnsi="Tahoma" w:cs="Tahoma"/>
          <w:b/>
          <w:bCs/>
          <w:color w:val="000000" w:themeColor="text1"/>
          <w:sz w:val="24"/>
          <w:szCs w:val="24"/>
        </w:rPr>
      </w:pPr>
    </w:p>
    <w:p w14:paraId="7126DF4E" w14:textId="3E56D8A8" w:rsidR="00FA7319" w:rsidRPr="00F86D91" w:rsidRDefault="2FB6D5B9" w:rsidP="4447FCAA">
      <w:pPr>
        <w:spacing w:after="0" w:line="240" w:lineRule="auto"/>
        <w:ind w:left="720" w:hanging="720"/>
        <w:rPr>
          <w:rFonts w:ascii="Tahoma" w:eastAsia="Arial" w:hAnsi="Tahoma" w:cs="Tahoma"/>
          <w:b/>
          <w:bCs/>
          <w:color w:val="000000" w:themeColor="text1"/>
          <w:sz w:val="24"/>
          <w:szCs w:val="24"/>
          <w:u w:val="single"/>
        </w:rPr>
      </w:pPr>
      <w:r w:rsidRPr="00F86D91">
        <w:rPr>
          <w:rFonts w:ascii="Tahoma" w:eastAsia="Arial" w:hAnsi="Tahoma" w:cs="Tahoma"/>
          <w:b/>
          <w:bCs/>
          <w:color w:val="000000" w:themeColor="text1"/>
          <w:sz w:val="24"/>
          <w:szCs w:val="24"/>
          <w:u w:val="single"/>
        </w:rPr>
        <w:t>Other</w:t>
      </w:r>
    </w:p>
    <w:p w14:paraId="5E6A9E5A" w14:textId="55B5B181" w:rsidR="00FA7319" w:rsidRPr="00F86D91" w:rsidRDefault="00FA7319" w:rsidP="4447FCAA">
      <w:pPr>
        <w:spacing w:after="0" w:line="240" w:lineRule="auto"/>
        <w:ind w:left="720" w:hanging="720"/>
        <w:rPr>
          <w:rFonts w:ascii="Tahoma" w:eastAsia="Arial" w:hAnsi="Tahoma" w:cs="Tahoma"/>
          <w:b/>
          <w:bCs/>
          <w:color w:val="000000" w:themeColor="text1"/>
          <w:sz w:val="24"/>
          <w:szCs w:val="24"/>
        </w:rPr>
      </w:pPr>
    </w:p>
    <w:p w14:paraId="05636BB4" w14:textId="38AC012F" w:rsidR="00FA7319" w:rsidRPr="00F86D91" w:rsidRDefault="2FB6D5B9" w:rsidP="4447FCAA">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42</w:t>
      </w:r>
      <w:r w:rsidRPr="00F86D91">
        <w:rPr>
          <w:rFonts w:ascii="Tahoma" w:eastAsia="Arial" w:hAnsi="Tahoma" w:cs="Tahoma"/>
          <w:b/>
          <w:bCs/>
          <w:color w:val="000000" w:themeColor="text1"/>
          <w:sz w:val="24"/>
          <w:szCs w:val="24"/>
        </w:rPr>
        <w:t xml:space="preserve">. </w:t>
      </w:r>
      <w:r w:rsidRPr="00F86D91">
        <w:rPr>
          <w:rFonts w:ascii="Tahoma" w:hAnsi="Tahoma" w:cs="Tahoma"/>
        </w:rPr>
        <w:tab/>
      </w:r>
      <w:r w:rsidRPr="00F86D91">
        <w:rPr>
          <w:rFonts w:ascii="Tahoma" w:eastAsia="Arial" w:hAnsi="Tahoma" w:cs="Tahoma"/>
          <w:b/>
          <w:bCs/>
          <w:color w:val="000000" w:themeColor="text1"/>
          <w:sz w:val="24"/>
          <w:szCs w:val="24"/>
        </w:rPr>
        <w:t>The solicitation manual states on page 10 that “All deployments must be at existing structures or facilities and involve negligible or no expansion of existing or former use.” Can you define what “negligible or no expansion of existing or former use” means?</w:t>
      </w:r>
    </w:p>
    <w:p w14:paraId="4DD09131" w14:textId="297BF0F6" w:rsidR="00FA7319" w:rsidRPr="00F86D91" w:rsidRDefault="00FA7319" w:rsidP="4447FCAA">
      <w:pPr>
        <w:spacing w:after="0" w:line="240" w:lineRule="auto"/>
        <w:ind w:left="720" w:hanging="720"/>
        <w:rPr>
          <w:rFonts w:ascii="Tahoma" w:eastAsia="Arial" w:hAnsi="Tahoma" w:cs="Tahoma"/>
          <w:b/>
          <w:bCs/>
          <w:color w:val="000000" w:themeColor="text1"/>
          <w:sz w:val="24"/>
          <w:szCs w:val="24"/>
        </w:rPr>
      </w:pPr>
    </w:p>
    <w:p w14:paraId="2C078E63" w14:textId="51DD8191" w:rsidR="00FA7319" w:rsidRPr="00F86D91" w:rsidRDefault="4744F908" w:rsidP="4447FCAA">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42</w:t>
      </w:r>
      <w:r w:rsidRPr="00F86D91">
        <w:rPr>
          <w:rFonts w:ascii="Tahoma" w:eastAsia="Arial" w:hAnsi="Tahoma" w:cs="Tahoma"/>
          <w:color w:val="000000" w:themeColor="text1"/>
          <w:sz w:val="24"/>
          <w:szCs w:val="24"/>
        </w:rPr>
        <w:t>.</w:t>
      </w:r>
      <w:r w:rsidRPr="00F86D91">
        <w:rPr>
          <w:rFonts w:ascii="Tahoma" w:hAnsi="Tahoma" w:cs="Tahoma"/>
        </w:rPr>
        <w:tab/>
      </w:r>
      <w:r w:rsidR="1F000FBB" w:rsidRPr="00F86D91">
        <w:rPr>
          <w:rFonts w:ascii="Tahoma" w:eastAsia="Arial" w:hAnsi="Tahoma" w:cs="Tahoma"/>
          <w:color w:val="000000" w:themeColor="text1"/>
          <w:sz w:val="24"/>
          <w:szCs w:val="24"/>
        </w:rPr>
        <w:t>The requirement that all deployments involve negligible or no expansion of existing or fo</w:t>
      </w:r>
      <w:r w:rsidR="307C76B9" w:rsidRPr="00F86D91">
        <w:rPr>
          <w:rFonts w:ascii="Tahoma" w:eastAsia="Arial" w:hAnsi="Tahoma" w:cs="Tahoma"/>
          <w:color w:val="000000" w:themeColor="text1"/>
          <w:sz w:val="24"/>
          <w:szCs w:val="24"/>
        </w:rPr>
        <w:t>r</w:t>
      </w:r>
      <w:r w:rsidR="1F000FBB" w:rsidRPr="00F86D91">
        <w:rPr>
          <w:rFonts w:ascii="Tahoma" w:eastAsia="Arial" w:hAnsi="Tahoma" w:cs="Tahoma"/>
          <w:color w:val="000000" w:themeColor="text1"/>
          <w:sz w:val="24"/>
          <w:szCs w:val="24"/>
        </w:rPr>
        <w:t>mer use is being removed from this solicita</w:t>
      </w:r>
      <w:r w:rsidR="72D91B84" w:rsidRPr="00F86D91">
        <w:rPr>
          <w:rFonts w:ascii="Tahoma" w:eastAsia="Arial" w:hAnsi="Tahoma" w:cs="Tahoma"/>
          <w:color w:val="000000" w:themeColor="text1"/>
          <w:sz w:val="24"/>
          <w:szCs w:val="24"/>
        </w:rPr>
        <w:t>t</w:t>
      </w:r>
      <w:r w:rsidR="1F000FBB" w:rsidRPr="00F86D91">
        <w:rPr>
          <w:rFonts w:ascii="Tahoma" w:eastAsia="Arial" w:hAnsi="Tahoma" w:cs="Tahoma"/>
          <w:color w:val="000000" w:themeColor="text1"/>
          <w:sz w:val="24"/>
          <w:szCs w:val="24"/>
        </w:rPr>
        <w:t>ion. However, note that the requirement that all deployments be at existing structures or facilities rem</w:t>
      </w:r>
      <w:r w:rsidR="29873514" w:rsidRPr="00F86D91">
        <w:rPr>
          <w:rFonts w:ascii="Tahoma" w:eastAsia="Arial" w:hAnsi="Tahoma" w:cs="Tahoma"/>
          <w:color w:val="000000" w:themeColor="text1"/>
          <w:sz w:val="24"/>
          <w:szCs w:val="24"/>
        </w:rPr>
        <w:t xml:space="preserve">ains. Therefore, </w:t>
      </w:r>
      <w:r w:rsidR="20F9A608" w:rsidRPr="00F86D91">
        <w:rPr>
          <w:rFonts w:ascii="Tahoma" w:hAnsi="Tahoma" w:cs="Tahoma"/>
          <w:sz w:val="24"/>
          <w:szCs w:val="24"/>
        </w:rPr>
        <w:t>n</w:t>
      </w:r>
      <w:r w:rsidR="00215A45" w:rsidRPr="00F86D91">
        <w:rPr>
          <w:rFonts w:ascii="Tahoma" w:hAnsi="Tahoma" w:cs="Tahoma"/>
          <w:sz w:val="24"/>
          <w:szCs w:val="24"/>
        </w:rPr>
        <w:t>ew construction sites are not eligible. Project sites must be located at existing facilities as that is interpreted under CEQA. For purposes of eligibility under this solicitation, partially-built structures or facilities (at the time of application) are not considered “existing.” See California Environmental Quality Act (CEQA) Worksheet</w:t>
      </w:r>
      <w:r w:rsidR="00FF1EBA" w:rsidRPr="00F86D91">
        <w:rPr>
          <w:rFonts w:ascii="Tahoma" w:hAnsi="Tahoma" w:cs="Tahoma"/>
          <w:sz w:val="24"/>
          <w:szCs w:val="24"/>
        </w:rPr>
        <w:t xml:space="preserve"> (Attachment 6)</w:t>
      </w:r>
      <w:r w:rsidR="00215A45" w:rsidRPr="00F86D91">
        <w:rPr>
          <w:rFonts w:ascii="Tahoma" w:hAnsi="Tahoma" w:cs="Tahoma"/>
          <w:sz w:val="24"/>
          <w:szCs w:val="24"/>
        </w:rPr>
        <w:t xml:space="preserve"> and Section III.D.</w:t>
      </w:r>
      <w:r w:rsidR="00E028C0">
        <w:rPr>
          <w:rFonts w:ascii="Tahoma" w:hAnsi="Tahoma" w:cs="Tahoma"/>
          <w:sz w:val="24"/>
          <w:szCs w:val="24"/>
        </w:rPr>
        <w:t>10</w:t>
      </w:r>
      <w:r w:rsidR="00215A45" w:rsidRPr="00F86D91">
        <w:rPr>
          <w:rFonts w:ascii="Tahoma" w:hAnsi="Tahoma" w:cs="Tahoma"/>
          <w:sz w:val="24"/>
          <w:szCs w:val="24"/>
        </w:rPr>
        <w:t xml:space="preserve">. “CEQA Worksheet (Attachment 6)” on page </w:t>
      </w:r>
      <w:r w:rsidR="00C14CA6">
        <w:rPr>
          <w:rFonts w:ascii="Tahoma" w:hAnsi="Tahoma" w:cs="Tahoma"/>
          <w:sz w:val="24"/>
          <w:szCs w:val="24"/>
        </w:rPr>
        <w:t>31-33</w:t>
      </w:r>
      <w:r w:rsidR="00215A45" w:rsidRPr="00F86D91">
        <w:rPr>
          <w:rFonts w:ascii="Tahoma" w:hAnsi="Tahoma" w:cs="Tahoma"/>
          <w:sz w:val="24"/>
          <w:szCs w:val="24"/>
        </w:rPr>
        <w:t xml:space="preserve"> of the </w:t>
      </w:r>
      <w:r w:rsidR="00FF1EBA" w:rsidRPr="00F86D91">
        <w:rPr>
          <w:rFonts w:ascii="Tahoma" w:hAnsi="Tahoma" w:cs="Tahoma"/>
          <w:sz w:val="24"/>
          <w:szCs w:val="24"/>
        </w:rPr>
        <w:t xml:space="preserve">addended </w:t>
      </w:r>
      <w:r w:rsidR="00215A45" w:rsidRPr="00F86D91">
        <w:rPr>
          <w:rFonts w:ascii="Tahoma" w:hAnsi="Tahoma" w:cs="Tahoma"/>
          <w:sz w:val="24"/>
          <w:szCs w:val="24"/>
        </w:rPr>
        <w:t>Solicitation Manual for more information.</w:t>
      </w:r>
      <w:r w:rsidR="008943DA" w:rsidRPr="00F86D91">
        <w:rPr>
          <w:rFonts w:ascii="Tahoma" w:hAnsi="Tahoma" w:cs="Tahoma"/>
          <w:sz w:val="24"/>
          <w:szCs w:val="24"/>
        </w:rPr>
        <w:t xml:space="preserve"> </w:t>
      </w:r>
    </w:p>
    <w:p w14:paraId="3929CF05" w14:textId="477F34F0" w:rsidR="4447FCAA" w:rsidRPr="00F86D91" w:rsidRDefault="4447FCAA" w:rsidP="4447FCAA">
      <w:pPr>
        <w:spacing w:after="0" w:line="240" w:lineRule="auto"/>
        <w:ind w:left="720" w:hanging="720"/>
        <w:rPr>
          <w:rFonts w:ascii="Tahoma" w:eastAsia="Arial" w:hAnsi="Tahoma" w:cs="Tahoma"/>
          <w:color w:val="000000" w:themeColor="text1"/>
          <w:sz w:val="24"/>
          <w:szCs w:val="24"/>
        </w:rPr>
      </w:pPr>
    </w:p>
    <w:p w14:paraId="7316262A" w14:textId="7679E204" w:rsidR="4447FCAA" w:rsidRPr="00F86D91" w:rsidRDefault="4447FCAA" w:rsidP="4447FCAA">
      <w:pPr>
        <w:spacing w:after="0" w:line="240" w:lineRule="auto"/>
        <w:ind w:left="720" w:hanging="720"/>
        <w:rPr>
          <w:rFonts w:ascii="Tahoma" w:eastAsia="Arial" w:hAnsi="Tahoma" w:cs="Tahoma"/>
          <w:color w:val="000000" w:themeColor="text1"/>
          <w:sz w:val="24"/>
          <w:szCs w:val="24"/>
        </w:rPr>
      </w:pPr>
    </w:p>
    <w:p w14:paraId="2A7E1C09" w14:textId="4598C28F" w:rsidR="3410620C" w:rsidRPr="00F86D91" w:rsidRDefault="3410620C" w:rsidP="4447FCAA">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43</w:t>
      </w:r>
      <w:r w:rsidRPr="00F86D91">
        <w:rPr>
          <w:rFonts w:ascii="Tahoma" w:eastAsia="Arial" w:hAnsi="Tahoma" w:cs="Tahoma"/>
          <w:b/>
          <w:bCs/>
          <w:color w:val="000000" w:themeColor="text1"/>
          <w:sz w:val="24"/>
          <w:szCs w:val="24"/>
        </w:rPr>
        <w:t>.</w:t>
      </w:r>
      <w:r w:rsidRPr="00F86D91">
        <w:rPr>
          <w:rFonts w:ascii="Tahoma" w:hAnsi="Tahoma" w:cs="Tahoma"/>
        </w:rPr>
        <w:tab/>
      </w:r>
      <w:r w:rsidRPr="00F86D91">
        <w:rPr>
          <w:rFonts w:ascii="Tahoma" w:eastAsia="Arial" w:hAnsi="Tahoma" w:cs="Tahoma"/>
          <w:b/>
          <w:bCs/>
          <w:color w:val="000000" w:themeColor="text1"/>
          <w:sz w:val="24"/>
          <w:szCs w:val="24"/>
        </w:rPr>
        <w:t>The solicitation manual states on page 1</w:t>
      </w:r>
      <w:r w:rsidR="00707D2B">
        <w:rPr>
          <w:rFonts w:ascii="Tahoma" w:eastAsia="Arial" w:hAnsi="Tahoma" w:cs="Tahoma"/>
          <w:b/>
          <w:bCs/>
          <w:color w:val="000000" w:themeColor="text1"/>
          <w:sz w:val="24"/>
          <w:szCs w:val="24"/>
        </w:rPr>
        <w:t>2</w:t>
      </w:r>
      <w:r w:rsidRPr="00F86D91">
        <w:rPr>
          <w:rFonts w:ascii="Tahoma" w:eastAsia="Arial" w:hAnsi="Tahoma" w:cs="Tahoma"/>
          <w:b/>
          <w:bCs/>
          <w:color w:val="000000" w:themeColor="text1"/>
          <w:sz w:val="24"/>
          <w:szCs w:val="24"/>
        </w:rPr>
        <w:t xml:space="preserve"> that “If a project is proposed with a mix of L2</w:t>
      </w:r>
      <w:r w:rsidR="00535F41" w:rsidRPr="00F86D91">
        <w:rPr>
          <w:rFonts w:ascii="Tahoma" w:eastAsia="Arial" w:hAnsi="Tahoma" w:cs="Tahoma"/>
          <w:b/>
          <w:bCs/>
          <w:color w:val="000000" w:themeColor="text1"/>
          <w:sz w:val="24"/>
          <w:szCs w:val="24"/>
        </w:rPr>
        <w:t>s</w:t>
      </w:r>
      <w:r w:rsidRPr="00F86D91">
        <w:rPr>
          <w:rFonts w:ascii="Tahoma" w:eastAsia="Arial" w:hAnsi="Tahoma" w:cs="Tahoma"/>
          <w:b/>
          <w:bCs/>
          <w:color w:val="000000" w:themeColor="text1"/>
          <w:sz w:val="24"/>
          <w:szCs w:val="24"/>
        </w:rPr>
        <w:t xml:space="preserve"> and DCFCs, a weighted average will be used to calculate the average cost per charger type and will determine the maximum CEC funds the project is eligible for.” Can you provide an example of how this weighted average will be used?  </w:t>
      </w:r>
    </w:p>
    <w:p w14:paraId="43001C2C" w14:textId="1723F2B8" w:rsidR="4447FCAA" w:rsidRPr="00F86D91" w:rsidRDefault="4447FCAA" w:rsidP="4447FCAA">
      <w:pPr>
        <w:spacing w:after="0" w:line="240" w:lineRule="auto"/>
        <w:ind w:left="720" w:hanging="720"/>
        <w:rPr>
          <w:rFonts w:ascii="Tahoma" w:eastAsia="Arial" w:hAnsi="Tahoma" w:cs="Tahoma"/>
          <w:b/>
          <w:bCs/>
          <w:color w:val="000000" w:themeColor="text1"/>
          <w:sz w:val="24"/>
          <w:szCs w:val="24"/>
        </w:rPr>
      </w:pPr>
    </w:p>
    <w:p w14:paraId="12A79F7F" w14:textId="2A9FA7AF" w:rsidR="00133BF8" w:rsidRPr="00F86D91" w:rsidRDefault="3410620C" w:rsidP="00AB160D">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43</w:t>
      </w:r>
      <w:r w:rsidRPr="00F86D91">
        <w:rPr>
          <w:rFonts w:ascii="Tahoma" w:eastAsia="Arial" w:hAnsi="Tahoma" w:cs="Tahoma"/>
          <w:color w:val="000000" w:themeColor="text1"/>
          <w:sz w:val="24"/>
          <w:szCs w:val="24"/>
        </w:rPr>
        <w:t>.</w:t>
      </w:r>
      <w:r w:rsidR="001F573F" w:rsidRPr="00F86D91">
        <w:rPr>
          <w:rFonts w:ascii="Tahoma" w:hAnsi="Tahoma" w:cs="Tahoma"/>
        </w:rPr>
        <w:tab/>
      </w:r>
      <w:r w:rsidR="00133BF8" w:rsidRPr="00F86D91">
        <w:rPr>
          <w:rFonts w:ascii="Tahoma" w:eastAsia="Arial" w:hAnsi="Tahoma" w:cs="Tahoma"/>
          <w:color w:val="000000" w:themeColor="text1"/>
          <w:sz w:val="24"/>
          <w:szCs w:val="24"/>
        </w:rPr>
        <w:t xml:space="preserve">If a project proposed to install a mix of DCFC ports and L2 ports, </w:t>
      </w:r>
      <w:r w:rsidR="00AB11BF" w:rsidRPr="00F86D91">
        <w:rPr>
          <w:rFonts w:ascii="Tahoma" w:eastAsia="Arial" w:hAnsi="Tahoma" w:cs="Tahoma"/>
          <w:color w:val="000000" w:themeColor="text1"/>
          <w:sz w:val="24"/>
          <w:szCs w:val="24"/>
        </w:rPr>
        <w:t xml:space="preserve">the evaluation committee </w:t>
      </w:r>
      <w:r w:rsidR="007F2D80" w:rsidRPr="00F86D91">
        <w:rPr>
          <w:rFonts w:ascii="Tahoma" w:eastAsia="Arial" w:hAnsi="Tahoma" w:cs="Tahoma"/>
          <w:color w:val="000000" w:themeColor="text1"/>
          <w:sz w:val="24"/>
          <w:szCs w:val="24"/>
        </w:rPr>
        <w:t xml:space="preserve">will look at the budget to determine whether the cost caps for either port type have been exceeded. To do this, the evaluation committee will add the total amount </w:t>
      </w:r>
      <w:r w:rsidR="006940C3" w:rsidRPr="00F86D91">
        <w:rPr>
          <w:rFonts w:ascii="Tahoma" w:eastAsia="Arial" w:hAnsi="Tahoma" w:cs="Tahoma"/>
          <w:color w:val="000000" w:themeColor="text1"/>
          <w:sz w:val="24"/>
          <w:szCs w:val="24"/>
        </w:rPr>
        <w:t>spent on EVSE</w:t>
      </w:r>
      <w:r w:rsidR="00993717" w:rsidRPr="00F86D91">
        <w:rPr>
          <w:rFonts w:ascii="Tahoma" w:eastAsia="Arial" w:hAnsi="Tahoma" w:cs="Tahoma"/>
          <w:color w:val="000000" w:themeColor="text1"/>
          <w:sz w:val="24"/>
          <w:szCs w:val="24"/>
        </w:rPr>
        <w:t xml:space="preserve"> (i.e. </w:t>
      </w:r>
      <w:r w:rsidR="002C5D28" w:rsidRPr="00F86D91">
        <w:rPr>
          <w:rFonts w:ascii="Tahoma" w:eastAsia="Arial" w:hAnsi="Tahoma" w:cs="Tahoma"/>
          <w:color w:val="000000" w:themeColor="text1"/>
          <w:sz w:val="24"/>
          <w:szCs w:val="24"/>
        </w:rPr>
        <w:t>the costs for the chargers alone)</w:t>
      </w:r>
      <w:r w:rsidR="006940C3" w:rsidRPr="00F86D91">
        <w:rPr>
          <w:rFonts w:ascii="Tahoma" w:eastAsia="Arial" w:hAnsi="Tahoma" w:cs="Tahoma"/>
          <w:color w:val="000000" w:themeColor="text1"/>
          <w:sz w:val="24"/>
          <w:szCs w:val="24"/>
        </w:rPr>
        <w:t xml:space="preserve"> for one port type </w:t>
      </w:r>
      <w:r w:rsidR="000C121E" w:rsidRPr="00F86D91">
        <w:rPr>
          <w:rFonts w:ascii="Tahoma" w:eastAsia="Arial" w:hAnsi="Tahoma" w:cs="Tahoma"/>
          <w:color w:val="000000" w:themeColor="text1"/>
          <w:sz w:val="24"/>
          <w:szCs w:val="24"/>
        </w:rPr>
        <w:t xml:space="preserve">with a fraction of the remaining costs (for installation, operation, etc.) </w:t>
      </w:r>
      <w:r w:rsidR="00ED64BC" w:rsidRPr="00F86D91">
        <w:rPr>
          <w:rFonts w:ascii="Tahoma" w:eastAsia="Arial" w:hAnsi="Tahoma" w:cs="Tahoma"/>
          <w:color w:val="000000" w:themeColor="text1"/>
          <w:sz w:val="24"/>
          <w:szCs w:val="24"/>
        </w:rPr>
        <w:t xml:space="preserve">based on the same fraction of </w:t>
      </w:r>
      <w:r w:rsidR="00745AE6" w:rsidRPr="00F86D91">
        <w:rPr>
          <w:rFonts w:ascii="Tahoma" w:eastAsia="Arial" w:hAnsi="Tahoma" w:cs="Tahoma"/>
          <w:color w:val="000000" w:themeColor="text1"/>
          <w:sz w:val="24"/>
          <w:szCs w:val="24"/>
        </w:rPr>
        <w:t xml:space="preserve">the </w:t>
      </w:r>
      <w:r w:rsidR="00ED64BC" w:rsidRPr="00F86D91">
        <w:rPr>
          <w:rFonts w:ascii="Tahoma" w:eastAsia="Arial" w:hAnsi="Tahoma" w:cs="Tahoma"/>
          <w:color w:val="000000" w:themeColor="text1"/>
          <w:sz w:val="24"/>
          <w:szCs w:val="24"/>
        </w:rPr>
        <w:t>number of ports of that type. For example, if a project</w:t>
      </w:r>
      <w:r w:rsidR="000C5A06" w:rsidRPr="00F86D91">
        <w:rPr>
          <w:rFonts w:ascii="Tahoma" w:eastAsia="Arial" w:hAnsi="Tahoma" w:cs="Tahoma"/>
          <w:color w:val="000000" w:themeColor="text1"/>
          <w:sz w:val="24"/>
          <w:szCs w:val="24"/>
        </w:rPr>
        <w:t xml:space="preserve"> installs 25 DCFC ports and 75 Level 2 ports</w:t>
      </w:r>
      <w:r w:rsidR="00F771A1" w:rsidRPr="00F86D91">
        <w:rPr>
          <w:rFonts w:ascii="Tahoma" w:eastAsia="Arial" w:hAnsi="Tahoma" w:cs="Tahoma"/>
          <w:color w:val="000000" w:themeColor="text1"/>
          <w:sz w:val="24"/>
          <w:szCs w:val="24"/>
        </w:rPr>
        <w:t xml:space="preserve"> (</w:t>
      </w:r>
      <w:r w:rsidR="00BE5C25" w:rsidRPr="00F86D91">
        <w:rPr>
          <w:rFonts w:ascii="Tahoma" w:eastAsia="Arial" w:hAnsi="Tahoma" w:cs="Tahoma"/>
          <w:color w:val="000000" w:themeColor="text1"/>
          <w:sz w:val="24"/>
          <w:szCs w:val="24"/>
        </w:rPr>
        <w:t xml:space="preserve">i.e. </w:t>
      </w:r>
      <w:r w:rsidR="00F771A1" w:rsidRPr="00F86D91">
        <w:rPr>
          <w:rFonts w:ascii="Tahoma" w:eastAsia="Arial" w:hAnsi="Tahoma" w:cs="Tahoma"/>
          <w:color w:val="000000" w:themeColor="text1"/>
          <w:sz w:val="24"/>
          <w:szCs w:val="24"/>
        </w:rPr>
        <w:t>25% DCFC and 75% Level 2)</w:t>
      </w:r>
      <w:r w:rsidR="000C5A06" w:rsidRPr="00F86D91">
        <w:rPr>
          <w:rFonts w:ascii="Tahoma" w:eastAsia="Arial" w:hAnsi="Tahoma" w:cs="Tahoma"/>
          <w:color w:val="000000" w:themeColor="text1"/>
          <w:sz w:val="24"/>
          <w:szCs w:val="24"/>
        </w:rPr>
        <w:t xml:space="preserve">, and the budget reflects the EVSE for the DCFC ports is $90,000 per port, the EVSE for the L2 ports is $7,000 per port, and the remaining costs </w:t>
      </w:r>
      <w:r w:rsidR="00F9333D" w:rsidRPr="00F86D91">
        <w:rPr>
          <w:rFonts w:ascii="Tahoma" w:eastAsia="Arial" w:hAnsi="Tahoma" w:cs="Tahoma"/>
          <w:color w:val="000000" w:themeColor="text1"/>
          <w:sz w:val="24"/>
          <w:szCs w:val="24"/>
        </w:rPr>
        <w:t>total $</w:t>
      </w:r>
      <w:r w:rsidR="00493376" w:rsidRPr="00F86D91">
        <w:rPr>
          <w:rFonts w:ascii="Tahoma" w:eastAsia="Arial" w:hAnsi="Tahoma" w:cs="Tahoma"/>
          <w:color w:val="000000" w:themeColor="text1"/>
          <w:sz w:val="24"/>
          <w:szCs w:val="24"/>
        </w:rPr>
        <w:t>2</w:t>
      </w:r>
      <w:r w:rsidR="00F9333D" w:rsidRPr="00F86D91">
        <w:rPr>
          <w:rFonts w:ascii="Tahoma" w:eastAsia="Arial" w:hAnsi="Tahoma" w:cs="Tahoma"/>
          <w:color w:val="000000" w:themeColor="text1"/>
          <w:sz w:val="24"/>
          <w:szCs w:val="24"/>
        </w:rPr>
        <w:t>00,000, the evaluation committee will assume $</w:t>
      </w:r>
      <w:r w:rsidR="00493376" w:rsidRPr="00F86D91">
        <w:rPr>
          <w:rFonts w:ascii="Tahoma" w:eastAsia="Arial" w:hAnsi="Tahoma" w:cs="Tahoma"/>
          <w:color w:val="000000" w:themeColor="text1"/>
          <w:sz w:val="24"/>
          <w:szCs w:val="24"/>
        </w:rPr>
        <w:t>50</w:t>
      </w:r>
      <w:r w:rsidR="00F9333D" w:rsidRPr="00F86D91">
        <w:rPr>
          <w:rFonts w:ascii="Tahoma" w:eastAsia="Arial" w:hAnsi="Tahoma" w:cs="Tahoma"/>
          <w:color w:val="000000" w:themeColor="text1"/>
          <w:sz w:val="24"/>
          <w:szCs w:val="24"/>
        </w:rPr>
        <w:t>,000</w:t>
      </w:r>
      <w:r w:rsidR="00830835" w:rsidRPr="00F86D91">
        <w:rPr>
          <w:rFonts w:ascii="Tahoma" w:eastAsia="Arial" w:hAnsi="Tahoma" w:cs="Tahoma"/>
          <w:color w:val="000000" w:themeColor="text1"/>
          <w:sz w:val="24"/>
          <w:szCs w:val="24"/>
        </w:rPr>
        <w:t xml:space="preserve"> (</w:t>
      </w:r>
      <w:r w:rsidR="0058521C" w:rsidRPr="00F86D91">
        <w:rPr>
          <w:rFonts w:ascii="Tahoma" w:eastAsia="Arial" w:hAnsi="Tahoma" w:cs="Tahoma"/>
          <w:color w:val="000000" w:themeColor="text1"/>
          <w:sz w:val="24"/>
          <w:szCs w:val="24"/>
        </w:rPr>
        <w:t>25%)</w:t>
      </w:r>
      <w:r w:rsidR="00F9333D" w:rsidRPr="00F86D91">
        <w:rPr>
          <w:rFonts w:ascii="Tahoma" w:eastAsia="Arial" w:hAnsi="Tahoma" w:cs="Tahoma"/>
          <w:color w:val="000000" w:themeColor="text1"/>
          <w:sz w:val="24"/>
          <w:szCs w:val="24"/>
        </w:rPr>
        <w:t xml:space="preserve"> of the remaining costs are going to DCFC</w:t>
      </w:r>
      <w:r w:rsidR="00493376" w:rsidRPr="00F86D91">
        <w:rPr>
          <w:rFonts w:ascii="Tahoma" w:eastAsia="Arial" w:hAnsi="Tahoma" w:cs="Tahoma"/>
          <w:color w:val="000000" w:themeColor="text1"/>
          <w:sz w:val="24"/>
          <w:szCs w:val="24"/>
        </w:rPr>
        <w:t>-associated costs</w:t>
      </w:r>
      <w:r w:rsidR="00F9333D" w:rsidRPr="00F86D91">
        <w:rPr>
          <w:rFonts w:ascii="Tahoma" w:eastAsia="Arial" w:hAnsi="Tahoma" w:cs="Tahoma"/>
          <w:color w:val="000000" w:themeColor="text1"/>
          <w:sz w:val="24"/>
          <w:szCs w:val="24"/>
        </w:rPr>
        <w:t xml:space="preserve"> and $</w:t>
      </w:r>
      <w:r w:rsidR="00493376" w:rsidRPr="00F86D91">
        <w:rPr>
          <w:rFonts w:ascii="Tahoma" w:eastAsia="Arial" w:hAnsi="Tahoma" w:cs="Tahoma"/>
          <w:color w:val="000000" w:themeColor="text1"/>
          <w:sz w:val="24"/>
          <w:szCs w:val="24"/>
        </w:rPr>
        <w:t>150</w:t>
      </w:r>
      <w:r w:rsidR="00F9333D" w:rsidRPr="00F86D91">
        <w:rPr>
          <w:rFonts w:ascii="Tahoma" w:eastAsia="Arial" w:hAnsi="Tahoma" w:cs="Tahoma"/>
          <w:color w:val="000000" w:themeColor="text1"/>
          <w:sz w:val="24"/>
          <w:szCs w:val="24"/>
        </w:rPr>
        <w:t xml:space="preserve">,000 </w:t>
      </w:r>
      <w:r w:rsidR="0058521C" w:rsidRPr="00F86D91">
        <w:rPr>
          <w:rFonts w:ascii="Tahoma" w:eastAsia="Arial" w:hAnsi="Tahoma" w:cs="Tahoma"/>
          <w:color w:val="000000" w:themeColor="text1"/>
          <w:sz w:val="24"/>
          <w:szCs w:val="24"/>
        </w:rPr>
        <w:t xml:space="preserve">(75%) </w:t>
      </w:r>
      <w:r w:rsidR="00F9333D" w:rsidRPr="00F86D91">
        <w:rPr>
          <w:rFonts w:ascii="Tahoma" w:eastAsia="Arial" w:hAnsi="Tahoma" w:cs="Tahoma"/>
          <w:color w:val="000000" w:themeColor="text1"/>
          <w:sz w:val="24"/>
          <w:szCs w:val="24"/>
        </w:rPr>
        <w:t>of the remaining costs are going toward L2</w:t>
      </w:r>
      <w:r w:rsidR="00493376" w:rsidRPr="00F86D91">
        <w:rPr>
          <w:rFonts w:ascii="Tahoma" w:eastAsia="Arial" w:hAnsi="Tahoma" w:cs="Tahoma"/>
          <w:color w:val="000000" w:themeColor="text1"/>
          <w:sz w:val="24"/>
          <w:szCs w:val="24"/>
        </w:rPr>
        <w:t xml:space="preserve">-associated costs. This would mean </w:t>
      </w:r>
      <w:r w:rsidR="00F91982" w:rsidRPr="00F86D91">
        <w:rPr>
          <w:rFonts w:ascii="Tahoma" w:eastAsia="Arial" w:hAnsi="Tahoma" w:cs="Tahoma"/>
          <w:color w:val="000000" w:themeColor="text1"/>
          <w:sz w:val="24"/>
          <w:szCs w:val="24"/>
        </w:rPr>
        <w:t>each DCFC costs a</w:t>
      </w:r>
      <w:r w:rsidR="00246DDD" w:rsidRPr="00F86D91">
        <w:rPr>
          <w:rFonts w:ascii="Tahoma" w:eastAsia="Arial" w:hAnsi="Tahoma" w:cs="Tahoma"/>
          <w:color w:val="000000" w:themeColor="text1"/>
          <w:sz w:val="24"/>
          <w:szCs w:val="24"/>
        </w:rPr>
        <w:t>n average of</w:t>
      </w:r>
      <w:r w:rsidR="00F91982" w:rsidRPr="00F86D91">
        <w:rPr>
          <w:rFonts w:ascii="Tahoma" w:eastAsia="Arial" w:hAnsi="Tahoma" w:cs="Tahoma"/>
          <w:color w:val="000000" w:themeColor="text1"/>
          <w:sz w:val="24"/>
          <w:szCs w:val="24"/>
        </w:rPr>
        <w:t xml:space="preserve"> $92,000</w:t>
      </w:r>
      <w:r w:rsidR="00024165" w:rsidRPr="00F86D91">
        <w:rPr>
          <w:rFonts w:ascii="Tahoma" w:eastAsia="Arial" w:hAnsi="Tahoma" w:cs="Tahoma"/>
          <w:color w:val="000000" w:themeColor="text1"/>
          <w:sz w:val="24"/>
          <w:szCs w:val="24"/>
        </w:rPr>
        <w:t xml:space="preserve"> </w:t>
      </w:r>
      <w:r w:rsidR="003C5D9E" w:rsidRPr="00F86D91">
        <w:rPr>
          <w:rFonts w:ascii="Tahoma" w:eastAsia="Arial" w:hAnsi="Tahoma" w:cs="Tahoma"/>
          <w:color w:val="000000" w:themeColor="text1"/>
          <w:sz w:val="24"/>
          <w:szCs w:val="24"/>
        </w:rPr>
        <w:t xml:space="preserve">and each L2 </w:t>
      </w:r>
      <w:r w:rsidR="00246DDD" w:rsidRPr="00F86D91">
        <w:rPr>
          <w:rFonts w:ascii="Tahoma" w:eastAsia="Arial" w:hAnsi="Tahoma" w:cs="Tahoma"/>
          <w:color w:val="000000" w:themeColor="text1"/>
          <w:sz w:val="24"/>
          <w:szCs w:val="24"/>
        </w:rPr>
        <w:t>costs an average of</w:t>
      </w:r>
      <w:r w:rsidR="003C5D9E" w:rsidRPr="00F86D91">
        <w:rPr>
          <w:rFonts w:ascii="Tahoma" w:eastAsia="Arial" w:hAnsi="Tahoma" w:cs="Tahoma"/>
          <w:color w:val="000000" w:themeColor="text1"/>
          <w:sz w:val="24"/>
          <w:szCs w:val="24"/>
        </w:rPr>
        <w:t xml:space="preserve"> </w:t>
      </w:r>
      <w:r w:rsidR="00F34E5B" w:rsidRPr="00F86D91">
        <w:rPr>
          <w:rFonts w:ascii="Tahoma" w:eastAsia="Arial" w:hAnsi="Tahoma" w:cs="Tahoma"/>
          <w:color w:val="000000" w:themeColor="text1"/>
          <w:sz w:val="24"/>
          <w:szCs w:val="24"/>
        </w:rPr>
        <w:t>$9,000. Both are within the respective cost cap</w:t>
      </w:r>
      <w:r w:rsidR="00044B15" w:rsidRPr="00F86D91">
        <w:rPr>
          <w:rFonts w:ascii="Tahoma" w:eastAsia="Arial" w:hAnsi="Tahoma" w:cs="Tahoma"/>
          <w:color w:val="000000" w:themeColor="text1"/>
          <w:sz w:val="24"/>
          <w:szCs w:val="24"/>
        </w:rPr>
        <w:t>s and thus are eligible for reimbursement.</w:t>
      </w:r>
    </w:p>
    <w:p w14:paraId="142D29C4" w14:textId="0BE2609A" w:rsidR="4447FCAA" w:rsidRPr="00F86D91" w:rsidRDefault="4447FCAA" w:rsidP="4447FCAA">
      <w:pPr>
        <w:spacing w:after="0" w:line="240" w:lineRule="auto"/>
        <w:ind w:left="720" w:hanging="720"/>
        <w:rPr>
          <w:rFonts w:ascii="Tahoma" w:eastAsia="Arial" w:hAnsi="Tahoma" w:cs="Tahoma"/>
          <w:color w:val="000000" w:themeColor="text1"/>
          <w:sz w:val="24"/>
          <w:szCs w:val="24"/>
        </w:rPr>
      </w:pPr>
    </w:p>
    <w:p w14:paraId="684A2392" w14:textId="64FDA77B" w:rsidR="4447FCAA" w:rsidRPr="00F86D91" w:rsidRDefault="4447FCAA" w:rsidP="4447FCAA">
      <w:pPr>
        <w:spacing w:after="0" w:line="240" w:lineRule="auto"/>
        <w:ind w:left="720" w:hanging="720"/>
        <w:rPr>
          <w:rFonts w:ascii="Tahoma" w:eastAsia="Arial" w:hAnsi="Tahoma" w:cs="Tahoma"/>
          <w:color w:val="000000" w:themeColor="text1"/>
          <w:sz w:val="24"/>
          <w:szCs w:val="24"/>
        </w:rPr>
      </w:pPr>
    </w:p>
    <w:p w14:paraId="18D707B1" w14:textId="7CBAA415" w:rsidR="3410620C" w:rsidRPr="00F86D91" w:rsidRDefault="3410620C" w:rsidP="4447FCAA">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44</w:t>
      </w:r>
      <w:r w:rsidRPr="00F86D91">
        <w:rPr>
          <w:rFonts w:ascii="Tahoma" w:eastAsia="Arial" w:hAnsi="Tahoma" w:cs="Tahoma"/>
          <w:b/>
          <w:bCs/>
          <w:color w:val="000000" w:themeColor="text1"/>
          <w:sz w:val="24"/>
          <w:szCs w:val="24"/>
        </w:rPr>
        <w:t>.</w:t>
      </w:r>
      <w:r w:rsidRPr="00F86D91">
        <w:rPr>
          <w:rFonts w:ascii="Tahoma" w:hAnsi="Tahoma" w:cs="Tahoma"/>
        </w:rPr>
        <w:tab/>
      </w:r>
      <w:r w:rsidRPr="00F86D91">
        <w:rPr>
          <w:rFonts w:ascii="Tahoma" w:eastAsia="Arial" w:hAnsi="Tahoma" w:cs="Tahoma"/>
          <w:b/>
          <w:bCs/>
          <w:color w:val="000000" w:themeColor="text1"/>
          <w:sz w:val="24"/>
          <w:szCs w:val="24"/>
        </w:rPr>
        <w:t>The solicitation manual states on page 2</w:t>
      </w:r>
      <w:r w:rsidR="00E61E22">
        <w:rPr>
          <w:rFonts w:ascii="Tahoma" w:eastAsia="Arial" w:hAnsi="Tahoma" w:cs="Tahoma"/>
          <w:b/>
          <w:bCs/>
          <w:color w:val="000000" w:themeColor="text1"/>
          <w:sz w:val="24"/>
          <w:szCs w:val="24"/>
        </w:rPr>
        <w:t>6</w:t>
      </w:r>
      <w:r w:rsidRPr="00F86D91">
        <w:rPr>
          <w:rFonts w:ascii="Tahoma" w:eastAsia="Arial" w:hAnsi="Tahoma" w:cs="Tahoma"/>
          <w:b/>
          <w:bCs/>
          <w:color w:val="000000" w:themeColor="text1"/>
          <w:sz w:val="24"/>
          <w:szCs w:val="24"/>
        </w:rPr>
        <w:t xml:space="preserve">, “Estimate the greenhouse gas (GHG) emissions in terms of grams of CO2 equivalent that will be avoided if the project is implemented. Provide all assumptions. Calculate the benefit-cost score, defined as the ratio of grams of CO2 equivalent reduction per dollar of CEC investment for the proposed project term.” Does CEC recommend a specific formula/calculation to use?  </w:t>
      </w:r>
    </w:p>
    <w:p w14:paraId="6487035E" w14:textId="5F019374" w:rsidR="4447FCAA" w:rsidRPr="00F86D91" w:rsidRDefault="4447FCAA" w:rsidP="4447FCAA">
      <w:pPr>
        <w:spacing w:after="0" w:line="240" w:lineRule="auto"/>
        <w:ind w:left="720" w:hanging="720"/>
        <w:rPr>
          <w:rFonts w:ascii="Tahoma" w:eastAsia="Arial" w:hAnsi="Tahoma" w:cs="Tahoma"/>
          <w:b/>
          <w:bCs/>
          <w:color w:val="000000" w:themeColor="text1"/>
          <w:sz w:val="24"/>
          <w:szCs w:val="24"/>
        </w:rPr>
      </w:pPr>
    </w:p>
    <w:p w14:paraId="11E5927F" w14:textId="1961FF94" w:rsidR="3410620C" w:rsidRPr="00F86D91" w:rsidRDefault="3410620C" w:rsidP="4447FCAA">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44</w:t>
      </w:r>
      <w:r w:rsidRPr="00F86D91">
        <w:rPr>
          <w:rFonts w:ascii="Tahoma" w:eastAsia="Arial" w:hAnsi="Tahoma" w:cs="Tahoma"/>
          <w:color w:val="000000" w:themeColor="text1"/>
          <w:sz w:val="24"/>
          <w:szCs w:val="24"/>
        </w:rPr>
        <w:t>.</w:t>
      </w:r>
      <w:r w:rsidRPr="00F86D91">
        <w:rPr>
          <w:rFonts w:ascii="Tahoma" w:hAnsi="Tahoma" w:cs="Tahoma"/>
        </w:rPr>
        <w:tab/>
      </w:r>
      <w:r w:rsidR="00350473" w:rsidRPr="00F86D91">
        <w:rPr>
          <w:rFonts w:ascii="Tahoma" w:hAnsi="Tahoma" w:cs="Tahoma"/>
          <w:sz w:val="24"/>
          <w:szCs w:val="24"/>
        </w:rPr>
        <w:t>No, the applicant should however provide all assumptions, including the formulas or calculations used.</w:t>
      </w:r>
    </w:p>
    <w:p w14:paraId="452A3452" w14:textId="08C214F3" w:rsidR="4447FCAA" w:rsidRPr="00F86D91" w:rsidRDefault="4447FCAA" w:rsidP="4447FCAA">
      <w:pPr>
        <w:spacing w:after="0" w:line="240" w:lineRule="auto"/>
        <w:ind w:left="720" w:hanging="720"/>
        <w:rPr>
          <w:rFonts w:ascii="Tahoma" w:eastAsia="Arial" w:hAnsi="Tahoma" w:cs="Tahoma"/>
          <w:color w:val="000000" w:themeColor="text1"/>
          <w:sz w:val="24"/>
          <w:szCs w:val="24"/>
        </w:rPr>
      </w:pPr>
    </w:p>
    <w:p w14:paraId="62A341A1" w14:textId="00431AEE" w:rsidR="4447FCAA" w:rsidRPr="00F86D91" w:rsidRDefault="4447FCAA" w:rsidP="4447FCAA">
      <w:pPr>
        <w:spacing w:after="0" w:line="240" w:lineRule="auto"/>
        <w:ind w:left="720" w:hanging="720"/>
        <w:rPr>
          <w:rFonts w:ascii="Tahoma" w:eastAsia="Arial" w:hAnsi="Tahoma" w:cs="Tahoma"/>
          <w:color w:val="000000" w:themeColor="text1"/>
          <w:sz w:val="24"/>
          <w:szCs w:val="24"/>
        </w:rPr>
      </w:pPr>
    </w:p>
    <w:p w14:paraId="7B783DFA" w14:textId="688090A5" w:rsidR="3410620C" w:rsidRPr="00F86D91" w:rsidRDefault="3410620C" w:rsidP="4447FCAA">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45</w:t>
      </w:r>
      <w:r w:rsidRPr="00F86D91">
        <w:rPr>
          <w:rFonts w:ascii="Tahoma" w:eastAsia="Arial" w:hAnsi="Tahoma" w:cs="Tahoma"/>
          <w:b/>
          <w:bCs/>
          <w:color w:val="000000" w:themeColor="text1"/>
          <w:sz w:val="24"/>
          <w:szCs w:val="24"/>
        </w:rPr>
        <w:t>.</w:t>
      </w:r>
      <w:r w:rsidRPr="00F86D91">
        <w:rPr>
          <w:rFonts w:ascii="Tahoma" w:hAnsi="Tahoma" w:cs="Tahoma"/>
        </w:rPr>
        <w:tab/>
      </w:r>
      <w:r w:rsidRPr="00F86D91">
        <w:rPr>
          <w:rFonts w:ascii="Tahoma" w:eastAsia="Arial" w:hAnsi="Tahoma" w:cs="Tahoma"/>
          <w:b/>
          <w:bCs/>
          <w:color w:val="000000" w:themeColor="text1"/>
          <w:sz w:val="24"/>
          <w:szCs w:val="24"/>
        </w:rPr>
        <w:t>The solicitation manual states on page 2</w:t>
      </w:r>
      <w:r w:rsidR="00E61E22">
        <w:rPr>
          <w:rFonts w:ascii="Tahoma" w:eastAsia="Arial" w:hAnsi="Tahoma" w:cs="Tahoma"/>
          <w:b/>
          <w:bCs/>
          <w:color w:val="000000" w:themeColor="text1"/>
          <w:sz w:val="24"/>
          <w:szCs w:val="24"/>
        </w:rPr>
        <w:t>6</w:t>
      </w:r>
      <w:r w:rsidRPr="00F86D91">
        <w:rPr>
          <w:rFonts w:ascii="Tahoma" w:eastAsia="Arial" w:hAnsi="Tahoma" w:cs="Tahoma"/>
          <w:b/>
          <w:bCs/>
          <w:color w:val="000000" w:themeColor="text1"/>
          <w:sz w:val="24"/>
          <w:szCs w:val="24"/>
        </w:rPr>
        <w:t xml:space="preserve">, “Calculate and show the reimbursable cost per charger and cost per dispensed kilowatt-hour. Document your assumptions.” Does CEC recommend a specific formula/calculation to use? Also, is this cost per </w:t>
      </w:r>
      <w:r w:rsidR="00EC7516" w:rsidRPr="00F86D91">
        <w:rPr>
          <w:rFonts w:ascii="Tahoma" w:eastAsia="Arial" w:hAnsi="Tahoma" w:cs="Tahoma"/>
          <w:b/>
          <w:bCs/>
          <w:color w:val="000000" w:themeColor="text1"/>
          <w:sz w:val="24"/>
          <w:szCs w:val="24"/>
        </w:rPr>
        <w:t xml:space="preserve">kilowatt-hour </w:t>
      </w:r>
      <w:r w:rsidRPr="00F86D91">
        <w:rPr>
          <w:rFonts w:ascii="Tahoma" w:eastAsia="Arial" w:hAnsi="Tahoma" w:cs="Tahoma"/>
          <w:b/>
          <w:bCs/>
          <w:color w:val="000000" w:themeColor="text1"/>
          <w:sz w:val="24"/>
          <w:szCs w:val="24"/>
        </w:rPr>
        <w:t xml:space="preserve">dispensed throughout the entire project life between all fleet vehicles using the program-funded charging infrastructure, or throughout the life of the chargers, etc.?  </w:t>
      </w:r>
    </w:p>
    <w:p w14:paraId="268C8498" w14:textId="51ED81B7" w:rsidR="4447FCAA" w:rsidRPr="00F86D91" w:rsidRDefault="4447FCAA" w:rsidP="4447FCAA">
      <w:pPr>
        <w:spacing w:after="0" w:line="240" w:lineRule="auto"/>
        <w:ind w:left="720" w:hanging="720"/>
        <w:rPr>
          <w:rFonts w:ascii="Tahoma" w:eastAsia="Arial" w:hAnsi="Tahoma" w:cs="Tahoma"/>
          <w:b/>
          <w:bCs/>
          <w:color w:val="000000" w:themeColor="text1"/>
          <w:sz w:val="24"/>
          <w:szCs w:val="24"/>
        </w:rPr>
      </w:pPr>
    </w:p>
    <w:p w14:paraId="1FD3130C" w14:textId="0D4D3593" w:rsidR="3410620C" w:rsidRPr="00F86D91" w:rsidRDefault="3410620C" w:rsidP="007B78C8">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lastRenderedPageBreak/>
        <w:t>A</w:t>
      </w:r>
      <w:r w:rsidR="00823804" w:rsidRPr="00F86D91">
        <w:rPr>
          <w:rFonts w:ascii="Tahoma" w:eastAsia="Arial" w:hAnsi="Tahoma" w:cs="Tahoma"/>
          <w:color w:val="000000" w:themeColor="text1"/>
          <w:sz w:val="24"/>
          <w:szCs w:val="24"/>
        </w:rPr>
        <w:t>45</w:t>
      </w:r>
      <w:r w:rsidRPr="00F86D91">
        <w:rPr>
          <w:rFonts w:ascii="Tahoma" w:eastAsia="Arial" w:hAnsi="Tahoma" w:cs="Tahoma"/>
          <w:color w:val="000000" w:themeColor="text1"/>
          <w:sz w:val="24"/>
          <w:szCs w:val="24"/>
        </w:rPr>
        <w:t>.</w:t>
      </w:r>
      <w:r w:rsidRPr="00F86D91">
        <w:rPr>
          <w:rFonts w:ascii="Tahoma" w:hAnsi="Tahoma" w:cs="Tahoma"/>
        </w:rPr>
        <w:tab/>
      </w:r>
      <w:r w:rsidR="004D580E" w:rsidRPr="00F86D91">
        <w:rPr>
          <w:rFonts w:ascii="Tahoma" w:hAnsi="Tahoma" w:cs="Tahoma"/>
          <w:sz w:val="24"/>
          <w:szCs w:val="24"/>
        </w:rPr>
        <w:t>No, the applicant</w:t>
      </w:r>
      <w:r w:rsidR="00BA1B6A" w:rsidRPr="00F86D91">
        <w:rPr>
          <w:rFonts w:ascii="Tahoma" w:hAnsi="Tahoma" w:cs="Tahoma"/>
          <w:sz w:val="24"/>
          <w:szCs w:val="24"/>
        </w:rPr>
        <w:t xml:space="preserve"> may use any calculation they prefer to indicate the cost per </w:t>
      </w:r>
      <w:r w:rsidR="00FF6D50" w:rsidRPr="00F86D91">
        <w:rPr>
          <w:rFonts w:ascii="Tahoma" w:hAnsi="Tahoma" w:cs="Tahoma"/>
          <w:sz w:val="24"/>
          <w:szCs w:val="24"/>
        </w:rPr>
        <w:t xml:space="preserve">kilowatt-hour, </w:t>
      </w:r>
      <w:r w:rsidR="008E2F46" w:rsidRPr="00F86D91">
        <w:rPr>
          <w:rFonts w:ascii="Tahoma" w:hAnsi="Tahoma" w:cs="Tahoma"/>
          <w:sz w:val="24"/>
          <w:szCs w:val="24"/>
        </w:rPr>
        <w:t xml:space="preserve">as long as </w:t>
      </w:r>
      <w:r w:rsidR="004D580E" w:rsidRPr="00F86D91">
        <w:rPr>
          <w:rFonts w:ascii="Tahoma" w:hAnsi="Tahoma" w:cs="Tahoma"/>
          <w:sz w:val="24"/>
          <w:szCs w:val="24"/>
        </w:rPr>
        <w:t>all assumptions, including the formulas or calculations used</w:t>
      </w:r>
      <w:r w:rsidR="000A53AC" w:rsidRPr="00F86D91">
        <w:rPr>
          <w:rFonts w:ascii="Tahoma" w:hAnsi="Tahoma" w:cs="Tahoma"/>
          <w:sz w:val="24"/>
          <w:szCs w:val="24"/>
        </w:rPr>
        <w:t xml:space="preserve"> are provided</w:t>
      </w:r>
      <w:r w:rsidR="004D580E" w:rsidRPr="00F86D91">
        <w:rPr>
          <w:rFonts w:ascii="Tahoma" w:hAnsi="Tahoma" w:cs="Tahoma"/>
          <w:sz w:val="24"/>
          <w:szCs w:val="24"/>
        </w:rPr>
        <w:t>.</w:t>
      </w:r>
      <w:r w:rsidR="004D580E" w:rsidRPr="00F86D91">
        <w:rPr>
          <w:rFonts w:ascii="Tahoma" w:eastAsia="Arial" w:hAnsi="Tahoma" w:cs="Tahoma"/>
          <w:color w:val="000000" w:themeColor="text1"/>
          <w:sz w:val="24"/>
          <w:szCs w:val="24"/>
        </w:rPr>
        <w:t xml:space="preserve"> </w:t>
      </w:r>
    </w:p>
    <w:p w14:paraId="5D3159B6" w14:textId="49DAF5CF" w:rsidR="4447FCAA" w:rsidRPr="00F86D91" w:rsidRDefault="4447FCAA" w:rsidP="4447FCAA">
      <w:pPr>
        <w:spacing w:after="0" w:line="240" w:lineRule="auto"/>
        <w:ind w:left="720" w:hanging="720"/>
        <w:rPr>
          <w:rFonts w:ascii="Tahoma" w:eastAsia="Arial" w:hAnsi="Tahoma" w:cs="Tahoma"/>
          <w:color w:val="000000" w:themeColor="text1"/>
          <w:sz w:val="24"/>
          <w:szCs w:val="24"/>
        </w:rPr>
      </w:pPr>
    </w:p>
    <w:p w14:paraId="2CC2792F" w14:textId="5DB7F139" w:rsidR="4447FCAA" w:rsidRPr="00F86D91" w:rsidRDefault="4447FCAA" w:rsidP="4447FCAA">
      <w:pPr>
        <w:spacing w:after="0" w:line="240" w:lineRule="auto"/>
        <w:ind w:left="720" w:hanging="720"/>
        <w:rPr>
          <w:rFonts w:ascii="Tahoma" w:eastAsia="Arial" w:hAnsi="Tahoma" w:cs="Tahoma"/>
          <w:color w:val="000000" w:themeColor="text1"/>
          <w:sz w:val="24"/>
          <w:szCs w:val="24"/>
        </w:rPr>
      </w:pPr>
    </w:p>
    <w:p w14:paraId="2EBAFF4B" w14:textId="547D9D96" w:rsidR="3410620C" w:rsidRPr="00F86D91" w:rsidRDefault="3410620C" w:rsidP="13BF8754">
      <w:pPr>
        <w:spacing w:after="0" w:line="240" w:lineRule="auto"/>
        <w:ind w:left="720" w:hanging="720"/>
        <w:rPr>
          <w:rFonts w:ascii="Tahoma" w:eastAsia="Arial" w:hAnsi="Tahoma" w:cs="Tahoma"/>
          <w:b/>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46</w:t>
      </w:r>
      <w:r w:rsidRPr="00F86D91">
        <w:rPr>
          <w:rFonts w:ascii="Tahoma" w:eastAsia="Arial" w:hAnsi="Tahoma" w:cs="Tahoma"/>
          <w:b/>
          <w:bCs/>
          <w:color w:val="000000" w:themeColor="text1"/>
          <w:sz w:val="24"/>
          <w:szCs w:val="24"/>
        </w:rPr>
        <w:t>.</w:t>
      </w:r>
      <w:r w:rsidRPr="00F86D91">
        <w:rPr>
          <w:rFonts w:ascii="Tahoma" w:hAnsi="Tahoma" w:cs="Tahoma"/>
        </w:rPr>
        <w:tab/>
      </w:r>
      <w:r w:rsidR="3D10C657" w:rsidRPr="00F86D91">
        <w:rPr>
          <w:rFonts w:ascii="Tahoma" w:eastAsia="Arial" w:hAnsi="Tahoma" w:cs="Tahoma"/>
          <w:b/>
          <w:bCs/>
          <w:color w:val="000000" w:themeColor="text1"/>
          <w:sz w:val="24"/>
          <w:szCs w:val="24"/>
        </w:rPr>
        <w:t xml:space="preserve">Can you confirm that medium- and heavy-duty vehicles cannot be counted for charging needs? </w:t>
      </w:r>
      <w:r w:rsidR="06C1EFB7" w:rsidRPr="00F86D91">
        <w:rPr>
          <w:rFonts w:ascii="Tahoma" w:eastAsia="Arial" w:hAnsi="Tahoma" w:cs="Tahoma"/>
          <w:b/>
          <w:bCs/>
          <w:color w:val="000000" w:themeColor="text1"/>
          <w:sz w:val="24"/>
          <w:szCs w:val="24"/>
        </w:rPr>
        <w:t xml:space="preserve">If </w:t>
      </w:r>
      <w:r w:rsidR="273A3617" w:rsidRPr="00F86D91">
        <w:rPr>
          <w:rFonts w:ascii="Tahoma" w:eastAsia="Arial" w:hAnsi="Tahoma" w:cs="Tahoma"/>
          <w:b/>
          <w:bCs/>
          <w:color w:val="000000" w:themeColor="text1"/>
          <w:sz w:val="24"/>
          <w:szCs w:val="24"/>
        </w:rPr>
        <w:t>so</w:t>
      </w:r>
      <w:r w:rsidR="007B4615" w:rsidRPr="00F86D91">
        <w:rPr>
          <w:rFonts w:ascii="Tahoma" w:eastAsia="Arial" w:hAnsi="Tahoma" w:cs="Tahoma"/>
          <w:b/>
          <w:bCs/>
          <w:color w:val="000000" w:themeColor="text1"/>
          <w:sz w:val="24"/>
          <w:szCs w:val="24"/>
        </w:rPr>
        <w:t>, how will this affect</w:t>
      </w:r>
      <w:r w:rsidR="4B3E42A7" w:rsidRPr="00F86D91">
        <w:rPr>
          <w:rFonts w:ascii="Tahoma" w:eastAsia="Arial" w:hAnsi="Tahoma" w:cs="Tahoma"/>
          <w:b/>
          <w:bCs/>
          <w:color w:val="000000" w:themeColor="text1"/>
          <w:sz w:val="24"/>
          <w:szCs w:val="24"/>
        </w:rPr>
        <w:t xml:space="preserve"> project costs?</w:t>
      </w:r>
      <w:r w:rsidR="318BB881" w:rsidRPr="00F86D91">
        <w:rPr>
          <w:rFonts w:ascii="Tahoma" w:eastAsia="Arial" w:hAnsi="Tahoma" w:cs="Tahoma"/>
          <w:b/>
          <w:bCs/>
          <w:color w:val="000000" w:themeColor="text1"/>
          <w:sz w:val="24"/>
          <w:szCs w:val="24"/>
        </w:rPr>
        <w:t xml:space="preserve">  For example, would the </w:t>
      </w:r>
      <w:r w:rsidR="00E32867" w:rsidRPr="00F86D91">
        <w:rPr>
          <w:rFonts w:ascii="Tahoma" w:eastAsia="Arial" w:hAnsi="Tahoma" w:cs="Tahoma"/>
          <w:b/>
          <w:bCs/>
          <w:color w:val="000000" w:themeColor="text1"/>
          <w:sz w:val="24"/>
          <w:szCs w:val="24"/>
        </w:rPr>
        <w:t>medium- and/or heavy-duty (</w:t>
      </w:r>
      <w:r w:rsidR="318BB881" w:rsidRPr="00F86D91">
        <w:rPr>
          <w:rFonts w:ascii="Tahoma" w:eastAsia="Arial" w:hAnsi="Tahoma" w:cs="Tahoma"/>
          <w:b/>
          <w:bCs/>
          <w:color w:val="000000" w:themeColor="text1"/>
          <w:sz w:val="24"/>
          <w:szCs w:val="24"/>
        </w:rPr>
        <w:t>MD/HD</w:t>
      </w:r>
      <w:r w:rsidR="00E32867" w:rsidRPr="00F86D91">
        <w:rPr>
          <w:rFonts w:ascii="Tahoma" w:eastAsia="Arial" w:hAnsi="Tahoma" w:cs="Tahoma"/>
          <w:b/>
          <w:bCs/>
          <w:color w:val="000000" w:themeColor="text1"/>
          <w:sz w:val="24"/>
          <w:szCs w:val="24"/>
        </w:rPr>
        <w:t>)</w:t>
      </w:r>
      <w:r w:rsidR="318BB881" w:rsidRPr="00F86D91">
        <w:rPr>
          <w:rFonts w:ascii="Tahoma" w:eastAsia="Arial" w:hAnsi="Tahoma" w:cs="Tahoma"/>
          <w:b/>
          <w:bCs/>
          <w:color w:val="000000" w:themeColor="text1"/>
          <w:sz w:val="24"/>
          <w:szCs w:val="24"/>
        </w:rPr>
        <w:t xml:space="preserve"> charger costs</w:t>
      </w:r>
      <w:r w:rsidR="00644906" w:rsidRPr="00F86D91">
        <w:rPr>
          <w:rFonts w:ascii="Tahoma" w:eastAsia="Arial" w:hAnsi="Tahoma" w:cs="Tahoma"/>
          <w:b/>
          <w:bCs/>
          <w:color w:val="000000" w:themeColor="text1"/>
          <w:sz w:val="24"/>
          <w:szCs w:val="24"/>
        </w:rPr>
        <w:t xml:space="preserve">, such as additional labor costs for more complex installations </w:t>
      </w:r>
      <w:r w:rsidR="00CF2E37" w:rsidRPr="00F86D91">
        <w:rPr>
          <w:rFonts w:ascii="Tahoma" w:eastAsia="Arial" w:hAnsi="Tahoma" w:cs="Tahoma"/>
          <w:b/>
          <w:bCs/>
          <w:color w:val="000000" w:themeColor="text1"/>
          <w:sz w:val="24"/>
          <w:szCs w:val="24"/>
        </w:rPr>
        <w:t xml:space="preserve">or larger </w:t>
      </w:r>
      <w:r w:rsidR="00AE2AFB" w:rsidRPr="00F86D91">
        <w:rPr>
          <w:rFonts w:ascii="Tahoma" w:eastAsia="Arial" w:hAnsi="Tahoma" w:cs="Tahoma"/>
          <w:b/>
          <w:bCs/>
          <w:color w:val="000000" w:themeColor="text1"/>
          <w:sz w:val="24"/>
          <w:szCs w:val="24"/>
        </w:rPr>
        <w:t>transformers/electrical capacity,</w:t>
      </w:r>
      <w:r w:rsidR="318BB881" w:rsidRPr="00F86D91">
        <w:rPr>
          <w:rFonts w:ascii="Tahoma" w:eastAsia="Arial" w:hAnsi="Tahoma" w:cs="Tahoma"/>
          <w:b/>
          <w:bCs/>
          <w:color w:val="000000" w:themeColor="text1"/>
          <w:sz w:val="24"/>
          <w:szCs w:val="24"/>
        </w:rPr>
        <w:t xml:space="preserve"> need to be removed from the total project costs applied for under the grant?  </w:t>
      </w:r>
      <w:r w:rsidR="7894D246" w:rsidRPr="00F86D91">
        <w:rPr>
          <w:rFonts w:ascii="Tahoma" w:eastAsia="Arial" w:hAnsi="Tahoma" w:cs="Tahoma"/>
          <w:b/>
          <w:bCs/>
          <w:color w:val="000000" w:themeColor="text1"/>
          <w:sz w:val="24"/>
          <w:szCs w:val="24"/>
        </w:rPr>
        <w:t xml:space="preserve"> </w:t>
      </w:r>
    </w:p>
    <w:p w14:paraId="14EE144B" w14:textId="02D84570" w:rsidR="4447FCAA" w:rsidRPr="00F86D91" w:rsidRDefault="4447FCAA" w:rsidP="13BF8754">
      <w:pPr>
        <w:spacing w:after="0" w:line="240" w:lineRule="auto"/>
        <w:ind w:left="720" w:hanging="720"/>
        <w:rPr>
          <w:rFonts w:ascii="Tahoma" w:eastAsia="Arial" w:hAnsi="Tahoma" w:cs="Tahoma"/>
          <w:b/>
          <w:bCs/>
          <w:color w:val="000000" w:themeColor="text1"/>
          <w:sz w:val="24"/>
          <w:szCs w:val="24"/>
        </w:rPr>
      </w:pPr>
    </w:p>
    <w:p w14:paraId="151B1FFB" w14:textId="7E23A954" w:rsidR="4447FCAA" w:rsidRPr="00F86D91" w:rsidRDefault="653E84B3" w:rsidP="44A3F00F">
      <w:pPr>
        <w:spacing w:after="0" w:line="240" w:lineRule="auto"/>
        <w:ind w:left="720" w:hanging="720"/>
        <w:rPr>
          <w:rFonts w:ascii="Tahoma" w:eastAsia="Arial" w:hAnsi="Tahoma" w:cs="Tahoma"/>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46</w:t>
      </w:r>
      <w:r w:rsidRPr="00F86D91">
        <w:rPr>
          <w:rFonts w:ascii="Tahoma" w:eastAsia="Arial" w:hAnsi="Tahoma" w:cs="Tahoma"/>
          <w:color w:val="000000" w:themeColor="text1"/>
          <w:sz w:val="24"/>
          <w:szCs w:val="24"/>
        </w:rPr>
        <w:t>.</w:t>
      </w:r>
      <w:r w:rsidR="4447FCAA" w:rsidRPr="00F86D91">
        <w:rPr>
          <w:rFonts w:ascii="Tahoma" w:hAnsi="Tahoma" w:cs="Tahoma"/>
        </w:rPr>
        <w:tab/>
      </w:r>
      <w:r w:rsidR="001A2D4D" w:rsidRPr="00F86D91">
        <w:rPr>
          <w:rFonts w:ascii="Tahoma" w:eastAsia="Arial" w:hAnsi="Tahoma" w:cs="Tahoma"/>
          <w:color w:val="000000" w:themeColor="text1"/>
          <w:sz w:val="24"/>
          <w:szCs w:val="24"/>
        </w:rPr>
        <w:t xml:space="preserve">Only costs related to infrastructure that </w:t>
      </w:r>
      <w:r w:rsidR="1460392E" w:rsidRPr="00F86D91">
        <w:rPr>
          <w:rFonts w:ascii="Tahoma" w:eastAsia="Arial" w:hAnsi="Tahoma" w:cs="Tahoma"/>
          <w:color w:val="000000" w:themeColor="text1"/>
          <w:sz w:val="24"/>
          <w:szCs w:val="24"/>
        </w:rPr>
        <w:t>supports</w:t>
      </w:r>
      <w:r w:rsidR="001A2D4D" w:rsidRPr="00F86D91">
        <w:rPr>
          <w:rFonts w:ascii="Tahoma" w:eastAsia="Arial" w:hAnsi="Tahoma" w:cs="Tahoma"/>
          <w:color w:val="000000" w:themeColor="text1"/>
          <w:sz w:val="24"/>
          <w:szCs w:val="24"/>
        </w:rPr>
        <w:t xml:space="preserve"> l</w:t>
      </w:r>
      <w:r w:rsidR="558A85EF" w:rsidRPr="00F86D91">
        <w:rPr>
          <w:rFonts w:ascii="Tahoma" w:eastAsia="Arial" w:hAnsi="Tahoma" w:cs="Tahoma"/>
          <w:color w:val="000000" w:themeColor="text1"/>
          <w:sz w:val="24"/>
          <w:szCs w:val="24"/>
        </w:rPr>
        <w:t>ight-duty</w:t>
      </w:r>
      <w:r w:rsidR="007C172B" w:rsidRPr="00F86D91">
        <w:rPr>
          <w:rFonts w:ascii="Tahoma" w:eastAsia="Arial" w:hAnsi="Tahoma" w:cs="Tahoma"/>
          <w:color w:val="000000" w:themeColor="text1"/>
          <w:sz w:val="24"/>
          <w:szCs w:val="24"/>
        </w:rPr>
        <w:t xml:space="preserve"> government</w:t>
      </w:r>
      <w:r w:rsidR="001A2D4D" w:rsidRPr="00F86D91">
        <w:rPr>
          <w:rFonts w:ascii="Tahoma" w:eastAsia="Arial" w:hAnsi="Tahoma" w:cs="Tahoma"/>
          <w:color w:val="000000" w:themeColor="text1"/>
          <w:sz w:val="24"/>
          <w:szCs w:val="24"/>
        </w:rPr>
        <w:t xml:space="preserve"> fleets are eligible project cos</w:t>
      </w:r>
      <w:r w:rsidR="009D60E8" w:rsidRPr="00F86D91">
        <w:rPr>
          <w:rFonts w:ascii="Tahoma" w:eastAsia="Arial" w:hAnsi="Tahoma" w:cs="Tahoma"/>
          <w:color w:val="000000" w:themeColor="text1"/>
          <w:sz w:val="24"/>
          <w:szCs w:val="24"/>
        </w:rPr>
        <w:t>ts</w:t>
      </w:r>
      <w:r w:rsidR="001A2D4D" w:rsidRPr="00F86D91">
        <w:rPr>
          <w:rFonts w:ascii="Tahoma" w:eastAsia="Arial" w:hAnsi="Tahoma" w:cs="Tahoma"/>
          <w:color w:val="000000" w:themeColor="text1"/>
          <w:sz w:val="24"/>
          <w:szCs w:val="24"/>
        </w:rPr>
        <w:t xml:space="preserve">. </w:t>
      </w:r>
      <w:r w:rsidR="00F03B3B" w:rsidRPr="00F86D91">
        <w:rPr>
          <w:rFonts w:ascii="Tahoma" w:eastAsia="Arial" w:hAnsi="Tahoma" w:cs="Tahoma"/>
          <w:color w:val="000000" w:themeColor="text1"/>
          <w:sz w:val="24"/>
          <w:szCs w:val="24"/>
        </w:rPr>
        <w:t>Light-duty</w:t>
      </w:r>
      <w:r w:rsidR="558A85EF" w:rsidRPr="00F86D91">
        <w:rPr>
          <w:rFonts w:ascii="Tahoma" w:eastAsia="Arial" w:hAnsi="Tahoma" w:cs="Tahoma"/>
          <w:color w:val="000000" w:themeColor="text1"/>
          <w:sz w:val="24"/>
          <w:szCs w:val="24"/>
        </w:rPr>
        <w:t xml:space="preserve"> is defined in this solicitation as on-road vehicles with a gross vehicle weight rating of 10,000 pounds or less.</w:t>
      </w:r>
      <w:r w:rsidR="00F03B3B" w:rsidRPr="00F86D91">
        <w:rPr>
          <w:rFonts w:ascii="Tahoma" w:eastAsia="Arial" w:hAnsi="Tahoma" w:cs="Tahoma"/>
          <w:color w:val="000000" w:themeColor="text1"/>
          <w:sz w:val="24"/>
          <w:szCs w:val="24"/>
        </w:rPr>
        <w:t xml:space="preserve"> </w:t>
      </w:r>
      <w:r w:rsidR="009E477A" w:rsidRPr="00F86D91">
        <w:rPr>
          <w:rFonts w:ascii="Tahoma" w:eastAsia="Arial" w:hAnsi="Tahoma" w:cs="Tahoma"/>
          <w:color w:val="000000" w:themeColor="text1"/>
          <w:sz w:val="24"/>
          <w:szCs w:val="24"/>
        </w:rPr>
        <w:t>No</w:t>
      </w:r>
      <w:r w:rsidR="00234E4B" w:rsidRPr="00F86D91">
        <w:rPr>
          <w:rFonts w:ascii="Tahoma" w:eastAsia="Arial" w:hAnsi="Tahoma" w:cs="Tahoma"/>
          <w:color w:val="000000" w:themeColor="text1"/>
          <w:sz w:val="24"/>
          <w:szCs w:val="24"/>
        </w:rPr>
        <w:t xml:space="preserve"> work or costs related to </w:t>
      </w:r>
      <w:r w:rsidR="007C172B" w:rsidRPr="00F86D91">
        <w:rPr>
          <w:rFonts w:ascii="Tahoma" w:eastAsia="Arial" w:hAnsi="Tahoma" w:cs="Tahoma"/>
          <w:color w:val="000000" w:themeColor="text1"/>
          <w:sz w:val="24"/>
          <w:szCs w:val="24"/>
        </w:rPr>
        <w:t>medium- and/or heavy-duty</w:t>
      </w:r>
      <w:r w:rsidR="00234E4B" w:rsidRPr="00F86D91">
        <w:rPr>
          <w:rFonts w:ascii="Tahoma" w:eastAsia="Arial" w:hAnsi="Tahoma" w:cs="Tahoma"/>
          <w:color w:val="000000" w:themeColor="text1"/>
          <w:sz w:val="24"/>
          <w:szCs w:val="24"/>
        </w:rPr>
        <w:t xml:space="preserve"> infrastructure or charging capability </w:t>
      </w:r>
      <w:r w:rsidR="009E477A" w:rsidRPr="00F86D91">
        <w:rPr>
          <w:rFonts w:ascii="Tahoma" w:eastAsia="Arial" w:hAnsi="Tahoma" w:cs="Tahoma"/>
          <w:color w:val="000000" w:themeColor="text1"/>
          <w:sz w:val="24"/>
          <w:szCs w:val="24"/>
        </w:rPr>
        <w:t>should be included in the proposed project.</w:t>
      </w:r>
    </w:p>
    <w:p w14:paraId="2F6FC986" w14:textId="6A1C7D10" w:rsidR="4447FCAA" w:rsidRPr="00F86D91" w:rsidRDefault="4447FCAA" w:rsidP="59BC4DF4">
      <w:pPr>
        <w:spacing w:after="0" w:line="240" w:lineRule="auto"/>
        <w:ind w:left="720" w:hanging="720"/>
        <w:rPr>
          <w:rFonts w:ascii="Tahoma" w:eastAsia="Arial" w:hAnsi="Tahoma" w:cs="Tahoma"/>
          <w:color w:val="000000" w:themeColor="text1"/>
          <w:sz w:val="24"/>
          <w:szCs w:val="24"/>
        </w:rPr>
      </w:pPr>
    </w:p>
    <w:p w14:paraId="4EC7313C" w14:textId="77777777" w:rsidR="00C72383" w:rsidRPr="00F86D91" w:rsidRDefault="00C72383" w:rsidP="00C72383">
      <w:pPr>
        <w:spacing w:after="0" w:line="240" w:lineRule="auto"/>
        <w:ind w:left="720" w:hanging="720"/>
        <w:rPr>
          <w:rFonts w:ascii="Tahoma" w:eastAsia="Arial" w:hAnsi="Tahoma" w:cs="Tahoma"/>
          <w:color w:val="000000" w:themeColor="text1"/>
          <w:sz w:val="24"/>
          <w:szCs w:val="24"/>
        </w:rPr>
      </w:pPr>
    </w:p>
    <w:p w14:paraId="4AB89FEA" w14:textId="19DB07AC" w:rsidR="00C72383" w:rsidRPr="00F86D91" w:rsidRDefault="00C72383" w:rsidP="00C72383">
      <w:pPr>
        <w:spacing w:after="0" w:line="240" w:lineRule="auto"/>
        <w:ind w:left="720" w:hanging="720"/>
        <w:rPr>
          <w:rFonts w:ascii="Tahoma" w:eastAsia="Arial" w:hAnsi="Tahoma" w:cs="Tahoma"/>
          <w:b/>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47</w:t>
      </w:r>
      <w:r w:rsidRPr="00F86D91">
        <w:rPr>
          <w:rFonts w:ascii="Tahoma" w:eastAsia="Arial" w:hAnsi="Tahoma" w:cs="Tahoma"/>
          <w:b/>
          <w:bCs/>
          <w:color w:val="000000" w:themeColor="text1"/>
          <w:sz w:val="24"/>
          <w:szCs w:val="24"/>
        </w:rPr>
        <w:t>.</w:t>
      </w:r>
      <w:r w:rsidRPr="00F86D91">
        <w:rPr>
          <w:rFonts w:ascii="Tahoma" w:hAnsi="Tahoma" w:cs="Tahoma"/>
        </w:rPr>
        <w:tab/>
      </w:r>
      <w:r w:rsidRPr="00F86D91">
        <w:rPr>
          <w:rFonts w:ascii="Tahoma" w:hAnsi="Tahoma" w:cs="Tahoma"/>
          <w:b/>
          <w:bCs/>
          <w:sz w:val="24"/>
          <w:szCs w:val="24"/>
        </w:rPr>
        <w:t>Though only light-duty vehicles are eligible fleets under this solicitation,</w:t>
      </w:r>
      <w:r w:rsidRPr="00F86D91">
        <w:rPr>
          <w:rFonts w:ascii="Tahoma" w:hAnsi="Tahoma" w:cs="Tahoma"/>
          <w:sz w:val="24"/>
          <w:szCs w:val="24"/>
        </w:rPr>
        <w:t xml:space="preserve"> </w:t>
      </w:r>
      <w:r w:rsidRPr="00F86D91">
        <w:rPr>
          <w:rFonts w:ascii="Tahoma" w:eastAsia="Arial" w:hAnsi="Tahoma" w:cs="Tahoma"/>
          <w:b/>
          <w:bCs/>
          <w:color w:val="000000" w:themeColor="text1"/>
          <w:sz w:val="24"/>
          <w:szCs w:val="24"/>
        </w:rPr>
        <w:t xml:space="preserve">can program-funded chargers incidentally charge the government fleet’s </w:t>
      </w:r>
      <w:r w:rsidR="009E477A" w:rsidRPr="00F86D91">
        <w:rPr>
          <w:rFonts w:ascii="Tahoma" w:eastAsia="Arial" w:hAnsi="Tahoma" w:cs="Tahoma"/>
          <w:b/>
          <w:bCs/>
          <w:color w:val="000000" w:themeColor="text1"/>
          <w:sz w:val="24"/>
          <w:szCs w:val="24"/>
        </w:rPr>
        <w:t>MD/HD vehicles</w:t>
      </w:r>
      <w:r w:rsidRPr="00F86D91">
        <w:rPr>
          <w:rFonts w:ascii="Tahoma" w:eastAsia="Arial" w:hAnsi="Tahoma" w:cs="Tahoma"/>
          <w:b/>
          <w:bCs/>
          <w:color w:val="000000" w:themeColor="text1"/>
          <w:sz w:val="24"/>
          <w:szCs w:val="24"/>
        </w:rPr>
        <w:t xml:space="preserve">, specifically vehicles that must </w:t>
      </w:r>
      <w:proofErr w:type="gramStart"/>
      <w:r w:rsidRPr="00F86D91">
        <w:rPr>
          <w:rFonts w:ascii="Tahoma" w:eastAsia="Arial" w:hAnsi="Tahoma" w:cs="Tahoma"/>
          <w:b/>
          <w:bCs/>
          <w:color w:val="000000" w:themeColor="text1"/>
          <w:sz w:val="24"/>
          <w:szCs w:val="24"/>
        </w:rPr>
        <w:t>be in compliance with</w:t>
      </w:r>
      <w:proofErr w:type="gramEnd"/>
      <w:r w:rsidRPr="00F86D91">
        <w:rPr>
          <w:rFonts w:ascii="Tahoma" w:eastAsia="Arial" w:hAnsi="Tahoma" w:cs="Tahoma"/>
          <w:b/>
          <w:bCs/>
          <w:color w:val="000000" w:themeColor="text1"/>
          <w:sz w:val="24"/>
          <w:szCs w:val="24"/>
        </w:rPr>
        <w:t xml:space="preserve"> the Advanced Clean Fleets regulation?  </w:t>
      </w:r>
    </w:p>
    <w:p w14:paraId="31D28D68" w14:textId="77777777" w:rsidR="00C72383" w:rsidRPr="00F86D91" w:rsidRDefault="00C72383" w:rsidP="00C72383">
      <w:pPr>
        <w:spacing w:after="0" w:line="240" w:lineRule="auto"/>
        <w:ind w:left="720" w:hanging="720"/>
        <w:rPr>
          <w:rFonts w:ascii="Tahoma" w:eastAsia="Arial" w:hAnsi="Tahoma" w:cs="Tahoma"/>
          <w:b/>
          <w:bCs/>
          <w:color w:val="000000" w:themeColor="text1"/>
          <w:sz w:val="24"/>
          <w:szCs w:val="24"/>
        </w:rPr>
      </w:pPr>
    </w:p>
    <w:p w14:paraId="75878D58" w14:textId="78B25F07" w:rsidR="00C72383" w:rsidRPr="00F86D91" w:rsidRDefault="00C72383" w:rsidP="00C72383">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47</w:t>
      </w:r>
      <w:r w:rsidRPr="00F86D91">
        <w:rPr>
          <w:rFonts w:ascii="Tahoma" w:eastAsia="Arial" w:hAnsi="Tahoma" w:cs="Tahoma"/>
          <w:color w:val="000000" w:themeColor="text1"/>
          <w:sz w:val="24"/>
          <w:szCs w:val="24"/>
        </w:rPr>
        <w:t>.</w:t>
      </w:r>
      <w:r w:rsidRPr="00F86D91">
        <w:rPr>
          <w:rFonts w:ascii="Tahoma" w:hAnsi="Tahoma" w:cs="Tahoma"/>
        </w:rPr>
        <w:tab/>
      </w:r>
      <w:r w:rsidRPr="00F86D91">
        <w:rPr>
          <w:rFonts w:ascii="Tahoma" w:eastAsia="Arial" w:hAnsi="Tahoma" w:cs="Tahoma"/>
          <w:color w:val="000000" w:themeColor="text1"/>
          <w:sz w:val="24"/>
          <w:szCs w:val="24"/>
        </w:rPr>
        <w:t>While the solicitation does not prohibit medium- and heavy-duty</w:t>
      </w:r>
      <w:r w:rsidR="002A1B39" w:rsidRPr="00F86D91">
        <w:rPr>
          <w:rFonts w:ascii="Tahoma" w:eastAsia="Arial" w:hAnsi="Tahoma" w:cs="Tahoma"/>
          <w:color w:val="000000" w:themeColor="text1"/>
          <w:sz w:val="24"/>
          <w:szCs w:val="24"/>
        </w:rPr>
        <w:t xml:space="preserve"> zero-emission</w:t>
      </w:r>
      <w:r w:rsidRPr="00F86D91">
        <w:rPr>
          <w:rFonts w:ascii="Tahoma" w:eastAsia="Arial" w:hAnsi="Tahoma" w:cs="Tahoma"/>
          <w:color w:val="000000" w:themeColor="text1"/>
          <w:sz w:val="24"/>
          <w:szCs w:val="24"/>
        </w:rPr>
        <w:t xml:space="preserve"> vehicles from being able to use the chargers, non-light-duty</w:t>
      </w:r>
      <w:r w:rsidR="002A1B39" w:rsidRPr="00F86D91">
        <w:rPr>
          <w:rFonts w:ascii="Tahoma" w:eastAsia="Arial" w:hAnsi="Tahoma" w:cs="Tahoma"/>
          <w:color w:val="000000" w:themeColor="text1"/>
          <w:sz w:val="24"/>
          <w:szCs w:val="24"/>
        </w:rPr>
        <w:t xml:space="preserve"> zero-emission</w:t>
      </w:r>
      <w:r w:rsidRPr="00F86D91">
        <w:rPr>
          <w:rFonts w:ascii="Tahoma" w:eastAsia="Arial" w:hAnsi="Tahoma" w:cs="Tahoma"/>
          <w:color w:val="000000" w:themeColor="text1"/>
          <w:sz w:val="24"/>
          <w:szCs w:val="24"/>
        </w:rPr>
        <w:t xml:space="preserve"> </w:t>
      </w:r>
      <w:r w:rsidR="00113536" w:rsidRPr="00F86D91">
        <w:rPr>
          <w:rFonts w:ascii="Tahoma" w:eastAsia="Arial" w:hAnsi="Tahoma" w:cs="Tahoma"/>
          <w:color w:val="000000" w:themeColor="text1"/>
          <w:sz w:val="24"/>
          <w:szCs w:val="24"/>
        </w:rPr>
        <w:t xml:space="preserve">government </w:t>
      </w:r>
      <w:r w:rsidRPr="00F86D91">
        <w:rPr>
          <w:rFonts w:ascii="Tahoma" w:eastAsia="Arial" w:hAnsi="Tahoma" w:cs="Tahoma"/>
          <w:color w:val="000000" w:themeColor="text1"/>
          <w:sz w:val="24"/>
          <w:szCs w:val="24"/>
        </w:rPr>
        <w:t>fleet vehicles must not interfere with the light-duty fleet</w:t>
      </w:r>
      <w:r w:rsidR="00CE218C" w:rsidRPr="00F86D91">
        <w:rPr>
          <w:rFonts w:ascii="Tahoma" w:eastAsia="Arial" w:hAnsi="Tahoma" w:cs="Tahoma"/>
          <w:color w:val="000000" w:themeColor="text1"/>
          <w:sz w:val="24"/>
          <w:szCs w:val="24"/>
        </w:rPr>
        <w:t>’</w:t>
      </w:r>
      <w:r w:rsidRPr="00F86D91">
        <w:rPr>
          <w:rFonts w:ascii="Tahoma" w:eastAsia="Arial" w:hAnsi="Tahoma" w:cs="Tahoma"/>
          <w:color w:val="000000" w:themeColor="text1"/>
          <w:sz w:val="24"/>
          <w:szCs w:val="24"/>
        </w:rPr>
        <w:t>s ability to charge</w:t>
      </w:r>
      <w:r w:rsidR="00CC60AC" w:rsidRPr="00F86D91">
        <w:rPr>
          <w:rFonts w:ascii="Tahoma" w:eastAsia="Arial" w:hAnsi="Tahoma" w:cs="Tahoma"/>
          <w:color w:val="000000" w:themeColor="text1"/>
          <w:sz w:val="24"/>
          <w:szCs w:val="24"/>
        </w:rPr>
        <w:t xml:space="preserve">. Additionally, </w:t>
      </w:r>
      <w:r w:rsidR="009F590D" w:rsidRPr="00F86D91">
        <w:rPr>
          <w:rFonts w:ascii="Tahoma" w:eastAsia="Arial" w:hAnsi="Tahoma" w:cs="Tahoma"/>
          <w:color w:val="000000" w:themeColor="text1"/>
          <w:sz w:val="24"/>
          <w:szCs w:val="24"/>
        </w:rPr>
        <w:t>no work or costs related to MD/HD infrastructure or charging capability should be included in the proposed project.</w:t>
      </w:r>
      <w:r w:rsidR="00BB744C" w:rsidRPr="00F86D91">
        <w:rPr>
          <w:rFonts w:ascii="Tahoma" w:eastAsia="Arial" w:hAnsi="Tahoma" w:cs="Tahoma"/>
          <w:color w:val="000000" w:themeColor="text1"/>
          <w:sz w:val="24"/>
          <w:szCs w:val="24"/>
        </w:rPr>
        <w:t xml:space="preserve"> </w:t>
      </w:r>
      <w:r w:rsidR="00CC60AC" w:rsidRPr="00F86D91">
        <w:rPr>
          <w:rFonts w:ascii="Tahoma" w:eastAsia="Arial" w:hAnsi="Tahoma" w:cs="Tahoma"/>
          <w:color w:val="000000" w:themeColor="text1"/>
          <w:sz w:val="24"/>
          <w:szCs w:val="24"/>
        </w:rPr>
        <w:t>Light-duty is defined in this solicitation as on-road vehicles with a gross vehicle weight rating of 10,000 pounds or less.</w:t>
      </w:r>
    </w:p>
    <w:p w14:paraId="6E8B5F94" w14:textId="77777777" w:rsidR="00EF7193" w:rsidRPr="00F86D91" w:rsidRDefault="00EF7193" w:rsidP="00C72383">
      <w:pPr>
        <w:spacing w:after="0" w:line="240" w:lineRule="auto"/>
        <w:ind w:left="720" w:hanging="720"/>
        <w:rPr>
          <w:rFonts w:ascii="Tahoma" w:eastAsia="Arial" w:hAnsi="Tahoma" w:cs="Tahoma"/>
          <w:color w:val="000000" w:themeColor="text1"/>
          <w:sz w:val="24"/>
          <w:szCs w:val="24"/>
        </w:rPr>
      </w:pPr>
    </w:p>
    <w:p w14:paraId="2C7B11D2" w14:textId="77777777" w:rsidR="000C0C27" w:rsidRPr="00F86D91" w:rsidRDefault="00EF7193" w:rsidP="000C0C27">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b/>
        <w:t>As clarified in the addended solicitation manual, “</w:t>
      </w:r>
      <w:r w:rsidR="004B15BA" w:rsidRPr="00F86D91">
        <w:rPr>
          <w:rFonts w:ascii="Tahoma" w:eastAsia="Arial" w:hAnsi="Tahoma" w:cs="Tahoma"/>
          <w:color w:val="000000" w:themeColor="text1"/>
          <w:sz w:val="24"/>
          <w:szCs w:val="24"/>
        </w:rPr>
        <w:t xml:space="preserve">The purpose of the Charging Infrastructure for Government Fleets Solicitation is to: </w:t>
      </w:r>
    </w:p>
    <w:p w14:paraId="20D55A3B" w14:textId="02BB6DA2" w:rsidR="00EF7193" w:rsidRPr="00F86D91" w:rsidRDefault="00222884" w:rsidP="00222884">
      <w:pPr>
        <w:pStyle w:val="ListParagraph"/>
        <w:spacing w:after="0"/>
        <w:ind w:left="144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w:t>
      </w:r>
      <w:r w:rsidRPr="00F86D91">
        <w:rPr>
          <w:rFonts w:ascii="Tahoma" w:eastAsia="Arial" w:hAnsi="Tahoma" w:cs="Tahoma"/>
          <w:color w:val="000000" w:themeColor="text1"/>
          <w:sz w:val="24"/>
          <w:szCs w:val="24"/>
        </w:rPr>
        <w:tab/>
      </w:r>
      <w:r w:rsidR="004B15BA" w:rsidRPr="00F86D91">
        <w:rPr>
          <w:rFonts w:ascii="Tahoma" w:eastAsia="Arial" w:hAnsi="Tahoma" w:cs="Tahoma"/>
          <w:color w:val="000000" w:themeColor="text1"/>
          <w:sz w:val="24"/>
          <w:szCs w:val="24"/>
        </w:rPr>
        <w:t>Support electrification of light-duty government fleets in California by providing reliable and readily accessible electric vehicle charging infrastructure dedicated for these fleets</w:t>
      </w:r>
      <w:r w:rsidRPr="00F86D91">
        <w:rPr>
          <w:rFonts w:ascii="Tahoma" w:eastAsia="Arial" w:hAnsi="Tahoma" w:cs="Tahoma"/>
          <w:color w:val="000000" w:themeColor="text1"/>
          <w:sz w:val="24"/>
          <w:szCs w:val="24"/>
        </w:rPr>
        <w:t>”</w:t>
      </w:r>
    </w:p>
    <w:p w14:paraId="0DC940CD" w14:textId="15FB9859" w:rsidR="0080539C" w:rsidRPr="00F86D91" w:rsidRDefault="00222884" w:rsidP="0080539C">
      <w:pPr>
        <w:pStyle w:val="ListParagraph"/>
        <w:spacing w:after="0"/>
        <w:ind w:left="144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w:t>
      </w:r>
      <w:r w:rsidR="00FA0B9E" w:rsidRPr="00F86D91">
        <w:rPr>
          <w:rFonts w:ascii="Tahoma" w:eastAsia="Arial" w:hAnsi="Tahoma" w:cs="Tahoma"/>
          <w:color w:val="000000" w:themeColor="text1"/>
          <w:sz w:val="24"/>
          <w:szCs w:val="24"/>
        </w:rPr>
        <w:t>Section I.A., page 1, “Purpose of Solicitation”, Solicitation Manual)</w:t>
      </w:r>
      <w:r w:rsidR="00C809E3" w:rsidRPr="00F86D91">
        <w:rPr>
          <w:rFonts w:ascii="Tahoma" w:eastAsia="Arial" w:hAnsi="Tahoma" w:cs="Tahoma"/>
          <w:color w:val="000000" w:themeColor="text1"/>
          <w:sz w:val="24"/>
          <w:szCs w:val="24"/>
        </w:rPr>
        <w:t>.</w:t>
      </w:r>
    </w:p>
    <w:p w14:paraId="5B6362EF" w14:textId="77777777" w:rsidR="0080539C" w:rsidRPr="00F86D91" w:rsidRDefault="0080539C" w:rsidP="0080539C">
      <w:pPr>
        <w:pStyle w:val="ListParagraph"/>
        <w:spacing w:after="0"/>
        <w:ind w:left="1440" w:hanging="720"/>
        <w:rPr>
          <w:rFonts w:ascii="Tahoma" w:eastAsia="Arial" w:hAnsi="Tahoma" w:cs="Tahoma"/>
          <w:color w:val="000000" w:themeColor="text1"/>
          <w:sz w:val="24"/>
          <w:szCs w:val="24"/>
        </w:rPr>
      </w:pPr>
    </w:p>
    <w:p w14:paraId="664CEA38" w14:textId="7DA8E1C2" w:rsidR="0080539C" w:rsidRPr="00F86D91" w:rsidRDefault="0080539C" w:rsidP="00266862">
      <w:pPr>
        <w:pStyle w:val="ListParagraph"/>
        <w:spacing w:after="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Proposed projects must demonstrate</w:t>
      </w:r>
      <w:r w:rsidR="005631CE" w:rsidRPr="00F86D91">
        <w:rPr>
          <w:rFonts w:ascii="Tahoma" w:eastAsia="Arial" w:hAnsi="Tahoma" w:cs="Tahoma"/>
          <w:color w:val="000000" w:themeColor="text1"/>
          <w:sz w:val="24"/>
          <w:szCs w:val="24"/>
        </w:rPr>
        <w:t xml:space="preserve"> </w:t>
      </w:r>
      <w:r w:rsidR="007F1848" w:rsidRPr="00F86D91">
        <w:rPr>
          <w:rFonts w:ascii="Tahoma" w:eastAsia="Arial" w:hAnsi="Tahoma" w:cs="Tahoma"/>
          <w:color w:val="000000" w:themeColor="text1"/>
          <w:sz w:val="24"/>
          <w:szCs w:val="24"/>
        </w:rPr>
        <w:t>that the</w:t>
      </w:r>
      <w:r w:rsidR="00350162" w:rsidRPr="00F86D91">
        <w:rPr>
          <w:rFonts w:ascii="Tahoma" w:eastAsia="Arial" w:hAnsi="Tahoma" w:cs="Tahoma"/>
          <w:color w:val="000000" w:themeColor="text1"/>
          <w:sz w:val="24"/>
          <w:szCs w:val="24"/>
        </w:rPr>
        <w:t xml:space="preserve"> infrastructure installed through the</w:t>
      </w:r>
      <w:r w:rsidR="00266862" w:rsidRPr="00F86D91">
        <w:rPr>
          <w:rFonts w:ascii="Tahoma" w:eastAsia="Arial" w:hAnsi="Tahoma" w:cs="Tahoma"/>
          <w:color w:val="000000" w:themeColor="text1"/>
          <w:sz w:val="24"/>
          <w:szCs w:val="24"/>
        </w:rPr>
        <w:t xml:space="preserve"> </w:t>
      </w:r>
      <w:r w:rsidR="00350162" w:rsidRPr="00F86D91">
        <w:rPr>
          <w:rFonts w:ascii="Tahoma" w:eastAsia="Arial" w:hAnsi="Tahoma" w:cs="Tahoma"/>
          <w:color w:val="000000" w:themeColor="text1"/>
          <w:sz w:val="24"/>
          <w:szCs w:val="24"/>
        </w:rPr>
        <w:t xml:space="preserve">project is needed to </w:t>
      </w:r>
      <w:r w:rsidR="009F0C62" w:rsidRPr="00F86D91">
        <w:rPr>
          <w:rFonts w:ascii="Tahoma" w:eastAsia="Arial" w:hAnsi="Tahoma" w:cs="Tahoma"/>
          <w:color w:val="000000" w:themeColor="text1"/>
          <w:sz w:val="24"/>
          <w:szCs w:val="24"/>
        </w:rPr>
        <w:t xml:space="preserve">address </w:t>
      </w:r>
      <w:r w:rsidR="00266862" w:rsidRPr="00F86D91">
        <w:rPr>
          <w:rFonts w:ascii="Tahoma" w:eastAsia="Arial" w:hAnsi="Tahoma" w:cs="Tahoma"/>
          <w:color w:val="000000" w:themeColor="text1"/>
          <w:sz w:val="24"/>
          <w:szCs w:val="24"/>
        </w:rPr>
        <w:t>EV charging needs of the light-duty government fleet(s) being served.</w:t>
      </w:r>
    </w:p>
    <w:p w14:paraId="6C465C81" w14:textId="77777777" w:rsidR="00C72383" w:rsidRPr="00F86D91" w:rsidRDefault="00C72383" w:rsidP="00C72383">
      <w:pPr>
        <w:spacing w:after="0" w:line="240" w:lineRule="auto"/>
        <w:ind w:left="720" w:hanging="720"/>
        <w:rPr>
          <w:rFonts w:ascii="Tahoma" w:eastAsia="Arial" w:hAnsi="Tahoma" w:cs="Tahoma"/>
          <w:color w:val="000000" w:themeColor="text1"/>
          <w:sz w:val="24"/>
          <w:szCs w:val="24"/>
        </w:rPr>
      </w:pPr>
    </w:p>
    <w:p w14:paraId="58AED6BA" w14:textId="59CFD40F" w:rsidR="4447FCAA" w:rsidRPr="00F86D91" w:rsidRDefault="4447FCAA" w:rsidP="53234C4C">
      <w:pPr>
        <w:spacing w:after="0" w:line="240" w:lineRule="auto"/>
        <w:rPr>
          <w:rFonts w:ascii="Tahoma" w:eastAsia="Arial" w:hAnsi="Tahoma" w:cs="Tahoma"/>
          <w:color w:val="000000" w:themeColor="text1"/>
          <w:sz w:val="24"/>
          <w:szCs w:val="24"/>
        </w:rPr>
      </w:pPr>
    </w:p>
    <w:p w14:paraId="5FFBFE95" w14:textId="6885A136" w:rsidR="3410620C" w:rsidRPr="00F86D91" w:rsidRDefault="3410620C" w:rsidP="44A3F00F">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lastRenderedPageBreak/>
        <w:t>Q</w:t>
      </w:r>
      <w:r w:rsidR="00823804" w:rsidRPr="00F86D91">
        <w:rPr>
          <w:rFonts w:ascii="Tahoma" w:eastAsia="Arial" w:hAnsi="Tahoma" w:cs="Tahoma"/>
          <w:b/>
          <w:bCs/>
          <w:color w:val="000000" w:themeColor="text1"/>
          <w:sz w:val="24"/>
          <w:szCs w:val="24"/>
        </w:rPr>
        <w:t>48</w:t>
      </w:r>
      <w:r w:rsidRPr="00F86D91">
        <w:rPr>
          <w:rFonts w:ascii="Tahoma" w:eastAsia="Arial" w:hAnsi="Tahoma" w:cs="Tahoma"/>
          <w:b/>
          <w:bCs/>
          <w:color w:val="000000" w:themeColor="text1"/>
          <w:sz w:val="24"/>
          <w:szCs w:val="24"/>
        </w:rPr>
        <w:t>.</w:t>
      </w:r>
      <w:r w:rsidRPr="00F86D91">
        <w:rPr>
          <w:rFonts w:ascii="Tahoma" w:hAnsi="Tahoma" w:cs="Tahoma"/>
        </w:rPr>
        <w:tab/>
      </w:r>
      <w:r w:rsidR="00F74821" w:rsidRPr="00F86D91">
        <w:rPr>
          <w:rFonts w:ascii="Tahoma" w:eastAsia="Arial" w:hAnsi="Tahoma" w:cs="Tahoma"/>
          <w:b/>
          <w:bCs/>
          <w:color w:val="000000" w:themeColor="text1"/>
          <w:sz w:val="24"/>
          <w:szCs w:val="24"/>
        </w:rPr>
        <w:t xml:space="preserve">Will there be </w:t>
      </w:r>
      <w:r w:rsidR="00EA0BA2" w:rsidRPr="00F86D91">
        <w:rPr>
          <w:rFonts w:ascii="Tahoma" w:eastAsia="Arial" w:hAnsi="Tahoma" w:cs="Tahoma"/>
          <w:b/>
          <w:bCs/>
          <w:color w:val="000000" w:themeColor="text1"/>
          <w:sz w:val="24"/>
          <w:szCs w:val="24"/>
        </w:rPr>
        <w:t>additional or future solicitations that address charging for government vehicles, specifically including smaller cities, special districts, UCs and/or MDHD fleet vehicles?</w:t>
      </w:r>
    </w:p>
    <w:p w14:paraId="60BDDCD2" w14:textId="716E647A" w:rsidR="4447FCAA" w:rsidRPr="00F86D91" w:rsidRDefault="4447FCAA" w:rsidP="00CC60AC">
      <w:pPr>
        <w:spacing w:after="0" w:line="240" w:lineRule="auto"/>
        <w:rPr>
          <w:rFonts w:ascii="Tahoma" w:eastAsia="Arial" w:hAnsi="Tahoma" w:cs="Tahoma"/>
          <w:b/>
          <w:bCs/>
          <w:color w:val="000000" w:themeColor="text1"/>
          <w:sz w:val="24"/>
          <w:szCs w:val="24"/>
        </w:rPr>
      </w:pPr>
    </w:p>
    <w:p w14:paraId="38B06D0B" w14:textId="1187E4D6" w:rsidR="4447FCAA" w:rsidRPr="00F86D91" w:rsidRDefault="3410620C" w:rsidP="13BF8754">
      <w:pPr>
        <w:spacing w:after="0" w:line="240" w:lineRule="auto"/>
        <w:ind w:left="720" w:hanging="720"/>
        <w:rPr>
          <w:rFonts w:ascii="Tahoma" w:eastAsia="Arial" w:hAnsi="Tahoma" w:cs="Tahoma"/>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48</w:t>
      </w:r>
      <w:r w:rsidRPr="00F86D91">
        <w:rPr>
          <w:rFonts w:ascii="Tahoma" w:eastAsia="Arial" w:hAnsi="Tahoma" w:cs="Tahoma"/>
          <w:color w:val="000000" w:themeColor="text1"/>
          <w:sz w:val="24"/>
          <w:szCs w:val="24"/>
        </w:rPr>
        <w:t>.</w:t>
      </w:r>
      <w:r w:rsidRPr="00F86D91">
        <w:rPr>
          <w:rFonts w:ascii="Tahoma" w:eastAsia="Arial" w:hAnsi="Tahoma" w:cs="Tahoma"/>
          <w:b/>
          <w:bCs/>
          <w:color w:val="000000" w:themeColor="text1"/>
          <w:sz w:val="24"/>
          <w:szCs w:val="24"/>
        </w:rPr>
        <w:t xml:space="preserve"> </w:t>
      </w:r>
      <w:r w:rsidR="4447FCAA" w:rsidRPr="00F86D91">
        <w:rPr>
          <w:rFonts w:ascii="Tahoma" w:hAnsi="Tahoma" w:cs="Tahoma"/>
        </w:rPr>
        <w:tab/>
      </w:r>
      <w:r w:rsidR="70F7F5C0" w:rsidRPr="00F86D91">
        <w:rPr>
          <w:rFonts w:ascii="Tahoma" w:eastAsia="Arial" w:hAnsi="Tahoma" w:cs="Tahoma"/>
          <w:color w:val="000000" w:themeColor="text1"/>
          <w:sz w:val="24"/>
          <w:szCs w:val="24"/>
        </w:rPr>
        <w:t>There is currently not another active CEC solicitation</w:t>
      </w:r>
      <w:r w:rsidR="00EE67F3" w:rsidRPr="00F86D91">
        <w:rPr>
          <w:rFonts w:ascii="Tahoma" w:eastAsia="Arial" w:hAnsi="Tahoma" w:cs="Tahoma"/>
          <w:color w:val="000000" w:themeColor="text1"/>
          <w:sz w:val="24"/>
          <w:szCs w:val="24"/>
        </w:rPr>
        <w:t xml:space="preserve"> focused on government fleets</w:t>
      </w:r>
      <w:r w:rsidR="00132A3E" w:rsidRPr="00F86D91">
        <w:rPr>
          <w:rFonts w:ascii="Tahoma" w:eastAsia="Arial" w:hAnsi="Tahoma" w:cs="Tahoma"/>
          <w:color w:val="000000" w:themeColor="text1"/>
          <w:sz w:val="24"/>
          <w:szCs w:val="24"/>
        </w:rPr>
        <w:t>,</w:t>
      </w:r>
      <w:r w:rsidR="006B2B98" w:rsidRPr="00F86D91">
        <w:rPr>
          <w:rFonts w:ascii="Tahoma" w:eastAsia="Arial" w:hAnsi="Tahoma" w:cs="Tahoma"/>
          <w:color w:val="000000" w:themeColor="text1"/>
          <w:sz w:val="24"/>
          <w:szCs w:val="24"/>
        </w:rPr>
        <w:t xml:space="preserve"> special districts, </w:t>
      </w:r>
      <w:r w:rsidR="00BB4803" w:rsidRPr="00F86D91">
        <w:rPr>
          <w:rFonts w:ascii="Tahoma" w:eastAsia="Arial" w:hAnsi="Tahoma" w:cs="Tahoma"/>
          <w:color w:val="000000" w:themeColor="text1"/>
          <w:sz w:val="24"/>
          <w:szCs w:val="24"/>
        </w:rPr>
        <w:t>or UCs</w:t>
      </w:r>
      <w:r w:rsidR="70F7F5C0" w:rsidRPr="00F86D91">
        <w:rPr>
          <w:rFonts w:ascii="Tahoma" w:eastAsia="Arial" w:hAnsi="Tahoma" w:cs="Tahoma"/>
          <w:color w:val="000000" w:themeColor="text1"/>
          <w:sz w:val="24"/>
          <w:szCs w:val="24"/>
        </w:rPr>
        <w:t xml:space="preserve">. However, please subscribe to our </w:t>
      </w:r>
      <w:hyperlink r:id="rId12" w:history="1">
        <w:r w:rsidR="70F7F5C0" w:rsidRPr="00F86D91">
          <w:rPr>
            <w:rStyle w:val="Hyperlink"/>
            <w:rFonts w:ascii="Tahoma" w:eastAsia="Arial" w:hAnsi="Tahoma" w:cs="Tahoma"/>
            <w:sz w:val="24"/>
            <w:szCs w:val="24"/>
          </w:rPr>
          <w:t>CEC list</w:t>
        </w:r>
      </w:hyperlink>
      <w:r w:rsidR="004179C5" w:rsidRPr="00F86D91">
        <w:rPr>
          <w:rFonts w:ascii="Tahoma" w:eastAsia="Arial" w:hAnsi="Tahoma" w:cs="Tahoma"/>
          <w:color w:val="000000" w:themeColor="text1"/>
          <w:sz w:val="24"/>
          <w:szCs w:val="24"/>
        </w:rPr>
        <w:t xml:space="preserve"> (https://www.energy.ca.gov/subscriptions)</w:t>
      </w:r>
      <w:r w:rsidR="70F7F5C0" w:rsidRPr="00F86D91">
        <w:rPr>
          <w:rFonts w:ascii="Tahoma" w:eastAsia="Arial" w:hAnsi="Tahoma" w:cs="Tahoma"/>
          <w:color w:val="000000" w:themeColor="text1"/>
          <w:sz w:val="24"/>
          <w:szCs w:val="24"/>
        </w:rPr>
        <w:t xml:space="preserve">, to receive updates on future opportunities. </w:t>
      </w:r>
    </w:p>
    <w:p w14:paraId="5DFB3064" w14:textId="500FF191" w:rsidR="4447FCAA" w:rsidRPr="00F86D91" w:rsidRDefault="4447FCAA" w:rsidP="004F40D2">
      <w:pPr>
        <w:spacing w:after="0" w:line="240" w:lineRule="auto"/>
        <w:rPr>
          <w:rFonts w:ascii="Tahoma" w:eastAsia="Arial" w:hAnsi="Tahoma" w:cs="Tahoma"/>
          <w:b/>
          <w:bCs/>
          <w:color w:val="000000" w:themeColor="text1"/>
          <w:sz w:val="24"/>
          <w:szCs w:val="24"/>
        </w:rPr>
      </w:pPr>
    </w:p>
    <w:p w14:paraId="23409334" w14:textId="15E9E436" w:rsidR="4447FCAA" w:rsidRPr="00F86D91" w:rsidRDefault="4447FCAA" w:rsidP="4447FCAA">
      <w:pPr>
        <w:spacing w:after="0" w:line="240" w:lineRule="auto"/>
        <w:ind w:left="720" w:hanging="720"/>
        <w:rPr>
          <w:rFonts w:ascii="Tahoma" w:eastAsia="Arial" w:hAnsi="Tahoma" w:cs="Tahoma"/>
          <w:b/>
          <w:bCs/>
          <w:color w:val="000000" w:themeColor="text1"/>
          <w:sz w:val="24"/>
          <w:szCs w:val="24"/>
        </w:rPr>
      </w:pPr>
    </w:p>
    <w:p w14:paraId="5831A277" w14:textId="13967E80" w:rsidR="3410620C" w:rsidRPr="00F86D91" w:rsidRDefault="3410620C"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49</w:t>
      </w:r>
      <w:r w:rsidRPr="00F86D91">
        <w:rPr>
          <w:rFonts w:ascii="Tahoma" w:eastAsia="Arial" w:hAnsi="Tahoma" w:cs="Tahoma"/>
          <w:b/>
          <w:bCs/>
          <w:color w:val="000000" w:themeColor="text1"/>
          <w:sz w:val="24"/>
          <w:szCs w:val="24"/>
        </w:rPr>
        <w:t>.</w:t>
      </w:r>
      <w:r w:rsidRPr="00F86D91">
        <w:rPr>
          <w:rFonts w:ascii="Tahoma" w:hAnsi="Tahoma" w:cs="Tahoma"/>
        </w:rPr>
        <w:tab/>
      </w:r>
      <w:r w:rsidR="46DA06CA" w:rsidRPr="00F86D91">
        <w:rPr>
          <w:rFonts w:ascii="Tahoma" w:eastAsia="Arial" w:hAnsi="Tahoma" w:cs="Tahoma"/>
          <w:b/>
          <w:bCs/>
          <w:color w:val="000000" w:themeColor="text1"/>
          <w:sz w:val="24"/>
          <w:szCs w:val="24"/>
        </w:rPr>
        <w:t>Does this program run annually?</w:t>
      </w:r>
    </w:p>
    <w:p w14:paraId="1705593A" w14:textId="15E9D8E9" w:rsidR="4447FCAA" w:rsidRPr="00F86D91" w:rsidRDefault="4447FCAA" w:rsidP="4447FCAA">
      <w:pPr>
        <w:spacing w:after="0" w:line="240" w:lineRule="auto"/>
        <w:ind w:left="720" w:hanging="720"/>
        <w:rPr>
          <w:rFonts w:ascii="Tahoma" w:eastAsia="Arial" w:hAnsi="Tahoma" w:cs="Tahoma"/>
          <w:b/>
          <w:bCs/>
          <w:color w:val="000000" w:themeColor="text1"/>
          <w:sz w:val="24"/>
          <w:szCs w:val="24"/>
        </w:rPr>
      </w:pPr>
    </w:p>
    <w:p w14:paraId="4FE3B183" w14:textId="7D43DF25" w:rsidR="53234C4C" w:rsidRPr="00F86D91" w:rsidRDefault="3410620C" w:rsidP="13BF8754">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49</w:t>
      </w:r>
      <w:r w:rsidRPr="00F86D91">
        <w:rPr>
          <w:rFonts w:ascii="Tahoma" w:eastAsia="Arial" w:hAnsi="Tahoma" w:cs="Tahoma"/>
          <w:color w:val="000000" w:themeColor="text1"/>
          <w:sz w:val="24"/>
          <w:szCs w:val="24"/>
        </w:rPr>
        <w:t>.</w:t>
      </w:r>
      <w:r w:rsidR="53234C4C" w:rsidRPr="00F86D91">
        <w:rPr>
          <w:rFonts w:ascii="Tahoma" w:hAnsi="Tahoma" w:cs="Tahoma"/>
        </w:rPr>
        <w:tab/>
      </w:r>
      <w:r w:rsidR="0045457E" w:rsidRPr="00F86D91">
        <w:rPr>
          <w:rFonts w:ascii="Tahoma" w:hAnsi="Tahoma" w:cs="Tahoma"/>
          <w:sz w:val="24"/>
          <w:szCs w:val="24"/>
        </w:rPr>
        <w:t>No, this a one-time solicitation.</w:t>
      </w:r>
      <w:r w:rsidR="006E62E2" w:rsidRPr="00F86D91">
        <w:rPr>
          <w:rFonts w:ascii="Tahoma" w:hAnsi="Tahoma" w:cs="Tahoma"/>
          <w:sz w:val="24"/>
          <w:szCs w:val="24"/>
        </w:rPr>
        <w:t xml:space="preserve"> There may or may not be additional</w:t>
      </w:r>
      <w:r w:rsidR="006E333E" w:rsidRPr="00F86D91">
        <w:rPr>
          <w:rFonts w:ascii="Tahoma" w:hAnsi="Tahoma" w:cs="Tahoma"/>
          <w:sz w:val="24"/>
          <w:szCs w:val="24"/>
        </w:rPr>
        <w:t>, similar solicitations in the future.</w:t>
      </w:r>
    </w:p>
    <w:p w14:paraId="1D79587A" w14:textId="24D52EB1" w:rsidR="4447FCAA" w:rsidRPr="00F86D91" w:rsidRDefault="4447FCAA" w:rsidP="4447FCAA">
      <w:pPr>
        <w:spacing w:after="0" w:line="240" w:lineRule="auto"/>
        <w:ind w:left="720" w:hanging="720"/>
        <w:rPr>
          <w:rFonts w:ascii="Tahoma" w:eastAsia="Arial" w:hAnsi="Tahoma" w:cs="Tahoma"/>
          <w:color w:val="000000" w:themeColor="text1"/>
          <w:sz w:val="24"/>
          <w:szCs w:val="24"/>
        </w:rPr>
      </w:pPr>
    </w:p>
    <w:p w14:paraId="26659D3A" w14:textId="07A05661" w:rsidR="4447FCAA" w:rsidRPr="00F86D91" w:rsidRDefault="4447FCAA" w:rsidP="4447FCAA">
      <w:pPr>
        <w:spacing w:after="0" w:line="240" w:lineRule="auto"/>
        <w:ind w:left="720" w:hanging="720"/>
        <w:rPr>
          <w:rFonts w:ascii="Tahoma" w:eastAsia="Arial" w:hAnsi="Tahoma" w:cs="Tahoma"/>
          <w:color w:val="000000" w:themeColor="text1"/>
          <w:sz w:val="24"/>
          <w:szCs w:val="24"/>
        </w:rPr>
      </w:pPr>
    </w:p>
    <w:p w14:paraId="7E9474AF" w14:textId="4BEE8748" w:rsidR="3410620C" w:rsidRPr="00F86D91" w:rsidRDefault="22854A94" w:rsidP="13BF8754">
      <w:pPr>
        <w:spacing w:after="0" w:line="240" w:lineRule="auto"/>
        <w:ind w:left="720" w:hanging="720"/>
        <w:rPr>
          <w:rFonts w:ascii="Tahoma" w:eastAsia="Arial" w:hAnsi="Tahoma" w:cs="Tahoma"/>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50</w:t>
      </w:r>
      <w:r w:rsidRPr="00F86D91">
        <w:rPr>
          <w:rFonts w:ascii="Tahoma" w:eastAsia="Arial" w:hAnsi="Tahoma" w:cs="Tahoma"/>
          <w:b/>
          <w:bCs/>
          <w:color w:val="000000" w:themeColor="text1"/>
          <w:sz w:val="24"/>
          <w:szCs w:val="24"/>
        </w:rPr>
        <w:t>.</w:t>
      </w:r>
      <w:r w:rsidR="3410620C" w:rsidRPr="00F86D91">
        <w:rPr>
          <w:rFonts w:ascii="Tahoma" w:hAnsi="Tahoma" w:cs="Tahoma"/>
        </w:rPr>
        <w:tab/>
      </w:r>
      <w:r w:rsidR="4E7B585C" w:rsidRPr="00F86D91">
        <w:rPr>
          <w:rFonts w:ascii="Tahoma" w:eastAsia="Arial" w:hAnsi="Tahoma" w:cs="Tahoma"/>
          <w:b/>
          <w:bCs/>
          <w:color w:val="000000" w:themeColor="text1"/>
          <w:sz w:val="24"/>
          <w:szCs w:val="24"/>
        </w:rPr>
        <w:t xml:space="preserve">What is the process/timeline </w:t>
      </w:r>
      <w:r w:rsidR="15F4140C" w:rsidRPr="00F86D91">
        <w:rPr>
          <w:rFonts w:ascii="Tahoma" w:eastAsia="Arial" w:hAnsi="Tahoma" w:cs="Tahoma"/>
          <w:b/>
          <w:bCs/>
          <w:color w:val="000000" w:themeColor="text1"/>
          <w:sz w:val="24"/>
          <w:szCs w:val="24"/>
        </w:rPr>
        <w:t>to receive grant funds?</w:t>
      </w:r>
    </w:p>
    <w:p w14:paraId="7BEF3BDB" w14:textId="716E647A" w:rsidR="4447FCAA" w:rsidRPr="00F86D91" w:rsidRDefault="4447FCAA" w:rsidP="4447FCAA">
      <w:pPr>
        <w:spacing w:after="0" w:line="240" w:lineRule="auto"/>
        <w:ind w:left="720" w:hanging="720"/>
        <w:rPr>
          <w:rFonts w:ascii="Tahoma" w:eastAsia="Arial" w:hAnsi="Tahoma" w:cs="Tahoma"/>
          <w:b/>
          <w:bCs/>
          <w:color w:val="000000" w:themeColor="text1"/>
          <w:sz w:val="24"/>
          <w:szCs w:val="24"/>
        </w:rPr>
      </w:pPr>
    </w:p>
    <w:p w14:paraId="682D6BA2" w14:textId="0584629F" w:rsidR="3410620C" w:rsidRPr="00F86D91" w:rsidRDefault="3410620C" w:rsidP="4447FCAA">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50</w:t>
      </w:r>
      <w:r w:rsidRPr="00F86D91">
        <w:rPr>
          <w:rFonts w:ascii="Tahoma" w:eastAsia="Arial" w:hAnsi="Tahoma" w:cs="Tahoma"/>
          <w:color w:val="000000" w:themeColor="text1"/>
          <w:sz w:val="24"/>
          <w:szCs w:val="24"/>
        </w:rPr>
        <w:t>.</w:t>
      </w:r>
      <w:r w:rsidRPr="00F86D91">
        <w:rPr>
          <w:rFonts w:ascii="Tahoma" w:hAnsi="Tahoma" w:cs="Tahoma"/>
        </w:rPr>
        <w:tab/>
      </w:r>
      <w:r w:rsidR="00BC6518" w:rsidRPr="00F86D91">
        <w:rPr>
          <w:rFonts w:ascii="Tahoma" w:hAnsi="Tahoma" w:cs="Tahoma"/>
          <w:sz w:val="24"/>
          <w:szCs w:val="24"/>
        </w:rPr>
        <w:t xml:space="preserve">This </w:t>
      </w:r>
      <w:r w:rsidR="00E25F12" w:rsidRPr="00F86D91">
        <w:rPr>
          <w:rFonts w:ascii="Tahoma" w:hAnsi="Tahoma" w:cs="Tahoma"/>
          <w:sz w:val="24"/>
          <w:szCs w:val="24"/>
        </w:rPr>
        <w:t xml:space="preserve">is a reimbursement solicitation, meaning </w:t>
      </w:r>
      <w:r w:rsidR="005F2E5A" w:rsidRPr="00F86D91">
        <w:rPr>
          <w:rFonts w:ascii="Tahoma" w:hAnsi="Tahoma" w:cs="Tahoma"/>
          <w:sz w:val="24"/>
          <w:szCs w:val="24"/>
        </w:rPr>
        <w:t xml:space="preserve">grant </w:t>
      </w:r>
      <w:r w:rsidR="00E25F12" w:rsidRPr="00F86D91">
        <w:rPr>
          <w:rFonts w:ascii="Tahoma" w:hAnsi="Tahoma" w:cs="Tahoma"/>
          <w:sz w:val="24"/>
          <w:szCs w:val="24"/>
        </w:rPr>
        <w:t xml:space="preserve">recipients will </w:t>
      </w:r>
      <w:r w:rsidR="008558A0" w:rsidRPr="00F86D91">
        <w:rPr>
          <w:rFonts w:ascii="Tahoma" w:hAnsi="Tahoma" w:cs="Tahoma"/>
          <w:sz w:val="24"/>
          <w:szCs w:val="24"/>
        </w:rPr>
        <w:t xml:space="preserve">submit invoices to the CEC for reimbursement </w:t>
      </w:r>
      <w:r w:rsidR="00387B8F" w:rsidRPr="00F86D91">
        <w:rPr>
          <w:rFonts w:ascii="Tahoma" w:hAnsi="Tahoma" w:cs="Tahoma"/>
          <w:sz w:val="24"/>
          <w:szCs w:val="24"/>
        </w:rPr>
        <w:t>of</w:t>
      </w:r>
      <w:r w:rsidR="008558A0" w:rsidRPr="00F86D91">
        <w:rPr>
          <w:rFonts w:ascii="Tahoma" w:hAnsi="Tahoma" w:cs="Tahoma"/>
          <w:sz w:val="24"/>
          <w:szCs w:val="24"/>
        </w:rPr>
        <w:t xml:space="preserve"> actual costs</w:t>
      </w:r>
      <w:r w:rsidR="00BE1EE5" w:rsidRPr="00F86D91">
        <w:rPr>
          <w:rFonts w:ascii="Tahoma" w:hAnsi="Tahoma" w:cs="Tahoma"/>
          <w:sz w:val="24"/>
          <w:szCs w:val="24"/>
        </w:rPr>
        <w:t xml:space="preserve"> incurred during the approved term of the agreement</w:t>
      </w:r>
      <w:r w:rsidR="008558A0" w:rsidRPr="00F86D91">
        <w:rPr>
          <w:rFonts w:ascii="Tahoma" w:hAnsi="Tahoma" w:cs="Tahoma"/>
          <w:sz w:val="24"/>
          <w:szCs w:val="24"/>
        </w:rPr>
        <w:t xml:space="preserve">. </w:t>
      </w:r>
    </w:p>
    <w:p w14:paraId="06627FBB" w14:textId="57BC6681" w:rsidR="4447FCAA" w:rsidRPr="00F86D91" w:rsidRDefault="4447FCAA" w:rsidP="4447FCAA">
      <w:pPr>
        <w:spacing w:after="0" w:line="240" w:lineRule="auto"/>
        <w:ind w:left="720" w:hanging="720"/>
        <w:rPr>
          <w:rFonts w:ascii="Tahoma" w:eastAsia="Arial" w:hAnsi="Tahoma" w:cs="Tahoma"/>
          <w:color w:val="000000" w:themeColor="text1"/>
          <w:sz w:val="24"/>
          <w:szCs w:val="24"/>
        </w:rPr>
      </w:pPr>
    </w:p>
    <w:p w14:paraId="13B49F4B" w14:textId="1B16AFD6" w:rsidR="4447FCAA" w:rsidRPr="00F86D91" w:rsidRDefault="4447FCAA" w:rsidP="4447FCAA">
      <w:pPr>
        <w:spacing w:after="0" w:line="240" w:lineRule="auto"/>
        <w:ind w:left="720" w:hanging="720"/>
        <w:rPr>
          <w:rFonts w:ascii="Tahoma" w:eastAsia="Arial" w:hAnsi="Tahoma" w:cs="Tahoma"/>
          <w:color w:val="000000" w:themeColor="text1"/>
          <w:sz w:val="24"/>
          <w:szCs w:val="24"/>
        </w:rPr>
      </w:pPr>
    </w:p>
    <w:p w14:paraId="5C7467D6" w14:textId="46E4DCD7" w:rsidR="3410620C" w:rsidRPr="00F86D91" w:rsidRDefault="3410620C"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51</w:t>
      </w:r>
      <w:r w:rsidRPr="00F86D91">
        <w:rPr>
          <w:rFonts w:ascii="Tahoma" w:eastAsia="Arial" w:hAnsi="Tahoma" w:cs="Tahoma"/>
          <w:b/>
          <w:bCs/>
          <w:color w:val="000000" w:themeColor="text1"/>
          <w:sz w:val="24"/>
          <w:szCs w:val="24"/>
        </w:rPr>
        <w:t>.</w:t>
      </w:r>
      <w:r w:rsidRPr="00F86D91">
        <w:rPr>
          <w:rFonts w:ascii="Tahoma" w:hAnsi="Tahoma" w:cs="Tahoma"/>
        </w:rPr>
        <w:tab/>
      </w:r>
      <w:r w:rsidR="262F3C98" w:rsidRPr="00F86D91">
        <w:rPr>
          <w:rFonts w:ascii="Tahoma" w:eastAsia="Arial" w:hAnsi="Tahoma" w:cs="Tahoma"/>
          <w:b/>
          <w:bCs/>
          <w:color w:val="000000" w:themeColor="text1"/>
          <w:sz w:val="24"/>
          <w:szCs w:val="24"/>
        </w:rPr>
        <w:t>What type of information is required from awardees to the CEC when submitting invoices?</w:t>
      </w:r>
    </w:p>
    <w:p w14:paraId="6CA68005" w14:textId="15E9D8E9" w:rsidR="4447FCAA" w:rsidRPr="00F86D91" w:rsidRDefault="4447FCAA" w:rsidP="4447FCAA">
      <w:pPr>
        <w:spacing w:after="0" w:line="240" w:lineRule="auto"/>
        <w:ind w:left="720" w:hanging="720"/>
        <w:rPr>
          <w:rFonts w:ascii="Tahoma" w:eastAsia="Arial" w:hAnsi="Tahoma" w:cs="Tahoma"/>
          <w:b/>
          <w:bCs/>
          <w:color w:val="000000" w:themeColor="text1"/>
          <w:sz w:val="24"/>
          <w:szCs w:val="24"/>
        </w:rPr>
      </w:pPr>
    </w:p>
    <w:p w14:paraId="1B7EAE2F" w14:textId="435521FA" w:rsidR="3410620C" w:rsidRPr="00F86D91" w:rsidRDefault="3410620C" w:rsidP="4447FCAA">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51</w:t>
      </w:r>
      <w:r w:rsidRPr="00F86D91">
        <w:rPr>
          <w:rFonts w:ascii="Tahoma" w:eastAsia="Arial" w:hAnsi="Tahoma" w:cs="Tahoma"/>
          <w:color w:val="000000" w:themeColor="text1"/>
          <w:sz w:val="24"/>
          <w:szCs w:val="24"/>
        </w:rPr>
        <w:t>.</w:t>
      </w:r>
      <w:r w:rsidR="00004B08">
        <w:rPr>
          <w:rFonts w:ascii="Tahoma" w:eastAsia="Arial" w:hAnsi="Tahoma" w:cs="Tahoma"/>
          <w:color w:val="000000" w:themeColor="text1"/>
          <w:sz w:val="24"/>
          <w:szCs w:val="24"/>
        </w:rPr>
        <w:tab/>
      </w:r>
      <w:r w:rsidR="008558A0" w:rsidRPr="00F86D91">
        <w:rPr>
          <w:rFonts w:ascii="Tahoma" w:hAnsi="Tahoma" w:cs="Tahoma"/>
          <w:sz w:val="24"/>
          <w:szCs w:val="24"/>
        </w:rPr>
        <w:t>Please see budget category guidance</w:t>
      </w:r>
      <w:r w:rsidR="004C4A46" w:rsidRPr="00F86D91">
        <w:rPr>
          <w:rFonts w:ascii="Tahoma" w:hAnsi="Tahoma" w:cs="Tahoma"/>
          <w:sz w:val="24"/>
          <w:szCs w:val="24"/>
        </w:rPr>
        <w:t xml:space="preserve"> located on the </w:t>
      </w:r>
      <w:hyperlink r:id="rId13" w:history="1">
        <w:r w:rsidR="004C4A46" w:rsidRPr="00F86D91">
          <w:rPr>
            <w:rStyle w:val="Hyperlink"/>
            <w:rFonts w:ascii="Tahoma" w:hAnsi="Tahoma" w:cs="Tahoma"/>
            <w:sz w:val="24"/>
            <w:szCs w:val="24"/>
          </w:rPr>
          <w:t>CEC website</w:t>
        </w:r>
      </w:hyperlink>
      <w:r w:rsidR="008558A0" w:rsidRPr="00F86D91">
        <w:rPr>
          <w:rFonts w:ascii="Tahoma" w:hAnsi="Tahoma" w:cs="Tahoma"/>
          <w:sz w:val="24"/>
          <w:szCs w:val="24"/>
        </w:rPr>
        <w:t xml:space="preserve"> </w:t>
      </w:r>
      <w:r w:rsidR="004C4A46" w:rsidRPr="00F86D91">
        <w:rPr>
          <w:rFonts w:ascii="Tahoma" w:hAnsi="Tahoma" w:cs="Tahoma"/>
          <w:sz w:val="24"/>
          <w:szCs w:val="24"/>
        </w:rPr>
        <w:t xml:space="preserve">(https://www.energy.ca.gov/funding-opportunities/funding-resources/ecams-resources/budget-category-guidance?auHash=cEItgat6JNbO9BFGeVqe4E5T6koCOgTaqliFX6bmwtg) </w:t>
      </w:r>
      <w:r w:rsidR="008558A0" w:rsidRPr="00F86D91">
        <w:rPr>
          <w:rFonts w:ascii="Tahoma" w:hAnsi="Tahoma" w:cs="Tahoma"/>
          <w:sz w:val="24"/>
          <w:szCs w:val="24"/>
        </w:rPr>
        <w:t xml:space="preserve">for </w:t>
      </w:r>
      <w:r w:rsidR="69E91EEE" w:rsidRPr="00F86D91">
        <w:rPr>
          <w:rFonts w:ascii="Tahoma" w:hAnsi="Tahoma" w:cs="Tahoma"/>
          <w:sz w:val="24"/>
          <w:szCs w:val="24"/>
        </w:rPr>
        <w:t>detailed</w:t>
      </w:r>
      <w:r w:rsidR="008558A0" w:rsidRPr="00F86D91">
        <w:rPr>
          <w:rFonts w:ascii="Tahoma" w:hAnsi="Tahoma" w:cs="Tahoma"/>
          <w:sz w:val="24"/>
          <w:szCs w:val="24"/>
        </w:rPr>
        <w:t xml:space="preserve"> information</w:t>
      </w:r>
      <w:r w:rsidR="00D54F2F" w:rsidRPr="00F86D91">
        <w:rPr>
          <w:rFonts w:ascii="Tahoma" w:hAnsi="Tahoma" w:cs="Tahoma"/>
          <w:sz w:val="24"/>
          <w:szCs w:val="24"/>
        </w:rPr>
        <w:t xml:space="preserve"> on backup documentation required for invoices.</w:t>
      </w:r>
    </w:p>
    <w:p w14:paraId="50594E6C" w14:textId="24D52EB1" w:rsidR="4447FCAA" w:rsidRPr="00F86D91" w:rsidRDefault="4447FCAA" w:rsidP="4447FCAA">
      <w:pPr>
        <w:spacing w:after="0" w:line="240" w:lineRule="auto"/>
        <w:ind w:left="720" w:hanging="720"/>
        <w:rPr>
          <w:rFonts w:ascii="Tahoma" w:eastAsia="Arial" w:hAnsi="Tahoma" w:cs="Tahoma"/>
          <w:color w:val="000000" w:themeColor="text1"/>
          <w:sz w:val="24"/>
          <w:szCs w:val="24"/>
        </w:rPr>
      </w:pPr>
    </w:p>
    <w:p w14:paraId="10B71A52" w14:textId="07A05661" w:rsidR="4447FCAA" w:rsidRPr="00F86D91" w:rsidRDefault="4447FCAA" w:rsidP="4447FCAA">
      <w:pPr>
        <w:spacing w:after="0" w:line="240" w:lineRule="auto"/>
        <w:ind w:left="720" w:hanging="720"/>
        <w:rPr>
          <w:rFonts w:ascii="Tahoma" w:eastAsia="Arial" w:hAnsi="Tahoma" w:cs="Tahoma"/>
          <w:color w:val="000000" w:themeColor="text1"/>
          <w:sz w:val="24"/>
          <w:szCs w:val="24"/>
        </w:rPr>
      </w:pPr>
    </w:p>
    <w:p w14:paraId="51286412" w14:textId="7D477183" w:rsidR="3410620C" w:rsidRPr="00F86D91" w:rsidRDefault="3410620C"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52</w:t>
      </w:r>
      <w:r w:rsidRPr="00F86D91">
        <w:rPr>
          <w:rFonts w:ascii="Tahoma" w:eastAsia="Arial" w:hAnsi="Tahoma" w:cs="Tahoma"/>
          <w:b/>
          <w:bCs/>
          <w:color w:val="000000" w:themeColor="text1"/>
          <w:sz w:val="24"/>
          <w:szCs w:val="24"/>
        </w:rPr>
        <w:t>.</w:t>
      </w:r>
      <w:r w:rsidRPr="00F86D91">
        <w:rPr>
          <w:rFonts w:ascii="Tahoma" w:hAnsi="Tahoma" w:cs="Tahoma"/>
        </w:rPr>
        <w:tab/>
      </w:r>
      <w:r w:rsidR="73538D13" w:rsidRPr="00F86D91">
        <w:rPr>
          <w:rFonts w:ascii="Tahoma" w:eastAsia="Arial" w:hAnsi="Tahoma" w:cs="Tahoma"/>
          <w:b/>
          <w:bCs/>
          <w:color w:val="000000" w:themeColor="text1"/>
          <w:sz w:val="24"/>
          <w:szCs w:val="24"/>
        </w:rPr>
        <w:t>Does this solicitation cover hydrogen fleets or is there a separate solicitation?</w:t>
      </w:r>
    </w:p>
    <w:p w14:paraId="311608C1" w14:textId="716E647A" w:rsidR="4447FCAA" w:rsidRPr="00F86D91" w:rsidRDefault="4447FCAA" w:rsidP="4447FCAA">
      <w:pPr>
        <w:spacing w:after="0" w:line="240" w:lineRule="auto"/>
        <w:ind w:left="720" w:hanging="720"/>
        <w:rPr>
          <w:rFonts w:ascii="Tahoma" w:eastAsia="Arial" w:hAnsi="Tahoma" w:cs="Tahoma"/>
          <w:b/>
          <w:bCs/>
          <w:color w:val="000000" w:themeColor="text1"/>
          <w:sz w:val="24"/>
          <w:szCs w:val="24"/>
        </w:rPr>
      </w:pPr>
    </w:p>
    <w:p w14:paraId="1AA073D9" w14:textId="76CCEC9D" w:rsidR="3410620C" w:rsidRPr="00F86D91" w:rsidRDefault="3410620C" w:rsidP="4447FCAA">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52</w:t>
      </w:r>
      <w:r w:rsidRPr="00F86D91">
        <w:rPr>
          <w:rFonts w:ascii="Tahoma" w:eastAsia="Arial" w:hAnsi="Tahoma" w:cs="Tahoma"/>
          <w:color w:val="000000" w:themeColor="text1"/>
          <w:sz w:val="24"/>
          <w:szCs w:val="24"/>
        </w:rPr>
        <w:t>.</w:t>
      </w:r>
      <w:r w:rsidRPr="00F86D91">
        <w:rPr>
          <w:rFonts w:ascii="Tahoma" w:hAnsi="Tahoma" w:cs="Tahoma"/>
        </w:rPr>
        <w:tab/>
      </w:r>
      <w:r w:rsidR="008558A0" w:rsidRPr="00F86D91">
        <w:rPr>
          <w:rFonts w:ascii="Tahoma" w:hAnsi="Tahoma" w:cs="Tahoma"/>
          <w:sz w:val="24"/>
          <w:szCs w:val="24"/>
        </w:rPr>
        <w:t xml:space="preserve">No, only EV charging infrastructure is eligible </w:t>
      </w:r>
      <w:r w:rsidR="3D45419C" w:rsidRPr="00F86D91">
        <w:rPr>
          <w:rFonts w:ascii="Tahoma" w:hAnsi="Tahoma" w:cs="Tahoma"/>
          <w:sz w:val="24"/>
          <w:szCs w:val="24"/>
        </w:rPr>
        <w:t>under</w:t>
      </w:r>
      <w:r w:rsidR="008558A0" w:rsidRPr="00F86D91">
        <w:rPr>
          <w:rFonts w:ascii="Tahoma" w:hAnsi="Tahoma" w:cs="Tahoma"/>
          <w:sz w:val="24"/>
          <w:szCs w:val="24"/>
        </w:rPr>
        <w:t xml:space="preserve"> this solicitation</w:t>
      </w:r>
      <w:r w:rsidR="00FF26F6" w:rsidRPr="00F86D91">
        <w:rPr>
          <w:rFonts w:ascii="Tahoma" w:hAnsi="Tahoma" w:cs="Tahoma"/>
          <w:sz w:val="24"/>
          <w:szCs w:val="24"/>
        </w:rPr>
        <w:t>.</w:t>
      </w:r>
      <w:r w:rsidR="00FF26F6" w:rsidRPr="00F86D91">
        <w:rPr>
          <w:rFonts w:ascii="Tahoma" w:hAnsi="Tahoma" w:cs="Tahoma"/>
        </w:rPr>
        <w:t xml:space="preserve"> </w:t>
      </w:r>
      <w:r w:rsidR="000143B7" w:rsidRPr="00F86D91">
        <w:rPr>
          <w:rFonts w:ascii="Tahoma" w:hAnsi="Tahoma" w:cs="Tahoma"/>
          <w:sz w:val="24"/>
          <w:szCs w:val="24"/>
        </w:rPr>
        <w:t xml:space="preserve">Assembly Bill 126 reauthorized </w:t>
      </w:r>
      <w:r w:rsidR="00A9287C" w:rsidRPr="00F86D91">
        <w:rPr>
          <w:rFonts w:ascii="Tahoma" w:hAnsi="Tahoma" w:cs="Tahoma"/>
          <w:sz w:val="24"/>
          <w:szCs w:val="24"/>
        </w:rPr>
        <w:t xml:space="preserve">funding for the </w:t>
      </w:r>
      <w:r w:rsidR="000143B7" w:rsidRPr="00F86D91">
        <w:rPr>
          <w:rFonts w:ascii="Tahoma" w:hAnsi="Tahoma" w:cs="Tahoma"/>
          <w:sz w:val="24"/>
          <w:szCs w:val="24"/>
        </w:rPr>
        <w:t>Clean Transportation Program until July 1, 2035, and directed the CEC to allocate no less than 15 percent of the amount of funds appropriated by the Legislature to fund hydrogen refueling stations for light-, medium-, or heavy-duty vehicles until July 1, 2030. Assembly Bill 126 also requires that the CEC release annual solicitations for hydrogen refueling stations within 90-days of the start of each fiscal year, July 1, until July 1, 2030.</w:t>
      </w:r>
      <w:r w:rsidR="00FF26F6" w:rsidRPr="00F86D91">
        <w:rPr>
          <w:rFonts w:ascii="Tahoma" w:hAnsi="Tahoma" w:cs="Tahoma"/>
          <w:sz w:val="24"/>
          <w:szCs w:val="24"/>
        </w:rPr>
        <w:t xml:space="preserve"> For </w:t>
      </w:r>
      <w:r w:rsidR="000143B7" w:rsidRPr="00F86D91">
        <w:rPr>
          <w:rFonts w:ascii="Tahoma" w:hAnsi="Tahoma" w:cs="Tahoma"/>
          <w:sz w:val="24"/>
          <w:szCs w:val="24"/>
        </w:rPr>
        <w:t>more</w:t>
      </w:r>
      <w:r w:rsidR="00FF26F6" w:rsidRPr="00F86D91">
        <w:rPr>
          <w:rFonts w:ascii="Tahoma" w:hAnsi="Tahoma" w:cs="Tahoma"/>
          <w:sz w:val="24"/>
          <w:szCs w:val="24"/>
        </w:rPr>
        <w:t xml:space="preserve"> information on solicitations supporting hydrogen vehicle infrastructure, please </w:t>
      </w:r>
      <w:r w:rsidR="00043222" w:rsidRPr="00F86D91">
        <w:rPr>
          <w:rFonts w:ascii="Tahoma" w:hAnsi="Tahoma" w:cs="Tahoma"/>
          <w:sz w:val="24"/>
          <w:szCs w:val="24"/>
        </w:rPr>
        <w:lastRenderedPageBreak/>
        <w:t xml:space="preserve">visit the CEC website and/or </w:t>
      </w:r>
      <w:r w:rsidR="00C713E8" w:rsidRPr="00F86D91">
        <w:rPr>
          <w:rFonts w:ascii="Tahoma" w:eastAsia="Arial" w:hAnsi="Tahoma" w:cs="Tahoma"/>
          <w:color w:val="000000" w:themeColor="text1"/>
          <w:sz w:val="24"/>
          <w:szCs w:val="24"/>
        </w:rPr>
        <w:t xml:space="preserve">subscribe to our CEC list through the </w:t>
      </w:r>
      <w:hyperlink r:id="rId14">
        <w:r w:rsidR="00C713E8" w:rsidRPr="00F86D91">
          <w:rPr>
            <w:rStyle w:val="Hyperlink"/>
            <w:rFonts w:ascii="Tahoma" w:eastAsia="Arial" w:hAnsi="Tahoma" w:cs="Tahoma"/>
            <w:sz w:val="24"/>
            <w:szCs w:val="24"/>
          </w:rPr>
          <w:t>CEC website</w:t>
        </w:r>
      </w:hyperlink>
      <w:r w:rsidR="00C713E8" w:rsidRPr="00F86D91">
        <w:rPr>
          <w:rFonts w:ascii="Tahoma" w:eastAsia="Arial" w:hAnsi="Tahoma" w:cs="Tahoma"/>
          <w:color w:val="000000" w:themeColor="text1"/>
          <w:sz w:val="24"/>
          <w:szCs w:val="24"/>
        </w:rPr>
        <w:t xml:space="preserve"> to receive updates on future opportunities (https://www.energy.ca.gov/subscriptions).</w:t>
      </w:r>
    </w:p>
    <w:p w14:paraId="25442C33" w14:textId="5B251E26" w:rsidR="4447FCAA" w:rsidRPr="00F86D91" w:rsidRDefault="4447FCAA" w:rsidP="53234C4C">
      <w:pPr>
        <w:spacing w:after="0" w:line="240" w:lineRule="auto"/>
        <w:ind w:left="720" w:hanging="720"/>
        <w:rPr>
          <w:rFonts w:ascii="Tahoma" w:eastAsia="Arial" w:hAnsi="Tahoma" w:cs="Tahoma"/>
          <w:color w:val="000000" w:themeColor="text1"/>
          <w:sz w:val="24"/>
          <w:szCs w:val="24"/>
        </w:rPr>
      </w:pPr>
    </w:p>
    <w:p w14:paraId="23218A78" w14:textId="05A10F1B" w:rsidR="53234C4C" w:rsidRPr="00F86D91" w:rsidRDefault="53234C4C" w:rsidP="53234C4C">
      <w:pPr>
        <w:spacing w:after="0" w:line="240" w:lineRule="auto"/>
        <w:ind w:left="720" w:hanging="720"/>
        <w:rPr>
          <w:rFonts w:ascii="Tahoma" w:eastAsia="Arial" w:hAnsi="Tahoma" w:cs="Tahoma"/>
          <w:color w:val="000000" w:themeColor="text1"/>
          <w:sz w:val="24"/>
          <w:szCs w:val="24"/>
        </w:rPr>
      </w:pPr>
    </w:p>
    <w:p w14:paraId="2CF8DF15" w14:textId="50F2C25F" w:rsidR="3410620C" w:rsidRPr="00F86D91" w:rsidRDefault="3410620C"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53</w:t>
      </w:r>
      <w:r w:rsidRPr="00F86D91">
        <w:rPr>
          <w:rFonts w:ascii="Tahoma" w:eastAsia="Arial" w:hAnsi="Tahoma" w:cs="Tahoma"/>
          <w:b/>
          <w:bCs/>
          <w:color w:val="000000" w:themeColor="text1"/>
          <w:sz w:val="24"/>
          <w:szCs w:val="24"/>
        </w:rPr>
        <w:t>.</w:t>
      </w:r>
      <w:r w:rsidRPr="00F86D91">
        <w:rPr>
          <w:rFonts w:ascii="Tahoma" w:hAnsi="Tahoma" w:cs="Tahoma"/>
        </w:rPr>
        <w:tab/>
      </w:r>
      <w:r w:rsidR="554DFC2F" w:rsidRPr="00F86D91">
        <w:rPr>
          <w:rFonts w:ascii="Tahoma" w:eastAsia="Arial" w:hAnsi="Tahoma" w:cs="Tahoma"/>
          <w:b/>
          <w:bCs/>
          <w:color w:val="000000" w:themeColor="text1"/>
          <w:sz w:val="24"/>
          <w:szCs w:val="24"/>
        </w:rPr>
        <w:t>Is the CEC requiring chargers to have OCPP certification at the time of application, or is it acceptable for them to be certified by the time of installation?</w:t>
      </w:r>
    </w:p>
    <w:p w14:paraId="417F54F3" w14:textId="476D69FE" w:rsidR="7DCE1BD3" w:rsidRPr="00F86D91" w:rsidRDefault="7DCE1BD3" w:rsidP="13BF8754">
      <w:pPr>
        <w:spacing w:after="0" w:line="240" w:lineRule="auto"/>
        <w:ind w:left="720" w:hanging="720"/>
        <w:rPr>
          <w:rFonts w:ascii="Tahoma" w:eastAsia="Arial" w:hAnsi="Tahoma" w:cs="Tahoma"/>
          <w:b/>
          <w:bCs/>
          <w:color w:val="000000" w:themeColor="text1"/>
          <w:sz w:val="24"/>
          <w:szCs w:val="24"/>
        </w:rPr>
      </w:pPr>
    </w:p>
    <w:p w14:paraId="65839107" w14:textId="2980C496" w:rsidR="3410620C" w:rsidRPr="00F86D91" w:rsidRDefault="3410620C" w:rsidP="4447FCAA">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53</w:t>
      </w:r>
      <w:r w:rsidRPr="00F86D91">
        <w:rPr>
          <w:rFonts w:ascii="Tahoma" w:eastAsia="Arial" w:hAnsi="Tahoma" w:cs="Tahoma"/>
          <w:color w:val="000000" w:themeColor="text1"/>
          <w:sz w:val="24"/>
          <w:szCs w:val="24"/>
        </w:rPr>
        <w:t>.</w:t>
      </w:r>
      <w:r w:rsidRPr="00F86D91">
        <w:rPr>
          <w:rFonts w:ascii="Tahoma" w:hAnsi="Tahoma" w:cs="Tahoma"/>
        </w:rPr>
        <w:tab/>
      </w:r>
      <w:r w:rsidR="003D7709" w:rsidRPr="00F86D91">
        <w:rPr>
          <w:rFonts w:ascii="Tahoma" w:hAnsi="Tahoma" w:cs="Tahoma"/>
          <w:sz w:val="24"/>
          <w:szCs w:val="24"/>
        </w:rPr>
        <w:t>OCPP certification must be obtained by the time of installation</w:t>
      </w:r>
      <w:r w:rsidR="00C713E8" w:rsidRPr="00F86D91">
        <w:rPr>
          <w:rFonts w:ascii="Tahoma" w:hAnsi="Tahoma" w:cs="Tahoma"/>
          <w:sz w:val="24"/>
          <w:szCs w:val="24"/>
        </w:rPr>
        <w:t>.</w:t>
      </w:r>
    </w:p>
    <w:p w14:paraId="7583E081" w14:textId="24D52EB1" w:rsidR="4447FCAA" w:rsidRPr="00F86D91" w:rsidRDefault="4447FCAA" w:rsidP="4447FCAA">
      <w:pPr>
        <w:spacing w:after="0" w:line="240" w:lineRule="auto"/>
        <w:ind w:left="720" w:hanging="720"/>
        <w:rPr>
          <w:rFonts w:ascii="Tahoma" w:eastAsia="Arial" w:hAnsi="Tahoma" w:cs="Tahoma"/>
          <w:color w:val="000000" w:themeColor="text1"/>
          <w:sz w:val="24"/>
          <w:szCs w:val="24"/>
        </w:rPr>
      </w:pPr>
    </w:p>
    <w:p w14:paraId="6049074A" w14:textId="07A05661" w:rsidR="4447FCAA" w:rsidRPr="00F86D91" w:rsidRDefault="4447FCAA" w:rsidP="4447FCAA">
      <w:pPr>
        <w:spacing w:after="0" w:line="240" w:lineRule="auto"/>
        <w:ind w:left="720" w:hanging="720"/>
        <w:rPr>
          <w:rFonts w:ascii="Tahoma" w:eastAsia="Arial" w:hAnsi="Tahoma" w:cs="Tahoma"/>
          <w:color w:val="000000" w:themeColor="text1"/>
          <w:sz w:val="24"/>
          <w:szCs w:val="24"/>
        </w:rPr>
      </w:pPr>
    </w:p>
    <w:p w14:paraId="47165655" w14:textId="085FB385" w:rsidR="3410620C" w:rsidRPr="00F86D91" w:rsidRDefault="3410620C"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54</w:t>
      </w:r>
      <w:r w:rsidRPr="00F86D91">
        <w:rPr>
          <w:rFonts w:ascii="Tahoma" w:eastAsia="Arial" w:hAnsi="Tahoma" w:cs="Tahoma"/>
          <w:b/>
          <w:bCs/>
          <w:color w:val="000000" w:themeColor="text1"/>
          <w:sz w:val="24"/>
          <w:szCs w:val="24"/>
        </w:rPr>
        <w:t>.</w:t>
      </w:r>
      <w:r w:rsidRPr="00F86D91">
        <w:rPr>
          <w:rFonts w:ascii="Tahoma" w:hAnsi="Tahoma" w:cs="Tahoma"/>
        </w:rPr>
        <w:tab/>
      </w:r>
      <w:r w:rsidR="31D8DEF2" w:rsidRPr="00F86D91">
        <w:rPr>
          <w:rFonts w:ascii="Tahoma" w:eastAsia="Arial" w:hAnsi="Tahoma" w:cs="Tahoma"/>
          <w:b/>
          <w:bCs/>
          <w:color w:val="000000" w:themeColor="text1"/>
          <w:sz w:val="24"/>
          <w:szCs w:val="24"/>
        </w:rPr>
        <w:t xml:space="preserve">Is there a confirmation that we can be given that this funding will not be pulled back after the applications are submitted or after work is completed?  </w:t>
      </w:r>
    </w:p>
    <w:p w14:paraId="2679CCA3" w14:textId="716E647A" w:rsidR="4447FCAA" w:rsidRPr="00F86D91" w:rsidRDefault="4447FCAA" w:rsidP="4447FCAA">
      <w:pPr>
        <w:spacing w:after="0" w:line="240" w:lineRule="auto"/>
        <w:ind w:left="720" w:hanging="720"/>
        <w:rPr>
          <w:rFonts w:ascii="Tahoma" w:eastAsia="Arial" w:hAnsi="Tahoma" w:cs="Tahoma"/>
          <w:b/>
          <w:bCs/>
          <w:color w:val="000000" w:themeColor="text1"/>
          <w:sz w:val="24"/>
          <w:szCs w:val="24"/>
        </w:rPr>
      </w:pPr>
    </w:p>
    <w:p w14:paraId="1B9D96E2" w14:textId="66BDE342" w:rsidR="00DB1BBD" w:rsidRPr="00F86D91" w:rsidRDefault="3410620C" w:rsidP="00DB1BBD">
      <w:pPr>
        <w:spacing w:after="0" w:line="240" w:lineRule="auto"/>
        <w:ind w:left="720" w:hanging="720"/>
        <w:rPr>
          <w:rFonts w:ascii="Tahoma" w:hAnsi="Tahoma" w:cs="Tahoma"/>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54</w:t>
      </w:r>
      <w:r w:rsidRPr="00F86D91">
        <w:rPr>
          <w:rFonts w:ascii="Tahoma" w:eastAsia="Arial" w:hAnsi="Tahoma" w:cs="Tahoma"/>
          <w:color w:val="000000" w:themeColor="text1"/>
          <w:sz w:val="24"/>
          <w:szCs w:val="24"/>
        </w:rPr>
        <w:t>.</w:t>
      </w:r>
      <w:r w:rsidRPr="00F86D91">
        <w:rPr>
          <w:rFonts w:ascii="Tahoma" w:hAnsi="Tahoma" w:cs="Tahoma"/>
        </w:rPr>
        <w:tab/>
      </w:r>
      <w:r w:rsidR="00DB1BBD" w:rsidRPr="00F86D91">
        <w:rPr>
          <w:rFonts w:ascii="Tahoma" w:hAnsi="Tahoma" w:cs="Tahoma"/>
          <w:sz w:val="24"/>
          <w:szCs w:val="24"/>
        </w:rPr>
        <w:t>The solicitation manual states, “It is CEC’s policy not to solicit applications unless there is a bona fide intention to award an agreement. However, if it is in the State’s best interest, CEC reserves the right, in addition to any other rights it has, to do any of the following:</w:t>
      </w:r>
    </w:p>
    <w:p w14:paraId="07B2193F" w14:textId="77777777" w:rsidR="00DB1BBD" w:rsidRPr="00F86D91" w:rsidRDefault="00DB1BBD" w:rsidP="00DB1BBD">
      <w:pPr>
        <w:spacing w:after="0" w:line="240" w:lineRule="auto"/>
        <w:ind w:left="720" w:hanging="720"/>
        <w:rPr>
          <w:rFonts w:ascii="Tahoma" w:hAnsi="Tahoma" w:cs="Tahoma"/>
          <w:sz w:val="24"/>
          <w:szCs w:val="24"/>
        </w:rPr>
      </w:pPr>
    </w:p>
    <w:p w14:paraId="567F41C1" w14:textId="77777777" w:rsidR="00DB1BBD" w:rsidRPr="00F86D91" w:rsidRDefault="00DB1BBD" w:rsidP="00DB1BBD">
      <w:pPr>
        <w:spacing w:after="0" w:line="240" w:lineRule="auto"/>
        <w:ind w:left="1440" w:hanging="720"/>
        <w:rPr>
          <w:rFonts w:ascii="Tahoma" w:hAnsi="Tahoma" w:cs="Tahoma"/>
          <w:sz w:val="24"/>
          <w:szCs w:val="24"/>
        </w:rPr>
      </w:pPr>
      <w:r w:rsidRPr="00F86D91">
        <w:rPr>
          <w:rFonts w:ascii="Tahoma" w:hAnsi="Tahoma" w:cs="Tahoma"/>
          <w:sz w:val="24"/>
          <w:szCs w:val="24"/>
        </w:rPr>
        <w:t>•</w:t>
      </w:r>
      <w:r w:rsidRPr="00F86D91">
        <w:rPr>
          <w:rFonts w:ascii="Tahoma" w:hAnsi="Tahoma" w:cs="Tahoma"/>
          <w:sz w:val="24"/>
          <w:szCs w:val="24"/>
        </w:rPr>
        <w:tab/>
        <w:t>Cancel this solicitation;</w:t>
      </w:r>
    </w:p>
    <w:p w14:paraId="6B0A67F8" w14:textId="77777777" w:rsidR="00DB1BBD" w:rsidRPr="00F86D91" w:rsidRDefault="00DB1BBD" w:rsidP="00DB1BBD">
      <w:pPr>
        <w:spacing w:after="0" w:line="240" w:lineRule="auto"/>
        <w:ind w:left="1440" w:hanging="720"/>
        <w:rPr>
          <w:rFonts w:ascii="Tahoma" w:hAnsi="Tahoma" w:cs="Tahoma"/>
          <w:sz w:val="24"/>
          <w:szCs w:val="24"/>
        </w:rPr>
      </w:pPr>
      <w:r w:rsidRPr="00F86D91">
        <w:rPr>
          <w:rFonts w:ascii="Tahoma" w:hAnsi="Tahoma" w:cs="Tahoma"/>
          <w:sz w:val="24"/>
          <w:szCs w:val="24"/>
        </w:rPr>
        <w:t>•</w:t>
      </w:r>
      <w:r w:rsidRPr="00F86D91">
        <w:rPr>
          <w:rFonts w:ascii="Tahoma" w:hAnsi="Tahoma" w:cs="Tahoma"/>
          <w:sz w:val="24"/>
          <w:szCs w:val="24"/>
        </w:rPr>
        <w:tab/>
        <w:t>Revise the amount of funds available under this solicitation;</w:t>
      </w:r>
    </w:p>
    <w:p w14:paraId="094393A7" w14:textId="77777777" w:rsidR="00DB1BBD" w:rsidRPr="00F86D91" w:rsidRDefault="00DB1BBD" w:rsidP="00DB1BBD">
      <w:pPr>
        <w:spacing w:after="0" w:line="240" w:lineRule="auto"/>
        <w:ind w:left="1440" w:hanging="720"/>
        <w:rPr>
          <w:rFonts w:ascii="Tahoma" w:hAnsi="Tahoma" w:cs="Tahoma"/>
          <w:sz w:val="24"/>
          <w:szCs w:val="24"/>
        </w:rPr>
      </w:pPr>
      <w:r w:rsidRPr="00F86D91">
        <w:rPr>
          <w:rFonts w:ascii="Tahoma" w:hAnsi="Tahoma" w:cs="Tahoma"/>
          <w:sz w:val="24"/>
          <w:szCs w:val="24"/>
        </w:rPr>
        <w:t>•</w:t>
      </w:r>
      <w:r w:rsidRPr="00F86D91">
        <w:rPr>
          <w:rFonts w:ascii="Tahoma" w:hAnsi="Tahoma" w:cs="Tahoma"/>
          <w:sz w:val="24"/>
          <w:szCs w:val="24"/>
        </w:rPr>
        <w:tab/>
        <w:t>Amend this solicitation as needed; and/or</w:t>
      </w:r>
    </w:p>
    <w:p w14:paraId="5B936F1D" w14:textId="2B50E3C7" w:rsidR="3410620C" w:rsidRPr="00F86D91" w:rsidRDefault="00DB1BBD" w:rsidP="00DB1BBD">
      <w:pPr>
        <w:spacing w:after="0" w:line="240" w:lineRule="auto"/>
        <w:ind w:left="1440" w:hanging="720"/>
        <w:rPr>
          <w:rFonts w:ascii="Tahoma" w:hAnsi="Tahoma" w:cs="Tahoma"/>
          <w:sz w:val="24"/>
          <w:szCs w:val="24"/>
        </w:rPr>
      </w:pPr>
      <w:r w:rsidRPr="00F86D91">
        <w:rPr>
          <w:rFonts w:ascii="Tahoma" w:hAnsi="Tahoma" w:cs="Tahoma"/>
          <w:sz w:val="24"/>
          <w:szCs w:val="24"/>
        </w:rPr>
        <w:t>•</w:t>
      </w:r>
      <w:r w:rsidRPr="00F86D91">
        <w:rPr>
          <w:rFonts w:ascii="Tahoma" w:hAnsi="Tahoma" w:cs="Tahoma"/>
          <w:sz w:val="24"/>
          <w:szCs w:val="24"/>
        </w:rPr>
        <w:tab/>
        <w:t>Reject any or all applications received in response to this solicitation”</w:t>
      </w:r>
    </w:p>
    <w:p w14:paraId="55A71359" w14:textId="77777777" w:rsidR="00DB1BBD" w:rsidRPr="00F86D91" w:rsidRDefault="00DB1BBD" w:rsidP="00DB1BBD">
      <w:pPr>
        <w:spacing w:after="0" w:line="240" w:lineRule="auto"/>
        <w:ind w:left="1440" w:hanging="720"/>
        <w:rPr>
          <w:rFonts w:ascii="Tahoma" w:hAnsi="Tahoma" w:cs="Tahoma"/>
          <w:sz w:val="24"/>
          <w:szCs w:val="24"/>
        </w:rPr>
      </w:pPr>
    </w:p>
    <w:p w14:paraId="3E3D958E" w14:textId="156B4556" w:rsidR="00DB1BBD" w:rsidRPr="00F86D91" w:rsidRDefault="00DB1BBD" w:rsidP="00416256">
      <w:pPr>
        <w:spacing w:after="0" w:line="240" w:lineRule="auto"/>
        <w:ind w:left="720"/>
        <w:rPr>
          <w:rFonts w:ascii="Tahoma" w:eastAsia="Arial" w:hAnsi="Tahoma" w:cs="Tahoma"/>
          <w:color w:val="000000" w:themeColor="text1"/>
          <w:sz w:val="24"/>
          <w:szCs w:val="24"/>
        </w:rPr>
      </w:pPr>
      <w:r w:rsidRPr="00F86D91">
        <w:rPr>
          <w:rFonts w:ascii="Tahoma" w:hAnsi="Tahoma" w:cs="Tahoma"/>
          <w:sz w:val="24"/>
          <w:szCs w:val="24"/>
        </w:rPr>
        <w:t>(</w:t>
      </w:r>
      <w:r w:rsidR="00AD029F" w:rsidRPr="00F86D91">
        <w:rPr>
          <w:rFonts w:ascii="Tahoma" w:hAnsi="Tahoma" w:cs="Tahoma"/>
          <w:sz w:val="24"/>
          <w:szCs w:val="24"/>
        </w:rPr>
        <w:t xml:space="preserve">Section </w:t>
      </w:r>
      <w:r w:rsidR="00416256" w:rsidRPr="00F86D91">
        <w:rPr>
          <w:rFonts w:ascii="Tahoma" w:hAnsi="Tahoma" w:cs="Tahoma"/>
          <w:sz w:val="24"/>
          <w:szCs w:val="24"/>
        </w:rPr>
        <w:t>V.D., page 4</w:t>
      </w:r>
      <w:r w:rsidR="005755A9">
        <w:rPr>
          <w:rFonts w:ascii="Tahoma" w:hAnsi="Tahoma" w:cs="Tahoma"/>
          <w:sz w:val="24"/>
          <w:szCs w:val="24"/>
        </w:rPr>
        <w:t>4</w:t>
      </w:r>
      <w:r w:rsidR="00416256" w:rsidRPr="00F86D91">
        <w:rPr>
          <w:rFonts w:ascii="Tahoma" w:hAnsi="Tahoma" w:cs="Tahoma"/>
          <w:sz w:val="24"/>
          <w:szCs w:val="24"/>
        </w:rPr>
        <w:t xml:space="preserve">, </w:t>
      </w:r>
      <w:r w:rsidR="00F04253" w:rsidRPr="00F86D91">
        <w:rPr>
          <w:rFonts w:ascii="Tahoma" w:hAnsi="Tahoma" w:cs="Tahoma"/>
          <w:sz w:val="24"/>
          <w:szCs w:val="24"/>
        </w:rPr>
        <w:t>“</w:t>
      </w:r>
      <w:r w:rsidR="00416256" w:rsidRPr="00F86D91">
        <w:rPr>
          <w:rFonts w:ascii="Tahoma" w:hAnsi="Tahoma" w:cs="Tahoma"/>
          <w:sz w:val="24"/>
          <w:szCs w:val="24"/>
        </w:rPr>
        <w:t>Solicitation Cancellation and Amendments</w:t>
      </w:r>
      <w:r w:rsidR="00F04253" w:rsidRPr="00F86D91">
        <w:rPr>
          <w:rFonts w:ascii="Tahoma" w:hAnsi="Tahoma" w:cs="Tahoma"/>
          <w:sz w:val="24"/>
          <w:szCs w:val="24"/>
        </w:rPr>
        <w:t>”</w:t>
      </w:r>
      <w:r w:rsidR="00416256" w:rsidRPr="00F86D91">
        <w:rPr>
          <w:rFonts w:ascii="Tahoma" w:hAnsi="Tahoma" w:cs="Tahoma"/>
          <w:sz w:val="24"/>
          <w:szCs w:val="24"/>
        </w:rPr>
        <w:t>, Solicitation Manual).</w:t>
      </w:r>
    </w:p>
    <w:p w14:paraId="51322B06" w14:textId="5478E251" w:rsidR="4447FCAA" w:rsidRPr="00F86D91" w:rsidRDefault="4447FCAA" w:rsidP="4447FCAA">
      <w:pPr>
        <w:spacing w:after="0" w:line="240" w:lineRule="auto"/>
        <w:ind w:left="720" w:hanging="720"/>
        <w:rPr>
          <w:rFonts w:ascii="Tahoma" w:eastAsia="Arial" w:hAnsi="Tahoma" w:cs="Tahoma"/>
          <w:color w:val="000000" w:themeColor="text1"/>
          <w:sz w:val="24"/>
          <w:szCs w:val="24"/>
        </w:rPr>
      </w:pPr>
    </w:p>
    <w:p w14:paraId="57047D04" w14:textId="1786DF6B" w:rsidR="4447FCAA" w:rsidRPr="00F86D91" w:rsidRDefault="4447FCAA" w:rsidP="4447FCAA">
      <w:pPr>
        <w:spacing w:after="0" w:line="240" w:lineRule="auto"/>
        <w:ind w:left="720" w:hanging="720"/>
        <w:rPr>
          <w:rFonts w:ascii="Tahoma" w:eastAsia="Arial" w:hAnsi="Tahoma" w:cs="Tahoma"/>
          <w:color w:val="000000" w:themeColor="text1"/>
          <w:sz w:val="24"/>
          <w:szCs w:val="24"/>
        </w:rPr>
      </w:pPr>
    </w:p>
    <w:p w14:paraId="14A4207B" w14:textId="277DCD74" w:rsidR="00406B86" w:rsidRPr="00F86D91" w:rsidRDefault="3410620C" w:rsidP="00406B86">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55</w:t>
      </w:r>
      <w:r w:rsidRPr="00F86D91">
        <w:rPr>
          <w:rFonts w:ascii="Tahoma" w:eastAsia="Arial" w:hAnsi="Tahoma" w:cs="Tahoma"/>
          <w:b/>
          <w:bCs/>
          <w:color w:val="000000" w:themeColor="text1"/>
          <w:sz w:val="24"/>
          <w:szCs w:val="24"/>
        </w:rPr>
        <w:t>.</w:t>
      </w:r>
      <w:r w:rsidRPr="00F86D91">
        <w:rPr>
          <w:rFonts w:ascii="Tahoma" w:hAnsi="Tahoma" w:cs="Tahoma"/>
        </w:rPr>
        <w:tab/>
      </w:r>
      <w:r w:rsidR="3F78D689" w:rsidRPr="00F86D91">
        <w:rPr>
          <w:rFonts w:ascii="Tahoma" w:eastAsia="Arial" w:hAnsi="Tahoma" w:cs="Tahoma"/>
          <w:b/>
          <w:bCs/>
          <w:color w:val="000000" w:themeColor="text1"/>
          <w:sz w:val="24"/>
          <w:szCs w:val="24"/>
        </w:rPr>
        <w:t>Obtaining quotes for electrical service upgrades takes several months. As such I doubt if the service upgrade costs will be available prior to April 5th for our grant application.  As such how should be proceed</w:t>
      </w:r>
      <w:r w:rsidR="00406B86" w:rsidRPr="00F86D91">
        <w:rPr>
          <w:rFonts w:ascii="Tahoma" w:eastAsia="Arial" w:hAnsi="Tahoma" w:cs="Tahoma"/>
          <w:b/>
          <w:bCs/>
          <w:color w:val="000000" w:themeColor="text1"/>
          <w:sz w:val="24"/>
          <w:szCs w:val="24"/>
        </w:rPr>
        <w:t xml:space="preserve"> </w:t>
      </w:r>
    </w:p>
    <w:p w14:paraId="4AD0647E" w14:textId="15E9D8E9" w:rsidR="4447FCAA" w:rsidRPr="00F86D91" w:rsidRDefault="4447FCAA" w:rsidP="4447FCAA">
      <w:pPr>
        <w:spacing w:after="0" w:line="240" w:lineRule="auto"/>
        <w:ind w:left="720" w:hanging="720"/>
        <w:rPr>
          <w:rFonts w:ascii="Tahoma" w:eastAsia="Arial" w:hAnsi="Tahoma" w:cs="Tahoma"/>
          <w:b/>
          <w:bCs/>
          <w:color w:val="000000" w:themeColor="text1"/>
          <w:sz w:val="24"/>
          <w:szCs w:val="24"/>
        </w:rPr>
      </w:pPr>
    </w:p>
    <w:p w14:paraId="3587A894" w14:textId="6565B7AD" w:rsidR="3410620C" w:rsidRPr="00F86D91" w:rsidRDefault="3410620C" w:rsidP="00032698">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55</w:t>
      </w:r>
      <w:r w:rsidRPr="00F86D91">
        <w:rPr>
          <w:rFonts w:ascii="Tahoma" w:eastAsia="Arial" w:hAnsi="Tahoma" w:cs="Tahoma"/>
          <w:color w:val="000000" w:themeColor="text1"/>
          <w:sz w:val="24"/>
          <w:szCs w:val="24"/>
        </w:rPr>
        <w:t>.</w:t>
      </w:r>
      <w:r w:rsidR="00004B08">
        <w:rPr>
          <w:rFonts w:ascii="Tahoma" w:eastAsia="Arial" w:hAnsi="Tahoma" w:cs="Tahoma"/>
          <w:color w:val="000000" w:themeColor="text1"/>
          <w:sz w:val="24"/>
          <w:szCs w:val="24"/>
        </w:rPr>
        <w:tab/>
      </w:r>
      <w:r w:rsidR="00BA0F61" w:rsidRPr="00F86D91">
        <w:rPr>
          <w:rFonts w:ascii="Tahoma" w:hAnsi="Tahoma" w:cs="Tahoma"/>
          <w:sz w:val="24"/>
          <w:szCs w:val="24"/>
        </w:rPr>
        <w:t>The proposal budget should include estimated projec</w:t>
      </w:r>
      <w:r w:rsidR="00DB69FD" w:rsidRPr="00F86D91">
        <w:rPr>
          <w:rFonts w:ascii="Tahoma" w:hAnsi="Tahoma" w:cs="Tahoma"/>
          <w:sz w:val="24"/>
          <w:szCs w:val="24"/>
        </w:rPr>
        <w:t>t costs at the time of application</w:t>
      </w:r>
      <w:r w:rsidR="00E944F9" w:rsidRPr="00F86D91">
        <w:rPr>
          <w:rFonts w:ascii="Tahoma" w:hAnsi="Tahoma" w:cs="Tahoma"/>
          <w:sz w:val="24"/>
          <w:szCs w:val="24"/>
        </w:rPr>
        <w:t>.</w:t>
      </w:r>
      <w:r w:rsidR="00DB69FD" w:rsidRPr="00F86D91">
        <w:rPr>
          <w:rFonts w:ascii="Tahoma" w:hAnsi="Tahoma" w:cs="Tahoma"/>
          <w:sz w:val="24"/>
          <w:szCs w:val="24"/>
        </w:rPr>
        <w:t xml:space="preserve"> If awarded, estimated budget costs </w:t>
      </w:r>
      <w:r w:rsidR="00CC50DD" w:rsidRPr="00F86D91">
        <w:rPr>
          <w:rFonts w:ascii="Tahoma" w:hAnsi="Tahoma" w:cs="Tahoma"/>
          <w:sz w:val="24"/>
          <w:szCs w:val="24"/>
        </w:rPr>
        <w:t>may</w:t>
      </w:r>
      <w:r w:rsidR="00DB69FD" w:rsidRPr="00F86D91">
        <w:rPr>
          <w:rFonts w:ascii="Tahoma" w:hAnsi="Tahoma" w:cs="Tahoma"/>
          <w:sz w:val="24"/>
          <w:szCs w:val="24"/>
        </w:rPr>
        <w:t xml:space="preserve"> be adjusted to meet market values</w:t>
      </w:r>
      <w:r w:rsidR="00F4655E" w:rsidRPr="00F86D91">
        <w:rPr>
          <w:rFonts w:ascii="Tahoma" w:hAnsi="Tahoma" w:cs="Tahoma"/>
          <w:sz w:val="24"/>
          <w:szCs w:val="24"/>
        </w:rPr>
        <w:t>, within reason</w:t>
      </w:r>
      <w:r w:rsidR="00A22E4E" w:rsidRPr="00F86D91">
        <w:rPr>
          <w:rFonts w:ascii="Tahoma" w:hAnsi="Tahoma" w:cs="Tahoma"/>
          <w:sz w:val="24"/>
          <w:szCs w:val="24"/>
        </w:rPr>
        <w:t>, without exceeding the approved award amount</w:t>
      </w:r>
      <w:r w:rsidR="0029708C" w:rsidRPr="00F86D91">
        <w:rPr>
          <w:rFonts w:ascii="Tahoma" w:hAnsi="Tahoma" w:cs="Tahoma"/>
          <w:sz w:val="24"/>
          <w:szCs w:val="24"/>
        </w:rPr>
        <w:t xml:space="preserve"> through minor amendments.</w:t>
      </w:r>
      <w:r w:rsidR="002309F0" w:rsidRPr="00F86D91">
        <w:rPr>
          <w:rFonts w:ascii="Tahoma" w:hAnsi="Tahoma" w:cs="Tahoma"/>
          <w:sz w:val="24"/>
          <w:szCs w:val="24"/>
        </w:rPr>
        <w:t xml:space="preserve"> Please see budget category guidance located on the </w:t>
      </w:r>
      <w:hyperlink r:id="rId15" w:history="1">
        <w:r w:rsidR="002309F0" w:rsidRPr="00F86D91">
          <w:rPr>
            <w:rStyle w:val="Hyperlink"/>
            <w:rFonts w:ascii="Tahoma" w:hAnsi="Tahoma" w:cs="Tahoma"/>
            <w:sz w:val="24"/>
            <w:szCs w:val="24"/>
          </w:rPr>
          <w:t>CEC website</w:t>
        </w:r>
      </w:hyperlink>
      <w:r w:rsidR="002309F0" w:rsidRPr="00F86D91">
        <w:rPr>
          <w:rFonts w:ascii="Tahoma" w:hAnsi="Tahoma" w:cs="Tahoma"/>
          <w:sz w:val="24"/>
          <w:szCs w:val="24"/>
        </w:rPr>
        <w:t xml:space="preserve"> (https://www.energy.ca.gov/funding-opportunities/funding-resources/ecams-resources/budget-category-guidance?auHash=cEItgat6JNbO9BFGeVqe4E5T6koCOgTaqliFX6bmwtg)</w:t>
      </w:r>
      <w:r w:rsidR="00C423E9" w:rsidRPr="00F86D91">
        <w:rPr>
          <w:rFonts w:ascii="Tahoma" w:hAnsi="Tahoma" w:cs="Tahoma"/>
          <w:sz w:val="24"/>
          <w:szCs w:val="24"/>
        </w:rPr>
        <w:t xml:space="preserve">, and/or Section </w:t>
      </w:r>
      <w:r w:rsidR="00032698" w:rsidRPr="00F86D91">
        <w:rPr>
          <w:rFonts w:ascii="Tahoma" w:hAnsi="Tahoma" w:cs="Tahoma"/>
          <w:sz w:val="24"/>
          <w:szCs w:val="24"/>
        </w:rPr>
        <w:t xml:space="preserve">III.C.5. of the Solicitation Manual (page </w:t>
      </w:r>
      <w:r w:rsidR="006A65F3">
        <w:rPr>
          <w:rFonts w:ascii="Tahoma" w:hAnsi="Tahoma" w:cs="Tahoma"/>
          <w:sz w:val="24"/>
          <w:szCs w:val="24"/>
        </w:rPr>
        <w:t>28-30</w:t>
      </w:r>
      <w:r w:rsidR="00032698" w:rsidRPr="00F86D91">
        <w:rPr>
          <w:rFonts w:ascii="Tahoma" w:hAnsi="Tahoma" w:cs="Tahoma"/>
          <w:sz w:val="24"/>
          <w:szCs w:val="24"/>
        </w:rPr>
        <w:t>)</w:t>
      </w:r>
      <w:r w:rsidR="002309F0" w:rsidRPr="00F86D91">
        <w:rPr>
          <w:rFonts w:ascii="Tahoma" w:hAnsi="Tahoma" w:cs="Tahoma"/>
          <w:sz w:val="24"/>
          <w:szCs w:val="24"/>
        </w:rPr>
        <w:t xml:space="preserve"> for more information.</w:t>
      </w:r>
    </w:p>
    <w:p w14:paraId="374B8562" w14:textId="77777777" w:rsidR="00B34D0B" w:rsidRPr="00F86D91" w:rsidRDefault="00B34D0B" w:rsidP="59BC4DF4">
      <w:pPr>
        <w:spacing w:after="0" w:line="240" w:lineRule="auto"/>
        <w:rPr>
          <w:rFonts w:ascii="Tahoma" w:eastAsia="Arial" w:hAnsi="Tahoma" w:cs="Tahoma"/>
          <w:color w:val="000000" w:themeColor="text1"/>
          <w:sz w:val="24"/>
          <w:szCs w:val="24"/>
        </w:rPr>
      </w:pPr>
    </w:p>
    <w:p w14:paraId="21858CC3" w14:textId="77777777" w:rsidR="00B34D0B" w:rsidRPr="00F86D91" w:rsidRDefault="00B34D0B" w:rsidP="00B34D0B">
      <w:pPr>
        <w:spacing w:after="0" w:line="240" w:lineRule="auto"/>
        <w:ind w:left="720" w:hanging="720"/>
        <w:rPr>
          <w:rFonts w:ascii="Tahoma" w:eastAsia="Arial" w:hAnsi="Tahoma" w:cs="Tahoma"/>
          <w:color w:val="000000" w:themeColor="text1"/>
          <w:sz w:val="24"/>
          <w:szCs w:val="24"/>
        </w:rPr>
      </w:pPr>
    </w:p>
    <w:p w14:paraId="6748D485" w14:textId="5B919CEC" w:rsidR="00B34D0B" w:rsidRPr="00F86D91" w:rsidRDefault="00B34D0B" w:rsidP="00B34D0B">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lastRenderedPageBreak/>
        <w:t>Q</w:t>
      </w:r>
      <w:r w:rsidR="00823804" w:rsidRPr="00F86D91">
        <w:rPr>
          <w:rFonts w:ascii="Tahoma" w:eastAsia="Arial" w:hAnsi="Tahoma" w:cs="Tahoma"/>
          <w:b/>
          <w:bCs/>
          <w:color w:val="000000" w:themeColor="text1"/>
          <w:sz w:val="24"/>
          <w:szCs w:val="24"/>
        </w:rPr>
        <w:t>56</w:t>
      </w:r>
      <w:r w:rsidRPr="00F86D91">
        <w:rPr>
          <w:rFonts w:ascii="Tahoma" w:eastAsia="Arial" w:hAnsi="Tahoma" w:cs="Tahoma"/>
          <w:b/>
          <w:bCs/>
          <w:color w:val="000000" w:themeColor="text1"/>
          <w:sz w:val="24"/>
          <w:szCs w:val="24"/>
        </w:rPr>
        <w:t>.</w:t>
      </w:r>
      <w:r w:rsidRPr="00F86D91">
        <w:rPr>
          <w:rFonts w:ascii="Tahoma" w:hAnsi="Tahoma" w:cs="Tahoma"/>
          <w:sz w:val="24"/>
          <w:szCs w:val="24"/>
        </w:rPr>
        <w:tab/>
      </w:r>
      <w:r w:rsidRPr="00F86D91">
        <w:rPr>
          <w:rFonts w:ascii="Tahoma" w:eastAsia="Arial" w:hAnsi="Tahoma" w:cs="Tahoma"/>
          <w:b/>
          <w:bCs/>
          <w:color w:val="000000" w:themeColor="text1"/>
          <w:sz w:val="24"/>
          <w:szCs w:val="24"/>
        </w:rPr>
        <w:t xml:space="preserve">What happens if the total project cost is increased after award due to factors like inflation/etc.?  Alternatively, what if the total project cost is decreased after award due to project savings? </w:t>
      </w:r>
    </w:p>
    <w:p w14:paraId="700DDCF0" w14:textId="77777777" w:rsidR="00B34D0B" w:rsidRPr="00F86D91" w:rsidRDefault="00B34D0B" w:rsidP="00B34D0B">
      <w:pPr>
        <w:spacing w:after="0" w:line="240" w:lineRule="auto"/>
        <w:ind w:left="720" w:hanging="720"/>
        <w:rPr>
          <w:rFonts w:ascii="Tahoma" w:eastAsia="Arial" w:hAnsi="Tahoma" w:cs="Tahoma"/>
          <w:b/>
          <w:bCs/>
          <w:color w:val="000000" w:themeColor="text1"/>
          <w:sz w:val="24"/>
          <w:szCs w:val="24"/>
        </w:rPr>
      </w:pPr>
    </w:p>
    <w:p w14:paraId="07CB1D0A" w14:textId="2AC07089" w:rsidR="0053646B" w:rsidRPr="00F86D91" w:rsidRDefault="00B34D0B" w:rsidP="00B11D23">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56</w:t>
      </w:r>
      <w:r w:rsidRPr="00F86D91">
        <w:rPr>
          <w:rFonts w:ascii="Tahoma" w:eastAsia="Arial" w:hAnsi="Tahoma" w:cs="Tahoma"/>
          <w:color w:val="000000" w:themeColor="text1"/>
          <w:sz w:val="24"/>
          <w:szCs w:val="24"/>
        </w:rPr>
        <w:t>.</w:t>
      </w:r>
      <w:r w:rsidRPr="00F86D91">
        <w:rPr>
          <w:rFonts w:ascii="Tahoma" w:hAnsi="Tahoma" w:cs="Tahoma"/>
        </w:rPr>
        <w:tab/>
      </w:r>
      <w:r w:rsidR="0053646B" w:rsidRPr="00F86D91">
        <w:rPr>
          <w:rFonts w:ascii="Tahoma" w:hAnsi="Tahoma" w:cs="Tahoma"/>
          <w:sz w:val="24"/>
          <w:szCs w:val="24"/>
        </w:rPr>
        <w:t xml:space="preserve">The proposal budget should include estimated project costs at the time of application. If awarded, estimated budget costs </w:t>
      </w:r>
      <w:r w:rsidR="00CC50DD" w:rsidRPr="00F86D91">
        <w:rPr>
          <w:rFonts w:ascii="Tahoma" w:hAnsi="Tahoma" w:cs="Tahoma"/>
          <w:sz w:val="24"/>
          <w:szCs w:val="24"/>
        </w:rPr>
        <w:t>may</w:t>
      </w:r>
      <w:r w:rsidR="0053646B" w:rsidRPr="00F86D91">
        <w:rPr>
          <w:rFonts w:ascii="Tahoma" w:hAnsi="Tahoma" w:cs="Tahoma"/>
          <w:sz w:val="24"/>
          <w:szCs w:val="24"/>
        </w:rPr>
        <w:t xml:space="preserve"> be adjusted to meet market values, within reason, without exceeding the approved award amount through minor amendments. </w:t>
      </w:r>
      <w:r w:rsidR="00DB5DF4" w:rsidRPr="00F86D91">
        <w:rPr>
          <w:rFonts w:ascii="Tahoma" w:hAnsi="Tahoma" w:cs="Tahoma"/>
          <w:sz w:val="24"/>
          <w:szCs w:val="24"/>
        </w:rPr>
        <w:t xml:space="preserve">Unspent </w:t>
      </w:r>
      <w:r w:rsidR="00EB5C21" w:rsidRPr="00F86D91">
        <w:rPr>
          <w:rFonts w:ascii="Tahoma" w:hAnsi="Tahoma" w:cs="Tahoma"/>
          <w:sz w:val="24"/>
          <w:szCs w:val="24"/>
        </w:rPr>
        <w:t>funds at the end of the project will revert to the original funding source</w:t>
      </w:r>
      <w:r w:rsidR="00161492" w:rsidRPr="00F86D91">
        <w:rPr>
          <w:rFonts w:ascii="Tahoma" w:hAnsi="Tahoma" w:cs="Tahoma"/>
          <w:sz w:val="24"/>
          <w:szCs w:val="24"/>
        </w:rPr>
        <w:t>.</w:t>
      </w:r>
      <w:r w:rsidR="0053646B" w:rsidRPr="00F86D91">
        <w:rPr>
          <w:rFonts w:ascii="Tahoma" w:hAnsi="Tahoma" w:cs="Tahoma"/>
          <w:sz w:val="24"/>
          <w:szCs w:val="24"/>
        </w:rPr>
        <w:t xml:space="preserve"> Please see budget category guidance located on the </w:t>
      </w:r>
      <w:hyperlink r:id="rId16" w:history="1">
        <w:r w:rsidR="0053646B" w:rsidRPr="00F86D91">
          <w:rPr>
            <w:rStyle w:val="Hyperlink"/>
            <w:rFonts w:ascii="Tahoma" w:hAnsi="Tahoma" w:cs="Tahoma"/>
            <w:sz w:val="24"/>
            <w:szCs w:val="24"/>
          </w:rPr>
          <w:t>CEC website</w:t>
        </w:r>
      </w:hyperlink>
      <w:r w:rsidR="0053646B" w:rsidRPr="00F86D91">
        <w:rPr>
          <w:rFonts w:ascii="Tahoma" w:hAnsi="Tahoma" w:cs="Tahoma"/>
          <w:sz w:val="24"/>
          <w:szCs w:val="24"/>
        </w:rPr>
        <w:t xml:space="preserve"> (https://www.energy.ca.gov/funding-opportunities/funding-resources/ecams-resources/budget-category-guidance?auHash=cEItgat6JNbO9BFGeVqe4E5T6koCOgTaqliFX6bmwtg), and/or Section III.C.5. of the Solicitation Manual (page </w:t>
      </w:r>
      <w:r w:rsidR="006A65F3">
        <w:rPr>
          <w:rFonts w:ascii="Tahoma" w:hAnsi="Tahoma" w:cs="Tahoma"/>
          <w:sz w:val="24"/>
          <w:szCs w:val="24"/>
        </w:rPr>
        <w:t>28-30</w:t>
      </w:r>
      <w:r w:rsidR="0053646B" w:rsidRPr="00F86D91">
        <w:rPr>
          <w:rFonts w:ascii="Tahoma" w:hAnsi="Tahoma" w:cs="Tahoma"/>
          <w:sz w:val="24"/>
          <w:szCs w:val="24"/>
        </w:rPr>
        <w:t>) for more information.</w:t>
      </w:r>
    </w:p>
    <w:p w14:paraId="5EE1CF3C" w14:textId="1625BB5D" w:rsidR="00B34D0B" w:rsidRPr="00F86D91" w:rsidRDefault="00B34D0B" w:rsidP="00B34D0B">
      <w:pPr>
        <w:spacing w:after="0" w:line="240" w:lineRule="auto"/>
        <w:ind w:left="720" w:hanging="720"/>
        <w:rPr>
          <w:rFonts w:ascii="Tahoma" w:hAnsi="Tahoma" w:cs="Tahoma"/>
          <w:sz w:val="24"/>
          <w:szCs w:val="24"/>
        </w:rPr>
      </w:pPr>
    </w:p>
    <w:p w14:paraId="49C367A6" w14:textId="77777777" w:rsidR="00B34D0B" w:rsidRPr="00F86D91" w:rsidRDefault="00B34D0B" w:rsidP="00D365C5">
      <w:pPr>
        <w:spacing w:after="0" w:line="240" w:lineRule="auto"/>
        <w:rPr>
          <w:rFonts w:ascii="Tahoma" w:eastAsia="Arial" w:hAnsi="Tahoma" w:cs="Tahoma"/>
          <w:color w:val="000000" w:themeColor="text1"/>
          <w:sz w:val="24"/>
          <w:szCs w:val="24"/>
        </w:rPr>
      </w:pPr>
    </w:p>
    <w:p w14:paraId="69BD47BB" w14:textId="507D41BD" w:rsidR="00B34D0B" w:rsidRPr="00F86D91" w:rsidRDefault="00B34D0B" w:rsidP="00B34D0B">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57</w:t>
      </w:r>
      <w:r w:rsidRPr="00F86D91">
        <w:rPr>
          <w:rFonts w:ascii="Tahoma" w:eastAsia="Arial" w:hAnsi="Tahoma" w:cs="Tahoma"/>
          <w:b/>
          <w:bCs/>
          <w:color w:val="000000" w:themeColor="text1"/>
          <w:sz w:val="24"/>
          <w:szCs w:val="24"/>
        </w:rPr>
        <w:t>.</w:t>
      </w:r>
      <w:r w:rsidR="009D4440" w:rsidRPr="00F86D91">
        <w:rPr>
          <w:rFonts w:ascii="Tahoma" w:eastAsia="Arial" w:hAnsi="Tahoma" w:cs="Tahoma"/>
          <w:b/>
          <w:bCs/>
          <w:color w:val="000000" w:themeColor="text1"/>
          <w:sz w:val="24"/>
          <w:szCs w:val="24"/>
        </w:rPr>
        <w:tab/>
      </w:r>
      <w:r w:rsidRPr="00F86D91">
        <w:rPr>
          <w:rFonts w:ascii="Tahoma" w:eastAsia="Arial" w:hAnsi="Tahoma" w:cs="Tahoma"/>
          <w:b/>
          <w:bCs/>
          <w:color w:val="000000" w:themeColor="text1"/>
          <w:sz w:val="24"/>
          <w:szCs w:val="24"/>
        </w:rPr>
        <w:t xml:space="preserve">What happens if the match share funding is cancelled/reduced following award and project start? </w:t>
      </w:r>
    </w:p>
    <w:p w14:paraId="1D75C53A" w14:textId="77777777" w:rsidR="00B34D0B" w:rsidRPr="00F86D91" w:rsidRDefault="00B34D0B" w:rsidP="00B34D0B">
      <w:pPr>
        <w:spacing w:after="0" w:line="240" w:lineRule="auto"/>
        <w:ind w:left="720" w:hanging="720"/>
        <w:rPr>
          <w:rFonts w:ascii="Tahoma" w:eastAsia="Arial" w:hAnsi="Tahoma" w:cs="Tahoma"/>
          <w:b/>
          <w:bCs/>
          <w:color w:val="000000" w:themeColor="text1"/>
          <w:sz w:val="24"/>
          <w:szCs w:val="24"/>
        </w:rPr>
      </w:pPr>
    </w:p>
    <w:p w14:paraId="4A1BF1F3" w14:textId="21716DB6" w:rsidR="00B34D0B" w:rsidRPr="00F86D91" w:rsidRDefault="00B34D0B" w:rsidP="00B34D0B">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57</w:t>
      </w:r>
      <w:r w:rsidRPr="00F86D91">
        <w:rPr>
          <w:rFonts w:ascii="Tahoma" w:eastAsia="Arial" w:hAnsi="Tahoma" w:cs="Tahoma"/>
          <w:color w:val="000000" w:themeColor="text1"/>
          <w:sz w:val="24"/>
          <w:szCs w:val="24"/>
        </w:rPr>
        <w:t>.</w:t>
      </w:r>
      <w:r w:rsidRPr="00F86D91">
        <w:rPr>
          <w:rFonts w:ascii="Tahoma" w:hAnsi="Tahoma" w:cs="Tahoma"/>
        </w:rPr>
        <w:tab/>
      </w:r>
      <w:r w:rsidR="006F08C1" w:rsidRPr="00F86D91">
        <w:rPr>
          <w:rFonts w:ascii="Tahoma" w:hAnsi="Tahoma" w:cs="Tahoma"/>
          <w:sz w:val="24"/>
          <w:szCs w:val="24"/>
        </w:rPr>
        <w:t xml:space="preserve">If match funding is cancelled or reduced </w:t>
      </w:r>
      <w:r w:rsidR="00612437" w:rsidRPr="00F86D91">
        <w:rPr>
          <w:rFonts w:ascii="Tahoma" w:hAnsi="Tahoma" w:cs="Tahoma"/>
          <w:sz w:val="24"/>
          <w:szCs w:val="24"/>
        </w:rPr>
        <w:t xml:space="preserve">prior to the </w:t>
      </w:r>
      <w:r w:rsidR="00AD778D" w:rsidRPr="00F86D91">
        <w:rPr>
          <w:rFonts w:ascii="Tahoma" w:hAnsi="Tahoma" w:cs="Tahoma"/>
          <w:sz w:val="24"/>
          <w:szCs w:val="24"/>
        </w:rPr>
        <w:t>execution of the grant agreement</w:t>
      </w:r>
      <w:r w:rsidR="00C54FBE" w:rsidRPr="00F86D91">
        <w:rPr>
          <w:rFonts w:ascii="Tahoma" w:hAnsi="Tahoma" w:cs="Tahoma"/>
          <w:sz w:val="24"/>
          <w:szCs w:val="24"/>
        </w:rPr>
        <w:t xml:space="preserve"> and the recipient is unable to secure additional sources of match funding</w:t>
      </w:r>
      <w:r w:rsidR="00AD778D" w:rsidRPr="00F86D91">
        <w:rPr>
          <w:rFonts w:ascii="Tahoma" w:hAnsi="Tahoma" w:cs="Tahoma"/>
          <w:sz w:val="24"/>
          <w:szCs w:val="24"/>
        </w:rPr>
        <w:t xml:space="preserve">, the proposed award may be withdrawn. If match funding is cancelled or reduced </w:t>
      </w:r>
      <w:r w:rsidR="006F08C1" w:rsidRPr="00F86D91">
        <w:rPr>
          <w:rFonts w:ascii="Tahoma" w:hAnsi="Tahoma" w:cs="Tahoma"/>
          <w:sz w:val="24"/>
          <w:szCs w:val="24"/>
        </w:rPr>
        <w:t>during the term of the project</w:t>
      </w:r>
      <w:r w:rsidR="005917AE" w:rsidRPr="00F86D91">
        <w:rPr>
          <w:rFonts w:ascii="Tahoma" w:hAnsi="Tahoma" w:cs="Tahoma"/>
          <w:sz w:val="24"/>
          <w:szCs w:val="24"/>
        </w:rPr>
        <w:t xml:space="preserve"> and </w:t>
      </w:r>
      <w:r w:rsidR="006F08C1" w:rsidRPr="00F86D91">
        <w:rPr>
          <w:rFonts w:ascii="Tahoma" w:hAnsi="Tahoma" w:cs="Tahoma"/>
          <w:sz w:val="24"/>
          <w:szCs w:val="24"/>
        </w:rPr>
        <w:t xml:space="preserve">the recipient </w:t>
      </w:r>
      <w:r w:rsidR="005917AE" w:rsidRPr="00F86D91">
        <w:rPr>
          <w:rFonts w:ascii="Tahoma" w:hAnsi="Tahoma" w:cs="Tahoma"/>
          <w:sz w:val="24"/>
          <w:szCs w:val="24"/>
        </w:rPr>
        <w:t>is unable</w:t>
      </w:r>
      <w:r w:rsidR="006F08C1" w:rsidRPr="00F86D91">
        <w:rPr>
          <w:rFonts w:ascii="Tahoma" w:hAnsi="Tahoma" w:cs="Tahoma"/>
          <w:sz w:val="24"/>
          <w:szCs w:val="24"/>
        </w:rPr>
        <w:t xml:space="preserve"> to </w:t>
      </w:r>
      <w:r w:rsidR="00E730E9" w:rsidRPr="00F86D91">
        <w:rPr>
          <w:rFonts w:ascii="Tahoma" w:hAnsi="Tahoma" w:cs="Tahoma"/>
          <w:sz w:val="24"/>
          <w:szCs w:val="24"/>
        </w:rPr>
        <w:t xml:space="preserve">secure additional sources of </w:t>
      </w:r>
      <w:r w:rsidR="00522977" w:rsidRPr="00F86D91">
        <w:rPr>
          <w:rFonts w:ascii="Tahoma" w:hAnsi="Tahoma" w:cs="Tahoma"/>
          <w:sz w:val="24"/>
          <w:szCs w:val="24"/>
        </w:rPr>
        <w:t xml:space="preserve">match </w:t>
      </w:r>
      <w:r w:rsidR="00E730E9" w:rsidRPr="00F86D91">
        <w:rPr>
          <w:rFonts w:ascii="Tahoma" w:hAnsi="Tahoma" w:cs="Tahoma"/>
          <w:sz w:val="24"/>
          <w:szCs w:val="24"/>
        </w:rPr>
        <w:t>funding</w:t>
      </w:r>
      <w:r w:rsidR="005917AE" w:rsidRPr="00F86D91">
        <w:rPr>
          <w:rFonts w:ascii="Tahoma" w:hAnsi="Tahoma" w:cs="Tahoma"/>
          <w:sz w:val="24"/>
          <w:szCs w:val="24"/>
        </w:rPr>
        <w:t xml:space="preserve">, the award may be </w:t>
      </w:r>
      <w:r w:rsidR="3BD203B8" w:rsidRPr="00F86D91">
        <w:rPr>
          <w:rFonts w:ascii="Tahoma" w:hAnsi="Tahoma" w:cs="Tahoma"/>
          <w:sz w:val="24"/>
          <w:szCs w:val="24"/>
        </w:rPr>
        <w:t>terminated</w:t>
      </w:r>
      <w:r w:rsidR="003B2C57" w:rsidRPr="00F86D91">
        <w:rPr>
          <w:rFonts w:ascii="Tahoma" w:hAnsi="Tahoma" w:cs="Tahoma"/>
          <w:sz w:val="24"/>
          <w:szCs w:val="24"/>
        </w:rPr>
        <w:t xml:space="preserve">. </w:t>
      </w:r>
      <w:r w:rsidR="008E33A2" w:rsidRPr="00F86D91">
        <w:rPr>
          <w:rFonts w:ascii="Tahoma" w:hAnsi="Tahoma" w:cs="Tahoma"/>
          <w:sz w:val="24"/>
          <w:szCs w:val="24"/>
        </w:rPr>
        <w:t>Please see the standard terms and conditions</w:t>
      </w:r>
      <w:r w:rsidR="005F4EE4" w:rsidRPr="00F86D91">
        <w:rPr>
          <w:rFonts w:ascii="Tahoma" w:hAnsi="Tahoma" w:cs="Tahoma"/>
          <w:sz w:val="24"/>
          <w:szCs w:val="24"/>
        </w:rPr>
        <w:t xml:space="preserve"> on the </w:t>
      </w:r>
      <w:hyperlink r:id="rId17">
        <w:r w:rsidR="005F4EE4" w:rsidRPr="00F86D91">
          <w:rPr>
            <w:rStyle w:val="Hyperlink"/>
            <w:rFonts w:ascii="Tahoma" w:hAnsi="Tahoma" w:cs="Tahoma"/>
            <w:sz w:val="24"/>
            <w:szCs w:val="24"/>
          </w:rPr>
          <w:t>CEC Funding Resources webpage</w:t>
        </w:r>
      </w:hyperlink>
      <w:r w:rsidR="00806E62" w:rsidRPr="00F86D91">
        <w:rPr>
          <w:rFonts w:ascii="Tahoma" w:hAnsi="Tahoma" w:cs="Tahoma"/>
          <w:sz w:val="24"/>
          <w:szCs w:val="24"/>
        </w:rPr>
        <w:t xml:space="preserve"> (https://www.energy.ca.gov/funding-opportunities/funding-resources)</w:t>
      </w:r>
      <w:r w:rsidR="005F4EE4" w:rsidRPr="00F86D91">
        <w:rPr>
          <w:rFonts w:ascii="Tahoma" w:hAnsi="Tahoma" w:cs="Tahoma"/>
          <w:sz w:val="24"/>
          <w:szCs w:val="24"/>
        </w:rPr>
        <w:t xml:space="preserve"> for more details.</w:t>
      </w:r>
    </w:p>
    <w:p w14:paraId="030EA5C1" w14:textId="24D52EB1" w:rsidR="4447FCAA" w:rsidRPr="00F86D91" w:rsidRDefault="4447FCAA" w:rsidP="4447FCAA">
      <w:pPr>
        <w:spacing w:after="0" w:line="240" w:lineRule="auto"/>
        <w:ind w:left="720" w:hanging="720"/>
        <w:rPr>
          <w:rFonts w:ascii="Tahoma" w:eastAsia="Arial" w:hAnsi="Tahoma" w:cs="Tahoma"/>
          <w:color w:val="000000" w:themeColor="text1"/>
          <w:sz w:val="24"/>
          <w:szCs w:val="24"/>
        </w:rPr>
      </w:pPr>
    </w:p>
    <w:p w14:paraId="2DC3A63E" w14:textId="07A05661" w:rsidR="4447FCAA" w:rsidRPr="00F86D91" w:rsidRDefault="4447FCAA" w:rsidP="4447FCAA">
      <w:pPr>
        <w:spacing w:after="0" w:line="240" w:lineRule="auto"/>
        <w:ind w:left="720" w:hanging="720"/>
        <w:rPr>
          <w:rFonts w:ascii="Tahoma" w:eastAsia="Arial" w:hAnsi="Tahoma" w:cs="Tahoma"/>
          <w:color w:val="000000" w:themeColor="text1"/>
          <w:sz w:val="24"/>
          <w:szCs w:val="24"/>
        </w:rPr>
      </w:pPr>
    </w:p>
    <w:p w14:paraId="776AF329" w14:textId="3FF50CEA" w:rsidR="3410620C" w:rsidRPr="00F86D91" w:rsidRDefault="3410620C"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58</w:t>
      </w:r>
      <w:r w:rsidRPr="00F86D91">
        <w:rPr>
          <w:rFonts w:ascii="Tahoma" w:eastAsia="Arial" w:hAnsi="Tahoma" w:cs="Tahoma"/>
          <w:b/>
          <w:bCs/>
          <w:color w:val="000000" w:themeColor="text1"/>
          <w:sz w:val="24"/>
          <w:szCs w:val="24"/>
        </w:rPr>
        <w:t>.</w:t>
      </w:r>
      <w:r w:rsidRPr="00F86D91">
        <w:rPr>
          <w:rFonts w:ascii="Tahoma" w:hAnsi="Tahoma" w:cs="Tahoma"/>
        </w:rPr>
        <w:tab/>
      </w:r>
      <w:r w:rsidR="0CBCDA27" w:rsidRPr="00F86D91">
        <w:rPr>
          <w:rFonts w:ascii="Tahoma" w:eastAsia="Arial" w:hAnsi="Tahoma" w:cs="Tahoma"/>
          <w:b/>
          <w:bCs/>
          <w:color w:val="000000" w:themeColor="text1"/>
          <w:sz w:val="24"/>
          <w:szCs w:val="24"/>
        </w:rPr>
        <w:t>Generally</w:t>
      </w:r>
      <w:r w:rsidR="0099438A" w:rsidRPr="00F86D91">
        <w:rPr>
          <w:rFonts w:ascii="Tahoma" w:eastAsia="Arial" w:hAnsi="Tahoma" w:cs="Tahoma"/>
          <w:b/>
          <w:bCs/>
          <w:color w:val="000000" w:themeColor="text1"/>
          <w:sz w:val="24"/>
          <w:szCs w:val="24"/>
        </w:rPr>
        <w:t>,</w:t>
      </w:r>
      <w:r w:rsidR="0CBCDA27" w:rsidRPr="00F86D91">
        <w:rPr>
          <w:rFonts w:ascii="Tahoma" w:eastAsia="Arial" w:hAnsi="Tahoma" w:cs="Tahoma"/>
          <w:b/>
          <w:bCs/>
          <w:color w:val="000000" w:themeColor="text1"/>
          <w:sz w:val="24"/>
          <w:szCs w:val="24"/>
        </w:rPr>
        <w:t xml:space="preserve"> all budget items must be approved by our governing board, in this case the City Council who approves purchases of this magnitude.  As such, </w:t>
      </w:r>
      <w:proofErr w:type="gramStart"/>
      <w:r w:rsidR="0CBCDA27" w:rsidRPr="00F86D91">
        <w:rPr>
          <w:rFonts w:ascii="Tahoma" w:eastAsia="Arial" w:hAnsi="Tahoma" w:cs="Tahoma"/>
          <w:b/>
          <w:bCs/>
          <w:color w:val="000000" w:themeColor="text1"/>
          <w:sz w:val="24"/>
          <w:szCs w:val="24"/>
        </w:rPr>
        <w:t>line item</w:t>
      </w:r>
      <w:proofErr w:type="gramEnd"/>
      <w:r w:rsidR="0CBCDA27" w:rsidRPr="00F86D91">
        <w:rPr>
          <w:rFonts w:ascii="Tahoma" w:eastAsia="Arial" w:hAnsi="Tahoma" w:cs="Tahoma"/>
          <w:b/>
          <w:bCs/>
          <w:color w:val="000000" w:themeColor="text1"/>
          <w:sz w:val="24"/>
          <w:szCs w:val="24"/>
        </w:rPr>
        <w:t xml:space="preserve"> budget amounts for this project cannot be approved unless awarded.  As such, what form of verification and availability of matching funds would be sufficient?  Would a letter of intent from the mayor or city council suffice?  </w:t>
      </w:r>
    </w:p>
    <w:p w14:paraId="66A4324E" w14:textId="716E647A" w:rsidR="4447FCAA" w:rsidRPr="00F86D91" w:rsidRDefault="4447FCAA" w:rsidP="4447FCAA">
      <w:pPr>
        <w:spacing w:after="0" w:line="240" w:lineRule="auto"/>
        <w:ind w:left="720" w:hanging="720"/>
        <w:rPr>
          <w:rFonts w:ascii="Tahoma" w:eastAsia="Arial" w:hAnsi="Tahoma" w:cs="Tahoma"/>
          <w:b/>
          <w:bCs/>
          <w:color w:val="000000" w:themeColor="text1"/>
          <w:sz w:val="24"/>
          <w:szCs w:val="24"/>
        </w:rPr>
      </w:pPr>
    </w:p>
    <w:p w14:paraId="222A6361" w14:textId="672E71A5" w:rsidR="4447FCAA" w:rsidRPr="00F86D91" w:rsidRDefault="3410620C" w:rsidP="4447FCAA">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58</w:t>
      </w:r>
      <w:r w:rsidRPr="00F86D91">
        <w:rPr>
          <w:rFonts w:ascii="Tahoma" w:eastAsia="Arial" w:hAnsi="Tahoma" w:cs="Tahoma"/>
          <w:color w:val="000000" w:themeColor="text1"/>
          <w:sz w:val="24"/>
          <w:szCs w:val="24"/>
        </w:rPr>
        <w:t>.</w:t>
      </w:r>
      <w:r w:rsidRPr="00F86D91">
        <w:rPr>
          <w:rFonts w:ascii="Tahoma" w:hAnsi="Tahoma" w:cs="Tahoma"/>
        </w:rPr>
        <w:tab/>
      </w:r>
      <w:r w:rsidR="00B27C11" w:rsidRPr="00F86D91">
        <w:rPr>
          <w:rFonts w:ascii="Tahoma" w:hAnsi="Tahoma" w:cs="Tahoma"/>
          <w:sz w:val="24"/>
          <w:szCs w:val="24"/>
        </w:rPr>
        <w:t>A</w:t>
      </w:r>
      <w:r w:rsidR="002870C0" w:rsidRPr="00F86D91">
        <w:rPr>
          <w:rFonts w:ascii="Tahoma" w:hAnsi="Tahoma" w:cs="Tahoma"/>
          <w:sz w:val="24"/>
          <w:szCs w:val="24"/>
        </w:rPr>
        <w:t xml:space="preserve"> </w:t>
      </w:r>
      <w:r w:rsidR="00667964" w:rsidRPr="00F86D91">
        <w:rPr>
          <w:rFonts w:ascii="Tahoma" w:hAnsi="Tahoma" w:cs="Tahoma"/>
          <w:sz w:val="24"/>
          <w:szCs w:val="24"/>
        </w:rPr>
        <w:t>match fund commitment letter can demonstrate intent to commit match funding. T</w:t>
      </w:r>
      <w:r w:rsidR="00A605DC" w:rsidRPr="00F86D91">
        <w:rPr>
          <w:rFonts w:ascii="Tahoma" w:hAnsi="Tahoma" w:cs="Tahoma"/>
          <w:sz w:val="24"/>
          <w:szCs w:val="24"/>
        </w:rPr>
        <w:t>he solicitation manual states, “</w:t>
      </w:r>
      <w:r w:rsidR="001D2A96" w:rsidRPr="00F86D91">
        <w:rPr>
          <w:rFonts w:ascii="Tahoma" w:hAnsi="Tahoma" w:cs="Tahoma"/>
          <w:sz w:val="24"/>
          <w:szCs w:val="24"/>
        </w:rPr>
        <w:t xml:space="preserve">Any match share contributors (including the Applicant and/or a third party) must identify the intended amount of match that will be committed to the project, the funding source(s), and state that the match share contributor will provide the identified match funding. Letters of commitment from match share contributors must contain a telephone number and email address to allow CEC to contact the match share partner or representative to confirm their authority to commit matching funds to the </w:t>
      </w:r>
      <w:r w:rsidR="001D2A96" w:rsidRPr="00F86D91">
        <w:rPr>
          <w:rFonts w:ascii="Tahoma" w:hAnsi="Tahoma" w:cs="Tahoma"/>
          <w:sz w:val="24"/>
          <w:szCs w:val="24"/>
        </w:rPr>
        <w:lastRenderedPageBreak/>
        <w:t>proposed project”</w:t>
      </w:r>
      <w:r w:rsidR="00A605DC" w:rsidRPr="00F86D91">
        <w:rPr>
          <w:rFonts w:ascii="Tahoma" w:hAnsi="Tahoma" w:cs="Tahoma"/>
          <w:sz w:val="24"/>
          <w:szCs w:val="24"/>
        </w:rPr>
        <w:t xml:space="preserve"> (Section </w:t>
      </w:r>
      <w:r w:rsidR="005E01CD" w:rsidRPr="00F86D91">
        <w:rPr>
          <w:rFonts w:ascii="Tahoma" w:hAnsi="Tahoma" w:cs="Tahoma"/>
          <w:sz w:val="24"/>
          <w:szCs w:val="24"/>
        </w:rPr>
        <w:t>III.C.8.b.</w:t>
      </w:r>
      <w:r w:rsidR="00F51E4A" w:rsidRPr="00F86D91">
        <w:rPr>
          <w:rFonts w:ascii="Tahoma" w:hAnsi="Tahoma" w:cs="Tahoma"/>
          <w:sz w:val="24"/>
          <w:szCs w:val="24"/>
        </w:rPr>
        <w:t xml:space="preserve">, page </w:t>
      </w:r>
      <w:r w:rsidR="0093131A">
        <w:rPr>
          <w:rFonts w:ascii="Tahoma" w:hAnsi="Tahoma" w:cs="Tahoma"/>
          <w:sz w:val="24"/>
          <w:szCs w:val="24"/>
        </w:rPr>
        <w:t>31</w:t>
      </w:r>
      <w:r w:rsidR="00F51E4A" w:rsidRPr="00F86D91">
        <w:rPr>
          <w:rFonts w:ascii="Tahoma" w:hAnsi="Tahoma" w:cs="Tahoma"/>
          <w:sz w:val="24"/>
          <w:szCs w:val="24"/>
        </w:rPr>
        <w:t>,</w:t>
      </w:r>
      <w:r w:rsidR="005E01CD" w:rsidRPr="00F86D91">
        <w:rPr>
          <w:rFonts w:ascii="Tahoma" w:hAnsi="Tahoma" w:cs="Tahoma"/>
          <w:sz w:val="24"/>
          <w:szCs w:val="24"/>
        </w:rPr>
        <w:t xml:space="preserve"> </w:t>
      </w:r>
      <w:r w:rsidR="00BB37DB" w:rsidRPr="00F86D91">
        <w:rPr>
          <w:rFonts w:ascii="Tahoma" w:hAnsi="Tahoma" w:cs="Tahoma"/>
          <w:sz w:val="24"/>
          <w:szCs w:val="24"/>
        </w:rPr>
        <w:t>“</w:t>
      </w:r>
      <w:r w:rsidR="005E01CD" w:rsidRPr="00F86D91">
        <w:rPr>
          <w:rFonts w:ascii="Tahoma" w:hAnsi="Tahoma" w:cs="Tahoma"/>
          <w:sz w:val="24"/>
          <w:szCs w:val="24"/>
        </w:rPr>
        <w:t xml:space="preserve">Match Share </w:t>
      </w:r>
      <w:r w:rsidR="00F51E4A" w:rsidRPr="00F86D91">
        <w:rPr>
          <w:rFonts w:ascii="Tahoma" w:hAnsi="Tahoma" w:cs="Tahoma"/>
          <w:sz w:val="24"/>
          <w:szCs w:val="24"/>
        </w:rPr>
        <w:t>Contributors Letters of Commitment</w:t>
      </w:r>
      <w:r w:rsidR="00BB37DB" w:rsidRPr="00F86D91">
        <w:rPr>
          <w:rFonts w:ascii="Tahoma" w:hAnsi="Tahoma" w:cs="Tahoma"/>
          <w:sz w:val="24"/>
          <w:szCs w:val="24"/>
        </w:rPr>
        <w:t>”</w:t>
      </w:r>
      <w:r w:rsidR="00F51E4A" w:rsidRPr="00F86D91">
        <w:rPr>
          <w:rFonts w:ascii="Tahoma" w:hAnsi="Tahoma" w:cs="Tahoma"/>
          <w:sz w:val="24"/>
          <w:szCs w:val="24"/>
        </w:rPr>
        <w:t>,</w:t>
      </w:r>
      <w:r w:rsidR="001D2A96" w:rsidRPr="00F86D91">
        <w:rPr>
          <w:rFonts w:ascii="Tahoma" w:hAnsi="Tahoma" w:cs="Tahoma"/>
          <w:sz w:val="24"/>
          <w:szCs w:val="24"/>
        </w:rPr>
        <w:t xml:space="preserve"> </w:t>
      </w:r>
      <w:r w:rsidR="00F51E4A" w:rsidRPr="00F86D91">
        <w:rPr>
          <w:rFonts w:ascii="Tahoma" w:hAnsi="Tahoma" w:cs="Tahoma"/>
          <w:sz w:val="24"/>
          <w:szCs w:val="24"/>
        </w:rPr>
        <w:t xml:space="preserve">Solicitation Manual). </w:t>
      </w:r>
    </w:p>
    <w:p w14:paraId="077CB704" w14:textId="0EDEC686" w:rsidR="4447FCAA" w:rsidRPr="00F86D91" w:rsidRDefault="4447FCAA" w:rsidP="4447FCAA">
      <w:pPr>
        <w:spacing w:after="0" w:line="240" w:lineRule="auto"/>
        <w:ind w:left="720" w:hanging="720"/>
        <w:rPr>
          <w:rFonts w:ascii="Tahoma" w:eastAsia="Arial" w:hAnsi="Tahoma" w:cs="Tahoma"/>
          <w:color w:val="000000" w:themeColor="text1"/>
          <w:sz w:val="24"/>
          <w:szCs w:val="24"/>
        </w:rPr>
      </w:pPr>
    </w:p>
    <w:p w14:paraId="1E1F40CC" w14:textId="77777777" w:rsidR="00103AF0" w:rsidRPr="00F86D91" w:rsidRDefault="00103AF0" w:rsidP="4447FCAA">
      <w:pPr>
        <w:spacing w:after="0" w:line="240" w:lineRule="auto"/>
        <w:ind w:left="720" w:hanging="720"/>
        <w:rPr>
          <w:rFonts w:ascii="Tahoma" w:eastAsia="Arial" w:hAnsi="Tahoma" w:cs="Tahoma"/>
          <w:color w:val="000000" w:themeColor="text1"/>
          <w:sz w:val="24"/>
          <w:szCs w:val="24"/>
        </w:rPr>
      </w:pPr>
    </w:p>
    <w:p w14:paraId="27967A79" w14:textId="2B805A07" w:rsidR="3410620C" w:rsidRPr="00F86D91" w:rsidRDefault="3410620C"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59</w:t>
      </w:r>
      <w:r w:rsidRPr="00F86D91">
        <w:rPr>
          <w:rFonts w:ascii="Tahoma" w:eastAsia="Arial" w:hAnsi="Tahoma" w:cs="Tahoma"/>
          <w:b/>
          <w:bCs/>
          <w:color w:val="000000" w:themeColor="text1"/>
          <w:sz w:val="24"/>
          <w:szCs w:val="24"/>
        </w:rPr>
        <w:t>.</w:t>
      </w:r>
      <w:r w:rsidRPr="00F86D91">
        <w:rPr>
          <w:rFonts w:ascii="Tahoma" w:hAnsi="Tahoma" w:cs="Tahoma"/>
        </w:rPr>
        <w:tab/>
      </w:r>
      <w:r w:rsidR="6C0F4CBF" w:rsidRPr="00F86D91">
        <w:rPr>
          <w:rFonts w:ascii="Tahoma" w:eastAsia="Arial" w:hAnsi="Tahoma" w:cs="Tahoma"/>
          <w:b/>
          <w:bCs/>
          <w:color w:val="000000" w:themeColor="text1"/>
          <w:sz w:val="24"/>
          <w:szCs w:val="24"/>
        </w:rPr>
        <w:t>I would like to get clarification on the requirement which states “Provide customer support and dispatching services within 10 days”. Is the local government agency responsible for providing customer service and dispatching services or is that the responsibility of the charging station company?</w:t>
      </w:r>
    </w:p>
    <w:p w14:paraId="686026CB" w14:textId="15E9D8E9" w:rsidR="4447FCAA" w:rsidRPr="00F86D91" w:rsidRDefault="4447FCAA" w:rsidP="4447FCAA">
      <w:pPr>
        <w:spacing w:after="0" w:line="240" w:lineRule="auto"/>
        <w:ind w:left="720" w:hanging="720"/>
        <w:rPr>
          <w:rFonts w:ascii="Tahoma" w:eastAsia="Arial" w:hAnsi="Tahoma" w:cs="Tahoma"/>
          <w:b/>
          <w:bCs/>
          <w:color w:val="000000" w:themeColor="text1"/>
          <w:sz w:val="24"/>
          <w:szCs w:val="24"/>
        </w:rPr>
      </w:pPr>
    </w:p>
    <w:p w14:paraId="273117D4" w14:textId="1E523BC9" w:rsidR="3410620C" w:rsidRPr="00F86D91" w:rsidRDefault="3410620C" w:rsidP="4447FCAA">
      <w:pPr>
        <w:spacing w:after="0" w:line="240" w:lineRule="auto"/>
        <w:ind w:left="720" w:hanging="720"/>
        <w:rPr>
          <w:rFonts w:ascii="Tahoma" w:hAnsi="Tahoma" w:cs="Tahoma"/>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59</w:t>
      </w:r>
      <w:r w:rsidRPr="00F86D91">
        <w:rPr>
          <w:rFonts w:ascii="Tahoma" w:eastAsia="Arial" w:hAnsi="Tahoma" w:cs="Tahoma"/>
          <w:color w:val="000000" w:themeColor="text1"/>
          <w:sz w:val="24"/>
          <w:szCs w:val="24"/>
        </w:rPr>
        <w:t>.</w:t>
      </w:r>
      <w:r w:rsidRPr="00F86D91">
        <w:rPr>
          <w:rFonts w:ascii="Tahoma" w:hAnsi="Tahoma" w:cs="Tahoma"/>
        </w:rPr>
        <w:tab/>
      </w:r>
      <w:r w:rsidR="00B3243C" w:rsidRPr="00F86D91">
        <w:rPr>
          <w:rFonts w:ascii="Tahoma" w:hAnsi="Tahoma" w:cs="Tahoma"/>
          <w:sz w:val="24"/>
          <w:szCs w:val="24"/>
        </w:rPr>
        <w:t xml:space="preserve">Customer support and dispatching services can be provided by </w:t>
      </w:r>
      <w:r w:rsidR="00F70609" w:rsidRPr="00F86D91">
        <w:rPr>
          <w:rFonts w:ascii="Tahoma" w:hAnsi="Tahoma" w:cs="Tahoma"/>
          <w:sz w:val="24"/>
          <w:szCs w:val="24"/>
        </w:rPr>
        <w:t>the primary applicant, a</w:t>
      </w:r>
      <w:r w:rsidR="00B3243C" w:rsidRPr="00F86D91">
        <w:rPr>
          <w:rFonts w:ascii="Tahoma" w:hAnsi="Tahoma" w:cs="Tahoma"/>
          <w:sz w:val="24"/>
          <w:szCs w:val="24"/>
        </w:rPr>
        <w:t xml:space="preserve"> subrecipien</w:t>
      </w:r>
      <w:r w:rsidR="00AE6D30" w:rsidRPr="00F86D91">
        <w:rPr>
          <w:rFonts w:ascii="Tahoma" w:hAnsi="Tahoma" w:cs="Tahoma"/>
          <w:sz w:val="24"/>
          <w:szCs w:val="24"/>
        </w:rPr>
        <w:t>t or vendor.</w:t>
      </w:r>
    </w:p>
    <w:p w14:paraId="5C78A306" w14:textId="24D52EB1" w:rsidR="4447FCAA" w:rsidRPr="00F86D91" w:rsidRDefault="4447FCAA" w:rsidP="4447FCAA">
      <w:pPr>
        <w:spacing w:after="0" w:line="240" w:lineRule="auto"/>
        <w:ind w:left="720" w:hanging="720"/>
        <w:rPr>
          <w:rFonts w:ascii="Tahoma" w:eastAsia="Arial" w:hAnsi="Tahoma" w:cs="Tahoma"/>
          <w:color w:val="000000" w:themeColor="text1"/>
          <w:sz w:val="24"/>
          <w:szCs w:val="24"/>
        </w:rPr>
      </w:pPr>
    </w:p>
    <w:p w14:paraId="50E046CB" w14:textId="07A05661" w:rsidR="4447FCAA" w:rsidRPr="00F86D91" w:rsidRDefault="4447FCAA" w:rsidP="4447FCAA">
      <w:pPr>
        <w:spacing w:after="0" w:line="240" w:lineRule="auto"/>
        <w:ind w:left="720" w:hanging="720"/>
        <w:rPr>
          <w:rFonts w:ascii="Tahoma" w:eastAsia="Arial" w:hAnsi="Tahoma" w:cs="Tahoma"/>
          <w:color w:val="000000" w:themeColor="text1"/>
          <w:sz w:val="24"/>
          <w:szCs w:val="24"/>
        </w:rPr>
      </w:pPr>
    </w:p>
    <w:p w14:paraId="19F6C357" w14:textId="2A385180" w:rsidR="3410620C" w:rsidRPr="00F86D91" w:rsidRDefault="3410620C" w:rsidP="13BF8754">
      <w:pPr>
        <w:spacing w:after="0" w:line="240" w:lineRule="auto"/>
        <w:ind w:left="720" w:hanging="720"/>
        <w:rPr>
          <w:rFonts w:ascii="Tahoma" w:eastAsia="Arial" w:hAnsi="Tahoma" w:cs="Tahoma"/>
          <w:b/>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60</w:t>
      </w:r>
      <w:r w:rsidRPr="00F86D91">
        <w:rPr>
          <w:rFonts w:ascii="Tahoma" w:eastAsia="Arial" w:hAnsi="Tahoma" w:cs="Tahoma"/>
          <w:b/>
          <w:bCs/>
          <w:color w:val="000000" w:themeColor="text1"/>
          <w:sz w:val="24"/>
          <w:szCs w:val="24"/>
        </w:rPr>
        <w:t>.</w:t>
      </w:r>
      <w:r w:rsidRPr="00F86D91">
        <w:rPr>
          <w:rFonts w:ascii="Tahoma" w:hAnsi="Tahoma" w:cs="Tahoma"/>
        </w:rPr>
        <w:tab/>
      </w:r>
      <w:r w:rsidR="6747170D" w:rsidRPr="00F86D91">
        <w:rPr>
          <w:rFonts w:ascii="Tahoma" w:eastAsia="Arial" w:hAnsi="Tahoma" w:cs="Tahoma"/>
          <w:b/>
          <w:bCs/>
          <w:color w:val="000000" w:themeColor="text1"/>
          <w:sz w:val="24"/>
          <w:szCs w:val="24"/>
        </w:rPr>
        <w:t>Over what time period do you expect equipment to be deployed?</w:t>
      </w:r>
      <w:r w:rsidR="5B0845C3" w:rsidRPr="00F86D91">
        <w:rPr>
          <w:rFonts w:ascii="Tahoma" w:eastAsia="Arial" w:hAnsi="Tahoma" w:cs="Tahoma"/>
          <w:b/>
          <w:bCs/>
          <w:color w:val="000000" w:themeColor="text1"/>
          <w:sz w:val="24"/>
          <w:szCs w:val="24"/>
        </w:rPr>
        <w:t xml:space="preserve"> </w:t>
      </w:r>
      <w:r w:rsidR="0065724E" w:rsidRPr="00F86D91">
        <w:rPr>
          <w:rFonts w:ascii="Tahoma" w:eastAsia="Arial" w:hAnsi="Tahoma" w:cs="Tahoma"/>
          <w:b/>
          <w:bCs/>
          <w:color w:val="000000" w:themeColor="text1"/>
          <w:sz w:val="24"/>
          <w:szCs w:val="24"/>
        </w:rPr>
        <w:t>Is there a</w:t>
      </w:r>
      <w:r w:rsidR="000C6986" w:rsidRPr="00F86D91">
        <w:rPr>
          <w:rFonts w:ascii="Tahoma" w:eastAsia="Arial" w:hAnsi="Tahoma" w:cs="Tahoma"/>
          <w:b/>
          <w:bCs/>
          <w:color w:val="000000" w:themeColor="text1"/>
          <w:sz w:val="24"/>
          <w:szCs w:val="24"/>
        </w:rPr>
        <w:t xml:space="preserve">n option for time extensions for delays that are out of the </w:t>
      </w:r>
      <w:r w:rsidR="2553403F" w:rsidRPr="00F86D91">
        <w:rPr>
          <w:rFonts w:ascii="Tahoma" w:eastAsia="Arial" w:hAnsi="Tahoma" w:cs="Tahoma"/>
          <w:b/>
          <w:bCs/>
          <w:color w:val="000000" w:themeColor="text1"/>
          <w:sz w:val="24"/>
          <w:szCs w:val="24"/>
        </w:rPr>
        <w:t>applicant’s</w:t>
      </w:r>
      <w:r w:rsidR="016901CF" w:rsidRPr="00F86D91">
        <w:rPr>
          <w:rFonts w:ascii="Tahoma" w:eastAsia="Arial" w:hAnsi="Tahoma" w:cs="Tahoma"/>
          <w:b/>
          <w:bCs/>
          <w:color w:val="000000" w:themeColor="text1"/>
          <w:sz w:val="24"/>
          <w:szCs w:val="24"/>
        </w:rPr>
        <w:t xml:space="preserve"> control </w:t>
      </w:r>
      <w:r w:rsidR="000C6986" w:rsidRPr="00F86D91">
        <w:rPr>
          <w:rFonts w:ascii="Tahoma" w:eastAsia="Arial" w:hAnsi="Tahoma" w:cs="Tahoma"/>
          <w:b/>
          <w:bCs/>
          <w:color w:val="000000" w:themeColor="text1"/>
          <w:sz w:val="24"/>
          <w:szCs w:val="24"/>
        </w:rPr>
        <w:t xml:space="preserve">prohibiting the project from meeting </w:t>
      </w:r>
      <w:r w:rsidR="016901CF" w:rsidRPr="00F86D91">
        <w:rPr>
          <w:rFonts w:ascii="Tahoma" w:eastAsia="Arial" w:hAnsi="Tahoma" w:cs="Tahoma"/>
          <w:b/>
          <w:bCs/>
          <w:color w:val="000000" w:themeColor="text1"/>
          <w:sz w:val="24"/>
          <w:szCs w:val="24"/>
        </w:rPr>
        <w:t xml:space="preserve">the June 30, </w:t>
      </w:r>
      <w:proofErr w:type="gramStart"/>
      <w:r w:rsidR="016901CF" w:rsidRPr="00F86D91">
        <w:rPr>
          <w:rFonts w:ascii="Tahoma" w:eastAsia="Arial" w:hAnsi="Tahoma" w:cs="Tahoma"/>
          <w:b/>
          <w:bCs/>
          <w:color w:val="000000" w:themeColor="text1"/>
          <w:sz w:val="24"/>
          <w:szCs w:val="24"/>
        </w:rPr>
        <w:t>2028</w:t>
      </w:r>
      <w:proofErr w:type="gramEnd"/>
      <w:r w:rsidR="016901CF" w:rsidRPr="00F86D91">
        <w:rPr>
          <w:rFonts w:ascii="Tahoma" w:eastAsia="Arial" w:hAnsi="Tahoma" w:cs="Tahoma"/>
          <w:b/>
          <w:bCs/>
          <w:color w:val="000000" w:themeColor="text1"/>
          <w:sz w:val="24"/>
          <w:szCs w:val="24"/>
        </w:rPr>
        <w:t xml:space="preserve"> dea</w:t>
      </w:r>
      <w:r w:rsidR="000C6986" w:rsidRPr="00F86D91">
        <w:rPr>
          <w:rFonts w:ascii="Tahoma" w:eastAsia="Arial" w:hAnsi="Tahoma" w:cs="Tahoma"/>
          <w:b/>
          <w:bCs/>
          <w:color w:val="000000" w:themeColor="text1"/>
          <w:sz w:val="24"/>
          <w:szCs w:val="24"/>
        </w:rPr>
        <w:t>d</w:t>
      </w:r>
      <w:r w:rsidR="016901CF" w:rsidRPr="00F86D91">
        <w:rPr>
          <w:rFonts w:ascii="Tahoma" w:eastAsia="Arial" w:hAnsi="Tahoma" w:cs="Tahoma"/>
          <w:b/>
          <w:bCs/>
          <w:color w:val="000000" w:themeColor="text1"/>
          <w:sz w:val="24"/>
          <w:szCs w:val="24"/>
        </w:rPr>
        <w:t>line?</w:t>
      </w:r>
    </w:p>
    <w:p w14:paraId="1E73A6C0" w14:textId="716E647A" w:rsidR="4447FCAA" w:rsidRPr="00F86D91" w:rsidRDefault="4447FCAA" w:rsidP="4447FCAA">
      <w:pPr>
        <w:spacing w:after="0" w:line="240" w:lineRule="auto"/>
        <w:ind w:left="720" w:hanging="720"/>
        <w:rPr>
          <w:rFonts w:ascii="Tahoma" w:eastAsia="Arial" w:hAnsi="Tahoma" w:cs="Tahoma"/>
          <w:b/>
          <w:bCs/>
          <w:color w:val="000000" w:themeColor="text1"/>
          <w:sz w:val="24"/>
          <w:szCs w:val="24"/>
        </w:rPr>
      </w:pPr>
    </w:p>
    <w:p w14:paraId="20903380" w14:textId="245665F3" w:rsidR="4447FCAA" w:rsidRPr="00F86D91" w:rsidRDefault="3410620C" w:rsidP="00F70609">
      <w:pPr>
        <w:spacing w:after="0" w:line="240" w:lineRule="auto"/>
        <w:ind w:left="720" w:hanging="720"/>
        <w:rPr>
          <w:rFonts w:ascii="Tahoma" w:eastAsia="Arial" w:hAnsi="Tahoma" w:cs="Tahoma"/>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60</w:t>
      </w:r>
      <w:r w:rsidRPr="00F86D91">
        <w:rPr>
          <w:rFonts w:ascii="Tahoma" w:eastAsia="Arial" w:hAnsi="Tahoma" w:cs="Tahoma"/>
          <w:color w:val="000000" w:themeColor="text1"/>
          <w:sz w:val="24"/>
          <w:szCs w:val="24"/>
        </w:rPr>
        <w:t>.</w:t>
      </w:r>
      <w:r w:rsidRPr="00F86D91">
        <w:rPr>
          <w:rFonts w:ascii="Tahoma" w:hAnsi="Tahoma" w:cs="Tahoma"/>
        </w:rPr>
        <w:tab/>
      </w:r>
      <w:r w:rsidR="00526A43" w:rsidRPr="00F86D91">
        <w:rPr>
          <w:rFonts w:ascii="Tahoma" w:eastAsia="Arial" w:hAnsi="Tahoma" w:cs="Tahoma"/>
          <w:color w:val="000000" w:themeColor="text1"/>
          <w:sz w:val="24"/>
          <w:szCs w:val="24"/>
        </w:rPr>
        <w:t>The solicitation manual states, “A</w:t>
      </w:r>
      <w:r w:rsidR="3E53775A" w:rsidRPr="00F86D91">
        <w:rPr>
          <w:rFonts w:ascii="Tahoma" w:eastAsia="Arial" w:hAnsi="Tahoma" w:cs="Tahoma"/>
          <w:color w:val="000000" w:themeColor="text1"/>
          <w:sz w:val="24"/>
          <w:szCs w:val="24"/>
        </w:rPr>
        <w:t xml:space="preserve">ll work must be scheduled for completion by no later than June 30, </w:t>
      </w:r>
      <w:proofErr w:type="gramStart"/>
      <w:r w:rsidR="3E53775A" w:rsidRPr="00F86D91">
        <w:rPr>
          <w:rFonts w:ascii="Tahoma" w:eastAsia="Arial" w:hAnsi="Tahoma" w:cs="Tahoma"/>
          <w:color w:val="000000" w:themeColor="text1"/>
          <w:sz w:val="24"/>
          <w:szCs w:val="24"/>
        </w:rPr>
        <w:t>2028</w:t>
      </w:r>
      <w:proofErr w:type="gramEnd"/>
      <w:r w:rsidR="3E53775A" w:rsidRPr="00F86D91">
        <w:rPr>
          <w:rFonts w:ascii="Tahoma" w:eastAsia="Arial" w:hAnsi="Tahoma" w:cs="Tahoma"/>
          <w:color w:val="000000" w:themeColor="text1"/>
          <w:sz w:val="24"/>
          <w:szCs w:val="24"/>
        </w:rPr>
        <w:t xml:space="preserve"> to allow timely processing of final invoices before the liquidation date of CEC funds</w:t>
      </w:r>
      <w:r w:rsidR="0082050A" w:rsidRPr="00F86D91">
        <w:rPr>
          <w:rFonts w:ascii="Tahoma" w:eastAsia="Arial" w:hAnsi="Tahoma" w:cs="Tahoma"/>
          <w:color w:val="000000" w:themeColor="text1"/>
          <w:sz w:val="24"/>
          <w:szCs w:val="24"/>
        </w:rPr>
        <w:t xml:space="preserve">” (Section </w:t>
      </w:r>
      <w:r w:rsidR="00194245" w:rsidRPr="00F86D91">
        <w:rPr>
          <w:rFonts w:ascii="Tahoma" w:eastAsia="Arial" w:hAnsi="Tahoma" w:cs="Tahoma"/>
          <w:color w:val="000000" w:themeColor="text1"/>
          <w:sz w:val="24"/>
          <w:szCs w:val="24"/>
        </w:rPr>
        <w:t>III.C.4., page 2</w:t>
      </w:r>
      <w:r w:rsidR="0080734E">
        <w:rPr>
          <w:rFonts w:ascii="Tahoma" w:eastAsia="Arial" w:hAnsi="Tahoma" w:cs="Tahoma"/>
          <w:color w:val="000000" w:themeColor="text1"/>
          <w:sz w:val="24"/>
          <w:szCs w:val="24"/>
        </w:rPr>
        <w:t>8</w:t>
      </w:r>
      <w:r w:rsidR="00194245" w:rsidRPr="00F86D91">
        <w:rPr>
          <w:rFonts w:ascii="Tahoma" w:eastAsia="Arial" w:hAnsi="Tahoma" w:cs="Tahoma"/>
          <w:color w:val="000000" w:themeColor="text1"/>
          <w:sz w:val="24"/>
          <w:szCs w:val="24"/>
        </w:rPr>
        <w:t xml:space="preserve">, </w:t>
      </w:r>
      <w:r w:rsidR="004D52FA" w:rsidRPr="00F86D91">
        <w:rPr>
          <w:rFonts w:ascii="Tahoma" w:eastAsia="Arial" w:hAnsi="Tahoma" w:cs="Tahoma"/>
          <w:color w:val="000000" w:themeColor="text1"/>
          <w:sz w:val="24"/>
          <w:szCs w:val="24"/>
        </w:rPr>
        <w:t>“</w:t>
      </w:r>
      <w:r w:rsidR="00194245" w:rsidRPr="00F86D91">
        <w:rPr>
          <w:rFonts w:ascii="Tahoma" w:eastAsia="Arial" w:hAnsi="Tahoma" w:cs="Tahoma"/>
          <w:color w:val="000000" w:themeColor="text1"/>
          <w:sz w:val="24"/>
          <w:szCs w:val="24"/>
        </w:rPr>
        <w:t>Schedule of Products and Due Dates</w:t>
      </w:r>
      <w:r w:rsidR="004D52FA" w:rsidRPr="00F86D91">
        <w:rPr>
          <w:rFonts w:ascii="Tahoma" w:eastAsia="Arial" w:hAnsi="Tahoma" w:cs="Tahoma"/>
          <w:color w:val="000000" w:themeColor="text1"/>
          <w:sz w:val="24"/>
          <w:szCs w:val="24"/>
        </w:rPr>
        <w:t>”</w:t>
      </w:r>
      <w:r w:rsidR="00194245" w:rsidRPr="00F86D91">
        <w:rPr>
          <w:rFonts w:ascii="Tahoma" w:eastAsia="Arial" w:hAnsi="Tahoma" w:cs="Tahoma"/>
          <w:color w:val="000000" w:themeColor="text1"/>
          <w:sz w:val="24"/>
          <w:szCs w:val="24"/>
        </w:rPr>
        <w:t>, Solicitation Manual)</w:t>
      </w:r>
      <w:r w:rsidR="3E53775A" w:rsidRPr="00F86D91">
        <w:rPr>
          <w:rFonts w:ascii="Tahoma" w:eastAsia="Arial" w:hAnsi="Tahoma" w:cs="Tahoma"/>
          <w:color w:val="000000" w:themeColor="text1"/>
          <w:sz w:val="24"/>
          <w:szCs w:val="24"/>
        </w:rPr>
        <w:t>.</w:t>
      </w:r>
      <w:r w:rsidR="002252E6" w:rsidRPr="00F86D91">
        <w:rPr>
          <w:rFonts w:ascii="Tahoma" w:eastAsia="Arial" w:hAnsi="Tahoma" w:cs="Tahoma"/>
          <w:color w:val="000000" w:themeColor="text1"/>
          <w:sz w:val="24"/>
          <w:szCs w:val="24"/>
        </w:rPr>
        <w:t xml:space="preserve"> </w:t>
      </w:r>
    </w:p>
    <w:p w14:paraId="0D1EFEA8" w14:textId="54AA1F22" w:rsidR="4447FCAA" w:rsidRPr="00F86D91" w:rsidRDefault="4447FCAA" w:rsidP="4447FCAA">
      <w:pPr>
        <w:spacing w:after="0" w:line="240" w:lineRule="auto"/>
        <w:ind w:left="720" w:hanging="720"/>
        <w:rPr>
          <w:rFonts w:ascii="Tahoma" w:eastAsia="Arial" w:hAnsi="Tahoma" w:cs="Tahoma"/>
          <w:color w:val="000000" w:themeColor="text1"/>
          <w:sz w:val="24"/>
          <w:szCs w:val="24"/>
        </w:rPr>
      </w:pPr>
    </w:p>
    <w:p w14:paraId="215DCD2E" w14:textId="2298A212" w:rsidR="4447FCAA" w:rsidRPr="00F86D91" w:rsidRDefault="4447FCAA" w:rsidP="4447FCAA">
      <w:pPr>
        <w:spacing w:after="0" w:line="240" w:lineRule="auto"/>
        <w:ind w:left="720" w:hanging="720"/>
        <w:rPr>
          <w:rFonts w:ascii="Tahoma" w:eastAsia="Arial" w:hAnsi="Tahoma" w:cs="Tahoma"/>
          <w:color w:val="000000" w:themeColor="text1"/>
          <w:sz w:val="24"/>
          <w:szCs w:val="24"/>
        </w:rPr>
      </w:pPr>
    </w:p>
    <w:p w14:paraId="6AE8983D" w14:textId="6D889CCC" w:rsidR="3410620C" w:rsidRPr="00F86D91" w:rsidRDefault="3410620C"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61</w:t>
      </w:r>
      <w:r w:rsidRPr="00F86D91">
        <w:rPr>
          <w:rFonts w:ascii="Tahoma" w:eastAsia="Arial" w:hAnsi="Tahoma" w:cs="Tahoma"/>
          <w:b/>
          <w:bCs/>
          <w:color w:val="000000" w:themeColor="text1"/>
          <w:sz w:val="24"/>
          <w:szCs w:val="24"/>
        </w:rPr>
        <w:t>.</w:t>
      </w:r>
      <w:r w:rsidRPr="00F86D91">
        <w:rPr>
          <w:rFonts w:ascii="Tahoma" w:hAnsi="Tahoma" w:cs="Tahoma"/>
        </w:rPr>
        <w:tab/>
      </w:r>
      <w:r w:rsidR="654EC636" w:rsidRPr="00F86D91">
        <w:rPr>
          <w:rFonts w:ascii="Tahoma" w:eastAsia="Arial" w:hAnsi="Tahoma" w:cs="Tahoma"/>
          <w:b/>
          <w:bCs/>
          <w:color w:val="000000" w:themeColor="text1"/>
          <w:sz w:val="24"/>
          <w:szCs w:val="24"/>
        </w:rPr>
        <w:t xml:space="preserve">What type of organizations are considered </w:t>
      </w:r>
      <w:r w:rsidR="00C0700B" w:rsidRPr="00F86D91">
        <w:rPr>
          <w:rFonts w:ascii="Tahoma" w:eastAsia="Arial" w:hAnsi="Tahoma" w:cs="Tahoma"/>
          <w:b/>
          <w:bCs/>
          <w:color w:val="000000" w:themeColor="text1"/>
          <w:sz w:val="24"/>
          <w:szCs w:val="24"/>
        </w:rPr>
        <w:t>“</w:t>
      </w:r>
      <w:r w:rsidR="654EC636" w:rsidRPr="00F86D91">
        <w:rPr>
          <w:rFonts w:ascii="Tahoma" w:eastAsia="Arial" w:hAnsi="Tahoma" w:cs="Tahoma"/>
          <w:b/>
          <w:bCs/>
          <w:color w:val="000000" w:themeColor="text1"/>
          <w:sz w:val="24"/>
          <w:szCs w:val="24"/>
        </w:rPr>
        <w:t>Key Project Partners</w:t>
      </w:r>
      <w:r w:rsidR="00C0700B" w:rsidRPr="00F86D91">
        <w:rPr>
          <w:rFonts w:ascii="Tahoma" w:eastAsia="Arial" w:hAnsi="Tahoma" w:cs="Tahoma"/>
          <w:b/>
          <w:bCs/>
          <w:color w:val="000000" w:themeColor="text1"/>
          <w:sz w:val="24"/>
          <w:szCs w:val="24"/>
        </w:rPr>
        <w:t>”</w:t>
      </w:r>
      <w:r w:rsidR="004A2152" w:rsidRPr="00F86D91">
        <w:rPr>
          <w:rFonts w:ascii="Tahoma" w:eastAsia="Arial" w:hAnsi="Tahoma" w:cs="Tahoma"/>
          <w:b/>
          <w:bCs/>
          <w:color w:val="000000" w:themeColor="text1"/>
          <w:sz w:val="24"/>
          <w:szCs w:val="24"/>
        </w:rPr>
        <w:t xml:space="preserve"> (e.g. c</w:t>
      </w:r>
      <w:r w:rsidR="654EC636" w:rsidRPr="00F86D91">
        <w:rPr>
          <w:rFonts w:ascii="Tahoma" w:eastAsia="Arial" w:hAnsi="Tahoma" w:cs="Tahoma"/>
          <w:b/>
          <w:bCs/>
          <w:color w:val="000000" w:themeColor="text1"/>
          <w:sz w:val="24"/>
          <w:szCs w:val="24"/>
        </w:rPr>
        <w:t>ontractors</w:t>
      </w:r>
      <w:r w:rsidR="004A2152" w:rsidRPr="00F86D91">
        <w:rPr>
          <w:rFonts w:ascii="Tahoma" w:eastAsia="Arial" w:hAnsi="Tahoma" w:cs="Tahoma"/>
          <w:b/>
          <w:bCs/>
          <w:color w:val="000000" w:themeColor="text1"/>
          <w:sz w:val="24"/>
          <w:szCs w:val="24"/>
        </w:rPr>
        <w:t xml:space="preserve"> and/or</w:t>
      </w:r>
      <w:r w:rsidR="654EC636" w:rsidRPr="00F86D91">
        <w:rPr>
          <w:rFonts w:ascii="Tahoma" w:eastAsia="Arial" w:hAnsi="Tahoma" w:cs="Tahoma"/>
          <w:b/>
          <w:bCs/>
          <w:color w:val="000000" w:themeColor="text1"/>
          <w:sz w:val="24"/>
          <w:szCs w:val="24"/>
        </w:rPr>
        <w:t xml:space="preserve"> </w:t>
      </w:r>
      <w:r w:rsidR="004A2152" w:rsidRPr="00F86D91">
        <w:rPr>
          <w:rFonts w:ascii="Tahoma" w:eastAsia="Arial" w:hAnsi="Tahoma" w:cs="Tahoma"/>
          <w:b/>
          <w:bCs/>
          <w:color w:val="000000" w:themeColor="text1"/>
          <w:sz w:val="24"/>
          <w:szCs w:val="24"/>
        </w:rPr>
        <w:t>u</w:t>
      </w:r>
      <w:r w:rsidR="654EC636" w:rsidRPr="00F86D91">
        <w:rPr>
          <w:rFonts w:ascii="Tahoma" w:eastAsia="Arial" w:hAnsi="Tahoma" w:cs="Tahoma"/>
          <w:b/>
          <w:bCs/>
          <w:color w:val="000000" w:themeColor="text1"/>
          <w:sz w:val="24"/>
          <w:szCs w:val="24"/>
        </w:rPr>
        <w:t xml:space="preserve">tility </w:t>
      </w:r>
      <w:r w:rsidR="004A2152" w:rsidRPr="00F86D91">
        <w:rPr>
          <w:rFonts w:ascii="Tahoma" w:eastAsia="Arial" w:hAnsi="Tahoma" w:cs="Tahoma"/>
          <w:b/>
          <w:bCs/>
          <w:color w:val="000000" w:themeColor="text1"/>
          <w:sz w:val="24"/>
          <w:szCs w:val="24"/>
        </w:rPr>
        <w:t>c</w:t>
      </w:r>
      <w:r w:rsidR="654EC636" w:rsidRPr="00F86D91">
        <w:rPr>
          <w:rFonts w:ascii="Tahoma" w:eastAsia="Arial" w:hAnsi="Tahoma" w:cs="Tahoma"/>
          <w:b/>
          <w:bCs/>
          <w:color w:val="000000" w:themeColor="text1"/>
          <w:sz w:val="24"/>
          <w:szCs w:val="24"/>
        </w:rPr>
        <w:t>ompanies?</w:t>
      </w:r>
    </w:p>
    <w:p w14:paraId="28F5CE58" w14:textId="15E9D8E9" w:rsidR="4447FCAA" w:rsidRPr="00F86D91" w:rsidRDefault="4447FCAA" w:rsidP="4447FCAA">
      <w:pPr>
        <w:spacing w:after="0" w:line="240" w:lineRule="auto"/>
        <w:ind w:left="720" w:hanging="720"/>
        <w:rPr>
          <w:rFonts w:ascii="Tahoma" w:eastAsia="Arial" w:hAnsi="Tahoma" w:cs="Tahoma"/>
          <w:b/>
          <w:bCs/>
          <w:color w:val="000000" w:themeColor="text1"/>
          <w:sz w:val="24"/>
          <w:szCs w:val="24"/>
        </w:rPr>
      </w:pPr>
    </w:p>
    <w:p w14:paraId="26A196F4" w14:textId="43B89E48" w:rsidR="4447FCAA" w:rsidRPr="00F86D91" w:rsidRDefault="3410620C" w:rsidP="007D4F12">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61</w:t>
      </w:r>
      <w:r w:rsidRPr="00F86D91">
        <w:rPr>
          <w:rFonts w:ascii="Tahoma" w:eastAsia="Arial" w:hAnsi="Tahoma" w:cs="Tahoma"/>
          <w:color w:val="000000" w:themeColor="text1"/>
          <w:sz w:val="24"/>
          <w:szCs w:val="24"/>
        </w:rPr>
        <w:t>.</w:t>
      </w:r>
      <w:r w:rsidRPr="00F86D91">
        <w:rPr>
          <w:rFonts w:ascii="Tahoma" w:hAnsi="Tahoma" w:cs="Tahoma"/>
        </w:rPr>
        <w:tab/>
      </w:r>
      <w:r w:rsidR="001079BE" w:rsidRPr="00F86D91">
        <w:rPr>
          <w:rFonts w:ascii="Tahoma" w:hAnsi="Tahoma" w:cs="Tahoma"/>
          <w:sz w:val="24"/>
          <w:szCs w:val="24"/>
        </w:rPr>
        <w:t>The Scope of Work Instructions (</w:t>
      </w:r>
      <w:r w:rsidR="007D4F12" w:rsidRPr="00F86D91">
        <w:rPr>
          <w:rFonts w:ascii="Tahoma" w:hAnsi="Tahoma" w:cs="Tahoma"/>
          <w:sz w:val="24"/>
          <w:szCs w:val="24"/>
        </w:rPr>
        <w:t>Attachment 2) states, “Key Partners are participants in the Project who are not receiving Energy Commission funds and are not providing Match Funds but are integral to the outcome of the Project. Key Partners may be providing space, testing facilities, demonstration sites or may be a manufacturer or other implementer of the Project results. Individual key employees from the Key Partner organizations are listed under “Key Personnel.” “Key Partners” are company names” (</w:t>
      </w:r>
      <w:r w:rsidR="002C7BCE" w:rsidRPr="00F86D91">
        <w:rPr>
          <w:rFonts w:ascii="Tahoma" w:hAnsi="Tahoma" w:cs="Tahoma"/>
          <w:sz w:val="24"/>
          <w:szCs w:val="24"/>
        </w:rPr>
        <w:t xml:space="preserve">Attachment 2, </w:t>
      </w:r>
      <w:r w:rsidR="007D4F12" w:rsidRPr="00F86D91">
        <w:rPr>
          <w:rFonts w:ascii="Tahoma" w:hAnsi="Tahoma" w:cs="Tahoma"/>
          <w:sz w:val="24"/>
          <w:szCs w:val="24"/>
        </w:rPr>
        <w:t xml:space="preserve">Section </w:t>
      </w:r>
      <w:r w:rsidR="00B70481" w:rsidRPr="00F86D91">
        <w:rPr>
          <w:rFonts w:ascii="Tahoma" w:hAnsi="Tahoma" w:cs="Tahoma"/>
          <w:sz w:val="24"/>
          <w:szCs w:val="24"/>
        </w:rPr>
        <w:t xml:space="preserve">II., page 2, </w:t>
      </w:r>
      <w:r w:rsidR="00EC0525" w:rsidRPr="00F86D91">
        <w:rPr>
          <w:rFonts w:ascii="Tahoma" w:hAnsi="Tahoma" w:cs="Tahoma"/>
          <w:sz w:val="24"/>
          <w:szCs w:val="24"/>
        </w:rPr>
        <w:t>“</w:t>
      </w:r>
      <w:r w:rsidR="00B70481" w:rsidRPr="00F86D91">
        <w:rPr>
          <w:rFonts w:ascii="Tahoma" w:hAnsi="Tahoma" w:cs="Tahoma"/>
          <w:sz w:val="24"/>
          <w:szCs w:val="24"/>
        </w:rPr>
        <w:t>Key Name List</w:t>
      </w:r>
      <w:r w:rsidR="00EC0525" w:rsidRPr="00F86D91">
        <w:rPr>
          <w:rFonts w:ascii="Tahoma" w:hAnsi="Tahoma" w:cs="Tahoma"/>
          <w:sz w:val="24"/>
          <w:szCs w:val="24"/>
        </w:rPr>
        <w:t>”</w:t>
      </w:r>
      <w:r w:rsidR="00B70481" w:rsidRPr="00F86D91">
        <w:rPr>
          <w:rFonts w:ascii="Tahoma" w:hAnsi="Tahoma" w:cs="Tahoma"/>
          <w:sz w:val="24"/>
          <w:szCs w:val="24"/>
        </w:rPr>
        <w:t>, Scope of Work Instructions).</w:t>
      </w:r>
    </w:p>
    <w:p w14:paraId="741821DC" w14:textId="77777777" w:rsidR="00A0155D" w:rsidRPr="00F86D91" w:rsidRDefault="00A0155D" w:rsidP="00A0155D">
      <w:pPr>
        <w:spacing w:after="0" w:line="240" w:lineRule="auto"/>
        <w:ind w:left="720" w:hanging="720"/>
        <w:rPr>
          <w:rFonts w:ascii="Tahoma" w:eastAsia="Arial" w:hAnsi="Tahoma" w:cs="Tahoma"/>
          <w:color w:val="000000" w:themeColor="text1"/>
          <w:sz w:val="24"/>
          <w:szCs w:val="24"/>
        </w:rPr>
      </w:pPr>
    </w:p>
    <w:p w14:paraId="5537458F" w14:textId="07A05661" w:rsidR="4447FCAA" w:rsidRPr="00F86D91" w:rsidRDefault="4447FCAA" w:rsidP="4447FCAA">
      <w:pPr>
        <w:spacing w:after="0" w:line="240" w:lineRule="auto"/>
        <w:ind w:left="720" w:hanging="720"/>
        <w:rPr>
          <w:rFonts w:ascii="Tahoma" w:eastAsia="Arial" w:hAnsi="Tahoma" w:cs="Tahoma"/>
          <w:color w:val="000000" w:themeColor="text1"/>
          <w:sz w:val="24"/>
          <w:szCs w:val="24"/>
        </w:rPr>
      </w:pPr>
    </w:p>
    <w:p w14:paraId="2EA6323C" w14:textId="16E3175A" w:rsidR="3410620C" w:rsidRPr="00F86D91" w:rsidRDefault="3410620C"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62</w:t>
      </w:r>
      <w:r w:rsidRPr="00F86D91">
        <w:rPr>
          <w:rFonts w:ascii="Tahoma" w:eastAsia="Arial" w:hAnsi="Tahoma" w:cs="Tahoma"/>
          <w:b/>
          <w:bCs/>
          <w:color w:val="000000" w:themeColor="text1"/>
          <w:sz w:val="24"/>
          <w:szCs w:val="24"/>
        </w:rPr>
        <w:t>.</w:t>
      </w:r>
      <w:r w:rsidRPr="00F86D91">
        <w:rPr>
          <w:rFonts w:ascii="Tahoma" w:hAnsi="Tahoma" w:cs="Tahoma"/>
        </w:rPr>
        <w:tab/>
      </w:r>
      <w:r w:rsidR="0F078F5D" w:rsidRPr="00F86D91">
        <w:rPr>
          <w:rFonts w:ascii="Tahoma" w:eastAsia="Arial" w:hAnsi="Tahoma" w:cs="Tahoma"/>
          <w:b/>
          <w:bCs/>
          <w:color w:val="000000" w:themeColor="text1"/>
          <w:sz w:val="24"/>
          <w:szCs w:val="24"/>
        </w:rPr>
        <w:t xml:space="preserve">If a contractor is considered a </w:t>
      </w:r>
      <w:r w:rsidR="00C0700B" w:rsidRPr="00F86D91">
        <w:rPr>
          <w:rFonts w:ascii="Tahoma" w:eastAsia="Arial" w:hAnsi="Tahoma" w:cs="Tahoma"/>
          <w:b/>
          <w:bCs/>
          <w:color w:val="000000" w:themeColor="text1"/>
          <w:sz w:val="24"/>
          <w:szCs w:val="24"/>
        </w:rPr>
        <w:t>“</w:t>
      </w:r>
      <w:r w:rsidR="0F078F5D" w:rsidRPr="00F86D91">
        <w:rPr>
          <w:rFonts w:ascii="Tahoma" w:eastAsia="Arial" w:hAnsi="Tahoma" w:cs="Tahoma"/>
          <w:b/>
          <w:bCs/>
          <w:color w:val="000000" w:themeColor="text1"/>
          <w:sz w:val="24"/>
          <w:szCs w:val="24"/>
        </w:rPr>
        <w:t>Key Project Partner</w:t>
      </w:r>
      <w:r w:rsidR="00C0700B" w:rsidRPr="00F86D91">
        <w:rPr>
          <w:rFonts w:ascii="Tahoma" w:eastAsia="Arial" w:hAnsi="Tahoma" w:cs="Tahoma"/>
          <w:b/>
          <w:bCs/>
          <w:color w:val="000000" w:themeColor="text1"/>
          <w:sz w:val="24"/>
          <w:szCs w:val="24"/>
        </w:rPr>
        <w:t>”</w:t>
      </w:r>
      <w:r w:rsidR="0F078F5D" w:rsidRPr="00F86D91">
        <w:rPr>
          <w:rFonts w:ascii="Tahoma" w:eastAsia="Arial" w:hAnsi="Tahoma" w:cs="Tahoma"/>
          <w:b/>
          <w:bCs/>
          <w:color w:val="000000" w:themeColor="text1"/>
          <w:sz w:val="24"/>
          <w:szCs w:val="24"/>
        </w:rPr>
        <w:t>, is it an issue if the contractor needs to be changed during the project?</w:t>
      </w:r>
    </w:p>
    <w:p w14:paraId="12ECC689" w14:textId="716E647A" w:rsidR="4447FCAA" w:rsidRPr="00F86D91" w:rsidRDefault="4447FCAA" w:rsidP="4447FCAA">
      <w:pPr>
        <w:spacing w:after="0" w:line="240" w:lineRule="auto"/>
        <w:ind w:left="720" w:hanging="720"/>
        <w:rPr>
          <w:rFonts w:ascii="Tahoma" w:eastAsia="Arial" w:hAnsi="Tahoma" w:cs="Tahoma"/>
          <w:b/>
          <w:bCs/>
          <w:color w:val="000000" w:themeColor="text1"/>
          <w:sz w:val="24"/>
          <w:szCs w:val="24"/>
        </w:rPr>
      </w:pPr>
    </w:p>
    <w:p w14:paraId="43E4CF51" w14:textId="7323115F" w:rsidR="3410620C" w:rsidRPr="00F86D91" w:rsidRDefault="3410620C" w:rsidP="53234C4C">
      <w:pPr>
        <w:spacing w:after="0" w:line="240" w:lineRule="auto"/>
        <w:ind w:left="720" w:hanging="720"/>
        <w:rPr>
          <w:rFonts w:ascii="Tahoma" w:hAnsi="Tahoma" w:cs="Tahoma"/>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62</w:t>
      </w:r>
      <w:r w:rsidRPr="00F86D91">
        <w:rPr>
          <w:rFonts w:ascii="Tahoma" w:eastAsia="Arial" w:hAnsi="Tahoma" w:cs="Tahoma"/>
          <w:color w:val="000000" w:themeColor="text1"/>
          <w:sz w:val="24"/>
          <w:szCs w:val="24"/>
        </w:rPr>
        <w:t>.</w:t>
      </w:r>
      <w:r w:rsidRPr="00F86D91">
        <w:rPr>
          <w:rFonts w:ascii="Tahoma" w:hAnsi="Tahoma" w:cs="Tahoma"/>
        </w:rPr>
        <w:tab/>
      </w:r>
      <w:r w:rsidR="00BE4AE0" w:rsidRPr="00F86D91">
        <w:rPr>
          <w:rFonts w:ascii="Tahoma" w:hAnsi="Tahoma" w:cs="Tahoma"/>
          <w:sz w:val="24"/>
          <w:szCs w:val="24"/>
        </w:rPr>
        <w:t xml:space="preserve">No, </w:t>
      </w:r>
      <w:r w:rsidR="00C840D3" w:rsidRPr="00F86D91">
        <w:rPr>
          <w:rFonts w:ascii="Tahoma" w:hAnsi="Tahoma" w:cs="Tahoma"/>
          <w:sz w:val="24"/>
          <w:szCs w:val="24"/>
        </w:rPr>
        <w:t xml:space="preserve">however the recipient must notify the </w:t>
      </w:r>
      <w:r w:rsidR="002C7BCE" w:rsidRPr="00F86D91">
        <w:rPr>
          <w:rFonts w:ascii="Tahoma" w:hAnsi="Tahoma" w:cs="Tahoma"/>
          <w:sz w:val="24"/>
          <w:szCs w:val="24"/>
        </w:rPr>
        <w:t xml:space="preserve">Commission Agreement Manager </w:t>
      </w:r>
      <w:r w:rsidR="00C840D3" w:rsidRPr="00F86D91">
        <w:rPr>
          <w:rFonts w:ascii="Tahoma" w:hAnsi="Tahoma" w:cs="Tahoma"/>
          <w:sz w:val="24"/>
          <w:szCs w:val="24"/>
        </w:rPr>
        <w:t xml:space="preserve">for any changes to key project partners. If a </w:t>
      </w:r>
      <w:r w:rsidR="005D51FC" w:rsidRPr="00F86D91">
        <w:rPr>
          <w:rFonts w:ascii="Tahoma" w:hAnsi="Tahoma" w:cs="Tahoma"/>
          <w:sz w:val="24"/>
          <w:szCs w:val="24"/>
        </w:rPr>
        <w:t xml:space="preserve">change or removal of a key project </w:t>
      </w:r>
      <w:r w:rsidR="005D51FC" w:rsidRPr="00F86D91">
        <w:rPr>
          <w:rFonts w:ascii="Tahoma" w:hAnsi="Tahoma" w:cs="Tahoma"/>
          <w:sz w:val="24"/>
          <w:szCs w:val="24"/>
        </w:rPr>
        <w:lastRenderedPageBreak/>
        <w:t>partner has an impact on the scope of the project, th</w:t>
      </w:r>
      <w:r w:rsidR="009F0885" w:rsidRPr="00F86D91">
        <w:rPr>
          <w:rFonts w:ascii="Tahoma" w:hAnsi="Tahoma" w:cs="Tahoma"/>
          <w:sz w:val="24"/>
          <w:szCs w:val="24"/>
        </w:rPr>
        <w:t>e CEC may reassess the project and/or funding amount</w:t>
      </w:r>
      <w:r w:rsidR="4F1127B1" w:rsidRPr="00F86D91">
        <w:rPr>
          <w:rFonts w:ascii="Tahoma" w:hAnsi="Tahoma" w:cs="Tahoma"/>
          <w:sz w:val="24"/>
          <w:szCs w:val="24"/>
        </w:rPr>
        <w:t>.</w:t>
      </w:r>
    </w:p>
    <w:p w14:paraId="23E9D9F7" w14:textId="11368BAC" w:rsidR="4447FCAA" w:rsidRPr="00F86D91" w:rsidRDefault="4447FCAA" w:rsidP="13BF8754">
      <w:pPr>
        <w:spacing w:after="0" w:line="240" w:lineRule="auto"/>
        <w:rPr>
          <w:rFonts w:ascii="Tahoma" w:eastAsia="Arial" w:hAnsi="Tahoma" w:cs="Tahoma"/>
          <w:color w:val="000000" w:themeColor="text1"/>
          <w:sz w:val="24"/>
          <w:szCs w:val="24"/>
        </w:rPr>
      </w:pPr>
    </w:p>
    <w:p w14:paraId="0C29444E" w14:textId="04453F05" w:rsidR="53234C4C" w:rsidRPr="00F86D91" w:rsidRDefault="53234C4C" w:rsidP="53234C4C">
      <w:pPr>
        <w:spacing w:after="0" w:line="240" w:lineRule="auto"/>
        <w:ind w:left="720" w:hanging="720"/>
        <w:rPr>
          <w:rFonts w:ascii="Tahoma" w:eastAsia="Arial" w:hAnsi="Tahoma" w:cs="Tahoma"/>
          <w:color w:val="000000" w:themeColor="text1"/>
          <w:sz w:val="24"/>
          <w:szCs w:val="24"/>
        </w:rPr>
      </w:pPr>
    </w:p>
    <w:p w14:paraId="33231E07" w14:textId="49A1ADBC" w:rsidR="0B58EFDE" w:rsidRPr="00F86D91" w:rsidRDefault="0B58EFDE" w:rsidP="13BF8754">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63</w:t>
      </w:r>
      <w:r w:rsidRPr="00F86D91">
        <w:rPr>
          <w:rFonts w:ascii="Tahoma" w:eastAsia="Arial" w:hAnsi="Tahoma" w:cs="Tahoma"/>
          <w:b/>
          <w:bCs/>
          <w:color w:val="000000" w:themeColor="text1"/>
          <w:sz w:val="24"/>
          <w:szCs w:val="24"/>
        </w:rPr>
        <w:t>.</w:t>
      </w:r>
      <w:r w:rsidRPr="00F86D91">
        <w:rPr>
          <w:rFonts w:ascii="Tahoma" w:hAnsi="Tahoma" w:cs="Tahoma"/>
        </w:rPr>
        <w:tab/>
      </w:r>
      <w:r w:rsidR="57138C03" w:rsidRPr="00F86D91">
        <w:rPr>
          <w:rFonts w:ascii="Tahoma" w:eastAsia="Arial" w:hAnsi="Tahoma" w:cs="Tahoma"/>
          <w:b/>
          <w:bCs/>
          <w:color w:val="000000" w:themeColor="text1"/>
          <w:sz w:val="24"/>
          <w:szCs w:val="24"/>
        </w:rPr>
        <w:t>Please explain how the 30% match requirement differs from the 50% cash match requirement.</w:t>
      </w:r>
    </w:p>
    <w:p w14:paraId="40110560" w14:textId="716E647A" w:rsidR="53234C4C" w:rsidRPr="00F86D91" w:rsidRDefault="53234C4C" w:rsidP="53234C4C">
      <w:pPr>
        <w:spacing w:after="0" w:line="240" w:lineRule="auto"/>
        <w:ind w:left="720" w:hanging="720"/>
        <w:rPr>
          <w:rFonts w:ascii="Tahoma" w:eastAsia="Arial" w:hAnsi="Tahoma" w:cs="Tahoma"/>
          <w:b/>
          <w:bCs/>
          <w:color w:val="000000" w:themeColor="text1"/>
          <w:sz w:val="24"/>
          <w:szCs w:val="24"/>
        </w:rPr>
      </w:pPr>
    </w:p>
    <w:p w14:paraId="47B9CABE" w14:textId="097C8DA3" w:rsidR="006D413B" w:rsidRPr="00F86D91" w:rsidRDefault="0B58EFDE" w:rsidP="00A37D8A">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63</w:t>
      </w:r>
      <w:r w:rsidRPr="00F86D91">
        <w:rPr>
          <w:rFonts w:ascii="Tahoma" w:eastAsia="Arial" w:hAnsi="Tahoma" w:cs="Tahoma"/>
          <w:color w:val="000000" w:themeColor="text1"/>
          <w:sz w:val="24"/>
          <w:szCs w:val="24"/>
        </w:rPr>
        <w:t>.</w:t>
      </w:r>
      <w:r w:rsidR="00095B84" w:rsidRPr="00F86D91">
        <w:rPr>
          <w:rFonts w:ascii="Tahoma" w:hAnsi="Tahoma" w:cs="Tahoma"/>
        </w:rPr>
        <w:tab/>
      </w:r>
      <w:r w:rsidR="006D413B" w:rsidRPr="00F86D91">
        <w:rPr>
          <w:rFonts w:ascii="Tahoma" w:eastAsia="Arial" w:hAnsi="Tahoma" w:cs="Tahoma"/>
          <w:color w:val="000000" w:themeColor="text1"/>
          <w:sz w:val="24"/>
          <w:szCs w:val="24"/>
        </w:rPr>
        <w:t>I</w:t>
      </w:r>
      <w:r w:rsidR="00105FDD" w:rsidRPr="00F86D91">
        <w:rPr>
          <w:rFonts w:ascii="Tahoma" w:eastAsia="Arial" w:hAnsi="Tahoma" w:cs="Tahoma"/>
          <w:color w:val="000000" w:themeColor="text1"/>
          <w:sz w:val="24"/>
          <w:szCs w:val="24"/>
        </w:rPr>
        <w:t>f</w:t>
      </w:r>
      <w:r w:rsidR="004F3337" w:rsidRPr="00F86D91">
        <w:rPr>
          <w:rFonts w:ascii="Tahoma" w:eastAsia="Arial" w:hAnsi="Tahoma" w:cs="Tahoma"/>
          <w:color w:val="000000" w:themeColor="text1"/>
          <w:sz w:val="24"/>
          <w:szCs w:val="24"/>
        </w:rPr>
        <w:t>,</w:t>
      </w:r>
      <w:r w:rsidR="00105FDD" w:rsidRPr="00F86D91">
        <w:rPr>
          <w:rFonts w:ascii="Tahoma" w:eastAsia="Arial" w:hAnsi="Tahoma" w:cs="Tahoma"/>
          <w:color w:val="000000" w:themeColor="text1"/>
          <w:sz w:val="24"/>
          <w:szCs w:val="24"/>
        </w:rPr>
        <w:t xml:space="preserve"> for example, the total project costs </w:t>
      </w:r>
      <w:r w:rsidR="009F4131" w:rsidRPr="00F86D91">
        <w:rPr>
          <w:rFonts w:ascii="Tahoma" w:eastAsia="Arial" w:hAnsi="Tahoma" w:cs="Tahoma"/>
          <w:color w:val="000000" w:themeColor="text1"/>
          <w:sz w:val="24"/>
          <w:szCs w:val="24"/>
        </w:rPr>
        <w:t>are $</w:t>
      </w:r>
      <w:r w:rsidR="007B1B0F" w:rsidRPr="00F86D91">
        <w:rPr>
          <w:rFonts w:ascii="Tahoma" w:eastAsia="Arial" w:hAnsi="Tahoma" w:cs="Tahoma"/>
          <w:color w:val="000000" w:themeColor="text1"/>
          <w:sz w:val="24"/>
          <w:szCs w:val="24"/>
        </w:rPr>
        <w:t xml:space="preserve">5 million, </w:t>
      </w:r>
      <w:r w:rsidR="0069780E" w:rsidRPr="00F86D91">
        <w:rPr>
          <w:rFonts w:ascii="Tahoma" w:eastAsia="Arial" w:hAnsi="Tahoma" w:cs="Tahoma"/>
          <w:color w:val="000000" w:themeColor="text1"/>
          <w:sz w:val="24"/>
          <w:szCs w:val="24"/>
        </w:rPr>
        <w:t>then</w:t>
      </w:r>
      <w:r w:rsidR="00A75991" w:rsidRPr="00F86D91">
        <w:rPr>
          <w:rFonts w:ascii="Tahoma" w:eastAsia="Arial" w:hAnsi="Tahoma" w:cs="Tahoma"/>
          <w:color w:val="000000" w:themeColor="text1"/>
          <w:sz w:val="24"/>
          <w:szCs w:val="24"/>
        </w:rPr>
        <w:t xml:space="preserve"> at least</w:t>
      </w:r>
      <w:r w:rsidR="0069780E" w:rsidRPr="00F86D91">
        <w:rPr>
          <w:rFonts w:ascii="Tahoma" w:eastAsia="Arial" w:hAnsi="Tahoma" w:cs="Tahoma"/>
          <w:color w:val="000000" w:themeColor="text1"/>
          <w:sz w:val="24"/>
          <w:szCs w:val="24"/>
        </w:rPr>
        <w:t xml:space="preserve"> 30%</w:t>
      </w:r>
      <w:r w:rsidR="0028284F" w:rsidRPr="00F86D91">
        <w:rPr>
          <w:rFonts w:ascii="Tahoma" w:eastAsia="Arial" w:hAnsi="Tahoma" w:cs="Tahoma"/>
          <w:color w:val="000000" w:themeColor="text1"/>
          <w:sz w:val="24"/>
          <w:szCs w:val="24"/>
        </w:rPr>
        <w:t xml:space="preserve">, or $1.5 million must come from the applicant’s </w:t>
      </w:r>
      <w:r w:rsidR="0069780E" w:rsidRPr="00F86D91">
        <w:rPr>
          <w:rFonts w:ascii="Tahoma" w:eastAsia="Arial" w:hAnsi="Tahoma" w:cs="Tahoma"/>
          <w:color w:val="000000" w:themeColor="text1"/>
          <w:sz w:val="24"/>
          <w:szCs w:val="24"/>
        </w:rPr>
        <w:t>match share</w:t>
      </w:r>
      <w:r w:rsidR="006C4BBF" w:rsidRPr="00F86D91">
        <w:rPr>
          <w:rFonts w:ascii="Tahoma" w:eastAsia="Arial" w:hAnsi="Tahoma" w:cs="Tahoma"/>
          <w:color w:val="000000" w:themeColor="text1"/>
          <w:sz w:val="24"/>
          <w:szCs w:val="24"/>
        </w:rPr>
        <w:t>. Of that $1.5 million,</w:t>
      </w:r>
      <w:r w:rsidR="006D413B" w:rsidRPr="00F86D91">
        <w:rPr>
          <w:rFonts w:ascii="Tahoma" w:eastAsia="Arial" w:hAnsi="Tahoma" w:cs="Tahoma"/>
          <w:color w:val="000000" w:themeColor="text1"/>
          <w:sz w:val="24"/>
          <w:szCs w:val="24"/>
        </w:rPr>
        <w:t xml:space="preserve"> 50% ($750,000) must be cash rather than in-kind.</w:t>
      </w:r>
      <w:r w:rsidR="006C4BBF" w:rsidRPr="00F86D91">
        <w:rPr>
          <w:rFonts w:ascii="Tahoma" w:eastAsia="Arial" w:hAnsi="Tahoma" w:cs="Tahoma"/>
          <w:color w:val="000000" w:themeColor="text1"/>
          <w:sz w:val="24"/>
          <w:szCs w:val="24"/>
        </w:rPr>
        <w:t xml:space="preserve"> </w:t>
      </w:r>
    </w:p>
    <w:p w14:paraId="4ED9A2D7" w14:textId="77777777" w:rsidR="006D413B" w:rsidRPr="00F86D91" w:rsidRDefault="006D413B" w:rsidP="00A37D8A">
      <w:pPr>
        <w:spacing w:after="0" w:line="240" w:lineRule="auto"/>
        <w:ind w:left="720" w:hanging="720"/>
        <w:rPr>
          <w:rFonts w:ascii="Tahoma" w:eastAsia="Arial" w:hAnsi="Tahoma" w:cs="Tahoma"/>
          <w:color w:val="000000" w:themeColor="text1"/>
          <w:sz w:val="24"/>
          <w:szCs w:val="24"/>
        </w:rPr>
      </w:pPr>
    </w:p>
    <w:p w14:paraId="4B08D634" w14:textId="3DA3C56C" w:rsidR="0B58EFDE" w:rsidRPr="00F86D91" w:rsidRDefault="00753DC8" w:rsidP="006D413B">
      <w:pPr>
        <w:spacing w:after="0" w:line="240" w:lineRule="auto"/>
        <w:ind w:left="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The solicitation manual states, “A</w:t>
      </w:r>
      <w:r w:rsidR="00A37D8A" w:rsidRPr="00F86D91">
        <w:rPr>
          <w:rFonts w:ascii="Tahoma" w:eastAsia="Arial" w:hAnsi="Tahoma" w:cs="Tahoma"/>
          <w:color w:val="000000" w:themeColor="text1"/>
          <w:sz w:val="24"/>
          <w:szCs w:val="24"/>
        </w:rPr>
        <w:t>pplications must include a minimum 30 percent total match share for this solicitation. “Match funding” or “match share” means cash or in-kind (non-cash) contributions provided by the Applicant/Recipient, subrecipients, or other parties that will be used in performance of the proposed project. Match share percentage is calculated by dividing the total match share contributions by the total allowable project cost. “Total allowable project cost” is the sum of the CEC’s reimbursable share and Recipient’s match share of the project costs.</w:t>
      </w:r>
    </w:p>
    <w:p w14:paraId="35C1DD8B" w14:textId="0566B589" w:rsidR="53234C4C" w:rsidRPr="00F86D91" w:rsidRDefault="53234C4C" w:rsidP="13BF8754">
      <w:pPr>
        <w:spacing w:after="0" w:line="240" w:lineRule="auto"/>
        <w:rPr>
          <w:rFonts w:ascii="Tahoma" w:eastAsia="Arial" w:hAnsi="Tahoma" w:cs="Tahoma"/>
          <w:color w:val="000000" w:themeColor="text1"/>
          <w:sz w:val="24"/>
          <w:szCs w:val="24"/>
        </w:rPr>
      </w:pPr>
    </w:p>
    <w:p w14:paraId="1F1C7FA8" w14:textId="18469CFC" w:rsidR="00A37D8A" w:rsidRPr="00F86D91" w:rsidRDefault="00C77BCB" w:rsidP="59BC4DF4">
      <w:pPr>
        <w:spacing w:after="0" w:line="240" w:lineRule="auto"/>
        <w:ind w:left="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 xml:space="preserve">Applications must include a minimum 50 percent cash match share. Cash match means the net of any funds actually expended by the Applicant for the project. Net means after any sort of discount or rebate is applied. Expenditures for Applicant’s compensated labor hours, including allowable fringe benefit and overhead rates, travel, materials, supplies, equipment, subrecipient costs, and other miscellaneous expenditures may be claimed as cash match if the expenditures are included in the approved agreement budget, paid in full </w:t>
      </w:r>
      <w:proofErr w:type="gramStart"/>
      <w:r w:rsidRPr="00F86D91">
        <w:rPr>
          <w:rFonts w:ascii="Tahoma" w:eastAsia="Arial" w:hAnsi="Tahoma" w:cs="Tahoma"/>
          <w:color w:val="000000" w:themeColor="text1"/>
          <w:sz w:val="24"/>
          <w:szCs w:val="24"/>
        </w:rPr>
        <w:t>with</w:t>
      </w:r>
      <w:proofErr w:type="gramEnd"/>
      <w:r w:rsidRPr="00F86D91">
        <w:rPr>
          <w:rFonts w:ascii="Tahoma" w:eastAsia="Arial" w:hAnsi="Tahoma" w:cs="Tahoma"/>
          <w:color w:val="000000" w:themeColor="text1"/>
          <w:sz w:val="24"/>
          <w:szCs w:val="24"/>
        </w:rPr>
        <w:t xml:space="preserve"> funding sources other than grant funds, and supported with appropriate documentation, including proof of payment. For indirect overhead, backup documentation, such as a cost allocation plan based on actual expenditures incurred and paid, is required. Cost allocations must be reasonable and allocable to the proposed project.</w:t>
      </w:r>
    </w:p>
    <w:p w14:paraId="3D7C4642" w14:textId="78CEC3CD" w:rsidR="53234C4C" w:rsidRPr="00F86D91" w:rsidRDefault="53234C4C" w:rsidP="00332959">
      <w:pPr>
        <w:tabs>
          <w:tab w:val="left" w:pos="2760"/>
        </w:tabs>
        <w:spacing w:after="0" w:line="240" w:lineRule="auto"/>
        <w:ind w:left="720"/>
        <w:rPr>
          <w:rFonts w:ascii="Tahoma" w:eastAsia="Arial" w:hAnsi="Tahoma" w:cs="Tahoma"/>
          <w:color w:val="000000" w:themeColor="text1"/>
          <w:sz w:val="24"/>
          <w:szCs w:val="24"/>
        </w:rPr>
      </w:pPr>
    </w:p>
    <w:p w14:paraId="02D6FFDA" w14:textId="77777777" w:rsidR="00332959" w:rsidRPr="00F86D91" w:rsidRDefault="00332959" w:rsidP="00332959">
      <w:pPr>
        <w:tabs>
          <w:tab w:val="left" w:pos="2760"/>
        </w:tabs>
        <w:spacing w:after="0" w:line="240" w:lineRule="auto"/>
        <w:ind w:left="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The balance of the total match share requirement beyond the cash match share requirement (if any) may be met through in-kind match share contributions.</w:t>
      </w:r>
    </w:p>
    <w:p w14:paraId="0D2209FE" w14:textId="77777777" w:rsidR="00332959" w:rsidRPr="00F86D91" w:rsidRDefault="00332959" w:rsidP="00332959">
      <w:pPr>
        <w:tabs>
          <w:tab w:val="left" w:pos="2760"/>
        </w:tabs>
        <w:spacing w:after="0" w:line="240" w:lineRule="auto"/>
        <w:ind w:left="720"/>
        <w:rPr>
          <w:rFonts w:ascii="Tahoma" w:eastAsia="Arial" w:hAnsi="Tahoma" w:cs="Tahoma"/>
          <w:color w:val="000000" w:themeColor="text1"/>
          <w:sz w:val="24"/>
          <w:szCs w:val="24"/>
        </w:rPr>
      </w:pPr>
    </w:p>
    <w:p w14:paraId="05E83ABE" w14:textId="0DCBF0B8" w:rsidR="00332959" w:rsidRPr="00F86D91" w:rsidRDefault="00332959" w:rsidP="00332959">
      <w:pPr>
        <w:tabs>
          <w:tab w:val="left" w:pos="2760"/>
        </w:tabs>
        <w:spacing w:after="0" w:line="240" w:lineRule="auto"/>
        <w:ind w:left="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 xml:space="preserve">In-kind match share contributions are: 1) non-cash contributions provided by the Applicant; 2) cash or non-cash contributions provided by subrecipients; and 3) cash or non-cash contributions provided by other third parties. Applicant in-kind match share can be in the form of volunteer labor, real property, existing equipment, existing supplies, services provided by a third-party or subcontract, and other expendable property. The value of in-kind match is based on the fair market value of the goods and services provided at the time it is claimed as match. In-kind match share must be included in the agreement budget and </w:t>
      </w:r>
      <w:r w:rsidRPr="00F86D91">
        <w:rPr>
          <w:rFonts w:ascii="Tahoma" w:eastAsia="Arial" w:hAnsi="Tahoma" w:cs="Tahoma"/>
          <w:color w:val="000000" w:themeColor="text1"/>
          <w:sz w:val="24"/>
          <w:szCs w:val="24"/>
        </w:rPr>
        <w:lastRenderedPageBreak/>
        <w:t>supported with appropriate documentation. Cost allocations must be reasonable and allocable to the proposed project.</w:t>
      </w:r>
      <w:r w:rsidR="00851813" w:rsidRPr="00F86D91">
        <w:rPr>
          <w:rFonts w:ascii="Tahoma" w:eastAsia="Arial" w:hAnsi="Tahoma" w:cs="Tahoma"/>
          <w:color w:val="000000" w:themeColor="text1"/>
          <w:sz w:val="24"/>
          <w:szCs w:val="24"/>
        </w:rPr>
        <w:t>”</w:t>
      </w:r>
    </w:p>
    <w:p w14:paraId="067A78BF" w14:textId="77777777" w:rsidR="00332959" w:rsidRPr="00F86D91" w:rsidRDefault="00332959" w:rsidP="00332959">
      <w:pPr>
        <w:tabs>
          <w:tab w:val="left" w:pos="2760"/>
        </w:tabs>
        <w:spacing w:after="0" w:line="240" w:lineRule="auto"/>
        <w:ind w:left="720"/>
        <w:rPr>
          <w:rFonts w:ascii="Tahoma" w:eastAsia="Arial" w:hAnsi="Tahoma" w:cs="Tahoma"/>
          <w:color w:val="000000" w:themeColor="text1"/>
          <w:sz w:val="24"/>
          <w:szCs w:val="24"/>
        </w:rPr>
      </w:pPr>
    </w:p>
    <w:p w14:paraId="60F361C8" w14:textId="7374B1D8" w:rsidR="00332959" w:rsidRPr="00F86D91" w:rsidRDefault="00880EC3" w:rsidP="59BC4DF4">
      <w:pPr>
        <w:tabs>
          <w:tab w:val="left" w:pos="2760"/>
        </w:tabs>
        <w:spacing w:after="0" w:line="240" w:lineRule="auto"/>
        <w:ind w:left="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 xml:space="preserve">(Section </w:t>
      </w:r>
      <w:r w:rsidR="00E44A0C" w:rsidRPr="00F86D91">
        <w:rPr>
          <w:rFonts w:ascii="Tahoma" w:eastAsia="Arial" w:hAnsi="Tahoma" w:cs="Tahoma"/>
          <w:color w:val="000000" w:themeColor="text1"/>
          <w:sz w:val="24"/>
          <w:szCs w:val="24"/>
        </w:rPr>
        <w:t xml:space="preserve">II.C., page </w:t>
      </w:r>
      <w:r w:rsidR="0022583D">
        <w:rPr>
          <w:rFonts w:ascii="Tahoma" w:eastAsia="Arial" w:hAnsi="Tahoma" w:cs="Tahoma"/>
          <w:color w:val="000000" w:themeColor="text1"/>
          <w:sz w:val="24"/>
          <w:szCs w:val="24"/>
        </w:rPr>
        <w:t>16-18</w:t>
      </w:r>
      <w:r w:rsidR="006769C0" w:rsidRPr="00F86D91">
        <w:rPr>
          <w:rFonts w:ascii="Tahoma" w:eastAsia="Arial" w:hAnsi="Tahoma" w:cs="Tahoma"/>
          <w:color w:val="000000" w:themeColor="text1"/>
          <w:sz w:val="24"/>
          <w:szCs w:val="24"/>
        </w:rPr>
        <w:t xml:space="preserve">, </w:t>
      </w:r>
      <w:r w:rsidR="00D749BE" w:rsidRPr="00F86D91">
        <w:rPr>
          <w:rFonts w:ascii="Tahoma" w:eastAsia="Arial" w:hAnsi="Tahoma" w:cs="Tahoma"/>
          <w:color w:val="000000" w:themeColor="text1"/>
          <w:sz w:val="24"/>
          <w:szCs w:val="24"/>
        </w:rPr>
        <w:t>“</w:t>
      </w:r>
      <w:r w:rsidR="006769C0" w:rsidRPr="00F86D91">
        <w:rPr>
          <w:rFonts w:ascii="Tahoma" w:eastAsia="Arial" w:hAnsi="Tahoma" w:cs="Tahoma"/>
          <w:color w:val="000000" w:themeColor="text1"/>
          <w:sz w:val="24"/>
          <w:szCs w:val="24"/>
        </w:rPr>
        <w:t>Match Funding Requirements</w:t>
      </w:r>
      <w:r w:rsidR="00D749BE" w:rsidRPr="00F86D91">
        <w:rPr>
          <w:rFonts w:ascii="Tahoma" w:eastAsia="Arial" w:hAnsi="Tahoma" w:cs="Tahoma"/>
          <w:color w:val="000000" w:themeColor="text1"/>
          <w:sz w:val="24"/>
          <w:szCs w:val="24"/>
        </w:rPr>
        <w:t>”</w:t>
      </w:r>
      <w:r w:rsidR="006769C0" w:rsidRPr="00F86D91">
        <w:rPr>
          <w:rFonts w:ascii="Tahoma" w:eastAsia="Arial" w:hAnsi="Tahoma" w:cs="Tahoma"/>
          <w:color w:val="000000" w:themeColor="text1"/>
          <w:sz w:val="24"/>
          <w:szCs w:val="24"/>
        </w:rPr>
        <w:t>, Solicitation Manual)</w:t>
      </w:r>
    </w:p>
    <w:p w14:paraId="17E8172C" w14:textId="0FB001A6" w:rsidR="53234C4C" w:rsidRPr="00F86D91" w:rsidRDefault="53234C4C" w:rsidP="53234C4C">
      <w:pPr>
        <w:spacing w:after="0" w:line="240" w:lineRule="auto"/>
        <w:ind w:left="720" w:hanging="720"/>
        <w:rPr>
          <w:rFonts w:ascii="Tahoma" w:eastAsia="Arial" w:hAnsi="Tahoma" w:cs="Tahoma"/>
          <w:color w:val="000000" w:themeColor="text1"/>
          <w:sz w:val="24"/>
          <w:szCs w:val="24"/>
        </w:rPr>
      </w:pPr>
    </w:p>
    <w:p w14:paraId="2BBB74D3" w14:textId="77777777" w:rsidR="00FE5D09" w:rsidRPr="00F86D91" w:rsidRDefault="00FE5D09" w:rsidP="53234C4C">
      <w:pPr>
        <w:spacing w:after="0" w:line="240" w:lineRule="auto"/>
        <w:ind w:left="720" w:hanging="720"/>
        <w:rPr>
          <w:rFonts w:ascii="Tahoma" w:eastAsia="Arial" w:hAnsi="Tahoma" w:cs="Tahoma"/>
          <w:color w:val="000000" w:themeColor="text1"/>
          <w:sz w:val="24"/>
          <w:szCs w:val="24"/>
        </w:rPr>
      </w:pPr>
    </w:p>
    <w:p w14:paraId="3D977BE2" w14:textId="6D1FDD29" w:rsidR="210EF59C" w:rsidRPr="00F86D91" w:rsidRDefault="210EF59C"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64</w:t>
      </w:r>
      <w:r w:rsidRPr="00F86D91">
        <w:rPr>
          <w:rFonts w:ascii="Tahoma" w:eastAsia="Arial" w:hAnsi="Tahoma" w:cs="Tahoma"/>
          <w:b/>
          <w:bCs/>
          <w:color w:val="000000" w:themeColor="text1"/>
          <w:sz w:val="24"/>
          <w:szCs w:val="24"/>
        </w:rPr>
        <w:t>.</w:t>
      </w:r>
      <w:r w:rsidRPr="00F86D91">
        <w:rPr>
          <w:rFonts w:ascii="Tahoma" w:hAnsi="Tahoma" w:cs="Tahoma"/>
        </w:rPr>
        <w:tab/>
      </w:r>
      <w:r w:rsidRPr="00F86D91">
        <w:rPr>
          <w:rFonts w:ascii="Tahoma" w:eastAsia="Arial" w:hAnsi="Tahoma" w:cs="Tahoma"/>
          <w:b/>
          <w:bCs/>
          <w:color w:val="000000" w:themeColor="text1"/>
          <w:sz w:val="24"/>
          <w:szCs w:val="24"/>
        </w:rPr>
        <w:t>If a government entity is the Applicant, does the government entity have to identify the third-party provider of the EVSE, or is the government Applicant permitted to launch a Request for Proposals (RFP) to competitively select a third-party provider of the EVSE after the Notice of Proposed Award (NOPA)?</w:t>
      </w:r>
      <w:r w:rsidR="00685BFF" w:rsidRPr="00F86D91">
        <w:rPr>
          <w:rFonts w:ascii="Tahoma" w:eastAsia="Arial" w:hAnsi="Tahoma" w:cs="Tahoma"/>
          <w:b/>
          <w:bCs/>
          <w:color w:val="000000" w:themeColor="text1"/>
          <w:sz w:val="24"/>
          <w:szCs w:val="24"/>
        </w:rPr>
        <w:t xml:space="preserve"> </w:t>
      </w:r>
    </w:p>
    <w:p w14:paraId="1169BCA6" w14:textId="716E647A" w:rsidR="53234C4C" w:rsidRPr="00F86D91" w:rsidRDefault="53234C4C" w:rsidP="53234C4C">
      <w:pPr>
        <w:spacing w:after="0" w:line="240" w:lineRule="auto"/>
        <w:ind w:left="720" w:hanging="720"/>
        <w:rPr>
          <w:rFonts w:ascii="Tahoma" w:eastAsia="Arial" w:hAnsi="Tahoma" w:cs="Tahoma"/>
          <w:b/>
          <w:bCs/>
          <w:color w:val="000000" w:themeColor="text1"/>
          <w:sz w:val="24"/>
          <w:szCs w:val="24"/>
        </w:rPr>
      </w:pPr>
    </w:p>
    <w:p w14:paraId="7FCDED8A" w14:textId="0AB2ACD9" w:rsidR="210EF59C" w:rsidRPr="00F86D91" w:rsidRDefault="210EF59C" w:rsidP="53234C4C">
      <w:pPr>
        <w:spacing w:after="0" w:line="240" w:lineRule="auto"/>
        <w:ind w:left="720" w:hanging="720"/>
        <w:rPr>
          <w:rFonts w:ascii="Tahoma" w:hAnsi="Tahoma" w:cs="Tahoma"/>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64</w:t>
      </w:r>
      <w:r w:rsidRPr="00F86D91">
        <w:rPr>
          <w:rFonts w:ascii="Tahoma" w:eastAsia="Arial" w:hAnsi="Tahoma" w:cs="Tahoma"/>
          <w:color w:val="000000" w:themeColor="text1"/>
          <w:sz w:val="24"/>
          <w:szCs w:val="24"/>
        </w:rPr>
        <w:t>.</w:t>
      </w:r>
      <w:r w:rsidRPr="00F86D91">
        <w:rPr>
          <w:rFonts w:ascii="Tahoma" w:hAnsi="Tahoma" w:cs="Tahoma"/>
        </w:rPr>
        <w:tab/>
      </w:r>
      <w:r w:rsidR="00162C39" w:rsidRPr="00F86D91">
        <w:rPr>
          <w:rFonts w:ascii="Tahoma" w:hAnsi="Tahoma" w:cs="Tahoma"/>
          <w:sz w:val="24"/>
          <w:szCs w:val="24"/>
        </w:rPr>
        <w:t>It is not required that the subcontractor(s)</w:t>
      </w:r>
      <w:r w:rsidR="00685BFF" w:rsidRPr="00F86D91">
        <w:rPr>
          <w:rFonts w:ascii="Tahoma" w:hAnsi="Tahoma" w:cs="Tahoma"/>
          <w:sz w:val="24"/>
          <w:szCs w:val="24"/>
        </w:rPr>
        <w:t xml:space="preserve"> and/or vendor(s)</w:t>
      </w:r>
      <w:r w:rsidR="00162C39" w:rsidRPr="00F86D91">
        <w:rPr>
          <w:rFonts w:ascii="Tahoma" w:hAnsi="Tahoma" w:cs="Tahoma"/>
          <w:sz w:val="24"/>
          <w:szCs w:val="24"/>
        </w:rPr>
        <w:t xml:space="preserve"> be named</w:t>
      </w:r>
      <w:r w:rsidR="00CB2A57" w:rsidRPr="00F86D91">
        <w:rPr>
          <w:rFonts w:ascii="Tahoma" w:hAnsi="Tahoma" w:cs="Tahoma"/>
          <w:sz w:val="24"/>
          <w:szCs w:val="24"/>
        </w:rPr>
        <w:t xml:space="preserve"> at the time of application</w:t>
      </w:r>
      <w:r w:rsidR="00162C39" w:rsidRPr="00F86D91">
        <w:rPr>
          <w:rFonts w:ascii="Tahoma" w:hAnsi="Tahoma" w:cs="Tahoma"/>
          <w:sz w:val="24"/>
          <w:szCs w:val="24"/>
        </w:rPr>
        <w:t>, but subcontractor rol</w:t>
      </w:r>
      <w:r w:rsidR="00CB2A57" w:rsidRPr="00F86D91">
        <w:rPr>
          <w:rFonts w:ascii="Tahoma" w:hAnsi="Tahoma" w:cs="Tahoma"/>
          <w:sz w:val="24"/>
          <w:szCs w:val="24"/>
        </w:rPr>
        <w:t>es should be identified in the project narrative.</w:t>
      </w:r>
    </w:p>
    <w:p w14:paraId="178F0375" w14:textId="77777777" w:rsidR="00685BFF" w:rsidRPr="00F86D91" w:rsidRDefault="00685BFF" w:rsidP="53234C4C">
      <w:pPr>
        <w:spacing w:after="0" w:line="240" w:lineRule="auto"/>
        <w:ind w:left="720" w:hanging="720"/>
        <w:rPr>
          <w:rFonts w:ascii="Tahoma" w:eastAsia="Arial" w:hAnsi="Tahoma" w:cs="Tahoma"/>
          <w:color w:val="000000" w:themeColor="text1"/>
          <w:sz w:val="24"/>
          <w:szCs w:val="24"/>
        </w:rPr>
      </w:pPr>
    </w:p>
    <w:p w14:paraId="10B141C2" w14:textId="77777777" w:rsidR="00685BFF" w:rsidRPr="00F86D91" w:rsidRDefault="00685BFF" w:rsidP="53234C4C">
      <w:pPr>
        <w:spacing w:after="0" w:line="240" w:lineRule="auto"/>
        <w:ind w:left="720" w:hanging="720"/>
        <w:rPr>
          <w:rFonts w:ascii="Tahoma" w:eastAsia="Arial" w:hAnsi="Tahoma" w:cs="Tahoma"/>
          <w:color w:val="000000" w:themeColor="text1"/>
          <w:sz w:val="24"/>
          <w:szCs w:val="24"/>
        </w:rPr>
      </w:pPr>
    </w:p>
    <w:p w14:paraId="3896ECFB" w14:textId="6B83A482" w:rsidR="00685BFF" w:rsidRPr="00F86D91" w:rsidRDefault="00685BFF" w:rsidP="00685BFF">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65</w:t>
      </w:r>
      <w:r w:rsidRPr="00F86D91">
        <w:rPr>
          <w:rFonts w:ascii="Tahoma" w:eastAsia="Arial" w:hAnsi="Tahoma" w:cs="Tahoma"/>
          <w:b/>
          <w:bCs/>
          <w:color w:val="000000" w:themeColor="text1"/>
          <w:sz w:val="24"/>
          <w:szCs w:val="24"/>
        </w:rPr>
        <w:t>.</w:t>
      </w:r>
      <w:r w:rsidRPr="00F86D91">
        <w:rPr>
          <w:rFonts w:ascii="Tahoma" w:hAnsi="Tahoma" w:cs="Tahoma"/>
        </w:rPr>
        <w:tab/>
      </w:r>
      <w:r w:rsidRPr="00F86D91">
        <w:rPr>
          <w:rFonts w:ascii="Tahoma" w:eastAsia="Arial" w:hAnsi="Tahoma" w:cs="Tahoma"/>
          <w:b/>
          <w:bCs/>
          <w:color w:val="000000" w:themeColor="text1"/>
          <w:sz w:val="24"/>
          <w:szCs w:val="24"/>
        </w:rPr>
        <w:t>Does the EVSE equipment need to be specified prior to applying?</w:t>
      </w:r>
    </w:p>
    <w:p w14:paraId="110E319A" w14:textId="77777777" w:rsidR="00685BFF" w:rsidRPr="00F86D91" w:rsidRDefault="00685BFF" w:rsidP="00685BFF">
      <w:pPr>
        <w:spacing w:after="0" w:line="240" w:lineRule="auto"/>
        <w:ind w:left="720" w:hanging="720"/>
        <w:rPr>
          <w:rFonts w:ascii="Tahoma" w:eastAsia="Arial" w:hAnsi="Tahoma" w:cs="Tahoma"/>
          <w:b/>
          <w:bCs/>
          <w:color w:val="000000" w:themeColor="text1"/>
          <w:sz w:val="24"/>
          <w:szCs w:val="24"/>
        </w:rPr>
      </w:pPr>
    </w:p>
    <w:p w14:paraId="6891A14E" w14:textId="684C3ECD" w:rsidR="00685BFF" w:rsidRPr="00F86D91" w:rsidRDefault="00685BFF" w:rsidP="00685BFF">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65</w:t>
      </w:r>
      <w:r w:rsidRPr="00F86D91">
        <w:rPr>
          <w:rFonts w:ascii="Tahoma" w:eastAsia="Arial" w:hAnsi="Tahoma" w:cs="Tahoma"/>
          <w:color w:val="000000" w:themeColor="text1"/>
          <w:sz w:val="24"/>
          <w:szCs w:val="24"/>
        </w:rPr>
        <w:t>.</w:t>
      </w:r>
      <w:r w:rsidRPr="00F86D91">
        <w:rPr>
          <w:rFonts w:ascii="Tahoma" w:hAnsi="Tahoma" w:cs="Tahoma"/>
        </w:rPr>
        <w:tab/>
      </w:r>
      <w:r w:rsidRPr="00F86D91">
        <w:rPr>
          <w:rFonts w:ascii="Tahoma" w:hAnsi="Tahoma" w:cs="Tahoma"/>
          <w:sz w:val="24"/>
          <w:szCs w:val="24"/>
        </w:rPr>
        <w:t xml:space="preserve">The specific vendors of equipment are not required to be specified at the time of </w:t>
      </w:r>
      <w:proofErr w:type="gramStart"/>
      <w:r w:rsidRPr="00F86D91">
        <w:rPr>
          <w:rFonts w:ascii="Tahoma" w:hAnsi="Tahoma" w:cs="Tahoma"/>
          <w:sz w:val="24"/>
          <w:szCs w:val="24"/>
        </w:rPr>
        <w:t>application,</w:t>
      </w:r>
      <w:proofErr w:type="gramEnd"/>
      <w:r w:rsidRPr="00F86D91">
        <w:rPr>
          <w:rFonts w:ascii="Tahoma" w:hAnsi="Tahoma" w:cs="Tahoma"/>
          <w:sz w:val="24"/>
          <w:szCs w:val="24"/>
        </w:rPr>
        <w:t xml:space="preserve"> however the applicant needs to identify how many of each charger type (L2 or DCFC) will be installed in the project.</w:t>
      </w:r>
    </w:p>
    <w:p w14:paraId="4D4F0304" w14:textId="32E18FDD" w:rsidR="53234C4C" w:rsidRPr="00F86D91" w:rsidRDefault="53234C4C" w:rsidP="53234C4C">
      <w:pPr>
        <w:spacing w:after="0" w:line="240" w:lineRule="auto"/>
        <w:ind w:left="720" w:hanging="720"/>
        <w:rPr>
          <w:rFonts w:ascii="Tahoma" w:eastAsia="Arial" w:hAnsi="Tahoma" w:cs="Tahoma"/>
          <w:color w:val="000000" w:themeColor="text1"/>
          <w:sz w:val="24"/>
          <w:szCs w:val="24"/>
        </w:rPr>
      </w:pPr>
    </w:p>
    <w:p w14:paraId="5F984D9E" w14:textId="6347E896" w:rsidR="53234C4C" w:rsidRPr="00F86D91" w:rsidRDefault="53234C4C" w:rsidP="53234C4C">
      <w:pPr>
        <w:spacing w:after="0" w:line="240" w:lineRule="auto"/>
        <w:ind w:left="720" w:hanging="720"/>
        <w:rPr>
          <w:rFonts w:ascii="Tahoma" w:eastAsia="Arial" w:hAnsi="Tahoma" w:cs="Tahoma"/>
          <w:color w:val="000000" w:themeColor="text1"/>
          <w:sz w:val="24"/>
          <w:szCs w:val="24"/>
        </w:rPr>
      </w:pPr>
    </w:p>
    <w:p w14:paraId="7A1D02E8" w14:textId="4CD71188" w:rsidR="210EF59C" w:rsidRPr="00F86D91" w:rsidRDefault="210EF59C"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66</w:t>
      </w:r>
      <w:r w:rsidRPr="00F86D91">
        <w:rPr>
          <w:rFonts w:ascii="Tahoma" w:eastAsia="Arial" w:hAnsi="Tahoma" w:cs="Tahoma"/>
          <w:b/>
          <w:bCs/>
          <w:color w:val="000000" w:themeColor="text1"/>
          <w:sz w:val="24"/>
          <w:szCs w:val="24"/>
        </w:rPr>
        <w:t>.</w:t>
      </w:r>
      <w:r w:rsidRPr="00F86D91">
        <w:rPr>
          <w:rFonts w:ascii="Tahoma" w:hAnsi="Tahoma" w:cs="Tahoma"/>
        </w:rPr>
        <w:tab/>
      </w:r>
      <w:r w:rsidR="06C7FE99" w:rsidRPr="00F86D91">
        <w:rPr>
          <w:rFonts w:ascii="Tahoma" w:eastAsia="Arial" w:hAnsi="Tahoma" w:cs="Tahoma"/>
          <w:b/>
          <w:bCs/>
          <w:color w:val="000000" w:themeColor="text1"/>
          <w:sz w:val="24"/>
          <w:szCs w:val="24"/>
        </w:rPr>
        <w:t xml:space="preserve">Please provide a definition for “demand management equipment” as referenced in section </w:t>
      </w:r>
      <w:r w:rsidR="00035BC8" w:rsidRPr="00F86D91">
        <w:rPr>
          <w:rFonts w:ascii="Tahoma" w:eastAsia="Arial" w:hAnsi="Tahoma" w:cs="Tahoma"/>
          <w:b/>
          <w:bCs/>
          <w:color w:val="000000" w:themeColor="text1"/>
          <w:sz w:val="24"/>
          <w:szCs w:val="24"/>
        </w:rPr>
        <w:t>II.</w:t>
      </w:r>
      <w:r w:rsidR="06C7FE99" w:rsidRPr="00F86D91">
        <w:rPr>
          <w:rFonts w:ascii="Tahoma" w:eastAsia="Arial" w:hAnsi="Tahoma" w:cs="Tahoma"/>
          <w:b/>
          <w:bCs/>
          <w:color w:val="000000" w:themeColor="text1"/>
          <w:sz w:val="24"/>
          <w:szCs w:val="24"/>
        </w:rPr>
        <w:t>B.7.</w:t>
      </w:r>
    </w:p>
    <w:p w14:paraId="6EB6A4BD" w14:textId="15E9D8E9" w:rsidR="53234C4C" w:rsidRPr="00F86D91" w:rsidRDefault="53234C4C" w:rsidP="53234C4C">
      <w:pPr>
        <w:spacing w:after="0" w:line="240" w:lineRule="auto"/>
        <w:ind w:left="720" w:hanging="720"/>
        <w:rPr>
          <w:rFonts w:ascii="Tahoma" w:eastAsia="Arial" w:hAnsi="Tahoma" w:cs="Tahoma"/>
          <w:b/>
          <w:bCs/>
          <w:color w:val="000000" w:themeColor="text1"/>
          <w:sz w:val="24"/>
          <w:szCs w:val="24"/>
        </w:rPr>
      </w:pPr>
    </w:p>
    <w:p w14:paraId="34A371F7" w14:textId="0F4DAAC1" w:rsidR="210EF59C" w:rsidRPr="00F86D91" w:rsidRDefault="210EF59C" w:rsidP="53234C4C">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66</w:t>
      </w:r>
      <w:r w:rsidRPr="00F86D91">
        <w:rPr>
          <w:rFonts w:ascii="Tahoma" w:eastAsia="Arial" w:hAnsi="Tahoma" w:cs="Tahoma"/>
          <w:color w:val="000000" w:themeColor="text1"/>
          <w:sz w:val="24"/>
          <w:szCs w:val="24"/>
        </w:rPr>
        <w:t>.</w:t>
      </w:r>
      <w:r w:rsidRPr="00F86D91">
        <w:rPr>
          <w:rFonts w:ascii="Tahoma" w:hAnsi="Tahoma" w:cs="Tahoma"/>
        </w:rPr>
        <w:tab/>
      </w:r>
      <w:r w:rsidR="00B12560" w:rsidRPr="00F86D91">
        <w:rPr>
          <w:rFonts w:ascii="Tahoma" w:hAnsi="Tahoma" w:cs="Tahoma"/>
          <w:sz w:val="24"/>
          <w:szCs w:val="24"/>
        </w:rPr>
        <w:t xml:space="preserve">Demand management equipment refers to equipment or technologies that </w:t>
      </w:r>
      <w:r w:rsidR="00D65FE6" w:rsidRPr="00F86D91">
        <w:rPr>
          <w:rFonts w:ascii="Tahoma" w:hAnsi="Tahoma" w:cs="Tahoma"/>
          <w:sz w:val="24"/>
          <w:szCs w:val="24"/>
        </w:rPr>
        <w:t>control</w:t>
      </w:r>
      <w:r w:rsidR="00155ACE" w:rsidRPr="00F86D91">
        <w:rPr>
          <w:rFonts w:ascii="Tahoma" w:hAnsi="Tahoma" w:cs="Tahoma"/>
          <w:sz w:val="24"/>
          <w:szCs w:val="24"/>
        </w:rPr>
        <w:t xml:space="preserve"> power to charging ports based on the </w:t>
      </w:r>
      <w:r w:rsidR="009C48CE" w:rsidRPr="00F86D91">
        <w:rPr>
          <w:rFonts w:ascii="Tahoma" w:hAnsi="Tahoma" w:cs="Tahoma"/>
          <w:sz w:val="24"/>
          <w:szCs w:val="24"/>
        </w:rPr>
        <w:t xml:space="preserve">needs of the </w:t>
      </w:r>
      <w:r w:rsidR="00AD504A" w:rsidRPr="00F86D91">
        <w:rPr>
          <w:rFonts w:ascii="Tahoma" w:hAnsi="Tahoma" w:cs="Tahoma"/>
          <w:sz w:val="24"/>
          <w:szCs w:val="24"/>
        </w:rPr>
        <w:t>charging system</w:t>
      </w:r>
      <w:r w:rsidR="00C0700B" w:rsidRPr="00F86D91">
        <w:rPr>
          <w:rFonts w:ascii="Tahoma" w:hAnsi="Tahoma" w:cs="Tahoma"/>
          <w:sz w:val="24"/>
          <w:szCs w:val="24"/>
        </w:rPr>
        <w:t xml:space="preserve"> in order to </w:t>
      </w:r>
      <w:r w:rsidR="00CA6E1F" w:rsidRPr="00F86D91">
        <w:rPr>
          <w:rFonts w:ascii="Tahoma" w:hAnsi="Tahoma" w:cs="Tahoma"/>
          <w:sz w:val="24"/>
          <w:szCs w:val="24"/>
        </w:rPr>
        <w:t xml:space="preserve">intelligently limit </w:t>
      </w:r>
      <w:r w:rsidR="29BAA996" w:rsidRPr="00F86D91">
        <w:rPr>
          <w:rFonts w:ascii="Tahoma" w:hAnsi="Tahoma" w:cs="Tahoma"/>
          <w:sz w:val="24"/>
          <w:szCs w:val="24"/>
        </w:rPr>
        <w:t xml:space="preserve">electrical </w:t>
      </w:r>
      <w:r w:rsidR="00CA6E1F" w:rsidRPr="00F86D91">
        <w:rPr>
          <w:rFonts w:ascii="Tahoma" w:hAnsi="Tahoma" w:cs="Tahoma"/>
          <w:sz w:val="24"/>
          <w:szCs w:val="24"/>
        </w:rPr>
        <w:t>demand in response to price signals</w:t>
      </w:r>
      <w:r w:rsidR="00B13053" w:rsidRPr="00F86D91">
        <w:rPr>
          <w:rFonts w:ascii="Tahoma" w:hAnsi="Tahoma" w:cs="Tahoma"/>
          <w:sz w:val="24"/>
          <w:szCs w:val="24"/>
        </w:rPr>
        <w:t xml:space="preserve"> or </w:t>
      </w:r>
      <w:r w:rsidR="00214A44" w:rsidRPr="00F86D91">
        <w:rPr>
          <w:rFonts w:ascii="Tahoma" w:hAnsi="Tahoma" w:cs="Tahoma"/>
          <w:sz w:val="24"/>
          <w:szCs w:val="24"/>
        </w:rPr>
        <w:t xml:space="preserve">grid or </w:t>
      </w:r>
      <w:r w:rsidR="00B5462B" w:rsidRPr="00F86D91">
        <w:rPr>
          <w:rFonts w:ascii="Tahoma" w:hAnsi="Tahoma" w:cs="Tahoma"/>
          <w:sz w:val="24"/>
          <w:szCs w:val="24"/>
        </w:rPr>
        <w:t>other electrical infrastructure conditions</w:t>
      </w:r>
      <w:r w:rsidR="00AD504A" w:rsidRPr="00F86D91">
        <w:rPr>
          <w:rFonts w:ascii="Tahoma" w:hAnsi="Tahoma" w:cs="Tahoma"/>
          <w:sz w:val="24"/>
          <w:szCs w:val="24"/>
        </w:rPr>
        <w:t>.</w:t>
      </w:r>
    </w:p>
    <w:p w14:paraId="41ECDE32" w14:textId="24D52EB1" w:rsidR="53234C4C" w:rsidRPr="00F86D91" w:rsidRDefault="53234C4C" w:rsidP="53234C4C">
      <w:pPr>
        <w:spacing w:after="0" w:line="240" w:lineRule="auto"/>
        <w:ind w:left="720" w:hanging="720"/>
        <w:rPr>
          <w:rFonts w:ascii="Tahoma" w:eastAsia="Arial" w:hAnsi="Tahoma" w:cs="Tahoma"/>
          <w:color w:val="000000" w:themeColor="text1"/>
          <w:sz w:val="24"/>
          <w:szCs w:val="24"/>
        </w:rPr>
      </w:pPr>
    </w:p>
    <w:p w14:paraId="3B59D2E9" w14:textId="07A05661" w:rsidR="53234C4C" w:rsidRPr="00F86D91" w:rsidRDefault="53234C4C" w:rsidP="53234C4C">
      <w:pPr>
        <w:spacing w:after="0" w:line="240" w:lineRule="auto"/>
        <w:ind w:left="720" w:hanging="720"/>
        <w:rPr>
          <w:rFonts w:ascii="Tahoma" w:eastAsia="Arial" w:hAnsi="Tahoma" w:cs="Tahoma"/>
          <w:color w:val="000000" w:themeColor="text1"/>
          <w:sz w:val="24"/>
          <w:szCs w:val="24"/>
        </w:rPr>
      </w:pPr>
    </w:p>
    <w:p w14:paraId="07DF2E68" w14:textId="6B7077BD" w:rsidR="53234C4C" w:rsidRPr="00F86D91" w:rsidRDefault="210EF59C"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67</w:t>
      </w:r>
      <w:r w:rsidRPr="00F86D91">
        <w:rPr>
          <w:rFonts w:ascii="Tahoma" w:eastAsia="Arial" w:hAnsi="Tahoma" w:cs="Tahoma"/>
          <w:b/>
          <w:bCs/>
          <w:color w:val="000000" w:themeColor="text1"/>
          <w:sz w:val="24"/>
          <w:szCs w:val="24"/>
        </w:rPr>
        <w:t>.</w:t>
      </w:r>
      <w:r w:rsidR="53234C4C" w:rsidRPr="00F86D91">
        <w:rPr>
          <w:rFonts w:ascii="Tahoma" w:hAnsi="Tahoma" w:cs="Tahoma"/>
        </w:rPr>
        <w:tab/>
      </w:r>
      <w:r w:rsidR="69469FD6" w:rsidRPr="00F86D91">
        <w:rPr>
          <w:rFonts w:ascii="Tahoma" w:eastAsia="Arial" w:hAnsi="Tahoma" w:cs="Tahoma"/>
          <w:b/>
          <w:bCs/>
          <w:color w:val="000000" w:themeColor="text1"/>
          <w:sz w:val="24"/>
          <w:szCs w:val="24"/>
        </w:rPr>
        <w:t xml:space="preserve">Our city has never had CEC grant but has DWR and FEMA grants (Engineering dept) among others. If the fleet department is the applicant and they don’t have any other grants, </w:t>
      </w:r>
      <w:r w:rsidR="004E3DAC" w:rsidRPr="00F86D91">
        <w:rPr>
          <w:rFonts w:ascii="Tahoma" w:eastAsia="Arial" w:hAnsi="Tahoma" w:cs="Tahoma"/>
          <w:b/>
          <w:bCs/>
          <w:color w:val="000000" w:themeColor="text1"/>
          <w:sz w:val="24"/>
          <w:szCs w:val="24"/>
        </w:rPr>
        <w:t xml:space="preserve">should they </w:t>
      </w:r>
      <w:r w:rsidR="69469FD6" w:rsidRPr="00F86D91">
        <w:rPr>
          <w:rFonts w:ascii="Tahoma" w:eastAsia="Arial" w:hAnsi="Tahoma" w:cs="Tahoma"/>
          <w:b/>
          <w:bCs/>
          <w:color w:val="000000" w:themeColor="text1"/>
          <w:sz w:val="24"/>
          <w:szCs w:val="24"/>
        </w:rPr>
        <w:t xml:space="preserve">say </w:t>
      </w:r>
      <w:r w:rsidR="004E3DAC" w:rsidRPr="00F86D91">
        <w:rPr>
          <w:rFonts w:ascii="Tahoma" w:eastAsia="Arial" w:hAnsi="Tahoma" w:cs="Tahoma"/>
          <w:b/>
          <w:bCs/>
          <w:color w:val="000000" w:themeColor="text1"/>
          <w:sz w:val="24"/>
          <w:szCs w:val="24"/>
        </w:rPr>
        <w:t>“</w:t>
      </w:r>
      <w:r w:rsidR="69469FD6" w:rsidRPr="00F86D91">
        <w:rPr>
          <w:rFonts w:ascii="Tahoma" w:eastAsia="Arial" w:hAnsi="Tahoma" w:cs="Tahoma"/>
          <w:b/>
          <w:bCs/>
          <w:color w:val="000000" w:themeColor="text1"/>
          <w:sz w:val="24"/>
          <w:szCs w:val="24"/>
        </w:rPr>
        <w:t>none</w:t>
      </w:r>
      <w:r w:rsidR="004E3DAC" w:rsidRPr="00F86D91">
        <w:rPr>
          <w:rFonts w:ascii="Tahoma" w:eastAsia="Arial" w:hAnsi="Tahoma" w:cs="Tahoma"/>
          <w:b/>
          <w:bCs/>
          <w:color w:val="000000" w:themeColor="text1"/>
          <w:sz w:val="24"/>
          <w:szCs w:val="24"/>
        </w:rPr>
        <w:t>”</w:t>
      </w:r>
      <w:r w:rsidR="69469FD6" w:rsidRPr="00F86D91">
        <w:rPr>
          <w:rFonts w:ascii="Tahoma" w:eastAsia="Arial" w:hAnsi="Tahoma" w:cs="Tahoma"/>
          <w:b/>
          <w:bCs/>
          <w:color w:val="000000" w:themeColor="text1"/>
          <w:sz w:val="24"/>
          <w:szCs w:val="24"/>
        </w:rPr>
        <w:t xml:space="preserve"> in references</w:t>
      </w:r>
      <w:r w:rsidR="003E194F" w:rsidRPr="00F86D91">
        <w:rPr>
          <w:rFonts w:ascii="Tahoma" w:eastAsia="Arial" w:hAnsi="Tahoma" w:cs="Tahoma"/>
          <w:b/>
          <w:bCs/>
          <w:color w:val="000000" w:themeColor="text1"/>
          <w:sz w:val="24"/>
          <w:szCs w:val="24"/>
        </w:rPr>
        <w:t>?</w:t>
      </w:r>
    </w:p>
    <w:p w14:paraId="6FF79DC9" w14:textId="77777777" w:rsidR="003E194F" w:rsidRPr="00F86D91" w:rsidRDefault="003E194F" w:rsidP="53234C4C">
      <w:pPr>
        <w:spacing w:after="0" w:line="240" w:lineRule="auto"/>
        <w:ind w:left="720" w:hanging="720"/>
        <w:rPr>
          <w:rFonts w:ascii="Tahoma" w:eastAsia="Arial" w:hAnsi="Tahoma" w:cs="Tahoma"/>
          <w:b/>
          <w:bCs/>
          <w:color w:val="000000" w:themeColor="text1"/>
          <w:sz w:val="24"/>
          <w:szCs w:val="24"/>
        </w:rPr>
      </w:pPr>
    </w:p>
    <w:p w14:paraId="319E3952" w14:textId="217C74C5" w:rsidR="003C766E" w:rsidRPr="00F86D91" w:rsidRDefault="210EF59C" w:rsidP="13BF8754">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67</w:t>
      </w:r>
      <w:r w:rsidRPr="00F86D91">
        <w:rPr>
          <w:rFonts w:ascii="Tahoma" w:eastAsia="Arial" w:hAnsi="Tahoma" w:cs="Tahoma"/>
          <w:color w:val="000000" w:themeColor="text1"/>
          <w:sz w:val="24"/>
          <w:szCs w:val="24"/>
        </w:rPr>
        <w:t>.</w:t>
      </w:r>
      <w:r w:rsidRPr="00F86D91">
        <w:rPr>
          <w:rFonts w:ascii="Tahoma" w:hAnsi="Tahoma" w:cs="Tahoma"/>
        </w:rPr>
        <w:tab/>
      </w:r>
      <w:r w:rsidR="00BC64D6" w:rsidRPr="00F86D91">
        <w:rPr>
          <w:rFonts w:ascii="Tahoma" w:hAnsi="Tahoma" w:cs="Tahoma"/>
          <w:sz w:val="24"/>
          <w:szCs w:val="24"/>
        </w:rPr>
        <w:t>The</w:t>
      </w:r>
      <w:r w:rsidR="00AD504A" w:rsidRPr="00F86D91">
        <w:rPr>
          <w:rFonts w:ascii="Tahoma" w:hAnsi="Tahoma" w:cs="Tahoma"/>
          <w:sz w:val="24"/>
          <w:szCs w:val="24"/>
        </w:rPr>
        <w:t xml:space="preserve"> application manual states, “</w:t>
      </w:r>
      <w:r w:rsidR="00AB0F88" w:rsidRPr="00F86D91">
        <w:rPr>
          <w:rFonts w:ascii="Tahoma" w:hAnsi="Tahoma" w:cs="Tahoma"/>
          <w:sz w:val="24"/>
          <w:szCs w:val="24"/>
        </w:rPr>
        <w:t xml:space="preserve">Applicants </w:t>
      </w:r>
      <w:r w:rsidR="79DCB128" w:rsidRPr="00F86D91">
        <w:rPr>
          <w:rFonts w:ascii="Tahoma" w:eastAsia="Arial" w:hAnsi="Tahoma" w:cs="Tahoma"/>
          <w:color w:val="000000" w:themeColor="text1"/>
          <w:sz w:val="24"/>
          <w:szCs w:val="24"/>
        </w:rPr>
        <w:t>must complete and submit a separate Past Performance Reference Form for each CEC agreement (e.g., contract, grant or loan) received by the Applicant in the last 10 years, including ongoing agreements, and the 5 most recent agreements with other public agencies within the past 10 years</w:t>
      </w:r>
      <w:r w:rsidR="00AB0F88" w:rsidRPr="00F86D91">
        <w:rPr>
          <w:rFonts w:ascii="Tahoma" w:eastAsia="Arial" w:hAnsi="Tahoma" w:cs="Tahoma"/>
          <w:color w:val="000000" w:themeColor="text1"/>
          <w:sz w:val="24"/>
          <w:szCs w:val="24"/>
        </w:rPr>
        <w:t xml:space="preserve">” (Section </w:t>
      </w:r>
      <w:r w:rsidR="00192334" w:rsidRPr="00F86D91">
        <w:rPr>
          <w:rFonts w:ascii="Tahoma" w:eastAsia="Arial" w:hAnsi="Tahoma" w:cs="Tahoma"/>
          <w:color w:val="000000" w:themeColor="text1"/>
          <w:sz w:val="24"/>
          <w:szCs w:val="24"/>
        </w:rPr>
        <w:t>III.C.12., page 3</w:t>
      </w:r>
      <w:r w:rsidR="00337C48">
        <w:rPr>
          <w:rFonts w:ascii="Tahoma" w:eastAsia="Arial" w:hAnsi="Tahoma" w:cs="Tahoma"/>
          <w:color w:val="000000" w:themeColor="text1"/>
          <w:sz w:val="24"/>
          <w:szCs w:val="24"/>
        </w:rPr>
        <w:t>3</w:t>
      </w:r>
      <w:r w:rsidR="00192334" w:rsidRPr="00F86D91">
        <w:rPr>
          <w:rFonts w:ascii="Tahoma" w:eastAsia="Arial" w:hAnsi="Tahoma" w:cs="Tahoma"/>
          <w:color w:val="000000" w:themeColor="text1"/>
          <w:sz w:val="24"/>
          <w:szCs w:val="24"/>
        </w:rPr>
        <w:t xml:space="preserve">, </w:t>
      </w:r>
      <w:r w:rsidR="742BA454" w:rsidRPr="00F86D91">
        <w:rPr>
          <w:rFonts w:ascii="Tahoma" w:eastAsia="Arial" w:hAnsi="Tahoma" w:cs="Tahoma"/>
          <w:color w:val="000000" w:themeColor="text1"/>
          <w:sz w:val="24"/>
          <w:szCs w:val="24"/>
        </w:rPr>
        <w:t>“</w:t>
      </w:r>
      <w:r w:rsidR="00192334" w:rsidRPr="00F86D91">
        <w:rPr>
          <w:rFonts w:ascii="Tahoma" w:eastAsia="Arial" w:hAnsi="Tahoma" w:cs="Tahoma"/>
          <w:color w:val="000000" w:themeColor="text1"/>
          <w:sz w:val="24"/>
          <w:szCs w:val="24"/>
        </w:rPr>
        <w:t>Past Performance Reference Form(s</w:t>
      </w:r>
      <w:r w:rsidR="01E73048" w:rsidRPr="00F86D91">
        <w:rPr>
          <w:rFonts w:ascii="Tahoma" w:eastAsia="Arial" w:hAnsi="Tahoma" w:cs="Tahoma"/>
          <w:color w:val="000000" w:themeColor="text1"/>
          <w:sz w:val="24"/>
          <w:szCs w:val="24"/>
        </w:rPr>
        <w:t>)</w:t>
      </w:r>
      <w:r w:rsidR="1AA7F7B9" w:rsidRPr="00F86D91">
        <w:rPr>
          <w:rFonts w:ascii="Tahoma" w:eastAsia="Arial" w:hAnsi="Tahoma" w:cs="Tahoma"/>
          <w:color w:val="000000" w:themeColor="text1"/>
          <w:sz w:val="24"/>
          <w:szCs w:val="24"/>
        </w:rPr>
        <w:t>”</w:t>
      </w:r>
      <w:r w:rsidR="01E73048" w:rsidRPr="00F86D91">
        <w:rPr>
          <w:rFonts w:ascii="Tahoma" w:eastAsia="Arial" w:hAnsi="Tahoma" w:cs="Tahoma"/>
          <w:color w:val="000000" w:themeColor="text1"/>
          <w:sz w:val="24"/>
          <w:szCs w:val="24"/>
        </w:rPr>
        <w:t>,</w:t>
      </w:r>
      <w:r w:rsidR="00192334" w:rsidRPr="00F86D91">
        <w:rPr>
          <w:rFonts w:ascii="Tahoma" w:eastAsia="Arial" w:hAnsi="Tahoma" w:cs="Tahoma"/>
          <w:color w:val="000000" w:themeColor="text1"/>
          <w:sz w:val="24"/>
          <w:szCs w:val="24"/>
        </w:rPr>
        <w:t xml:space="preserve"> Solicitation Manual).</w:t>
      </w:r>
      <w:r w:rsidR="007D2D26" w:rsidRPr="00F86D91">
        <w:rPr>
          <w:rFonts w:ascii="Tahoma" w:eastAsia="Arial" w:hAnsi="Tahoma" w:cs="Tahoma"/>
          <w:color w:val="000000" w:themeColor="text1"/>
          <w:sz w:val="24"/>
          <w:szCs w:val="24"/>
        </w:rPr>
        <w:t xml:space="preserve"> </w:t>
      </w:r>
    </w:p>
    <w:p w14:paraId="1F5F77AA" w14:textId="77777777" w:rsidR="003C766E" w:rsidRPr="00F86D91" w:rsidRDefault="003C766E" w:rsidP="13BF8754">
      <w:pPr>
        <w:spacing w:after="0" w:line="240" w:lineRule="auto"/>
        <w:ind w:left="720" w:hanging="720"/>
        <w:rPr>
          <w:rFonts w:ascii="Tahoma" w:eastAsia="Arial" w:hAnsi="Tahoma" w:cs="Tahoma"/>
          <w:color w:val="000000" w:themeColor="text1"/>
          <w:sz w:val="24"/>
          <w:szCs w:val="24"/>
        </w:rPr>
      </w:pPr>
    </w:p>
    <w:p w14:paraId="34AF092F" w14:textId="66B08907" w:rsidR="210EF59C" w:rsidRPr="00F86D91" w:rsidRDefault="003C766E" w:rsidP="003C766E">
      <w:pPr>
        <w:spacing w:after="0" w:line="240" w:lineRule="auto"/>
        <w:ind w:left="720"/>
        <w:rPr>
          <w:rFonts w:ascii="Tahoma" w:eastAsia="Arial" w:hAnsi="Tahoma" w:cs="Tahoma"/>
          <w:sz w:val="24"/>
          <w:szCs w:val="24"/>
        </w:rPr>
      </w:pPr>
      <w:r w:rsidRPr="00F86D91">
        <w:rPr>
          <w:rFonts w:ascii="Tahoma" w:eastAsia="Arial" w:hAnsi="Tahoma" w:cs="Tahoma"/>
          <w:color w:val="000000" w:themeColor="text1"/>
          <w:sz w:val="24"/>
          <w:szCs w:val="24"/>
        </w:rPr>
        <w:t xml:space="preserve">The </w:t>
      </w:r>
      <w:r w:rsidR="00CF642F" w:rsidRPr="00F86D91">
        <w:rPr>
          <w:rFonts w:ascii="Tahoma" w:hAnsi="Tahoma" w:cs="Tahoma"/>
          <w:sz w:val="24"/>
          <w:szCs w:val="24"/>
        </w:rPr>
        <w:t xml:space="preserve">application manual </w:t>
      </w:r>
      <w:r w:rsidR="00CF642F" w:rsidRPr="00F86D91">
        <w:rPr>
          <w:rFonts w:ascii="Tahoma" w:eastAsia="Arial" w:hAnsi="Tahoma" w:cs="Tahoma"/>
          <w:color w:val="000000" w:themeColor="text1"/>
          <w:sz w:val="24"/>
          <w:szCs w:val="24"/>
        </w:rPr>
        <w:t xml:space="preserve">also </w:t>
      </w:r>
      <w:r w:rsidRPr="00F86D91">
        <w:rPr>
          <w:rFonts w:ascii="Tahoma" w:eastAsia="Arial" w:hAnsi="Tahoma" w:cs="Tahoma"/>
          <w:color w:val="000000" w:themeColor="text1"/>
          <w:sz w:val="24"/>
          <w:szCs w:val="24"/>
        </w:rPr>
        <w:t>states, “</w:t>
      </w:r>
      <w:r w:rsidR="00483B4C" w:rsidRPr="00F86D91">
        <w:rPr>
          <w:rFonts w:ascii="Tahoma" w:eastAsia="Arial" w:hAnsi="Tahoma" w:cs="Tahoma"/>
          <w:color w:val="000000" w:themeColor="text1"/>
          <w:sz w:val="24"/>
          <w:szCs w:val="24"/>
        </w:rPr>
        <w:t xml:space="preserve">Any Applicant that does not have an active or prior agreement </w:t>
      </w:r>
      <w:r w:rsidR="004E3DAC" w:rsidRPr="00F86D91">
        <w:rPr>
          <w:rFonts w:ascii="Tahoma" w:eastAsia="Arial" w:hAnsi="Tahoma" w:cs="Tahoma"/>
          <w:color w:val="000000" w:themeColor="text1"/>
          <w:sz w:val="24"/>
          <w:szCs w:val="24"/>
        </w:rPr>
        <w:t xml:space="preserve">should state so in the project narrative. </w:t>
      </w:r>
      <w:r w:rsidR="00C11DAF" w:rsidRPr="00F86D91">
        <w:rPr>
          <w:rFonts w:ascii="Tahoma" w:eastAsia="Arial" w:hAnsi="Tahoma" w:cs="Tahoma"/>
          <w:color w:val="000000" w:themeColor="text1"/>
          <w:sz w:val="24"/>
          <w:szCs w:val="24"/>
        </w:rPr>
        <w:t xml:space="preserve">Having no active or prior agreement </w:t>
      </w:r>
      <w:r w:rsidR="00483B4C" w:rsidRPr="00F86D91">
        <w:rPr>
          <w:rFonts w:ascii="Tahoma" w:eastAsia="Arial" w:hAnsi="Tahoma" w:cs="Tahoma"/>
          <w:color w:val="000000" w:themeColor="text1"/>
          <w:sz w:val="24"/>
          <w:szCs w:val="24"/>
        </w:rPr>
        <w:t>equates to no severe performance issues and therefore would pass the Past Performance Screening Criteria</w:t>
      </w:r>
      <w:r w:rsidR="00CF642F" w:rsidRPr="00F86D91">
        <w:rPr>
          <w:rFonts w:ascii="Tahoma" w:eastAsia="Arial" w:hAnsi="Tahoma" w:cs="Tahoma"/>
          <w:color w:val="000000" w:themeColor="text1"/>
          <w:sz w:val="24"/>
          <w:szCs w:val="24"/>
        </w:rPr>
        <w:t>” (</w:t>
      </w:r>
      <w:r w:rsidR="009E3C45">
        <w:rPr>
          <w:rFonts w:ascii="Tahoma" w:eastAsia="Arial" w:hAnsi="Tahoma" w:cs="Tahoma"/>
          <w:color w:val="000000" w:themeColor="text1"/>
          <w:sz w:val="24"/>
          <w:szCs w:val="24"/>
        </w:rPr>
        <w:t xml:space="preserve">Section </w:t>
      </w:r>
      <w:r w:rsidR="00B81461" w:rsidRPr="00F86D91">
        <w:rPr>
          <w:rFonts w:ascii="Tahoma" w:eastAsia="Arial" w:hAnsi="Tahoma" w:cs="Tahoma"/>
          <w:color w:val="000000" w:themeColor="text1"/>
          <w:sz w:val="24"/>
          <w:szCs w:val="24"/>
        </w:rPr>
        <w:t>IV.A.4.</w:t>
      </w:r>
      <w:r w:rsidR="008B6B8E" w:rsidRPr="00F86D91">
        <w:rPr>
          <w:rFonts w:ascii="Tahoma" w:eastAsia="Arial" w:hAnsi="Tahoma" w:cs="Tahoma"/>
          <w:color w:val="000000" w:themeColor="text1"/>
          <w:sz w:val="24"/>
          <w:szCs w:val="24"/>
        </w:rPr>
        <w:t>, page 3</w:t>
      </w:r>
      <w:r w:rsidR="00337C48">
        <w:rPr>
          <w:rFonts w:ascii="Tahoma" w:eastAsia="Arial" w:hAnsi="Tahoma" w:cs="Tahoma"/>
          <w:color w:val="000000" w:themeColor="text1"/>
          <w:sz w:val="24"/>
          <w:szCs w:val="24"/>
        </w:rPr>
        <w:t>6</w:t>
      </w:r>
      <w:r w:rsidR="008B6B8E" w:rsidRPr="00F86D91">
        <w:rPr>
          <w:rFonts w:ascii="Tahoma" w:eastAsia="Arial" w:hAnsi="Tahoma" w:cs="Tahoma"/>
          <w:color w:val="000000" w:themeColor="text1"/>
          <w:sz w:val="24"/>
          <w:szCs w:val="24"/>
        </w:rPr>
        <w:t xml:space="preserve">, </w:t>
      </w:r>
      <w:r w:rsidR="003E0A3D" w:rsidRPr="00F86D91">
        <w:rPr>
          <w:rFonts w:ascii="Tahoma" w:eastAsia="Arial" w:hAnsi="Tahoma" w:cs="Tahoma"/>
          <w:color w:val="000000" w:themeColor="text1"/>
          <w:sz w:val="24"/>
          <w:szCs w:val="24"/>
        </w:rPr>
        <w:t>“</w:t>
      </w:r>
      <w:r w:rsidR="008B6B8E" w:rsidRPr="00F86D91">
        <w:rPr>
          <w:rFonts w:ascii="Tahoma" w:eastAsia="Arial" w:hAnsi="Tahoma" w:cs="Tahoma"/>
          <w:color w:val="000000" w:themeColor="text1"/>
          <w:sz w:val="24"/>
          <w:szCs w:val="24"/>
        </w:rPr>
        <w:t>Applicant’s Past Performance Screening Criteria</w:t>
      </w:r>
      <w:r w:rsidR="003E0A3D" w:rsidRPr="00F86D91">
        <w:rPr>
          <w:rFonts w:ascii="Tahoma" w:eastAsia="Arial" w:hAnsi="Tahoma" w:cs="Tahoma"/>
          <w:color w:val="000000" w:themeColor="text1"/>
          <w:sz w:val="24"/>
          <w:szCs w:val="24"/>
        </w:rPr>
        <w:t>”</w:t>
      </w:r>
      <w:r w:rsidR="008B6B8E" w:rsidRPr="00F86D91">
        <w:rPr>
          <w:rFonts w:ascii="Tahoma" w:eastAsia="Arial" w:hAnsi="Tahoma" w:cs="Tahoma"/>
          <w:color w:val="000000" w:themeColor="text1"/>
          <w:sz w:val="24"/>
          <w:szCs w:val="24"/>
        </w:rPr>
        <w:t>, Solicitation Manual).</w:t>
      </w:r>
    </w:p>
    <w:p w14:paraId="5CC48B73" w14:textId="5A94298C" w:rsidR="53234C4C" w:rsidRPr="00F86D91" w:rsidRDefault="53234C4C" w:rsidP="53234C4C">
      <w:pPr>
        <w:spacing w:after="0" w:line="240" w:lineRule="auto"/>
        <w:ind w:left="720" w:hanging="720"/>
        <w:rPr>
          <w:rFonts w:ascii="Tahoma" w:eastAsia="Arial" w:hAnsi="Tahoma" w:cs="Tahoma"/>
          <w:color w:val="000000" w:themeColor="text1"/>
          <w:sz w:val="24"/>
          <w:szCs w:val="24"/>
        </w:rPr>
      </w:pPr>
    </w:p>
    <w:p w14:paraId="63A898F2" w14:textId="77777777" w:rsidR="003E194F" w:rsidRPr="00F86D91" w:rsidRDefault="003E194F" w:rsidP="003E194F">
      <w:pPr>
        <w:spacing w:after="0" w:line="240" w:lineRule="auto"/>
        <w:ind w:left="720" w:hanging="720"/>
        <w:rPr>
          <w:rFonts w:ascii="Tahoma" w:eastAsia="Arial" w:hAnsi="Tahoma" w:cs="Tahoma"/>
          <w:color w:val="000000" w:themeColor="text1"/>
          <w:sz w:val="24"/>
          <w:szCs w:val="24"/>
        </w:rPr>
      </w:pPr>
    </w:p>
    <w:p w14:paraId="5600590D" w14:textId="53D06116" w:rsidR="003E194F" w:rsidRPr="00F86D91" w:rsidRDefault="003E194F" w:rsidP="003E194F">
      <w:pPr>
        <w:spacing w:after="0" w:line="240" w:lineRule="auto"/>
        <w:ind w:left="720" w:hanging="720"/>
        <w:rPr>
          <w:rFonts w:ascii="Tahoma" w:eastAsia="Arial" w:hAnsi="Tahoma" w:cs="Tahoma"/>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68</w:t>
      </w:r>
      <w:r w:rsidRPr="00F86D91">
        <w:rPr>
          <w:rFonts w:ascii="Tahoma" w:eastAsia="Arial" w:hAnsi="Tahoma" w:cs="Tahoma"/>
          <w:b/>
          <w:bCs/>
          <w:color w:val="000000" w:themeColor="text1"/>
          <w:sz w:val="24"/>
          <w:szCs w:val="24"/>
        </w:rPr>
        <w:t>.</w:t>
      </w:r>
      <w:r w:rsidRPr="00F86D91">
        <w:rPr>
          <w:rFonts w:ascii="Tahoma" w:hAnsi="Tahoma" w:cs="Tahoma"/>
        </w:rPr>
        <w:tab/>
      </w:r>
      <w:r w:rsidRPr="00F86D91">
        <w:rPr>
          <w:rFonts w:ascii="Tahoma" w:eastAsia="Arial" w:hAnsi="Tahoma" w:cs="Tahoma"/>
          <w:b/>
          <w:bCs/>
          <w:color w:val="000000" w:themeColor="text1"/>
          <w:sz w:val="24"/>
          <w:szCs w:val="24"/>
        </w:rPr>
        <w:t>For past performance reference form, should the information include only completed grant awards, or should current grant awards be included as well?</w:t>
      </w:r>
    </w:p>
    <w:p w14:paraId="66651918" w14:textId="77777777" w:rsidR="003E194F" w:rsidRPr="00F86D91" w:rsidRDefault="003E194F" w:rsidP="003E194F">
      <w:pPr>
        <w:spacing w:after="0" w:line="240" w:lineRule="auto"/>
        <w:ind w:left="720" w:hanging="720"/>
        <w:rPr>
          <w:rFonts w:ascii="Tahoma" w:eastAsia="Arial" w:hAnsi="Tahoma" w:cs="Tahoma"/>
          <w:b/>
          <w:bCs/>
          <w:color w:val="000000" w:themeColor="text1"/>
          <w:sz w:val="24"/>
          <w:szCs w:val="24"/>
        </w:rPr>
      </w:pPr>
    </w:p>
    <w:p w14:paraId="6D31A2CE" w14:textId="317621F1" w:rsidR="00CA54D2" w:rsidRPr="00F86D91" w:rsidRDefault="003E194F" w:rsidP="00CA54D2">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68</w:t>
      </w:r>
      <w:r w:rsidRPr="00F86D91">
        <w:rPr>
          <w:rFonts w:ascii="Tahoma" w:eastAsia="Arial" w:hAnsi="Tahoma" w:cs="Tahoma"/>
          <w:color w:val="000000" w:themeColor="text1"/>
          <w:sz w:val="24"/>
          <w:szCs w:val="24"/>
        </w:rPr>
        <w:t>.</w:t>
      </w:r>
      <w:r w:rsidRPr="00F86D91">
        <w:rPr>
          <w:rFonts w:ascii="Tahoma" w:hAnsi="Tahoma" w:cs="Tahoma"/>
        </w:rPr>
        <w:tab/>
      </w:r>
      <w:r w:rsidR="00CA54D2" w:rsidRPr="00F86D91">
        <w:rPr>
          <w:rFonts w:ascii="Tahoma" w:hAnsi="Tahoma" w:cs="Tahoma"/>
          <w:sz w:val="24"/>
          <w:szCs w:val="24"/>
        </w:rPr>
        <w:t xml:space="preserve">The application manual states, “Applicants </w:t>
      </w:r>
      <w:r w:rsidR="00CA54D2" w:rsidRPr="00F86D91">
        <w:rPr>
          <w:rFonts w:ascii="Tahoma" w:eastAsia="Arial" w:hAnsi="Tahoma" w:cs="Tahoma"/>
          <w:color w:val="000000" w:themeColor="text1"/>
          <w:sz w:val="24"/>
          <w:szCs w:val="24"/>
        </w:rPr>
        <w:t>must complete and submit a separate Past Performance Reference Form for each CEC agreement (e.g., contract, grant or loan) received by the Applicant in the last 10 years, including ongoing agreements, and the 5 most recent agreements with other public agencies within the past 10 years” (Section III.C.12., page 3</w:t>
      </w:r>
      <w:r w:rsidR="009E3C45">
        <w:rPr>
          <w:rFonts w:ascii="Tahoma" w:eastAsia="Arial" w:hAnsi="Tahoma" w:cs="Tahoma"/>
          <w:color w:val="000000" w:themeColor="text1"/>
          <w:sz w:val="24"/>
          <w:szCs w:val="24"/>
        </w:rPr>
        <w:t>3</w:t>
      </w:r>
      <w:r w:rsidR="00CA54D2" w:rsidRPr="00F86D91">
        <w:rPr>
          <w:rFonts w:ascii="Tahoma" w:eastAsia="Arial" w:hAnsi="Tahoma" w:cs="Tahoma"/>
          <w:color w:val="000000" w:themeColor="text1"/>
          <w:sz w:val="24"/>
          <w:szCs w:val="24"/>
        </w:rPr>
        <w:t xml:space="preserve">, </w:t>
      </w:r>
      <w:r w:rsidR="003E0A3D" w:rsidRPr="00F86D91">
        <w:rPr>
          <w:rFonts w:ascii="Tahoma" w:eastAsia="Arial" w:hAnsi="Tahoma" w:cs="Tahoma"/>
          <w:color w:val="000000" w:themeColor="text1"/>
          <w:sz w:val="24"/>
          <w:szCs w:val="24"/>
        </w:rPr>
        <w:t>“</w:t>
      </w:r>
      <w:r w:rsidR="00CA54D2" w:rsidRPr="00F86D91">
        <w:rPr>
          <w:rFonts w:ascii="Tahoma" w:eastAsia="Arial" w:hAnsi="Tahoma" w:cs="Tahoma"/>
          <w:color w:val="000000" w:themeColor="text1"/>
          <w:sz w:val="24"/>
          <w:szCs w:val="24"/>
        </w:rPr>
        <w:t>Past Performance Reference Form(s)</w:t>
      </w:r>
      <w:r w:rsidR="003E0A3D" w:rsidRPr="00F86D91">
        <w:rPr>
          <w:rFonts w:ascii="Tahoma" w:eastAsia="Arial" w:hAnsi="Tahoma" w:cs="Tahoma"/>
          <w:color w:val="000000" w:themeColor="text1"/>
          <w:sz w:val="24"/>
          <w:szCs w:val="24"/>
        </w:rPr>
        <w:t>”</w:t>
      </w:r>
      <w:r w:rsidR="00CA54D2" w:rsidRPr="00F86D91">
        <w:rPr>
          <w:rFonts w:ascii="Tahoma" w:eastAsia="Arial" w:hAnsi="Tahoma" w:cs="Tahoma"/>
          <w:color w:val="000000" w:themeColor="text1"/>
          <w:sz w:val="24"/>
          <w:szCs w:val="24"/>
        </w:rPr>
        <w:t xml:space="preserve">, Solicitation Manual). </w:t>
      </w:r>
    </w:p>
    <w:p w14:paraId="155D1BA0" w14:textId="54569FE6" w:rsidR="00093B08" w:rsidRPr="00F86D91" w:rsidRDefault="00093B08" w:rsidP="003E194F">
      <w:pPr>
        <w:spacing w:after="0" w:line="240" w:lineRule="auto"/>
        <w:ind w:left="720" w:hanging="720"/>
        <w:rPr>
          <w:rFonts w:ascii="Tahoma" w:eastAsia="Arial" w:hAnsi="Tahoma" w:cs="Tahoma"/>
          <w:color w:val="000000" w:themeColor="text1"/>
          <w:sz w:val="24"/>
          <w:szCs w:val="24"/>
        </w:rPr>
      </w:pPr>
    </w:p>
    <w:p w14:paraId="02359264" w14:textId="77777777" w:rsidR="003E194F" w:rsidRPr="00F86D91" w:rsidRDefault="003E194F" w:rsidP="53234C4C">
      <w:pPr>
        <w:spacing w:after="0" w:line="240" w:lineRule="auto"/>
        <w:ind w:left="720" w:hanging="720"/>
        <w:rPr>
          <w:rFonts w:ascii="Tahoma" w:eastAsia="Arial" w:hAnsi="Tahoma" w:cs="Tahoma"/>
          <w:color w:val="000000" w:themeColor="text1"/>
          <w:sz w:val="24"/>
          <w:szCs w:val="24"/>
        </w:rPr>
      </w:pPr>
    </w:p>
    <w:p w14:paraId="637A7AC6" w14:textId="53598CDF" w:rsidR="210EF59C" w:rsidRPr="00F86D91" w:rsidRDefault="210EF59C"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69</w:t>
      </w:r>
      <w:r w:rsidRPr="00F86D91">
        <w:rPr>
          <w:rFonts w:ascii="Tahoma" w:eastAsia="Arial" w:hAnsi="Tahoma" w:cs="Tahoma"/>
          <w:b/>
          <w:bCs/>
          <w:color w:val="000000" w:themeColor="text1"/>
          <w:sz w:val="24"/>
          <w:szCs w:val="24"/>
        </w:rPr>
        <w:t>.</w:t>
      </w:r>
      <w:r w:rsidRPr="00F86D91">
        <w:rPr>
          <w:rFonts w:ascii="Tahoma" w:hAnsi="Tahoma" w:cs="Tahoma"/>
        </w:rPr>
        <w:tab/>
      </w:r>
      <w:r w:rsidR="2184EEA4" w:rsidRPr="00F86D91">
        <w:rPr>
          <w:rFonts w:ascii="Tahoma" w:eastAsia="Arial" w:hAnsi="Tahoma" w:cs="Tahoma"/>
          <w:b/>
          <w:bCs/>
          <w:color w:val="000000" w:themeColor="text1"/>
          <w:sz w:val="24"/>
          <w:szCs w:val="24"/>
        </w:rPr>
        <w:t>Can you provide additional information (e.g. minimum content) regarding the required O&amp;M Plan</w:t>
      </w:r>
      <w:r w:rsidR="00697DB4" w:rsidRPr="00F86D91">
        <w:rPr>
          <w:rFonts w:ascii="Tahoma" w:eastAsia="Arial" w:hAnsi="Tahoma" w:cs="Tahoma"/>
          <w:b/>
          <w:bCs/>
          <w:color w:val="000000" w:themeColor="text1"/>
          <w:sz w:val="24"/>
          <w:szCs w:val="24"/>
        </w:rPr>
        <w:t xml:space="preserve"> (Attachment </w:t>
      </w:r>
      <w:r w:rsidR="00046C82" w:rsidRPr="00F86D91">
        <w:rPr>
          <w:rFonts w:ascii="Tahoma" w:eastAsia="Arial" w:hAnsi="Tahoma" w:cs="Tahoma"/>
          <w:b/>
          <w:bCs/>
          <w:color w:val="000000" w:themeColor="text1"/>
          <w:sz w:val="24"/>
          <w:szCs w:val="24"/>
        </w:rPr>
        <w:t>15</w:t>
      </w:r>
      <w:r w:rsidR="00697DB4" w:rsidRPr="00F86D91">
        <w:rPr>
          <w:rFonts w:ascii="Tahoma" w:eastAsia="Arial" w:hAnsi="Tahoma" w:cs="Tahoma"/>
          <w:b/>
          <w:bCs/>
          <w:color w:val="000000" w:themeColor="text1"/>
          <w:sz w:val="24"/>
          <w:szCs w:val="24"/>
        </w:rPr>
        <w:t>)</w:t>
      </w:r>
      <w:r w:rsidR="008C4455" w:rsidRPr="00F86D91">
        <w:rPr>
          <w:rFonts w:ascii="Tahoma" w:eastAsia="Arial" w:hAnsi="Tahoma" w:cs="Tahoma"/>
          <w:b/>
          <w:bCs/>
          <w:color w:val="000000" w:themeColor="text1"/>
          <w:sz w:val="24"/>
          <w:szCs w:val="24"/>
        </w:rPr>
        <w:t>?</w:t>
      </w:r>
    </w:p>
    <w:p w14:paraId="1B84BA7A" w14:textId="716E647A" w:rsidR="53234C4C" w:rsidRPr="00F86D91" w:rsidRDefault="53234C4C" w:rsidP="53234C4C">
      <w:pPr>
        <w:spacing w:after="0" w:line="240" w:lineRule="auto"/>
        <w:ind w:left="720" w:hanging="720"/>
        <w:rPr>
          <w:rFonts w:ascii="Tahoma" w:eastAsia="Arial" w:hAnsi="Tahoma" w:cs="Tahoma"/>
          <w:b/>
          <w:bCs/>
          <w:color w:val="000000" w:themeColor="text1"/>
          <w:sz w:val="24"/>
          <w:szCs w:val="24"/>
        </w:rPr>
      </w:pPr>
    </w:p>
    <w:p w14:paraId="074EA3E6" w14:textId="47963885" w:rsidR="009900AA" w:rsidRPr="00F86D91" w:rsidRDefault="210EF59C" w:rsidP="009900AA">
      <w:pPr>
        <w:spacing w:after="0" w:line="240" w:lineRule="auto"/>
        <w:ind w:left="720" w:hanging="720"/>
        <w:rPr>
          <w:rFonts w:ascii="Tahoma" w:hAnsi="Tahoma" w:cs="Tahoma"/>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69</w:t>
      </w:r>
      <w:r w:rsidRPr="00F86D91">
        <w:rPr>
          <w:rFonts w:ascii="Tahoma" w:eastAsia="Arial" w:hAnsi="Tahoma" w:cs="Tahoma"/>
          <w:color w:val="000000" w:themeColor="text1"/>
          <w:sz w:val="24"/>
          <w:szCs w:val="24"/>
        </w:rPr>
        <w:t>.</w:t>
      </w:r>
      <w:r w:rsidRPr="00F86D91">
        <w:rPr>
          <w:rFonts w:ascii="Tahoma" w:hAnsi="Tahoma" w:cs="Tahoma"/>
        </w:rPr>
        <w:tab/>
      </w:r>
      <w:r w:rsidR="00CA54D2" w:rsidRPr="00F86D91">
        <w:rPr>
          <w:rFonts w:ascii="Tahoma" w:hAnsi="Tahoma" w:cs="Tahoma"/>
          <w:sz w:val="24"/>
          <w:szCs w:val="24"/>
        </w:rPr>
        <w:t>The solicitation manual states, “A</w:t>
      </w:r>
      <w:r w:rsidR="009900AA" w:rsidRPr="00F86D91">
        <w:rPr>
          <w:rFonts w:ascii="Tahoma" w:hAnsi="Tahoma" w:cs="Tahoma"/>
          <w:sz w:val="24"/>
          <w:szCs w:val="24"/>
        </w:rPr>
        <w:t xml:space="preserve">pplicants must submit an Operation and Maintenance (O&amp;M) Plan, limited to three pages, detailing operation and maintenance of charging equipment for at least six years after the beginning of operation, to meet the requirements described in the Scope of Work (Attachment 1). The O&amp;M Plan should address, but is not limited to, preventive and corrective maintenance, recordkeeping, and reporting. The O&amp;M Plan should describe plans to maximize uptime, including availability of qualified technicians and replacement parts; remote monitoring, diagnostics, updates, and repairs; minimizing response time when an error is detected; proactive and ongoing efforts to ensure interoperability of chargers and vehicles; customer service, including processes for customers to report that a charger is not operational; and site host training, if applicable. </w:t>
      </w:r>
    </w:p>
    <w:p w14:paraId="0C6D8688" w14:textId="49F2EBD8" w:rsidR="009900AA" w:rsidRPr="00F86D91" w:rsidRDefault="009900AA" w:rsidP="59BC4DF4">
      <w:pPr>
        <w:spacing w:after="0" w:line="240" w:lineRule="auto"/>
        <w:ind w:left="720"/>
        <w:rPr>
          <w:rFonts w:ascii="Tahoma" w:hAnsi="Tahoma" w:cs="Tahoma"/>
          <w:sz w:val="24"/>
          <w:szCs w:val="24"/>
        </w:rPr>
      </w:pPr>
      <w:r w:rsidRPr="00F86D91">
        <w:rPr>
          <w:rFonts w:ascii="Tahoma" w:hAnsi="Tahoma" w:cs="Tahoma"/>
          <w:sz w:val="24"/>
          <w:szCs w:val="24"/>
        </w:rPr>
        <w:t xml:space="preserve">The O&amp;M Plan must explain how the customer service project requirements will be met (see Scope of Work (Attachment 1)). </w:t>
      </w:r>
    </w:p>
    <w:p w14:paraId="60CEB8FD" w14:textId="77777777" w:rsidR="009900AA" w:rsidRPr="00F86D91" w:rsidRDefault="009900AA" w:rsidP="009900AA">
      <w:pPr>
        <w:spacing w:after="0" w:line="240" w:lineRule="auto"/>
        <w:ind w:left="720" w:hanging="720"/>
        <w:rPr>
          <w:rFonts w:ascii="Tahoma" w:hAnsi="Tahoma" w:cs="Tahoma"/>
          <w:sz w:val="24"/>
          <w:szCs w:val="24"/>
        </w:rPr>
      </w:pPr>
    </w:p>
    <w:p w14:paraId="5DC73E93" w14:textId="6351EA52" w:rsidR="210EF59C" w:rsidRPr="00F86D91" w:rsidRDefault="009900AA" w:rsidP="59BC4DF4">
      <w:pPr>
        <w:spacing w:after="0" w:line="240" w:lineRule="auto"/>
        <w:ind w:left="720"/>
        <w:rPr>
          <w:rFonts w:ascii="Tahoma" w:hAnsi="Tahoma" w:cs="Tahoma"/>
          <w:sz w:val="24"/>
          <w:szCs w:val="24"/>
        </w:rPr>
      </w:pPr>
      <w:r w:rsidRPr="00F86D91">
        <w:rPr>
          <w:rFonts w:ascii="Tahoma" w:hAnsi="Tahoma" w:cs="Tahoma"/>
          <w:sz w:val="24"/>
          <w:szCs w:val="24"/>
        </w:rPr>
        <w:t>The O&amp;M Plan must address maintenance of the charging station pedestals, and all ancillary equipment, including but not limited to any awnings, canopies, shelters, and information display kiosks or signage associated with the charging station. “Maintain,” as used in this solicitation means “to provide all needed repairs or desired and approved alteration, as well as to clean the equipment and keep it safe, clean, and presentable”</w:t>
      </w:r>
    </w:p>
    <w:p w14:paraId="5AADCD71" w14:textId="77777777" w:rsidR="001E702A" w:rsidRPr="00F86D91" w:rsidRDefault="001E702A" w:rsidP="59BC4DF4">
      <w:pPr>
        <w:spacing w:after="0" w:line="240" w:lineRule="auto"/>
        <w:ind w:left="720"/>
        <w:rPr>
          <w:rFonts w:ascii="Tahoma" w:hAnsi="Tahoma" w:cs="Tahoma"/>
          <w:sz w:val="24"/>
          <w:szCs w:val="24"/>
        </w:rPr>
      </w:pPr>
    </w:p>
    <w:p w14:paraId="75DA74CD" w14:textId="3BE2BF7C" w:rsidR="001E702A" w:rsidRPr="00F86D91" w:rsidRDefault="001E702A" w:rsidP="59BC4DF4">
      <w:pPr>
        <w:spacing w:after="0" w:line="240" w:lineRule="auto"/>
        <w:ind w:left="720"/>
        <w:rPr>
          <w:rFonts w:ascii="Tahoma" w:hAnsi="Tahoma" w:cs="Tahoma"/>
          <w:sz w:val="24"/>
          <w:szCs w:val="24"/>
        </w:rPr>
      </w:pPr>
      <w:r w:rsidRPr="00F86D91">
        <w:rPr>
          <w:rFonts w:ascii="Tahoma" w:hAnsi="Tahoma" w:cs="Tahoma"/>
          <w:sz w:val="24"/>
          <w:szCs w:val="24"/>
        </w:rPr>
        <w:t xml:space="preserve">(Section </w:t>
      </w:r>
      <w:r w:rsidR="00566676" w:rsidRPr="00F86D91">
        <w:rPr>
          <w:rFonts w:ascii="Tahoma" w:hAnsi="Tahoma" w:cs="Tahoma"/>
          <w:sz w:val="24"/>
          <w:szCs w:val="24"/>
        </w:rPr>
        <w:t>III.C.14., page 3</w:t>
      </w:r>
      <w:r w:rsidR="006B5AD1">
        <w:rPr>
          <w:rFonts w:ascii="Tahoma" w:hAnsi="Tahoma" w:cs="Tahoma"/>
          <w:sz w:val="24"/>
          <w:szCs w:val="24"/>
        </w:rPr>
        <w:t>4</w:t>
      </w:r>
      <w:r w:rsidR="00566676" w:rsidRPr="00F86D91">
        <w:rPr>
          <w:rFonts w:ascii="Tahoma" w:hAnsi="Tahoma" w:cs="Tahoma"/>
          <w:sz w:val="24"/>
          <w:szCs w:val="24"/>
        </w:rPr>
        <w:t xml:space="preserve">, </w:t>
      </w:r>
      <w:r w:rsidR="0087117D" w:rsidRPr="00F86D91">
        <w:rPr>
          <w:rFonts w:ascii="Tahoma" w:hAnsi="Tahoma" w:cs="Tahoma"/>
          <w:sz w:val="24"/>
          <w:szCs w:val="24"/>
        </w:rPr>
        <w:t>“</w:t>
      </w:r>
      <w:r w:rsidR="00566676" w:rsidRPr="00F86D91">
        <w:rPr>
          <w:rFonts w:ascii="Tahoma" w:hAnsi="Tahoma" w:cs="Tahoma"/>
          <w:sz w:val="24"/>
          <w:szCs w:val="24"/>
        </w:rPr>
        <w:t>Operation and Maintenance Plan</w:t>
      </w:r>
      <w:r w:rsidR="0087117D" w:rsidRPr="00F86D91">
        <w:rPr>
          <w:rFonts w:ascii="Tahoma" w:hAnsi="Tahoma" w:cs="Tahoma"/>
          <w:sz w:val="24"/>
          <w:szCs w:val="24"/>
        </w:rPr>
        <w:t>”</w:t>
      </w:r>
      <w:r w:rsidR="00566676" w:rsidRPr="00F86D91">
        <w:rPr>
          <w:rFonts w:ascii="Tahoma" w:hAnsi="Tahoma" w:cs="Tahoma"/>
          <w:sz w:val="24"/>
          <w:szCs w:val="24"/>
        </w:rPr>
        <w:t>, Solicitation Manual).</w:t>
      </w:r>
    </w:p>
    <w:p w14:paraId="06C70AD3" w14:textId="77777777" w:rsidR="00566676" w:rsidRPr="00F86D91" w:rsidRDefault="00566676" w:rsidP="59BC4DF4">
      <w:pPr>
        <w:spacing w:after="0" w:line="240" w:lineRule="auto"/>
        <w:ind w:left="720"/>
        <w:rPr>
          <w:rFonts w:ascii="Tahoma" w:hAnsi="Tahoma" w:cs="Tahoma"/>
          <w:sz w:val="24"/>
          <w:szCs w:val="24"/>
        </w:rPr>
      </w:pPr>
    </w:p>
    <w:p w14:paraId="779ADB1D" w14:textId="1315F86B" w:rsidR="00566676" w:rsidRPr="00F86D91" w:rsidRDefault="0076764D" w:rsidP="009D56B3">
      <w:pPr>
        <w:spacing w:after="0" w:line="240" w:lineRule="auto"/>
        <w:ind w:left="720" w:hanging="720"/>
        <w:rPr>
          <w:rFonts w:ascii="Tahoma" w:hAnsi="Tahoma" w:cs="Tahoma"/>
          <w:sz w:val="24"/>
          <w:szCs w:val="24"/>
        </w:rPr>
      </w:pPr>
      <w:r w:rsidRPr="00F86D91">
        <w:rPr>
          <w:rFonts w:ascii="Tahoma" w:hAnsi="Tahoma" w:cs="Tahoma"/>
          <w:sz w:val="24"/>
          <w:szCs w:val="24"/>
        </w:rPr>
        <w:tab/>
        <w:t xml:space="preserve">Applicants should also refer to section </w:t>
      </w:r>
      <w:r w:rsidR="00D21DA9" w:rsidRPr="00F86D91">
        <w:rPr>
          <w:rFonts w:ascii="Tahoma" w:hAnsi="Tahoma" w:cs="Tahoma"/>
          <w:sz w:val="24"/>
          <w:szCs w:val="24"/>
        </w:rPr>
        <w:t xml:space="preserve">IV.E.7., page </w:t>
      </w:r>
      <w:r w:rsidR="006B5AD1">
        <w:rPr>
          <w:rFonts w:ascii="Tahoma" w:hAnsi="Tahoma" w:cs="Tahoma"/>
          <w:sz w:val="24"/>
          <w:szCs w:val="24"/>
        </w:rPr>
        <w:t>41</w:t>
      </w:r>
      <w:r w:rsidR="00D21DA9" w:rsidRPr="00F86D91">
        <w:rPr>
          <w:rFonts w:ascii="Tahoma" w:hAnsi="Tahoma" w:cs="Tahoma"/>
          <w:sz w:val="24"/>
          <w:szCs w:val="24"/>
        </w:rPr>
        <w:t xml:space="preserve">, </w:t>
      </w:r>
      <w:r w:rsidR="0087117D" w:rsidRPr="00F86D91">
        <w:rPr>
          <w:rFonts w:ascii="Tahoma" w:hAnsi="Tahoma" w:cs="Tahoma"/>
          <w:sz w:val="24"/>
          <w:szCs w:val="24"/>
        </w:rPr>
        <w:t>“</w:t>
      </w:r>
      <w:r w:rsidR="00D21DA9" w:rsidRPr="00F86D91">
        <w:rPr>
          <w:rFonts w:ascii="Tahoma" w:hAnsi="Tahoma" w:cs="Tahoma"/>
          <w:sz w:val="24"/>
          <w:szCs w:val="24"/>
        </w:rPr>
        <w:t>Operation and Maintenance Plan</w:t>
      </w:r>
      <w:r w:rsidR="0087117D" w:rsidRPr="00F86D91">
        <w:rPr>
          <w:rFonts w:ascii="Tahoma" w:hAnsi="Tahoma" w:cs="Tahoma"/>
          <w:sz w:val="24"/>
          <w:szCs w:val="24"/>
        </w:rPr>
        <w:t>”</w:t>
      </w:r>
      <w:r w:rsidR="009D56B3" w:rsidRPr="00F86D91">
        <w:rPr>
          <w:rFonts w:ascii="Tahoma" w:hAnsi="Tahoma" w:cs="Tahoma"/>
          <w:sz w:val="24"/>
          <w:szCs w:val="24"/>
        </w:rPr>
        <w:t xml:space="preserve"> in the solicitation manual for details on how the Operation and Maintenance Plan will be scored.</w:t>
      </w:r>
    </w:p>
    <w:p w14:paraId="561CCF94" w14:textId="6347E896" w:rsidR="53234C4C" w:rsidRPr="00F86D91" w:rsidRDefault="53234C4C" w:rsidP="53234C4C">
      <w:pPr>
        <w:spacing w:after="0" w:line="240" w:lineRule="auto"/>
        <w:ind w:left="720" w:hanging="720"/>
        <w:rPr>
          <w:rFonts w:ascii="Tahoma" w:eastAsia="Arial" w:hAnsi="Tahoma" w:cs="Tahoma"/>
          <w:color w:val="000000" w:themeColor="text1"/>
          <w:sz w:val="24"/>
          <w:szCs w:val="24"/>
        </w:rPr>
      </w:pPr>
    </w:p>
    <w:p w14:paraId="278D7612" w14:textId="77777777" w:rsidR="00C07C10" w:rsidRPr="00F86D91" w:rsidRDefault="00C07C10" w:rsidP="53234C4C">
      <w:pPr>
        <w:spacing w:after="0" w:line="240" w:lineRule="auto"/>
        <w:ind w:left="720" w:hanging="720"/>
        <w:rPr>
          <w:rFonts w:ascii="Tahoma" w:eastAsia="Arial" w:hAnsi="Tahoma" w:cs="Tahoma"/>
          <w:color w:val="000000" w:themeColor="text1"/>
          <w:sz w:val="24"/>
          <w:szCs w:val="24"/>
        </w:rPr>
      </w:pPr>
    </w:p>
    <w:p w14:paraId="7955D054" w14:textId="5CB9A749" w:rsidR="210EF59C" w:rsidRPr="00F86D91" w:rsidRDefault="68B05519"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70</w:t>
      </w:r>
      <w:r w:rsidRPr="00F86D91">
        <w:rPr>
          <w:rFonts w:ascii="Tahoma" w:eastAsia="Arial" w:hAnsi="Tahoma" w:cs="Tahoma"/>
          <w:b/>
          <w:bCs/>
          <w:color w:val="000000" w:themeColor="text1"/>
          <w:sz w:val="24"/>
          <w:szCs w:val="24"/>
        </w:rPr>
        <w:t>.</w:t>
      </w:r>
      <w:r w:rsidR="210EF59C" w:rsidRPr="00F86D91">
        <w:rPr>
          <w:rFonts w:ascii="Tahoma" w:hAnsi="Tahoma" w:cs="Tahoma"/>
        </w:rPr>
        <w:tab/>
      </w:r>
      <w:r w:rsidR="4A28C9FC" w:rsidRPr="00F86D91">
        <w:rPr>
          <w:rFonts w:ascii="Tahoma" w:eastAsia="Arial" w:hAnsi="Tahoma" w:cs="Tahoma"/>
          <w:b/>
          <w:bCs/>
          <w:color w:val="000000" w:themeColor="text1"/>
          <w:sz w:val="24"/>
          <w:szCs w:val="24"/>
        </w:rPr>
        <w:t>If a charger has dual ports, is the CEC cost cap doubled?</w:t>
      </w:r>
    </w:p>
    <w:p w14:paraId="14F24867" w14:textId="15E9D8E9" w:rsidR="53234C4C" w:rsidRPr="00F86D91" w:rsidRDefault="53234C4C" w:rsidP="53234C4C">
      <w:pPr>
        <w:spacing w:after="0" w:line="240" w:lineRule="auto"/>
        <w:ind w:left="720" w:hanging="720"/>
        <w:rPr>
          <w:rFonts w:ascii="Tahoma" w:eastAsia="Arial" w:hAnsi="Tahoma" w:cs="Tahoma"/>
          <w:b/>
          <w:bCs/>
          <w:color w:val="000000" w:themeColor="text1"/>
          <w:sz w:val="24"/>
          <w:szCs w:val="24"/>
        </w:rPr>
      </w:pPr>
    </w:p>
    <w:p w14:paraId="21889AC6" w14:textId="31CBB064" w:rsidR="210EF59C" w:rsidRPr="00F86D91" w:rsidRDefault="210EF59C" w:rsidP="53234C4C">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70</w:t>
      </w:r>
      <w:r w:rsidRPr="00F86D91">
        <w:rPr>
          <w:rFonts w:ascii="Tahoma" w:eastAsia="Arial" w:hAnsi="Tahoma" w:cs="Tahoma"/>
          <w:color w:val="000000" w:themeColor="text1"/>
          <w:sz w:val="24"/>
          <w:szCs w:val="24"/>
        </w:rPr>
        <w:t>.</w:t>
      </w:r>
      <w:r w:rsidRPr="00F86D91">
        <w:rPr>
          <w:rFonts w:ascii="Tahoma" w:hAnsi="Tahoma" w:cs="Tahoma"/>
        </w:rPr>
        <w:tab/>
      </w:r>
      <w:r w:rsidR="0005647E" w:rsidRPr="00F86D91">
        <w:rPr>
          <w:rFonts w:ascii="Tahoma" w:eastAsia="Arial" w:hAnsi="Tahoma" w:cs="Tahoma"/>
          <w:color w:val="000000" w:themeColor="text1"/>
          <w:sz w:val="24"/>
          <w:szCs w:val="24"/>
        </w:rPr>
        <w:t>No, t</w:t>
      </w:r>
      <w:r w:rsidR="76593504" w:rsidRPr="00F86D91">
        <w:rPr>
          <w:rFonts w:ascii="Tahoma" w:eastAsia="Arial" w:hAnsi="Tahoma" w:cs="Tahoma"/>
          <w:color w:val="000000" w:themeColor="text1"/>
          <w:sz w:val="24"/>
          <w:szCs w:val="24"/>
        </w:rPr>
        <w:t>he cost cap is by port and not per charging</w:t>
      </w:r>
      <w:r w:rsidR="00145631" w:rsidRPr="00F86D91">
        <w:rPr>
          <w:rFonts w:ascii="Tahoma" w:eastAsia="Arial" w:hAnsi="Tahoma" w:cs="Tahoma"/>
          <w:color w:val="000000" w:themeColor="text1"/>
          <w:sz w:val="24"/>
          <w:szCs w:val="24"/>
        </w:rPr>
        <w:t xml:space="preserve"> unit</w:t>
      </w:r>
      <w:r w:rsidR="76593504" w:rsidRPr="00F86D91">
        <w:rPr>
          <w:rFonts w:ascii="Tahoma" w:eastAsia="Arial" w:hAnsi="Tahoma" w:cs="Tahoma"/>
          <w:color w:val="000000" w:themeColor="text1"/>
          <w:sz w:val="24"/>
          <w:szCs w:val="24"/>
        </w:rPr>
        <w:t xml:space="preserve">. </w:t>
      </w:r>
      <w:r w:rsidR="00C772D0" w:rsidRPr="00F86D91">
        <w:rPr>
          <w:rFonts w:ascii="Tahoma" w:eastAsia="Arial" w:hAnsi="Tahoma" w:cs="Tahoma"/>
          <w:color w:val="000000" w:themeColor="text1"/>
          <w:sz w:val="24"/>
          <w:szCs w:val="24"/>
        </w:rPr>
        <w:t>The solicitation manual states, “</w:t>
      </w:r>
      <w:r w:rsidR="005D2791" w:rsidRPr="00F86D91">
        <w:rPr>
          <w:rFonts w:ascii="Tahoma" w:eastAsia="Arial" w:hAnsi="Tahoma" w:cs="Tahoma"/>
          <w:color w:val="000000" w:themeColor="text1"/>
          <w:sz w:val="24"/>
          <w:szCs w:val="24"/>
        </w:rPr>
        <w:t>For the purposes of this solicitation, a charging port can distribute electrical energy for the purpose of charging an electric vehicle independently of other ports on the same charger”</w:t>
      </w:r>
      <w:r w:rsidR="00B517CB" w:rsidRPr="00F86D91">
        <w:rPr>
          <w:rFonts w:ascii="Tahoma" w:eastAsia="Arial" w:hAnsi="Tahoma" w:cs="Tahoma"/>
          <w:color w:val="000000" w:themeColor="text1"/>
          <w:sz w:val="24"/>
          <w:szCs w:val="24"/>
        </w:rPr>
        <w:t xml:space="preserve"> </w:t>
      </w:r>
      <w:r w:rsidR="00A97FD3" w:rsidRPr="00F86D91">
        <w:rPr>
          <w:rFonts w:ascii="Tahoma" w:eastAsia="Arial" w:hAnsi="Tahoma" w:cs="Tahoma"/>
          <w:color w:val="000000" w:themeColor="text1"/>
          <w:sz w:val="24"/>
          <w:szCs w:val="24"/>
        </w:rPr>
        <w:t xml:space="preserve">(Section </w:t>
      </w:r>
      <w:r w:rsidR="005518D6" w:rsidRPr="00F86D91">
        <w:rPr>
          <w:rFonts w:ascii="Tahoma" w:eastAsia="Arial" w:hAnsi="Tahoma" w:cs="Tahoma"/>
          <w:color w:val="000000" w:themeColor="text1"/>
          <w:sz w:val="24"/>
          <w:szCs w:val="24"/>
        </w:rPr>
        <w:t>II.B.</w:t>
      </w:r>
      <w:r w:rsidR="0061429B" w:rsidRPr="00F86D91">
        <w:rPr>
          <w:rFonts w:ascii="Tahoma" w:eastAsia="Arial" w:hAnsi="Tahoma" w:cs="Tahoma"/>
          <w:color w:val="000000" w:themeColor="text1"/>
          <w:sz w:val="24"/>
          <w:szCs w:val="24"/>
        </w:rPr>
        <w:t>2, page 1</w:t>
      </w:r>
      <w:r w:rsidR="002D6577">
        <w:rPr>
          <w:rFonts w:ascii="Tahoma" w:eastAsia="Arial" w:hAnsi="Tahoma" w:cs="Tahoma"/>
          <w:color w:val="000000" w:themeColor="text1"/>
          <w:sz w:val="24"/>
          <w:szCs w:val="24"/>
        </w:rPr>
        <w:t>1</w:t>
      </w:r>
      <w:r w:rsidR="0061429B" w:rsidRPr="00F86D91">
        <w:rPr>
          <w:rFonts w:ascii="Tahoma" w:eastAsia="Arial" w:hAnsi="Tahoma" w:cs="Tahoma"/>
          <w:color w:val="000000" w:themeColor="text1"/>
          <w:sz w:val="24"/>
          <w:szCs w:val="24"/>
        </w:rPr>
        <w:t xml:space="preserve">, </w:t>
      </w:r>
      <w:r w:rsidR="002D6577">
        <w:rPr>
          <w:rFonts w:ascii="Tahoma" w:eastAsia="Arial" w:hAnsi="Tahoma" w:cs="Tahoma"/>
          <w:color w:val="000000" w:themeColor="text1"/>
          <w:sz w:val="24"/>
          <w:szCs w:val="24"/>
        </w:rPr>
        <w:t>“</w:t>
      </w:r>
      <w:r w:rsidR="0061429B" w:rsidRPr="00F86D91">
        <w:rPr>
          <w:rFonts w:ascii="Tahoma" w:eastAsia="Arial" w:hAnsi="Tahoma" w:cs="Tahoma"/>
          <w:color w:val="000000" w:themeColor="text1"/>
          <w:sz w:val="24"/>
          <w:szCs w:val="24"/>
        </w:rPr>
        <w:t>Minimum Port Count</w:t>
      </w:r>
      <w:r w:rsidR="002D6577">
        <w:rPr>
          <w:rFonts w:ascii="Tahoma" w:eastAsia="Arial" w:hAnsi="Tahoma" w:cs="Tahoma"/>
          <w:color w:val="000000" w:themeColor="text1"/>
          <w:sz w:val="24"/>
          <w:szCs w:val="24"/>
        </w:rPr>
        <w:t>”</w:t>
      </w:r>
      <w:r w:rsidR="0061429B" w:rsidRPr="00F86D91">
        <w:rPr>
          <w:rFonts w:ascii="Tahoma" w:eastAsia="Arial" w:hAnsi="Tahoma" w:cs="Tahoma"/>
          <w:color w:val="000000" w:themeColor="text1"/>
          <w:sz w:val="24"/>
          <w:szCs w:val="24"/>
        </w:rPr>
        <w:t>, Solicitation Manual).</w:t>
      </w:r>
    </w:p>
    <w:p w14:paraId="59D00BD1" w14:textId="77777777" w:rsidR="0061429B" w:rsidRPr="00F86D91" w:rsidRDefault="0061429B" w:rsidP="53234C4C">
      <w:pPr>
        <w:spacing w:after="0" w:line="240" w:lineRule="auto"/>
        <w:ind w:left="720" w:hanging="720"/>
        <w:rPr>
          <w:rFonts w:ascii="Tahoma" w:eastAsia="Arial" w:hAnsi="Tahoma" w:cs="Tahoma"/>
          <w:color w:val="000000" w:themeColor="text1"/>
          <w:sz w:val="24"/>
          <w:szCs w:val="24"/>
        </w:rPr>
      </w:pPr>
    </w:p>
    <w:p w14:paraId="51334B19" w14:textId="77777777" w:rsidR="00C01EB4" w:rsidRPr="00F86D91" w:rsidRDefault="0061429B" w:rsidP="00C01EB4">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b/>
        <w:t>The solicitation manual also states, “</w:t>
      </w:r>
      <w:r w:rsidR="00C01EB4" w:rsidRPr="00F86D91">
        <w:rPr>
          <w:rFonts w:ascii="Tahoma" w:eastAsia="Arial" w:hAnsi="Tahoma" w:cs="Tahoma"/>
          <w:color w:val="000000" w:themeColor="text1"/>
          <w:sz w:val="24"/>
          <w:szCs w:val="24"/>
        </w:rPr>
        <w:t>This solicitation will implement cost caps for both L2 chargers, and DCFCs, regardless of whether mobile or stationary, as described below:</w:t>
      </w:r>
    </w:p>
    <w:p w14:paraId="37D4E752" w14:textId="77777777" w:rsidR="00C01EB4" w:rsidRPr="00F86D91" w:rsidRDefault="00C01EB4" w:rsidP="00C01EB4">
      <w:pPr>
        <w:spacing w:after="0" w:line="240" w:lineRule="auto"/>
        <w:ind w:left="144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w:t>
      </w:r>
      <w:r w:rsidRPr="00F86D91">
        <w:rPr>
          <w:rFonts w:ascii="Tahoma" w:eastAsia="Arial" w:hAnsi="Tahoma" w:cs="Tahoma"/>
          <w:color w:val="000000" w:themeColor="text1"/>
          <w:sz w:val="24"/>
          <w:szCs w:val="24"/>
        </w:rPr>
        <w:tab/>
        <w:t>L2 Chargers: Projects may average no more than $12,500 in CEC funds per charging port installed. This cost cap includes all CEC funded costs associated with installing a charging station.</w:t>
      </w:r>
    </w:p>
    <w:p w14:paraId="1637E1AF" w14:textId="2185C93F" w:rsidR="0061429B" w:rsidRPr="00F86D91" w:rsidRDefault="00C01EB4" w:rsidP="00C01EB4">
      <w:pPr>
        <w:spacing w:after="0" w:line="240" w:lineRule="auto"/>
        <w:ind w:left="144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w:t>
      </w:r>
      <w:r w:rsidRPr="00F86D91">
        <w:rPr>
          <w:rFonts w:ascii="Tahoma" w:eastAsia="Arial" w:hAnsi="Tahoma" w:cs="Tahoma"/>
          <w:color w:val="000000" w:themeColor="text1"/>
          <w:sz w:val="24"/>
          <w:szCs w:val="24"/>
        </w:rPr>
        <w:tab/>
        <w:t>DCFCs: Projects may average no more than $100,000 in CEC funds per charging port installed. This cost cap includes all CEC funded costs associated with installing a charging station”</w:t>
      </w:r>
    </w:p>
    <w:p w14:paraId="5D5F7F80" w14:textId="77777777" w:rsidR="00C01EB4" w:rsidRPr="00F86D91" w:rsidRDefault="00C01EB4" w:rsidP="00C01EB4">
      <w:pPr>
        <w:spacing w:after="0" w:line="240" w:lineRule="auto"/>
        <w:rPr>
          <w:rFonts w:ascii="Tahoma" w:eastAsia="Arial" w:hAnsi="Tahoma" w:cs="Tahoma"/>
          <w:color w:val="000000" w:themeColor="text1"/>
          <w:sz w:val="24"/>
          <w:szCs w:val="24"/>
        </w:rPr>
      </w:pPr>
    </w:p>
    <w:p w14:paraId="0602A435" w14:textId="5EBD3DB5" w:rsidR="00C01EB4" w:rsidRPr="00F86D91" w:rsidRDefault="00C01EB4" w:rsidP="00C01EB4">
      <w:pPr>
        <w:spacing w:after="0" w:line="240" w:lineRule="auto"/>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b/>
        <w:t>(Section II.B.5, page 1</w:t>
      </w:r>
      <w:r w:rsidR="002D6577">
        <w:rPr>
          <w:rFonts w:ascii="Tahoma" w:eastAsia="Arial" w:hAnsi="Tahoma" w:cs="Tahoma"/>
          <w:color w:val="000000" w:themeColor="text1"/>
          <w:sz w:val="24"/>
          <w:szCs w:val="24"/>
        </w:rPr>
        <w:t>2</w:t>
      </w:r>
      <w:r w:rsidRPr="00F86D91">
        <w:rPr>
          <w:rFonts w:ascii="Tahoma" w:eastAsia="Arial" w:hAnsi="Tahoma" w:cs="Tahoma"/>
          <w:color w:val="000000" w:themeColor="text1"/>
          <w:sz w:val="24"/>
          <w:szCs w:val="24"/>
        </w:rPr>
        <w:t xml:space="preserve">, </w:t>
      </w:r>
      <w:r w:rsidR="0087117D" w:rsidRPr="00F86D91">
        <w:rPr>
          <w:rFonts w:ascii="Tahoma" w:eastAsia="Arial" w:hAnsi="Tahoma" w:cs="Tahoma"/>
          <w:color w:val="000000" w:themeColor="text1"/>
          <w:sz w:val="24"/>
          <w:szCs w:val="24"/>
        </w:rPr>
        <w:t>“</w:t>
      </w:r>
      <w:r w:rsidRPr="00F86D91">
        <w:rPr>
          <w:rFonts w:ascii="Tahoma" w:eastAsia="Arial" w:hAnsi="Tahoma" w:cs="Tahoma"/>
          <w:color w:val="000000" w:themeColor="text1"/>
          <w:sz w:val="24"/>
          <w:szCs w:val="24"/>
        </w:rPr>
        <w:t>Charger Cost Caps</w:t>
      </w:r>
      <w:r w:rsidR="0087117D" w:rsidRPr="00F86D91">
        <w:rPr>
          <w:rFonts w:ascii="Tahoma" w:eastAsia="Arial" w:hAnsi="Tahoma" w:cs="Tahoma"/>
          <w:color w:val="000000" w:themeColor="text1"/>
          <w:sz w:val="24"/>
          <w:szCs w:val="24"/>
        </w:rPr>
        <w:t>”</w:t>
      </w:r>
      <w:r w:rsidRPr="00F86D91">
        <w:rPr>
          <w:rFonts w:ascii="Tahoma" w:eastAsia="Arial" w:hAnsi="Tahoma" w:cs="Tahoma"/>
          <w:color w:val="000000" w:themeColor="text1"/>
          <w:sz w:val="24"/>
          <w:szCs w:val="24"/>
        </w:rPr>
        <w:t>, Solicitation Manual).</w:t>
      </w:r>
    </w:p>
    <w:p w14:paraId="2B298E86" w14:textId="24D52EB1" w:rsidR="53234C4C" w:rsidRPr="00F86D91" w:rsidRDefault="53234C4C" w:rsidP="00C01EB4">
      <w:pPr>
        <w:spacing w:after="0" w:line="240" w:lineRule="auto"/>
        <w:rPr>
          <w:rFonts w:ascii="Tahoma" w:eastAsia="Arial" w:hAnsi="Tahoma" w:cs="Tahoma"/>
          <w:color w:val="000000" w:themeColor="text1"/>
          <w:sz w:val="24"/>
          <w:szCs w:val="24"/>
        </w:rPr>
      </w:pPr>
    </w:p>
    <w:p w14:paraId="14A1BC83" w14:textId="07A05661" w:rsidR="53234C4C" w:rsidRPr="00F86D91" w:rsidRDefault="53234C4C" w:rsidP="53234C4C">
      <w:pPr>
        <w:spacing w:after="0" w:line="240" w:lineRule="auto"/>
        <w:ind w:left="720" w:hanging="720"/>
        <w:rPr>
          <w:rFonts w:ascii="Tahoma" w:eastAsia="Arial" w:hAnsi="Tahoma" w:cs="Tahoma"/>
          <w:color w:val="000000" w:themeColor="text1"/>
          <w:sz w:val="24"/>
          <w:szCs w:val="24"/>
        </w:rPr>
      </w:pPr>
    </w:p>
    <w:p w14:paraId="5032608D" w14:textId="4D839321" w:rsidR="210EF59C" w:rsidRPr="00F86D91" w:rsidRDefault="68B05519" w:rsidP="13BF8754">
      <w:pPr>
        <w:spacing w:after="0" w:line="240" w:lineRule="auto"/>
        <w:ind w:left="720" w:hanging="720"/>
        <w:rPr>
          <w:rFonts w:ascii="Tahoma" w:eastAsia="Arial" w:hAnsi="Tahoma" w:cs="Tahoma"/>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71</w:t>
      </w:r>
      <w:r w:rsidRPr="00F86D91">
        <w:rPr>
          <w:rFonts w:ascii="Tahoma" w:eastAsia="Arial" w:hAnsi="Tahoma" w:cs="Tahoma"/>
          <w:b/>
          <w:bCs/>
          <w:color w:val="000000" w:themeColor="text1"/>
          <w:sz w:val="24"/>
          <w:szCs w:val="24"/>
        </w:rPr>
        <w:t>.</w:t>
      </w:r>
      <w:r w:rsidR="210EF59C" w:rsidRPr="00F86D91">
        <w:rPr>
          <w:rFonts w:ascii="Tahoma" w:hAnsi="Tahoma" w:cs="Tahoma"/>
        </w:rPr>
        <w:tab/>
      </w:r>
      <w:r w:rsidR="2FADEEA1" w:rsidRPr="00F86D91">
        <w:rPr>
          <w:rFonts w:ascii="Tahoma" w:eastAsia="Arial" w:hAnsi="Tahoma" w:cs="Tahoma"/>
          <w:b/>
          <w:bCs/>
          <w:color w:val="000000" w:themeColor="text1"/>
          <w:sz w:val="24"/>
          <w:szCs w:val="24"/>
        </w:rPr>
        <w:t xml:space="preserve">Can </w:t>
      </w:r>
      <w:r w:rsidR="14CB64C5" w:rsidRPr="00F86D91">
        <w:rPr>
          <w:rFonts w:ascii="Tahoma" w:eastAsia="Arial" w:hAnsi="Tahoma" w:cs="Tahoma"/>
          <w:b/>
          <w:bCs/>
          <w:color w:val="000000" w:themeColor="text1"/>
          <w:sz w:val="24"/>
          <w:szCs w:val="24"/>
        </w:rPr>
        <w:t>staff-owned or personal employee</w:t>
      </w:r>
      <w:r w:rsidR="2FADEEA1" w:rsidRPr="00F86D91">
        <w:rPr>
          <w:rFonts w:ascii="Tahoma" w:eastAsia="Arial" w:hAnsi="Tahoma" w:cs="Tahoma"/>
          <w:b/>
          <w:bCs/>
          <w:color w:val="000000" w:themeColor="text1"/>
          <w:sz w:val="24"/>
          <w:szCs w:val="24"/>
        </w:rPr>
        <w:t xml:space="preserve"> vehicles be considered part of the fleet</w:t>
      </w:r>
      <w:r w:rsidR="14CB64C5" w:rsidRPr="00F86D91">
        <w:rPr>
          <w:rFonts w:ascii="Tahoma" w:eastAsia="Arial" w:hAnsi="Tahoma" w:cs="Tahoma"/>
          <w:b/>
          <w:bCs/>
          <w:color w:val="000000" w:themeColor="text1"/>
          <w:sz w:val="24"/>
          <w:szCs w:val="24"/>
        </w:rPr>
        <w:t>?</w:t>
      </w:r>
    </w:p>
    <w:p w14:paraId="52FC549C" w14:textId="716E647A" w:rsidR="53234C4C" w:rsidRPr="00F86D91" w:rsidRDefault="53234C4C" w:rsidP="53234C4C">
      <w:pPr>
        <w:spacing w:after="0" w:line="240" w:lineRule="auto"/>
        <w:ind w:left="720" w:hanging="720"/>
        <w:rPr>
          <w:rFonts w:ascii="Tahoma" w:eastAsia="Arial" w:hAnsi="Tahoma" w:cs="Tahoma"/>
          <w:b/>
          <w:bCs/>
          <w:color w:val="000000" w:themeColor="text1"/>
          <w:sz w:val="24"/>
          <w:szCs w:val="24"/>
        </w:rPr>
      </w:pPr>
    </w:p>
    <w:p w14:paraId="7C3D581A" w14:textId="04FB9EC9" w:rsidR="210EF59C" w:rsidRPr="00F86D91" w:rsidRDefault="210EF59C" w:rsidP="13BF8754">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71</w:t>
      </w:r>
      <w:r w:rsidRPr="00F86D91">
        <w:rPr>
          <w:rFonts w:ascii="Tahoma" w:eastAsia="Arial" w:hAnsi="Tahoma" w:cs="Tahoma"/>
          <w:color w:val="000000" w:themeColor="text1"/>
          <w:sz w:val="24"/>
          <w:szCs w:val="24"/>
        </w:rPr>
        <w:t>.</w:t>
      </w:r>
      <w:r w:rsidRPr="00F86D91">
        <w:rPr>
          <w:rFonts w:ascii="Tahoma" w:hAnsi="Tahoma" w:cs="Tahoma"/>
        </w:rPr>
        <w:tab/>
      </w:r>
      <w:r w:rsidR="6A8BA828" w:rsidRPr="00F86D91">
        <w:rPr>
          <w:rFonts w:ascii="Tahoma" w:eastAsia="Arial" w:hAnsi="Tahoma" w:cs="Tahoma"/>
          <w:color w:val="000000" w:themeColor="text1"/>
          <w:sz w:val="24"/>
          <w:szCs w:val="24"/>
        </w:rPr>
        <w:t xml:space="preserve">Staff-owned vehicles would </w:t>
      </w:r>
      <w:r w:rsidR="00C22165" w:rsidRPr="00F86D91">
        <w:rPr>
          <w:rFonts w:ascii="Tahoma" w:eastAsia="Arial" w:hAnsi="Tahoma" w:cs="Tahoma"/>
          <w:color w:val="000000" w:themeColor="text1"/>
          <w:sz w:val="24"/>
          <w:szCs w:val="24"/>
        </w:rPr>
        <w:t>not</w:t>
      </w:r>
      <w:r w:rsidR="548F5F0E" w:rsidRPr="00F86D91">
        <w:rPr>
          <w:rFonts w:ascii="Tahoma" w:eastAsia="Arial" w:hAnsi="Tahoma" w:cs="Tahoma"/>
          <w:color w:val="000000" w:themeColor="text1"/>
          <w:sz w:val="24"/>
          <w:szCs w:val="24"/>
        </w:rPr>
        <w:t xml:space="preserve"> </w:t>
      </w:r>
      <w:r w:rsidR="6A8BA828" w:rsidRPr="00F86D91">
        <w:rPr>
          <w:rFonts w:ascii="Tahoma" w:eastAsia="Arial" w:hAnsi="Tahoma" w:cs="Tahoma"/>
          <w:color w:val="000000" w:themeColor="text1"/>
          <w:sz w:val="24"/>
          <w:szCs w:val="24"/>
        </w:rPr>
        <w:t xml:space="preserve">be considered </w:t>
      </w:r>
      <w:r w:rsidR="00C22165" w:rsidRPr="00F86D91">
        <w:rPr>
          <w:rFonts w:ascii="Tahoma" w:eastAsia="Arial" w:hAnsi="Tahoma" w:cs="Tahoma"/>
          <w:color w:val="000000" w:themeColor="text1"/>
          <w:sz w:val="24"/>
          <w:szCs w:val="24"/>
        </w:rPr>
        <w:t xml:space="preserve">government fleet vehicles. </w:t>
      </w:r>
      <w:r w:rsidR="00A01C6A" w:rsidRPr="00F86D91">
        <w:rPr>
          <w:rFonts w:ascii="Tahoma" w:eastAsia="Arial" w:hAnsi="Tahoma" w:cs="Tahoma"/>
          <w:color w:val="000000" w:themeColor="text1"/>
          <w:sz w:val="24"/>
          <w:szCs w:val="24"/>
        </w:rPr>
        <w:t>The solicitation manual states, “</w:t>
      </w:r>
      <w:r w:rsidR="1860629B" w:rsidRPr="00F86D91">
        <w:rPr>
          <w:rFonts w:ascii="Tahoma" w:eastAsia="Arial" w:hAnsi="Tahoma" w:cs="Tahoma"/>
          <w:color w:val="000000" w:themeColor="text1"/>
          <w:sz w:val="24"/>
          <w:szCs w:val="24"/>
        </w:rPr>
        <w:t>A government fleet refers</w:t>
      </w:r>
      <w:r w:rsidR="00A01C6A" w:rsidRPr="00F86D91">
        <w:rPr>
          <w:rFonts w:ascii="Tahoma" w:eastAsia="Arial" w:hAnsi="Tahoma" w:cs="Tahoma"/>
          <w:color w:val="000000" w:themeColor="text1"/>
          <w:sz w:val="24"/>
          <w:szCs w:val="24"/>
        </w:rPr>
        <w:t xml:space="preserve"> to </w:t>
      </w:r>
      <w:r w:rsidR="1860629B" w:rsidRPr="00F86D91">
        <w:rPr>
          <w:rFonts w:ascii="Tahoma" w:eastAsia="Arial" w:hAnsi="Tahoma" w:cs="Tahoma"/>
          <w:color w:val="000000" w:themeColor="text1"/>
          <w:sz w:val="24"/>
          <w:szCs w:val="24"/>
        </w:rPr>
        <w:t>a fleet of vehicles used</w:t>
      </w:r>
      <w:r w:rsidR="00A01C6A" w:rsidRPr="00F86D91">
        <w:rPr>
          <w:rFonts w:ascii="Tahoma" w:eastAsia="Arial" w:hAnsi="Tahoma" w:cs="Tahoma"/>
          <w:color w:val="000000" w:themeColor="text1"/>
          <w:sz w:val="24"/>
          <w:szCs w:val="24"/>
        </w:rPr>
        <w:t xml:space="preserve"> to </w:t>
      </w:r>
      <w:r w:rsidR="1860629B" w:rsidRPr="00F86D91">
        <w:rPr>
          <w:rFonts w:ascii="Tahoma" w:eastAsia="Arial" w:hAnsi="Tahoma" w:cs="Tahoma"/>
          <w:color w:val="000000" w:themeColor="text1"/>
          <w:sz w:val="24"/>
          <w:szCs w:val="24"/>
        </w:rPr>
        <w:t xml:space="preserve">directly or indirectly serve </w:t>
      </w:r>
      <w:r w:rsidR="00A01C6A" w:rsidRPr="00F86D91">
        <w:rPr>
          <w:rFonts w:ascii="Tahoma" w:eastAsia="Arial" w:hAnsi="Tahoma" w:cs="Tahoma"/>
          <w:color w:val="000000" w:themeColor="text1"/>
          <w:sz w:val="24"/>
          <w:szCs w:val="24"/>
        </w:rPr>
        <w:t>the public” (Section II.B.</w:t>
      </w:r>
      <w:r w:rsidR="2FD2236D" w:rsidRPr="00F86D91">
        <w:rPr>
          <w:rFonts w:ascii="Tahoma" w:eastAsia="Arial" w:hAnsi="Tahoma" w:cs="Tahoma"/>
          <w:color w:val="000000" w:themeColor="text1"/>
          <w:sz w:val="24"/>
          <w:szCs w:val="24"/>
        </w:rPr>
        <w:t>1</w:t>
      </w:r>
      <w:r w:rsidR="00A01C6A" w:rsidRPr="00F86D91">
        <w:rPr>
          <w:rFonts w:ascii="Tahoma" w:eastAsia="Arial" w:hAnsi="Tahoma" w:cs="Tahoma"/>
          <w:color w:val="000000" w:themeColor="text1"/>
          <w:sz w:val="24"/>
          <w:szCs w:val="24"/>
        </w:rPr>
        <w:t>., page 1</w:t>
      </w:r>
      <w:r w:rsidR="4E9C8F37" w:rsidRPr="00F86D91">
        <w:rPr>
          <w:rFonts w:ascii="Tahoma" w:eastAsia="Arial" w:hAnsi="Tahoma" w:cs="Tahoma"/>
          <w:color w:val="000000" w:themeColor="text1"/>
          <w:sz w:val="24"/>
          <w:szCs w:val="24"/>
        </w:rPr>
        <w:t>0</w:t>
      </w:r>
      <w:r w:rsidR="00A01C6A" w:rsidRPr="00F86D91">
        <w:rPr>
          <w:rFonts w:ascii="Tahoma" w:eastAsia="Arial" w:hAnsi="Tahoma" w:cs="Tahoma"/>
          <w:color w:val="000000" w:themeColor="text1"/>
          <w:sz w:val="24"/>
          <w:szCs w:val="24"/>
        </w:rPr>
        <w:t xml:space="preserve">, </w:t>
      </w:r>
      <w:r w:rsidR="3040EC17" w:rsidRPr="00F86D91">
        <w:rPr>
          <w:rFonts w:ascii="Tahoma" w:eastAsia="Arial" w:hAnsi="Tahoma" w:cs="Tahoma"/>
          <w:color w:val="000000" w:themeColor="text1"/>
          <w:sz w:val="24"/>
          <w:szCs w:val="24"/>
        </w:rPr>
        <w:t>“</w:t>
      </w:r>
      <w:r w:rsidR="00A01C6A" w:rsidRPr="00F86D91">
        <w:rPr>
          <w:rFonts w:ascii="Tahoma" w:eastAsia="Arial" w:hAnsi="Tahoma" w:cs="Tahoma"/>
          <w:color w:val="000000" w:themeColor="text1"/>
          <w:sz w:val="24"/>
          <w:szCs w:val="24"/>
        </w:rPr>
        <w:t xml:space="preserve">Project </w:t>
      </w:r>
      <w:r w:rsidR="00226F9A" w:rsidRPr="00F86D91">
        <w:rPr>
          <w:rFonts w:ascii="Tahoma" w:eastAsia="Arial" w:hAnsi="Tahoma" w:cs="Tahoma"/>
          <w:color w:val="000000" w:themeColor="text1"/>
          <w:sz w:val="24"/>
          <w:szCs w:val="24"/>
        </w:rPr>
        <w:t>Requirements”</w:t>
      </w:r>
      <w:r w:rsidR="00A01C6A" w:rsidRPr="00F86D91">
        <w:rPr>
          <w:rFonts w:ascii="Tahoma" w:eastAsia="Arial" w:hAnsi="Tahoma" w:cs="Tahoma"/>
          <w:color w:val="000000" w:themeColor="text1"/>
          <w:sz w:val="24"/>
          <w:szCs w:val="24"/>
        </w:rPr>
        <w:t xml:space="preserve">, </w:t>
      </w:r>
      <w:r w:rsidR="00936C35" w:rsidRPr="00F86D91">
        <w:rPr>
          <w:rFonts w:ascii="Tahoma" w:eastAsia="Arial" w:hAnsi="Tahoma" w:cs="Tahoma"/>
          <w:color w:val="000000" w:themeColor="text1"/>
          <w:sz w:val="24"/>
          <w:szCs w:val="24"/>
        </w:rPr>
        <w:t>Solicitation Manual).</w:t>
      </w:r>
    </w:p>
    <w:p w14:paraId="5DB2F4C5" w14:textId="4BBC6874" w:rsidR="53234C4C" w:rsidRPr="00F86D91" w:rsidRDefault="53234C4C" w:rsidP="53234C4C">
      <w:pPr>
        <w:spacing w:after="0" w:line="240" w:lineRule="auto"/>
        <w:ind w:left="720" w:hanging="720"/>
        <w:rPr>
          <w:rFonts w:ascii="Tahoma" w:eastAsia="Arial" w:hAnsi="Tahoma" w:cs="Tahoma"/>
          <w:color w:val="000000" w:themeColor="text1"/>
          <w:sz w:val="24"/>
          <w:szCs w:val="24"/>
        </w:rPr>
      </w:pPr>
    </w:p>
    <w:p w14:paraId="7B453AC4" w14:textId="14023933" w:rsidR="53234C4C" w:rsidRPr="00F86D91" w:rsidRDefault="53234C4C" w:rsidP="53234C4C">
      <w:pPr>
        <w:spacing w:after="0" w:line="240" w:lineRule="auto"/>
        <w:ind w:left="720" w:hanging="720"/>
        <w:rPr>
          <w:rFonts w:ascii="Tahoma" w:eastAsia="Arial" w:hAnsi="Tahoma" w:cs="Tahoma"/>
          <w:color w:val="000000" w:themeColor="text1"/>
          <w:sz w:val="24"/>
          <w:szCs w:val="24"/>
        </w:rPr>
      </w:pPr>
    </w:p>
    <w:p w14:paraId="4789F432" w14:textId="6A86BD5E" w:rsidR="210EF59C" w:rsidRPr="00F86D91" w:rsidRDefault="210EF59C" w:rsidP="00566B00">
      <w:pPr>
        <w:keepNext/>
        <w:keepLines/>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lastRenderedPageBreak/>
        <w:t>Q</w:t>
      </w:r>
      <w:r w:rsidR="00823804" w:rsidRPr="00F86D91">
        <w:rPr>
          <w:rFonts w:ascii="Tahoma" w:eastAsia="Arial" w:hAnsi="Tahoma" w:cs="Tahoma"/>
          <w:b/>
          <w:bCs/>
          <w:color w:val="000000" w:themeColor="text1"/>
          <w:sz w:val="24"/>
          <w:szCs w:val="24"/>
        </w:rPr>
        <w:t>72</w:t>
      </w:r>
      <w:r w:rsidRPr="00F86D91">
        <w:rPr>
          <w:rFonts w:ascii="Tahoma" w:eastAsia="Arial" w:hAnsi="Tahoma" w:cs="Tahoma"/>
          <w:b/>
          <w:bCs/>
          <w:color w:val="000000" w:themeColor="text1"/>
          <w:sz w:val="24"/>
          <w:szCs w:val="24"/>
        </w:rPr>
        <w:t>.</w:t>
      </w:r>
      <w:r w:rsidRPr="00F86D91">
        <w:rPr>
          <w:rFonts w:ascii="Tahoma" w:hAnsi="Tahoma" w:cs="Tahoma"/>
        </w:rPr>
        <w:tab/>
      </w:r>
      <w:r w:rsidR="0FAAE874" w:rsidRPr="00F86D91">
        <w:rPr>
          <w:rFonts w:ascii="Tahoma" w:eastAsia="Arial" w:hAnsi="Tahoma" w:cs="Tahoma"/>
          <w:b/>
          <w:bCs/>
          <w:color w:val="000000" w:themeColor="text1"/>
          <w:sz w:val="24"/>
          <w:szCs w:val="24"/>
        </w:rPr>
        <w:t xml:space="preserve">Can charge port adapters be used to meet the port </w:t>
      </w:r>
      <w:r w:rsidR="00200F39" w:rsidRPr="00F86D91">
        <w:rPr>
          <w:rFonts w:ascii="Tahoma" w:eastAsia="Arial" w:hAnsi="Tahoma" w:cs="Tahoma"/>
          <w:b/>
          <w:bCs/>
          <w:color w:val="000000" w:themeColor="text1"/>
          <w:sz w:val="24"/>
          <w:szCs w:val="24"/>
        </w:rPr>
        <w:t>count</w:t>
      </w:r>
      <w:r w:rsidR="0FAAE874" w:rsidRPr="00F86D91">
        <w:rPr>
          <w:rFonts w:ascii="Tahoma" w:eastAsia="Arial" w:hAnsi="Tahoma" w:cs="Tahoma"/>
          <w:b/>
          <w:bCs/>
          <w:color w:val="000000" w:themeColor="text1"/>
          <w:sz w:val="24"/>
          <w:szCs w:val="24"/>
        </w:rPr>
        <w:t>?</w:t>
      </w:r>
    </w:p>
    <w:p w14:paraId="506B393E" w14:textId="716E647A" w:rsidR="53234C4C" w:rsidRPr="00F86D91" w:rsidRDefault="53234C4C" w:rsidP="00566B00">
      <w:pPr>
        <w:keepNext/>
        <w:keepLines/>
        <w:spacing w:after="0" w:line="240" w:lineRule="auto"/>
        <w:ind w:left="720" w:hanging="720"/>
        <w:rPr>
          <w:rFonts w:ascii="Tahoma" w:eastAsia="Arial" w:hAnsi="Tahoma" w:cs="Tahoma"/>
          <w:b/>
          <w:bCs/>
          <w:color w:val="000000" w:themeColor="text1"/>
          <w:sz w:val="24"/>
          <w:szCs w:val="24"/>
        </w:rPr>
      </w:pPr>
    </w:p>
    <w:p w14:paraId="521A29DB" w14:textId="5D77D74F" w:rsidR="210EF59C" w:rsidRPr="00F86D91" w:rsidRDefault="210EF59C" w:rsidP="00566B00">
      <w:pPr>
        <w:keepNext/>
        <w:keepLines/>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72</w:t>
      </w:r>
      <w:r w:rsidRPr="00F86D91">
        <w:rPr>
          <w:rFonts w:ascii="Tahoma" w:eastAsia="Arial" w:hAnsi="Tahoma" w:cs="Tahoma"/>
          <w:color w:val="000000" w:themeColor="text1"/>
          <w:sz w:val="24"/>
          <w:szCs w:val="24"/>
        </w:rPr>
        <w:t>.</w:t>
      </w:r>
      <w:r w:rsidRPr="00F86D91">
        <w:rPr>
          <w:rFonts w:ascii="Tahoma" w:hAnsi="Tahoma" w:cs="Tahoma"/>
        </w:rPr>
        <w:tab/>
      </w:r>
      <w:r w:rsidR="00102CD4" w:rsidRPr="00F86D91">
        <w:rPr>
          <w:rFonts w:ascii="Tahoma" w:eastAsia="Arial" w:hAnsi="Tahoma" w:cs="Tahoma"/>
          <w:color w:val="000000" w:themeColor="text1"/>
          <w:sz w:val="24"/>
          <w:szCs w:val="24"/>
        </w:rPr>
        <w:t>No, the solicitation manual states, “</w:t>
      </w:r>
      <w:r w:rsidR="00AA5980" w:rsidRPr="00F86D91">
        <w:rPr>
          <w:rFonts w:ascii="Tahoma" w:eastAsia="Arial" w:hAnsi="Tahoma" w:cs="Tahoma"/>
          <w:color w:val="000000" w:themeColor="text1"/>
          <w:sz w:val="24"/>
          <w:szCs w:val="24"/>
        </w:rPr>
        <w:t>A project must install a minimum of 100 charging ports. A project can be comprised of installations at multiple project sites and for multiple fleets under the same government entity. For the purposes of this solicitation, a charging port can distribute electrical energy for the purpose of charging an electric vehicle independently of other ports on the same charger” (</w:t>
      </w:r>
      <w:r w:rsidR="00F27617" w:rsidRPr="00F86D91">
        <w:rPr>
          <w:rFonts w:ascii="Tahoma" w:eastAsia="Arial" w:hAnsi="Tahoma" w:cs="Tahoma"/>
          <w:color w:val="000000" w:themeColor="text1"/>
          <w:sz w:val="24"/>
          <w:szCs w:val="24"/>
        </w:rPr>
        <w:t>Section II.B.2., page 1</w:t>
      </w:r>
      <w:r w:rsidR="001E7067">
        <w:rPr>
          <w:rFonts w:ascii="Tahoma" w:eastAsia="Arial" w:hAnsi="Tahoma" w:cs="Tahoma"/>
          <w:color w:val="000000" w:themeColor="text1"/>
          <w:sz w:val="24"/>
          <w:szCs w:val="24"/>
        </w:rPr>
        <w:t>1</w:t>
      </w:r>
      <w:r w:rsidR="00F27617" w:rsidRPr="00F86D91">
        <w:rPr>
          <w:rFonts w:ascii="Tahoma" w:eastAsia="Arial" w:hAnsi="Tahoma" w:cs="Tahoma"/>
          <w:color w:val="000000" w:themeColor="text1"/>
          <w:sz w:val="24"/>
          <w:szCs w:val="24"/>
        </w:rPr>
        <w:t xml:space="preserve">, </w:t>
      </w:r>
      <w:r w:rsidR="00B469FC" w:rsidRPr="00F86D91">
        <w:rPr>
          <w:rFonts w:ascii="Tahoma" w:eastAsia="Arial" w:hAnsi="Tahoma" w:cs="Tahoma"/>
          <w:color w:val="000000" w:themeColor="text1"/>
          <w:sz w:val="24"/>
          <w:szCs w:val="24"/>
        </w:rPr>
        <w:t>“</w:t>
      </w:r>
      <w:r w:rsidR="00F27617" w:rsidRPr="00F86D91">
        <w:rPr>
          <w:rFonts w:ascii="Tahoma" w:eastAsia="Arial" w:hAnsi="Tahoma" w:cs="Tahoma"/>
          <w:color w:val="000000" w:themeColor="text1"/>
          <w:sz w:val="24"/>
          <w:szCs w:val="24"/>
        </w:rPr>
        <w:t>Minimum Port Count</w:t>
      </w:r>
      <w:r w:rsidR="00B469FC" w:rsidRPr="00F86D91">
        <w:rPr>
          <w:rFonts w:ascii="Tahoma" w:eastAsia="Arial" w:hAnsi="Tahoma" w:cs="Tahoma"/>
          <w:color w:val="000000" w:themeColor="text1"/>
          <w:sz w:val="24"/>
          <w:szCs w:val="24"/>
        </w:rPr>
        <w:t>”</w:t>
      </w:r>
      <w:r w:rsidR="00F27617" w:rsidRPr="00F86D91">
        <w:rPr>
          <w:rFonts w:ascii="Tahoma" w:eastAsia="Arial" w:hAnsi="Tahoma" w:cs="Tahoma"/>
          <w:color w:val="000000" w:themeColor="text1"/>
          <w:sz w:val="24"/>
          <w:szCs w:val="24"/>
        </w:rPr>
        <w:t>, Solicitation Manual).</w:t>
      </w:r>
    </w:p>
    <w:p w14:paraId="127C23BE" w14:textId="77777777" w:rsidR="00872C33" w:rsidRPr="00F86D91" w:rsidRDefault="00872C33" w:rsidP="53234C4C">
      <w:pPr>
        <w:spacing w:after="0" w:line="240" w:lineRule="auto"/>
        <w:ind w:left="720" w:hanging="720"/>
        <w:rPr>
          <w:rFonts w:ascii="Tahoma" w:eastAsia="Arial" w:hAnsi="Tahoma" w:cs="Tahoma"/>
          <w:color w:val="000000" w:themeColor="text1"/>
          <w:sz w:val="24"/>
          <w:szCs w:val="24"/>
        </w:rPr>
      </w:pPr>
    </w:p>
    <w:p w14:paraId="4A785FD5" w14:textId="77777777" w:rsidR="00872C33" w:rsidRPr="00F86D91" w:rsidRDefault="00872C33" w:rsidP="53234C4C">
      <w:pPr>
        <w:spacing w:after="0" w:line="240" w:lineRule="auto"/>
        <w:ind w:left="720" w:hanging="720"/>
        <w:rPr>
          <w:rFonts w:ascii="Tahoma" w:eastAsia="Arial" w:hAnsi="Tahoma" w:cs="Tahoma"/>
          <w:color w:val="000000" w:themeColor="text1"/>
          <w:sz w:val="24"/>
          <w:szCs w:val="24"/>
        </w:rPr>
      </w:pPr>
    </w:p>
    <w:p w14:paraId="4CA6FCC2" w14:textId="1F3C1EDE" w:rsidR="00872C33" w:rsidRPr="00F86D91" w:rsidRDefault="00872C33" w:rsidP="00872C33">
      <w:pPr>
        <w:spacing w:after="0" w:line="240" w:lineRule="auto"/>
        <w:ind w:left="720" w:hanging="720"/>
        <w:rPr>
          <w:rFonts w:ascii="Tahoma" w:hAnsi="Tahoma" w:cs="Tahoma"/>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73</w:t>
      </w:r>
      <w:r w:rsidRPr="00F86D91">
        <w:rPr>
          <w:rFonts w:ascii="Tahoma" w:eastAsia="Arial" w:hAnsi="Tahoma" w:cs="Tahoma"/>
          <w:b/>
          <w:bCs/>
          <w:color w:val="000000" w:themeColor="text1"/>
          <w:sz w:val="24"/>
          <w:szCs w:val="24"/>
        </w:rPr>
        <w:t>.</w:t>
      </w:r>
      <w:r w:rsidRPr="00F86D91">
        <w:rPr>
          <w:rFonts w:ascii="Tahoma" w:hAnsi="Tahoma" w:cs="Tahoma"/>
        </w:rPr>
        <w:tab/>
      </w:r>
      <w:r w:rsidRPr="00F86D91">
        <w:rPr>
          <w:rFonts w:ascii="Tahoma" w:eastAsia="Arial" w:hAnsi="Tahoma" w:cs="Tahoma"/>
          <w:b/>
          <w:bCs/>
          <w:color w:val="000000" w:themeColor="text1"/>
          <w:sz w:val="24"/>
          <w:szCs w:val="24"/>
        </w:rPr>
        <w:t>For this solicitation, does the CEC require that all 100 charging ports be new installations, or can refinements and additions on existing EVSE charging ports count towards the 100</w:t>
      </w:r>
      <w:r w:rsidR="6214F365" w:rsidRPr="00F86D91">
        <w:rPr>
          <w:rFonts w:ascii="Tahoma" w:eastAsia="Arial" w:hAnsi="Tahoma" w:cs="Tahoma"/>
          <w:b/>
          <w:bCs/>
          <w:color w:val="000000" w:themeColor="text1"/>
          <w:sz w:val="24"/>
          <w:szCs w:val="24"/>
        </w:rPr>
        <w:t>-</w:t>
      </w:r>
      <w:r w:rsidRPr="00F86D91">
        <w:rPr>
          <w:rFonts w:ascii="Tahoma" w:eastAsia="Arial" w:hAnsi="Tahoma" w:cs="Tahoma"/>
          <w:b/>
          <w:bCs/>
          <w:color w:val="000000" w:themeColor="text1"/>
          <w:sz w:val="24"/>
          <w:szCs w:val="24"/>
        </w:rPr>
        <w:t>charging port minimum?</w:t>
      </w:r>
    </w:p>
    <w:p w14:paraId="3D3B8C2C" w14:textId="77777777" w:rsidR="00872C33" w:rsidRPr="00F86D91" w:rsidRDefault="00872C33" w:rsidP="00872C33">
      <w:pPr>
        <w:spacing w:after="0" w:line="240" w:lineRule="auto"/>
        <w:ind w:left="720" w:hanging="720"/>
        <w:rPr>
          <w:rFonts w:ascii="Tahoma" w:eastAsia="Arial" w:hAnsi="Tahoma" w:cs="Tahoma"/>
          <w:color w:val="000000" w:themeColor="text1"/>
          <w:sz w:val="24"/>
          <w:szCs w:val="24"/>
        </w:rPr>
      </w:pPr>
    </w:p>
    <w:p w14:paraId="56647A17" w14:textId="65484511" w:rsidR="53234C4C" w:rsidRPr="00F86D91" w:rsidRDefault="00872C33" w:rsidP="004373BC">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73</w:t>
      </w:r>
      <w:r w:rsidRPr="00F86D91">
        <w:rPr>
          <w:rFonts w:ascii="Tahoma" w:eastAsia="Arial" w:hAnsi="Tahoma" w:cs="Tahoma"/>
          <w:color w:val="000000" w:themeColor="text1"/>
          <w:sz w:val="24"/>
          <w:szCs w:val="24"/>
        </w:rPr>
        <w:t>.</w:t>
      </w:r>
      <w:r w:rsidRPr="00F86D91">
        <w:rPr>
          <w:rFonts w:ascii="Tahoma" w:hAnsi="Tahoma" w:cs="Tahoma"/>
        </w:rPr>
        <w:tab/>
      </w:r>
      <w:r w:rsidR="00200F39" w:rsidRPr="00F86D91">
        <w:rPr>
          <w:rFonts w:ascii="Tahoma" w:hAnsi="Tahoma" w:cs="Tahoma"/>
          <w:sz w:val="24"/>
          <w:szCs w:val="24"/>
        </w:rPr>
        <w:t>No, o</w:t>
      </w:r>
      <w:r w:rsidR="00864869" w:rsidRPr="00F86D91">
        <w:rPr>
          <w:rFonts w:ascii="Tahoma" w:hAnsi="Tahoma" w:cs="Tahoma"/>
          <w:sz w:val="24"/>
          <w:szCs w:val="24"/>
        </w:rPr>
        <w:t>nly new port installations will count toward the 100</w:t>
      </w:r>
      <w:r w:rsidR="3082B367" w:rsidRPr="00F86D91">
        <w:rPr>
          <w:rFonts w:ascii="Tahoma" w:hAnsi="Tahoma" w:cs="Tahoma"/>
          <w:sz w:val="24"/>
          <w:szCs w:val="24"/>
        </w:rPr>
        <w:t>-</w:t>
      </w:r>
      <w:r w:rsidR="00864869" w:rsidRPr="00F86D91">
        <w:rPr>
          <w:rFonts w:ascii="Tahoma" w:hAnsi="Tahoma" w:cs="Tahoma"/>
          <w:sz w:val="24"/>
          <w:szCs w:val="24"/>
        </w:rPr>
        <w:t>charging port minimum</w:t>
      </w:r>
      <w:r w:rsidR="00200F39" w:rsidRPr="00F86D91">
        <w:rPr>
          <w:rFonts w:ascii="Tahoma" w:hAnsi="Tahoma" w:cs="Tahoma"/>
          <w:sz w:val="24"/>
          <w:szCs w:val="24"/>
        </w:rPr>
        <w:t xml:space="preserve">. The solicitation manual states, </w:t>
      </w:r>
      <w:r w:rsidR="004373BC" w:rsidRPr="00F86D91">
        <w:rPr>
          <w:rFonts w:ascii="Tahoma" w:hAnsi="Tahoma" w:cs="Tahoma"/>
          <w:sz w:val="24"/>
          <w:szCs w:val="24"/>
        </w:rPr>
        <w:t>“A project must install a minimum of 100 charging ports”</w:t>
      </w:r>
      <w:r w:rsidR="004373BC" w:rsidRPr="00F86D91">
        <w:rPr>
          <w:rFonts w:ascii="Tahoma" w:eastAsia="Arial" w:hAnsi="Tahoma" w:cs="Tahoma"/>
          <w:color w:val="000000" w:themeColor="text1"/>
          <w:sz w:val="24"/>
          <w:szCs w:val="24"/>
        </w:rPr>
        <w:t xml:space="preserve"> (Section II.B.2., page 1</w:t>
      </w:r>
      <w:r w:rsidR="001E7067">
        <w:rPr>
          <w:rFonts w:ascii="Tahoma" w:eastAsia="Arial" w:hAnsi="Tahoma" w:cs="Tahoma"/>
          <w:color w:val="000000" w:themeColor="text1"/>
          <w:sz w:val="24"/>
          <w:szCs w:val="24"/>
        </w:rPr>
        <w:t>1</w:t>
      </w:r>
      <w:r w:rsidR="004373BC" w:rsidRPr="00F86D91">
        <w:rPr>
          <w:rFonts w:ascii="Tahoma" w:eastAsia="Arial" w:hAnsi="Tahoma" w:cs="Tahoma"/>
          <w:color w:val="000000" w:themeColor="text1"/>
          <w:sz w:val="24"/>
          <w:szCs w:val="24"/>
        </w:rPr>
        <w:t xml:space="preserve">, </w:t>
      </w:r>
      <w:r w:rsidR="00B469FC" w:rsidRPr="00F86D91">
        <w:rPr>
          <w:rFonts w:ascii="Tahoma" w:eastAsia="Arial" w:hAnsi="Tahoma" w:cs="Tahoma"/>
          <w:color w:val="000000" w:themeColor="text1"/>
          <w:sz w:val="24"/>
          <w:szCs w:val="24"/>
        </w:rPr>
        <w:t>“</w:t>
      </w:r>
      <w:r w:rsidR="004373BC" w:rsidRPr="00F86D91">
        <w:rPr>
          <w:rFonts w:ascii="Tahoma" w:eastAsia="Arial" w:hAnsi="Tahoma" w:cs="Tahoma"/>
          <w:color w:val="000000" w:themeColor="text1"/>
          <w:sz w:val="24"/>
          <w:szCs w:val="24"/>
        </w:rPr>
        <w:t>Minimum Port Count</w:t>
      </w:r>
      <w:r w:rsidR="00B469FC" w:rsidRPr="00F86D91">
        <w:rPr>
          <w:rFonts w:ascii="Tahoma" w:eastAsia="Arial" w:hAnsi="Tahoma" w:cs="Tahoma"/>
          <w:color w:val="000000" w:themeColor="text1"/>
          <w:sz w:val="24"/>
          <w:szCs w:val="24"/>
        </w:rPr>
        <w:t>”</w:t>
      </w:r>
      <w:r w:rsidR="004373BC" w:rsidRPr="00F86D91">
        <w:rPr>
          <w:rFonts w:ascii="Tahoma" w:eastAsia="Arial" w:hAnsi="Tahoma" w:cs="Tahoma"/>
          <w:color w:val="000000" w:themeColor="text1"/>
          <w:sz w:val="24"/>
          <w:szCs w:val="24"/>
        </w:rPr>
        <w:t>, Solicitation Manual).</w:t>
      </w:r>
      <w:r w:rsidR="004373BC" w:rsidRPr="00F86D91">
        <w:rPr>
          <w:rFonts w:ascii="Tahoma" w:hAnsi="Tahoma" w:cs="Tahoma"/>
        </w:rPr>
        <w:br/>
      </w:r>
    </w:p>
    <w:p w14:paraId="25168421" w14:textId="6347E896" w:rsidR="53234C4C" w:rsidRPr="00F86D91" w:rsidRDefault="53234C4C" w:rsidP="53234C4C">
      <w:pPr>
        <w:spacing w:after="0" w:line="240" w:lineRule="auto"/>
        <w:ind w:left="720" w:hanging="720"/>
        <w:rPr>
          <w:rFonts w:ascii="Tahoma" w:eastAsia="Arial" w:hAnsi="Tahoma" w:cs="Tahoma"/>
          <w:color w:val="000000" w:themeColor="text1"/>
          <w:sz w:val="24"/>
          <w:szCs w:val="24"/>
        </w:rPr>
      </w:pPr>
    </w:p>
    <w:p w14:paraId="4166BDCD" w14:textId="4509AFB7" w:rsidR="210EF59C" w:rsidRPr="00F86D91" w:rsidRDefault="210EF59C" w:rsidP="13BF8754">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74</w:t>
      </w:r>
      <w:r w:rsidRPr="00F86D91">
        <w:rPr>
          <w:rFonts w:ascii="Tahoma" w:eastAsia="Arial" w:hAnsi="Tahoma" w:cs="Tahoma"/>
          <w:b/>
          <w:bCs/>
          <w:color w:val="000000" w:themeColor="text1"/>
          <w:sz w:val="24"/>
          <w:szCs w:val="24"/>
        </w:rPr>
        <w:t>.</w:t>
      </w:r>
      <w:r w:rsidRPr="00F86D91">
        <w:rPr>
          <w:rFonts w:ascii="Tahoma" w:hAnsi="Tahoma" w:cs="Tahoma"/>
        </w:rPr>
        <w:tab/>
      </w:r>
      <w:r w:rsidR="61C7BDA0" w:rsidRPr="00F86D91">
        <w:rPr>
          <w:rFonts w:ascii="Tahoma" w:eastAsia="Arial" w:hAnsi="Tahoma" w:cs="Tahoma"/>
          <w:b/>
          <w:bCs/>
          <w:color w:val="000000" w:themeColor="text1"/>
          <w:sz w:val="24"/>
          <w:szCs w:val="24"/>
        </w:rPr>
        <w:t xml:space="preserve">Will the CEC consider treating a low power DCFC as an L2 for grant and match fund purposes ($12,500 in funding per port)? </w:t>
      </w:r>
    </w:p>
    <w:p w14:paraId="27787B04" w14:textId="15E9D8E9" w:rsidR="53234C4C" w:rsidRPr="00F86D91" w:rsidRDefault="53234C4C" w:rsidP="53234C4C">
      <w:pPr>
        <w:spacing w:after="0" w:line="240" w:lineRule="auto"/>
        <w:ind w:left="720" w:hanging="720"/>
        <w:rPr>
          <w:rFonts w:ascii="Tahoma" w:eastAsia="Arial" w:hAnsi="Tahoma" w:cs="Tahoma"/>
          <w:b/>
          <w:bCs/>
          <w:color w:val="000000" w:themeColor="text1"/>
          <w:sz w:val="24"/>
          <w:szCs w:val="24"/>
        </w:rPr>
      </w:pPr>
    </w:p>
    <w:p w14:paraId="58E6216F" w14:textId="580D3195" w:rsidR="210EF59C" w:rsidRPr="00F86D91" w:rsidRDefault="210EF59C" w:rsidP="53234C4C">
      <w:pPr>
        <w:spacing w:after="0" w:line="240" w:lineRule="auto"/>
        <w:ind w:left="720" w:hanging="720"/>
        <w:rPr>
          <w:rFonts w:ascii="Tahoma" w:hAnsi="Tahoma" w:cs="Tahoma"/>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74</w:t>
      </w:r>
      <w:r w:rsidRPr="00F86D91">
        <w:rPr>
          <w:rFonts w:ascii="Tahoma" w:eastAsia="Arial" w:hAnsi="Tahoma" w:cs="Tahoma"/>
          <w:color w:val="000000" w:themeColor="text1"/>
          <w:sz w:val="24"/>
          <w:szCs w:val="24"/>
        </w:rPr>
        <w:t>.</w:t>
      </w:r>
      <w:r w:rsidRPr="00F86D91">
        <w:rPr>
          <w:rFonts w:ascii="Tahoma" w:hAnsi="Tahoma" w:cs="Tahoma"/>
        </w:rPr>
        <w:tab/>
      </w:r>
      <w:r w:rsidR="00571A4F" w:rsidRPr="00F86D91">
        <w:rPr>
          <w:rFonts w:ascii="Tahoma" w:hAnsi="Tahoma" w:cs="Tahoma"/>
          <w:sz w:val="24"/>
          <w:szCs w:val="24"/>
        </w:rPr>
        <w:t xml:space="preserve">No, </w:t>
      </w:r>
      <w:r w:rsidR="004E2067" w:rsidRPr="00F86D91">
        <w:rPr>
          <w:rFonts w:ascii="Tahoma" w:hAnsi="Tahoma" w:cs="Tahoma"/>
          <w:sz w:val="24"/>
          <w:szCs w:val="24"/>
        </w:rPr>
        <w:t>the solicitation manual defines a DCFC as, “</w:t>
      </w:r>
      <w:r w:rsidR="003A5341" w:rsidRPr="00F86D91">
        <w:rPr>
          <w:rFonts w:ascii="Tahoma" w:hAnsi="Tahoma" w:cs="Tahoma"/>
          <w:sz w:val="24"/>
          <w:szCs w:val="24"/>
        </w:rPr>
        <w:t xml:space="preserve">Equipment that provides charging through a direct-current plug, typically at a rate of 50 kilowatts or higher” (Section </w:t>
      </w:r>
      <w:r w:rsidR="00EA4517" w:rsidRPr="00F86D91">
        <w:rPr>
          <w:rFonts w:ascii="Tahoma" w:hAnsi="Tahoma" w:cs="Tahoma"/>
          <w:sz w:val="24"/>
          <w:szCs w:val="24"/>
        </w:rPr>
        <w:t xml:space="preserve">V.A., page </w:t>
      </w:r>
      <w:r w:rsidR="00E76182" w:rsidRPr="00F86D91">
        <w:rPr>
          <w:rFonts w:ascii="Tahoma" w:hAnsi="Tahoma" w:cs="Tahoma"/>
          <w:sz w:val="24"/>
          <w:szCs w:val="24"/>
        </w:rPr>
        <w:t>4</w:t>
      </w:r>
      <w:r w:rsidR="007439B6">
        <w:rPr>
          <w:rFonts w:ascii="Tahoma" w:hAnsi="Tahoma" w:cs="Tahoma"/>
          <w:sz w:val="24"/>
          <w:szCs w:val="24"/>
        </w:rPr>
        <w:t>3</w:t>
      </w:r>
      <w:r w:rsidR="00E76182" w:rsidRPr="00F86D91">
        <w:rPr>
          <w:rFonts w:ascii="Tahoma" w:hAnsi="Tahoma" w:cs="Tahoma"/>
          <w:sz w:val="24"/>
          <w:szCs w:val="24"/>
        </w:rPr>
        <w:t xml:space="preserve">, </w:t>
      </w:r>
      <w:r w:rsidR="006A5162" w:rsidRPr="00F86D91">
        <w:rPr>
          <w:rFonts w:ascii="Tahoma" w:hAnsi="Tahoma" w:cs="Tahoma"/>
          <w:sz w:val="24"/>
          <w:szCs w:val="24"/>
        </w:rPr>
        <w:t>“</w:t>
      </w:r>
      <w:r w:rsidR="00E76182" w:rsidRPr="00F86D91">
        <w:rPr>
          <w:rFonts w:ascii="Tahoma" w:hAnsi="Tahoma" w:cs="Tahoma"/>
          <w:sz w:val="24"/>
          <w:szCs w:val="24"/>
        </w:rPr>
        <w:t>Definition of Key Words</w:t>
      </w:r>
      <w:r w:rsidR="006A5162" w:rsidRPr="00F86D91">
        <w:rPr>
          <w:rFonts w:ascii="Tahoma" w:hAnsi="Tahoma" w:cs="Tahoma"/>
          <w:sz w:val="24"/>
          <w:szCs w:val="24"/>
        </w:rPr>
        <w:t>”</w:t>
      </w:r>
      <w:r w:rsidR="00E76182" w:rsidRPr="00F86D91">
        <w:rPr>
          <w:rFonts w:ascii="Tahoma" w:hAnsi="Tahoma" w:cs="Tahoma"/>
          <w:sz w:val="24"/>
          <w:szCs w:val="24"/>
        </w:rPr>
        <w:t xml:space="preserve">, Solicitation Manual). </w:t>
      </w:r>
    </w:p>
    <w:p w14:paraId="2B457B22" w14:textId="77777777" w:rsidR="00E76182" w:rsidRPr="00F86D91" w:rsidRDefault="00E76182" w:rsidP="53234C4C">
      <w:pPr>
        <w:spacing w:after="0" w:line="240" w:lineRule="auto"/>
        <w:ind w:left="720" w:hanging="720"/>
        <w:rPr>
          <w:rFonts w:ascii="Tahoma" w:hAnsi="Tahoma" w:cs="Tahoma"/>
          <w:sz w:val="24"/>
          <w:szCs w:val="24"/>
        </w:rPr>
      </w:pPr>
    </w:p>
    <w:p w14:paraId="439DBA59" w14:textId="0D0F23D0" w:rsidR="00E76182" w:rsidRPr="00F86D91" w:rsidRDefault="00E76182" w:rsidP="53234C4C">
      <w:pPr>
        <w:spacing w:after="0" w:line="240" w:lineRule="auto"/>
        <w:ind w:left="720" w:hanging="720"/>
        <w:rPr>
          <w:rFonts w:ascii="Tahoma" w:hAnsi="Tahoma" w:cs="Tahoma"/>
          <w:sz w:val="24"/>
          <w:szCs w:val="24"/>
        </w:rPr>
      </w:pPr>
      <w:r w:rsidRPr="00F86D91">
        <w:rPr>
          <w:rFonts w:ascii="Tahoma" w:hAnsi="Tahoma" w:cs="Tahoma"/>
          <w:sz w:val="24"/>
          <w:szCs w:val="24"/>
        </w:rPr>
        <w:tab/>
        <w:t>The solicitation manual further specifies, “</w:t>
      </w:r>
      <w:r w:rsidR="00767C64" w:rsidRPr="00F86D91">
        <w:rPr>
          <w:rFonts w:ascii="Tahoma" w:hAnsi="Tahoma" w:cs="Tahoma"/>
          <w:sz w:val="24"/>
          <w:szCs w:val="24"/>
        </w:rPr>
        <w:t xml:space="preserve">Each DCFC port must be capable of outputting at least 150 kW of power. DCFC dual-port chargers must be capable of outputting at least 150 kW of power from each port simultaneously” </w:t>
      </w:r>
      <w:r w:rsidR="00767C64" w:rsidRPr="00F86D91">
        <w:rPr>
          <w:rFonts w:ascii="Tahoma" w:eastAsia="Arial" w:hAnsi="Tahoma" w:cs="Tahoma"/>
          <w:color w:val="000000" w:themeColor="text1"/>
          <w:sz w:val="24"/>
          <w:szCs w:val="24"/>
        </w:rPr>
        <w:t>(Section II.B.6., page 1</w:t>
      </w:r>
      <w:r w:rsidR="00D36828">
        <w:rPr>
          <w:rFonts w:ascii="Tahoma" w:eastAsia="Arial" w:hAnsi="Tahoma" w:cs="Tahoma"/>
          <w:color w:val="000000" w:themeColor="text1"/>
          <w:sz w:val="24"/>
          <w:szCs w:val="24"/>
        </w:rPr>
        <w:t>3</w:t>
      </w:r>
      <w:r w:rsidR="00767C64" w:rsidRPr="00F86D91">
        <w:rPr>
          <w:rFonts w:ascii="Tahoma" w:eastAsia="Arial" w:hAnsi="Tahoma" w:cs="Tahoma"/>
          <w:color w:val="000000" w:themeColor="text1"/>
          <w:sz w:val="24"/>
          <w:szCs w:val="24"/>
        </w:rPr>
        <w:t xml:space="preserve">, </w:t>
      </w:r>
      <w:r w:rsidR="006A5162" w:rsidRPr="00F86D91">
        <w:rPr>
          <w:rFonts w:ascii="Tahoma" w:eastAsia="Arial" w:hAnsi="Tahoma" w:cs="Tahoma"/>
          <w:color w:val="000000" w:themeColor="text1"/>
          <w:sz w:val="24"/>
          <w:szCs w:val="24"/>
        </w:rPr>
        <w:t>“</w:t>
      </w:r>
      <w:r w:rsidR="00767C64" w:rsidRPr="00F86D91">
        <w:rPr>
          <w:rFonts w:ascii="Tahoma" w:eastAsia="Arial" w:hAnsi="Tahoma" w:cs="Tahoma"/>
          <w:color w:val="000000" w:themeColor="text1"/>
          <w:sz w:val="24"/>
          <w:szCs w:val="24"/>
        </w:rPr>
        <w:t>Charging Equipment</w:t>
      </w:r>
      <w:r w:rsidR="006A5162" w:rsidRPr="00F86D91">
        <w:rPr>
          <w:rFonts w:ascii="Tahoma" w:eastAsia="Arial" w:hAnsi="Tahoma" w:cs="Tahoma"/>
          <w:color w:val="000000" w:themeColor="text1"/>
          <w:sz w:val="24"/>
          <w:szCs w:val="24"/>
        </w:rPr>
        <w:t>”</w:t>
      </w:r>
      <w:r w:rsidR="00767C64" w:rsidRPr="00F86D91">
        <w:rPr>
          <w:rFonts w:ascii="Tahoma" w:eastAsia="Arial" w:hAnsi="Tahoma" w:cs="Tahoma"/>
          <w:color w:val="000000" w:themeColor="text1"/>
          <w:sz w:val="24"/>
          <w:szCs w:val="24"/>
        </w:rPr>
        <w:t>, Solicitation Manual).</w:t>
      </w:r>
    </w:p>
    <w:p w14:paraId="35C2EA54" w14:textId="77777777" w:rsidR="008115CE" w:rsidRPr="00F86D91" w:rsidRDefault="008115CE" w:rsidP="53234C4C">
      <w:pPr>
        <w:spacing w:after="0" w:line="240" w:lineRule="auto"/>
        <w:ind w:left="720" w:hanging="720"/>
        <w:rPr>
          <w:rFonts w:ascii="Tahoma" w:hAnsi="Tahoma" w:cs="Tahoma"/>
          <w:sz w:val="24"/>
          <w:szCs w:val="24"/>
        </w:rPr>
      </w:pPr>
    </w:p>
    <w:p w14:paraId="49A41A34" w14:textId="77777777" w:rsidR="008115CE" w:rsidRPr="00F86D91" w:rsidRDefault="008115CE" w:rsidP="53234C4C">
      <w:pPr>
        <w:spacing w:after="0" w:line="240" w:lineRule="auto"/>
        <w:ind w:left="720" w:hanging="720"/>
        <w:rPr>
          <w:rFonts w:ascii="Tahoma" w:eastAsia="Arial" w:hAnsi="Tahoma" w:cs="Tahoma"/>
          <w:color w:val="000000" w:themeColor="text1"/>
          <w:sz w:val="24"/>
          <w:szCs w:val="24"/>
        </w:rPr>
      </w:pPr>
    </w:p>
    <w:p w14:paraId="3C38B6A2" w14:textId="22EC16A6" w:rsidR="008115CE" w:rsidRPr="00F86D91" w:rsidRDefault="008115CE" w:rsidP="00D858A2">
      <w:pPr>
        <w:spacing w:after="0" w:line="240" w:lineRule="auto"/>
        <w:ind w:left="720" w:hanging="720"/>
        <w:rPr>
          <w:rFonts w:ascii="Tahoma" w:eastAsia="Arial" w:hAnsi="Tahoma" w:cs="Tahoma"/>
          <w:b/>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75</w:t>
      </w:r>
      <w:r w:rsidRPr="00F86D91">
        <w:rPr>
          <w:rFonts w:ascii="Tahoma" w:eastAsia="Arial" w:hAnsi="Tahoma" w:cs="Tahoma"/>
          <w:b/>
          <w:bCs/>
          <w:color w:val="000000" w:themeColor="text1"/>
          <w:sz w:val="24"/>
          <w:szCs w:val="24"/>
        </w:rPr>
        <w:t>.</w:t>
      </w:r>
      <w:r w:rsidRPr="00F86D91">
        <w:rPr>
          <w:rFonts w:ascii="Tahoma" w:hAnsi="Tahoma" w:cs="Tahoma"/>
        </w:rPr>
        <w:tab/>
      </w:r>
      <w:r w:rsidRPr="00F86D91">
        <w:rPr>
          <w:rFonts w:ascii="Tahoma" w:eastAsia="Arial" w:hAnsi="Tahoma" w:cs="Tahoma"/>
          <w:b/>
          <w:bCs/>
          <w:color w:val="000000" w:themeColor="text1"/>
          <w:sz w:val="24"/>
          <w:szCs w:val="24"/>
        </w:rPr>
        <w:t xml:space="preserve">If L2 chargers are capable of 6.2kW output, may the actual kW output during charging sessions be below 6.2kW? For example, if a charger is capable of putting out 6.2kW, but engineers have determined a 6kW output during charging sessions would be more reliable would deliver a more reliable charging experience, is that okay with the CEC? </w:t>
      </w:r>
      <w:r w:rsidR="1EB7B727" w:rsidRPr="00F86D91">
        <w:rPr>
          <w:rFonts w:ascii="Tahoma" w:eastAsia="Arial" w:hAnsi="Tahoma" w:cs="Tahoma"/>
          <w:b/>
          <w:bCs/>
          <w:color w:val="000000" w:themeColor="text1"/>
          <w:sz w:val="24"/>
          <w:szCs w:val="24"/>
        </w:rPr>
        <w:t xml:space="preserve"> </w:t>
      </w:r>
    </w:p>
    <w:p w14:paraId="66C33878" w14:textId="77777777" w:rsidR="008115CE" w:rsidRPr="00F86D91" w:rsidRDefault="008115CE" w:rsidP="008115CE">
      <w:pPr>
        <w:spacing w:after="0" w:line="240" w:lineRule="auto"/>
        <w:ind w:left="720" w:hanging="720"/>
        <w:rPr>
          <w:rFonts w:ascii="Tahoma" w:eastAsia="Arial" w:hAnsi="Tahoma" w:cs="Tahoma"/>
          <w:b/>
          <w:bCs/>
          <w:color w:val="000000" w:themeColor="text1"/>
          <w:sz w:val="24"/>
          <w:szCs w:val="24"/>
        </w:rPr>
      </w:pPr>
    </w:p>
    <w:p w14:paraId="6A9EBEA4" w14:textId="44F5AFD2" w:rsidR="00B1104C" w:rsidRPr="00F86D91" w:rsidRDefault="008115CE" w:rsidP="00B1104C">
      <w:pPr>
        <w:spacing w:after="0" w:line="240" w:lineRule="auto"/>
        <w:ind w:left="720" w:hanging="720"/>
        <w:rPr>
          <w:rFonts w:ascii="Tahoma" w:hAnsi="Tahoma" w:cs="Tahoma"/>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75</w:t>
      </w:r>
      <w:r w:rsidRPr="00F86D91">
        <w:rPr>
          <w:rFonts w:ascii="Tahoma" w:eastAsia="Arial" w:hAnsi="Tahoma" w:cs="Tahoma"/>
          <w:color w:val="000000" w:themeColor="text1"/>
          <w:sz w:val="24"/>
          <w:szCs w:val="24"/>
        </w:rPr>
        <w:t>.</w:t>
      </w:r>
      <w:r w:rsidRPr="00F86D91">
        <w:rPr>
          <w:rFonts w:ascii="Tahoma" w:hAnsi="Tahoma" w:cs="Tahoma"/>
        </w:rPr>
        <w:tab/>
      </w:r>
      <w:r w:rsidR="009A3C0E" w:rsidRPr="00F86D91">
        <w:rPr>
          <w:rFonts w:ascii="Tahoma" w:hAnsi="Tahoma" w:cs="Tahoma"/>
          <w:sz w:val="24"/>
          <w:szCs w:val="24"/>
        </w:rPr>
        <w:t xml:space="preserve">While </w:t>
      </w:r>
      <w:r w:rsidR="00156618" w:rsidRPr="00F86D91">
        <w:rPr>
          <w:rFonts w:ascii="Tahoma" w:hAnsi="Tahoma" w:cs="Tahoma"/>
          <w:sz w:val="24"/>
          <w:szCs w:val="24"/>
        </w:rPr>
        <w:t>ports</w:t>
      </w:r>
      <w:r w:rsidR="009A3C0E" w:rsidRPr="00F86D91">
        <w:rPr>
          <w:rFonts w:ascii="Tahoma" w:hAnsi="Tahoma" w:cs="Tahoma"/>
          <w:sz w:val="24"/>
          <w:szCs w:val="24"/>
        </w:rPr>
        <w:t xml:space="preserve"> may operate at a lower power level</w:t>
      </w:r>
      <w:r w:rsidR="00897DB9" w:rsidRPr="00F86D91">
        <w:rPr>
          <w:rFonts w:ascii="Tahoma" w:hAnsi="Tahoma" w:cs="Tahoma"/>
          <w:sz w:val="24"/>
          <w:szCs w:val="24"/>
        </w:rPr>
        <w:t xml:space="preserve"> based on the charging demand</w:t>
      </w:r>
      <w:r w:rsidR="00FD1601" w:rsidRPr="00F86D91">
        <w:rPr>
          <w:rFonts w:ascii="Tahoma" w:hAnsi="Tahoma" w:cs="Tahoma"/>
          <w:sz w:val="24"/>
          <w:szCs w:val="24"/>
        </w:rPr>
        <w:t xml:space="preserve"> and utilization of load management systems</w:t>
      </w:r>
      <w:r w:rsidR="00897DB9" w:rsidRPr="00F86D91">
        <w:rPr>
          <w:rFonts w:ascii="Tahoma" w:hAnsi="Tahoma" w:cs="Tahoma"/>
          <w:sz w:val="24"/>
          <w:szCs w:val="24"/>
        </w:rPr>
        <w:t xml:space="preserve">, all ports must be </w:t>
      </w:r>
      <w:r w:rsidR="00897DB9" w:rsidRPr="00F86D91">
        <w:rPr>
          <w:rFonts w:ascii="Tahoma" w:hAnsi="Tahoma" w:cs="Tahoma"/>
          <w:i/>
          <w:iCs/>
          <w:sz w:val="24"/>
          <w:szCs w:val="24"/>
        </w:rPr>
        <w:t>capable</w:t>
      </w:r>
      <w:r w:rsidR="00897DB9" w:rsidRPr="00F86D91">
        <w:rPr>
          <w:rFonts w:ascii="Tahoma" w:hAnsi="Tahoma" w:cs="Tahoma"/>
          <w:sz w:val="24"/>
          <w:szCs w:val="24"/>
        </w:rPr>
        <w:t xml:space="preserve"> of outputting 6.2</w:t>
      </w:r>
      <w:r w:rsidR="00D858A2" w:rsidRPr="00F86D91">
        <w:rPr>
          <w:rFonts w:ascii="Tahoma" w:hAnsi="Tahoma" w:cs="Tahoma"/>
          <w:sz w:val="24"/>
          <w:szCs w:val="24"/>
        </w:rPr>
        <w:t>k</w:t>
      </w:r>
      <w:r w:rsidR="00897DB9" w:rsidRPr="00F86D91">
        <w:rPr>
          <w:rFonts w:ascii="Tahoma" w:hAnsi="Tahoma" w:cs="Tahoma"/>
          <w:sz w:val="24"/>
          <w:szCs w:val="24"/>
        </w:rPr>
        <w:t>W of power simultaneously.</w:t>
      </w:r>
      <w:r w:rsidR="007A38C6" w:rsidRPr="00F86D91">
        <w:rPr>
          <w:rFonts w:ascii="Tahoma" w:hAnsi="Tahoma" w:cs="Tahoma"/>
          <w:sz w:val="24"/>
          <w:szCs w:val="24"/>
        </w:rPr>
        <w:t xml:space="preserve"> The solicitation manual states, “</w:t>
      </w:r>
      <w:r w:rsidR="00B1104C" w:rsidRPr="00F86D91">
        <w:rPr>
          <w:rFonts w:ascii="Tahoma" w:hAnsi="Tahoma" w:cs="Tahoma"/>
          <w:sz w:val="24"/>
          <w:szCs w:val="24"/>
        </w:rPr>
        <w:t xml:space="preserve">Each L2 port must be capable of outputting at least 6.2 kilowatts (kW) of power. L2 dual-port chargers must be capable of outputting at least 6.2 kW of power from </w:t>
      </w:r>
      <w:r w:rsidR="00B1104C" w:rsidRPr="00F86D91">
        <w:rPr>
          <w:rFonts w:ascii="Tahoma" w:hAnsi="Tahoma" w:cs="Tahoma"/>
          <w:sz w:val="24"/>
          <w:szCs w:val="24"/>
        </w:rPr>
        <w:lastRenderedPageBreak/>
        <w:t xml:space="preserve">each port simultaneously” </w:t>
      </w:r>
      <w:r w:rsidR="00B1104C" w:rsidRPr="00F86D91">
        <w:rPr>
          <w:rFonts w:ascii="Tahoma" w:eastAsia="Arial" w:hAnsi="Tahoma" w:cs="Tahoma"/>
          <w:color w:val="000000" w:themeColor="text1"/>
          <w:sz w:val="24"/>
          <w:szCs w:val="24"/>
        </w:rPr>
        <w:t>(Section II.B.6., page 1</w:t>
      </w:r>
      <w:r w:rsidR="00EE0365">
        <w:rPr>
          <w:rFonts w:ascii="Tahoma" w:eastAsia="Arial" w:hAnsi="Tahoma" w:cs="Tahoma"/>
          <w:color w:val="000000" w:themeColor="text1"/>
          <w:sz w:val="24"/>
          <w:szCs w:val="24"/>
        </w:rPr>
        <w:t>2</w:t>
      </w:r>
      <w:r w:rsidR="00B1104C" w:rsidRPr="00F86D91">
        <w:rPr>
          <w:rFonts w:ascii="Tahoma" w:eastAsia="Arial" w:hAnsi="Tahoma" w:cs="Tahoma"/>
          <w:color w:val="000000" w:themeColor="text1"/>
          <w:sz w:val="24"/>
          <w:szCs w:val="24"/>
        </w:rPr>
        <w:t xml:space="preserve">, </w:t>
      </w:r>
      <w:r w:rsidR="006A5162" w:rsidRPr="00F86D91">
        <w:rPr>
          <w:rFonts w:ascii="Tahoma" w:eastAsia="Arial" w:hAnsi="Tahoma" w:cs="Tahoma"/>
          <w:color w:val="000000" w:themeColor="text1"/>
          <w:sz w:val="24"/>
          <w:szCs w:val="24"/>
        </w:rPr>
        <w:t>“</w:t>
      </w:r>
      <w:r w:rsidR="00B1104C" w:rsidRPr="00F86D91">
        <w:rPr>
          <w:rFonts w:ascii="Tahoma" w:eastAsia="Arial" w:hAnsi="Tahoma" w:cs="Tahoma"/>
          <w:color w:val="000000" w:themeColor="text1"/>
          <w:sz w:val="24"/>
          <w:szCs w:val="24"/>
        </w:rPr>
        <w:t>Charging Equipment</w:t>
      </w:r>
      <w:r w:rsidR="006A5162" w:rsidRPr="00F86D91">
        <w:rPr>
          <w:rFonts w:ascii="Tahoma" w:eastAsia="Arial" w:hAnsi="Tahoma" w:cs="Tahoma"/>
          <w:color w:val="000000" w:themeColor="text1"/>
          <w:sz w:val="24"/>
          <w:szCs w:val="24"/>
        </w:rPr>
        <w:t>”</w:t>
      </w:r>
      <w:r w:rsidR="00B1104C" w:rsidRPr="00F86D91">
        <w:rPr>
          <w:rFonts w:ascii="Tahoma" w:eastAsia="Arial" w:hAnsi="Tahoma" w:cs="Tahoma"/>
          <w:color w:val="000000" w:themeColor="text1"/>
          <w:sz w:val="24"/>
          <w:szCs w:val="24"/>
        </w:rPr>
        <w:t>, Solicitation Manual).</w:t>
      </w:r>
    </w:p>
    <w:p w14:paraId="40694F98" w14:textId="012E4ADA" w:rsidR="53234C4C" w:rsidRPr="00F86D91" w:rsidRDefault="53234C4C" w:rsidP="44A3F00F">
      <w:pPr>
        <w:spacing w:after="0" w:line="240" w:lineRule="auto"/>
        <w:ind w:left="720" w:hanging="720"/>
        <w:rPr>
          <w:rFonts w:ascii="Tahoma" w:eastAsia="Arial" w:hAnsi="Tahoma" w:cs="Tahoma"/>
          <w:color w:val="000000" w:themeColor="text1"/>
          <w:sz w:val="24"/>
          <w:szCs w:val="24"/>
        </w:rPr>
      </w:pPr>
    </w:p>
    <w:p w14:paraId="3D8A10A5" w14:textId="06F0982E" w:rsidR="13BF8754" w:rsidRPr="00F86D91" w:rsidRDefault="13BF8754" w:rsidP="13BF8754">
      <w:pPr>
        <w:spacing w:after="0" w:line="240" w:lineRule="auto"/>
        <w:ind w:left="720" w:hanging="720"/>
        <w:rPr>
          <w:rFonts w:ascii="Tahoma" w:eastAsia="Arial" w:hAnsi="Tahoma" w:cs="Tahoma"/>
          <w:color w:val="000000" w:themeColor="text1"/>
          <w:sz w:val="24"/>
          <w:szCs w:val="24"/>
        </w:rPr>
      </w:pPr>
    </w:p>
    <w:p w14:paraId="2D1B8E2A" w14:textId="1B7ABE81" w:rsidR="210EF59C" w:rsidRPr="00F86D91" w:rsidRDefault="210EF59C" w:rsidP="44A3F00F">
      <w:pPr>
        <w:spacing w:after="0" w:line="240" w:lineRule="auto"/>
        <w:ind w:left="720" w:hanging="720"/>
        <w:rPr>
          <w:rFonts w:ascii="Tahoma" w:eastAsia="Arial" w:hAnsi="Tahoma" w:cs="Tahoma"/>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76</w:t>
      </w:r>
      <w:r w:rsidRPr="00F86D91">
        <w:rPr>
          <w:rFonts w:ascii="Tahoma" w:eastAsia="Arial" w:hAnsi="Tahoma" w:cs="Tahoma"/>
          <w:b/>
          <w:bCs/>
          <w:color w:val="000000" w:themeColor="text1"/>
          <w:sz w:val="24"/>
          <w:szCs w:val="24"/>
        </w:rPr>
        <w:t>.</w:t>
      </w:r>
      <w:r w:rsidRPr="00F86D91">
        <w:rPr>
          <w:rFonts w:ascii="Tahoma" w:hAnsi="Tahoma" w:cs="Tahoma"/>
        </w:rPr>
        <w:tab/>
      </w:r>
      <w:r w:rsidR="00E953F3" w:rsidRPr="00F86D91">
        <w:rPr>
          <w:rFonts w:ascii="Tahoma" w:eastAsia="Arial" w:hAnsi="Tahoma" w:cs="Tahoma"/>
          <w:b/>
          <w:bCs/>
          <w:color w:val="000000" w:themeColor="text1"/>
          <w:sz w:val="24"/>
          <w:szCs w:val="24"/>
        </w:rPr>
        <w:t>Can chargers be either grid-connected or not grid-connected</w:t>
      </w:r>
      <w:r w:rsidR="0068234A" w:rsidRPr="00F86D91">
        <w:rPr>
          <w:rFonts w:ascii="Tahoma" w:eastAsia="Arial" w:hAnsi="Tahoma" w:cs="Tahoma"/>
          <w:b/>
          <w:bCs/>
          <w:color w:val="000000" w:themeColor="text1"/>
          <w:sz w:val="24"/>
          <w:szCs w:val="24"/>
        </w:rPr>
        <w:t>?</w:t>
      </w:r>
    </w:p>
    <w:p w14:paraId="5578A409" w14:textId="716E647A" w:rsidR="53234C4C" w:rsidRPr="00F86D91" w:rsidRDefault="53234C4C" w:rsidP="53234C4C">
      <w:pPr>
        <w:spacing w:after="0" w:line="240" w:lineRule="auto"/>
        <w:ind w:left="720" w:hanging="720"/>
        <w:rPr>
          <w:rFonts w:ascii="Tahoma" w:eastAsia="Arial" w:hAnsi="Tahoma" w:cs="Tahoma"/>
          <w:b/>
          <w:bCs/>
          <w:color w:val="000000" w:themeColor="text1"/>
          <w:sz w:val="24"/>
          <w:szCs w:val="24"/>
        </w:rPr>
      </w:pPr>
    </w:p>
    <w:p w14:paraId="11DB220F" w14:textId="13423326" w:rsidR="2E9275B2" w:rsidRPr="00F86D91" w:rsidRDefault="210EF59C" w:rsidP="003222AF">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76</w:t>
      </w:r>
      <w:r w:rsidRPr="00F86D91">
        <w:rPr>
          <w:rFonts w:ascii="Tahoma" w:eastAsia="Arial" w:hAnsi="Tahoma" w:cs="Tahoma"/>
          <w:color w:val="000000" w:themeColor="text1"/>
          <w:sz w:val="24"/>
          <w:szCs w:val="24"/>
        </w:rPr>
        <w:t>.</w:t>
      </w:r>
      <w:r w:rsidRPr="00F86D91">
        <w:rPr>
          <w:rFonts w:ascii="Tahoma" w:hAnsi="Tahoma" w:cs="Tahoma"/>
        </w:rPr>
        <w:tab/>
      </w:r>
      <w:r w:rsidR="0068234A" w:rsidRPr="00F86D91">
        <w:rPr>
          <w:rFonts w:ascii="Tahoma" w:hAnsi="Tahoma" w:cs="Tahoma"/>
          <w:sz w:val="24"/>
          <w:szCs w:val="24"/>
        </w:rPr>
        <w:t>Y</w:t>
      </w:r>
      <w:r w:rsidR="00971D69" w:rsidRPr="00F86D91">
        <w:rPr>
          <w:rFonts w:ascii="Tahoma" w:hAnsi="Tahoma" w:cs="Tahoma"/>
          <w:sz w:val="24"/>
          <w:szCs w:val="24"/>
        </w:rPr>
        <w:t>es</w:t>
      </w:r>
      <w:r w:rsidR="004466D4" w:rsidRPr="00F86D91">
        <w:rPr>
          <w:rFonts w:ascii="Tahoma" w:hAnsi="Tahoma" w:cs="Tahoma"/>
          <w:sz w:val="24"/>
          <w:szCs w:val="24"/>
        </w:rPr>
        <w:t>, there is no requirement for chargers to be grid-connected.</w:t>
      </w:r>
      <w:r w:rsidR="00971D69" w:rsidRPr="00F86D91">
        <w:rPr>
          <w:rFonts w:ascii="Tahoma" w:hAnsi="Tahoma" w:cs="Tahoma"/>
          <w:sz w:val="24"/>
          <w:szCs w:val="24"/>
        </w:rPr>
        <w:t xml:space="preserve"> </w:t>
      </w:r>
      <w:r w:rsidR="008F16CA" w:rsidRPr="00F86D91">
        <w:rPr>
          <w:rFonts w:ascii="Tahoma" w:hAnsi="Tahoma" w:cs="Tahoma"/>
          <w:sz w:val="24"/>
          <w:szCs w:val="24"/>
        </w:rPr>
        <w:t xml:space="preserve">Please note however, </w:t>
      </w:r>
      <w:r w:rsidR="00A64AB3" w:rsidRPr="00F86D91">
        <w:rPr>
          <w:rFonts w:ascii="Tahoma" w:hAnsi="Tahoma" w:cs="Tahoma"/>
          <w:sz w:val="24"/>
          <w:szCs w:val="24"/>
        </w:rPr>
        <w:t>r</w:t>
      </w:r>
      <w:r w:rsidR="00A64AB3" w:rsidRPr="00F86D91">
        <w:rPr>
          <w:rFonts w:ascii="Tahoma" w:eastAsia="Tahoma" w:hAnsi="Tahoma" w:cs="Tahoma"/>
          <w:color w:val="000000" w:themeColor="text1"/>
          <w:sz w:val="24"/>
          <w:szCs w:val="24"/>
        </w:rPr>
        <w:t>enewable distributed energy resources capable of providing independent or supplemental power to the EV chargers are not eligible for CEC reimbursement but may be included as an Applicant’s match share (Section II.B.7., page 1</w:t>
      </w:r>
      <w:r w:rsidR="000F5274">
        <w:rPr>
          <w:rFonts w:ascii="Tahoma" w:eastAsia="Tahoma" w:hAnsi="Tahoma" w:cs="Tahoma"/>
          <w:color w:val="000000" w:themeColor="text1"/>
          <w:sz w:val="24"/>
          <w:szCs w:val="24"/>
        </w:rPr>
        <w:t>4-15</w:t>
      </w:r>
      <w:r w:rsidR="00A64AB3" w:rsidRPr="00F86D91">
        <w:rPr>
          <w:rFonts w:ascii="Tahoma" w:eastAsia="Tahoma" w:hAnsi="Tahoma" w:cs="Tahoma"/>
          <w:color w:val="000000" w:themeColor="text1"/>
          <w:sz w:val="24"/>
          <w:szCs w:val="24"/>
        </w:rPr>
        <w:t xml:space="preserve">, </w:t>
      </w:r>
      <w:r w:rsidR="00944D8A" w:rsidRPr="00F86D91">
        <w:rPr>
          <w:rFonts w:ascii="Tahoma" w:eastAsia="Tahoma" w:hAnsi="Tahoma" w:cs="Tahoma"/>
          <w:color w:val="000000" w:themeColor="text1"/>
          <w:sz w:val="24"/>
          <w:szCs w:val="24"/>
        </w:rPr>
        <w:t>“</w:t>
      </w:r>
      <w:r w:rsidR="00A64AB3" w:rsidRPr="00F86D91">
        <w:rPr>
          <w:rFonts w:ascii="Tahoma" w:eastAsia="Tahoma" w:hAnsi="Tahoma" w:cs="Tahoma"/>
          <w:color w:val="000000" w:themeColor="text1"/>
          <w:sz w:val="24"/>
          <w:szCs w:val="24"/>
        </w:rPr>
        <w:t>Eligible Project Costs</w:t>
      </w:r>
      <w:r w:rsidR="00944D8A" w:rsidRPr="00F86D91">
        <w:rPr>
          <w:rFonts w:ascii="Tahoma" w:eastAsia="Tahoma" w:hAnsi="Tahoma" w:cs="Tahoma"/>
          <w:color w:val="000000" w:themeColor="text1"/>
          <w:sz w:val="24"/>
          <w:szCs w:val="24"/>
        </w:rPr>
        <w:t>”</w:t>
      </w:r>
      <w:r w:rsidR="00A64AB3" w:rsidRPr="00F86D91">
        <w:rPr>
          <w:rFonts w:ascii="Tahoma" w:eastAsia="Tahoma" w:hAnsi="Tahoma" w:cs="Tahoma"/>
          <w:color w:val="000000" w:themeColor="text1"/>
          <w:sz w:val="24"/>
          <w:szCs w:val="24"/>
        </w:rPr>
        <w:t>, Solicitation Manual).</w:t>
      </w:r>
    </w:p>
    <w:p w14:paraId="0CF1B737" w14:textId="5C6F8C61" w:rsidR="53234C4C" w:rsidRPr="00F86D91" w:rsidRDefault="53234C4C" w:rsidP="008F16CA">
      <w:pPr>
        <w:spacing w:after="0" w:line="240" w:lineRule="auto"/>
        <w:rPr>
          <w:rFonts w:ascii="Tahoma" w:eastAsia="Arial" w:hAnsi="Tahoma" w:cs="Tahoma"/>
          <w:color w:val="000000" w:themeColor="text1"/>
          <w:sz w:val="24"/>
          <w:szCs w:val="24"/>
        </w:rPr>
      </w:pPr>
    </w:p>
    <w:p w14:paraId="2D967FFA" w14:textId="07A05661" w:rsidR="53234C4C" w:rsidRPr="00F86D91" w:rsidRDefault="53234C4C" w:rsidP="53234C4C">
      <w:pPr>
        <w:spacing w:after="0" w:line="240" w:lineRule="auto"/>
        <w:ind w:left="720" w:hanging="720"/>
        <w:rPr>
          <w:rFonts w:ascii="Tahoma" w:eastAsia="Arial" w:hAnsi="Tahoma" w:cs="Tahoma"/>
          <w:color w:val="000000" w:themeColor="text1"/>
          <w:sz w:val="24"/>
          <w:szCs w:val="24"/>
        </w:rPr>
      </w:pPr>
    </w:p>
    <w:p w14:paraId="74A07B64" w14:textId="11E56705" w:rsidR="2E9275B2" w:rsidRPr="00F86D91" w:rsidRDefault="2E9275B2"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77</w:t>
      </w:r>
      <w:r w:rsidRPr="00F86D91">
        <w:rPr>
          <w:rFonts w:ascii="Tahoma" w:eastAsia="Arial" w:hAnsi="Tahoma" w:cs="Tahoma"/>
          <w:b/>
          <w:bCs/>
          <w:color w:val="000000" w:themeColor="text1"/>
          <w:sz w:val="24"/>
          <w:szCs w:val="24"/>
        </w:rPr>
        <w:t>.</w:t>
      </w:r>
      <w:r w:rsidRPr="00F86D91">
        <w:rPr>
          <w:rFonts w:ascii="Tahoma" w:hAnsi="Tahoma" w:cs="Tahoma"/>
        </w:rPr>
        <w:tab/>
      </w:r>
      <w:r w:rsidR="0D4D65DB" w:rsidRPr="00F86D91">
        <w:rPr>
          <w:rFonts w:ascii="Tahoma" w:eastAsia="Arial" w:hAnsi="Tahoma" w:cs="Tahoma"/>
          <w:b/>
          <w:bCs/>
          <w:color w:val="000000" w:themeColor="text1"/>
          <w:sz w:val="24"/>
          <w:szCs w:val="24"/>
        </w:rPr>
        <w:t xml:space="preserve">Are </w:t>
      </w:r>
      <w:r w:rsidR="002D1BA2" w:rsidRPr="00F86D91">
        <w:rPr>
          <w:rFonts w:ascii="Tahoma" w:eastAsia="Arial" w:hAnsi="Tahoma" w:cs="Tahoma"/>
          <w:b/>
          <w:bCs/>
          <w:color w:val="000000" w:themeColor="text1"/>
          <w:sz w:val="24"/>
          <w:szCs w:val="24"/>
        </w:rPr>
        <w:t>R</w:t>
      </w:r>
      <w:r w:rsidR="0D4D65DB" w:rsidRPr="00F86D91">
        <w:rPr>
          <w:rFonts w:ascii="Tahoma" w:eastAsia="Arial" w:hAnsi="Tahoma" w:cs="Tahoma"/>
          <w:b/>
          <w:bCs/>
          <w:color w:val="000000" w:themeColor="text1"/>
          <w:sz w:val="24"/>
          <w:szCs w:val="24"/>
        </w:rPr>
        <w:t>esumes</w:t>
      </w:r>
      <w:r w:rsidR="002D1BA2" w:rsidRPr="00F86D91">
        <w:rPr>
          <w:rFonts w:ascii="Tahoma" w:eastAsia="Arial" w:hAnsi="Tahoma" w:cs="Tahoma"/>
          <w:b/>
          <w:bCs/>
          <w:color w:val="000000" w:themeColor="text1"/>
          <w:sz w:val="24"/>
          <w:szCs w:val="24"/>
        </w:rPr>
        <w:t xml:space="preserve"> (Attachment </w:t>
      </w:r>
      <w:r w:rsidR="00812BEE" w:rsidRPr="00F86D91">
        <w:rPr>
          <w:rFonts w:ascii="Tahoma" w:eastAsia="Arial" w:hAnsi="Tahoma" w:cs="Tahoma"/>
          <w:b/>
          <w:bCs/>
          <w:color w:val="000000" w:themeColor="text1"/>
          <w:sz w:val="24"/>
          <w:szCs w:val="24"/>
        </w:rPr>
        <w:t>12</w:t>
      </w:r>
      <w:r w:rsidR="002D1BA2" w:rsidRPr="00F86D91">
        <w:rPr>
          <w:rFonts w:ascii="Tahoma" w:eastAsia="Arial" w:hAnsi="Tahoma" w:cs="Tahoma"/>
          <w:b/>
          <w:bCs/>
          <w:color w:val="000000" w:themeColor="text1"/>
          <w:sz w:val="24"/>
          <w:szCs w:val="24"/>
        </w:rPr>
        <w:t>)</w:t>
      </w:r>
      <w:r w:rsidR="0D4D65DB" w:rsidRPr="00F86D91">
        <w:rPr>
          <w:rFonts w:ascii="Tahoma" w:eastAsia="Arial" w:hAnsi="Tahoma" w:cs="Tahoma"/>
          <w:b/>
          <w:bCs/>
          <w:color w:val="000000" w:themeColor="text1"/>
          <w:sz w:val="24"/>
          <w:szCs w:val="24"/>
        </w:rPr>
        <w:t xml:space="preserve"> required for all those included in the contact list?</w:t>
      </w:r>
    </w:p>
    <w:p w14:paraId="45F8FBA4" w14:textId="716E647A" w:rsidR="53234C4C" w:rsidRPr="00F86D91" w:rsidRDefault="53234C4C" w:rsidP="53234C4C">
      <w:pPr>
        <w:spacing w:after="0" w:line="240" w:lineRule="auto"/>
        <w:ind w:left="720" w:hanging="720"/>
        <w:rPr>
          <w:rFonts w:ascii="Tahoma" w:eastAsia="Arial" w:hAnsi="Tahoma" w:cs="Tahoma"/>
          <w:b/>
          <w:bCs/>
          <w:color w:val="000000" w:themeColor="text1"/>
          <w:sz w:val="24"/>
          <w:szCs w:val="24"/>
        </w:rPr>
      </w:pPr>
    </w:p>
    <w:p w14:paraId="3E4B7E76" w14:textId="17D665D7" w:rsidR="53234C4C" w:rsidRPr="00F86D91" w:rsidRDefault="2E9275B2" w:rsidP="13BF8754">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77</w:t>
      </w:r>
      <w:r w:rsidRPr="00F86D91">
        <w:rPr>
          <w:rFonts w:ascii="Tahoma" w:eastAsia="Arial" w:hAnsi="Tahoma" w:cs="Tahoma"/>
          <w:color w:val="000000" w:themeColor="text1"/>
          <w:sz w:val="24"/>
          <w:szCs w:val="24"/>
        </w:rPr>
        <w:t>.</w:t>
      </w:r>
      <w:r w:rsidR="53234C4C" w:rsidRPr="00F86D91">
        <w:rPr>
          <w:rFonts w:ascii="Tahoma" w:hAnsi="Tahoma" w:cs="Tahoma"/>
        </w:rPr>
        <w:tab/>
      </w:r>
      <w:r w:rsidR="008C0D97" w:rsidRPr="00F86D91">
        <w:rPr>
          <w:rFonts w:ascii="Tahoma" w:hAnsi="Tahoma" w:cs="Tahoma"/>
          <w:sz w:val="24"/>
          <w:szCs w:val="24"/>
        </w:rPr>
        <w:t>The solicitation manual states, “Applicants must include resumes for key personnel identified in the proposal. “Key personnel” are individuals that are critical to the project due to their experience, knowledge, and/or capabilities. Resumes are limited to a maximum of 2 pages each” (</w:t>
      </w:r>
      <w:r w:rsidR="000D36B7" w:rsidRPr="00F86D91">
        <w:rPr>
          <w:rFonts w:ascii="Tahoma" w:hAnsi="Tahoma" w:cs="Tahoma"/>
          <w:sz w:val="24"/>
          <w:szCs w:val="24"/>
        </w:rPr>
        <w:t xml:space="preserve">Section III.C.6., page </w:t>
      </w:r>
      <w:r w:rsidR="00CE218A">
        <w:rPr>
          <w:rFonts w:ascii="Tahoma" w:hAnsi="Tahoma" w:cs="Tahoma"/>
          <w:sz w:val="24"/>
          <w:szCs w:val="24"/>
        </w:rPr>
        <w:t>30</w:t>
      </w:r>
      <w:r w:rsidR="000D36B7" w:rsidRPr="00F86D91">
        <w:rPr>
          <w:rFonts w:ascii="Tahoma" w:hAnsi="Tahoma" w:cs="Tahoma"/>
          <w:sz w:val="24"/>
          <w:szCs w:val="24"/>
        </w:rPr>
        <w:t xml:space="preserve">, </w:t>
      </w:r>
      <w:r w:rsidR="00944D8A" w:rsidRPr="00F86D91">
        <w:rPr>
          <w:rFonts w:ascii="Tahoma" w:hAnsi="Tahoma" w:cs="Tahoma"/>
          <w:sz w:val="24"/>
          <w:szCs w:val="24"/>
        </w:rPr>
        <w:t>“</w:t>
      </w:r>
      <w:r w:rsidR="000D36B7" w:rsidRPr="00F86D91">
        <w:rPr>
          <w:rFonts w:ascii="Tahoma" w:hAnsi="Tahoma" w:cs="Tahoma"/>
          <w:sz w:val="24"/>
          <w:szCs w:val="24"/>
        </w:rPr>
        <w:t>Resumes</w:t>
      </w:r>
      <w:r w:rsidR="00944D8A" w:rsidRPr="00F86D91">
        <w:rPr>
          <w:rFonts w:ascii="Tahoma" w:hAnsi="Tahoma" w:cs="Tahoma"/>
          <w:sz w:val="24"/>
          <w:szCs w:val="24"/>
        </w:rPr>
        <w:t>”</w:t>
      </w:r>
      <w:r w:rsidR="000D36B7" w:rsidRPr="00F86D91">
        <w:rPr>
          <w:rFonts w:ascii="Tahoma" w:hAnsi="Tahoma" w:cs="Tahoma"/>
          <w:sz w:val="24"/>
          <w:szCs w:val="24"/>
        </w:rPr>
        <w:t>, Solicitation Manual).</w:t>
      </w:r>
    </w:p>
    <w:p w14:paraId="35A84EFE" w14:textId="42E7A6D8" w:rsidR="13BF8754" w:rsidRPr="00F86D91" w:rsidRDefault="13BF8754" w:rsidP="13BF8754">
      <w:pPr>
        <w:spacing w:after="0" w:line="240" w:lineRule="auto"/>
        <w:ind w:left="720" w:hanging="720"/>
        <w:rPr>
          <w:rFonts w:ascii="Tahoma" w:eastAsia="Arial" w:hAnsi="Tahoma" w:cs="Tahoma"/>
          <w:b/>
          <w:bCs/>
          <w:color w:val="000000" w:themeColor="text1"/>
          <w:sz w:val="24"/>
          <w:szCs w:val="24"/>
        </w:rPr>
      </w:pPr>
    </w:p>
    <w:p w14:paraId="55C779AC" w14:textId="21C04251" w:rsidR="13BF8754" w:rsidRPr="00F86D91" w:rsidRDefault="13BF8754" w:rsidP="13BF8754">
      <w:pPr>
        <w:spacing w:after="0" w:line="240" w:lineRule="auto"/>
        <w:ind w:left="720" w:hanging="720"/>
        <w:rPr>
          <w:rFonts w:ascii="Tahoma" w:eastAsia="Arial" w:hAnsi="Tahoma" w:cs="Tahoma"/>
          <w:b/>
          <w:bCs/>
          <w:color w:val="000000" w:themeColor="text1"/>
          <w:sz w:val="24"/>
          <w:szCs w:val="24"/>
        </w:rPr>
      </w:pPr>
    </w:p>
    <w:p w14:paraId="0390C12D" w14:textId="69C4EF53" w:rsidR="2B44BDA5" w:rsidRPr="00F86D91" w:rsidRDefault="2B44BDA5"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78</w:t>
      </w:r>
      <w:r w:rsidRPr="00F86D91">
        <w:rPr>
          <w:rFonts w:ascii="Tahoma" w:eastAsia="Arial" w:hAnsi="Tahoma" w:cs="Tahoma"/>
          <w:b/>
          <w:bCs/>
          <w:color w:val="000000" w:themeColor="text1"/>
          <w:sz w:val="24"/>
          <w:szCs w:val="24"/>
        </w:rPr>
        <w:t>.</w:t>
      </w:r>
      <w:r w:rsidRPr="00F86D91">
        <w:rPr>
          <w:rFonts w:ascii="Tahoma" w:hAnsi="Tahoma" w:cs="Tahoma"/>
        </w:rPr>
        <w:tab/>
      </w:r>
      <w:r w:rsidR="66AF3B17" w:rsidRPr="00F86D91">
        <w:rPr>
          <w:rFonts w:ascii="Tahoma" w:eastAsia="Arial" w:hAnsi="Tahoma" w:cs="Tahoma"/>
          <w:b/>
          <w:bCs/>
          <w:color w:val="000000" w:themeColor="text1"/>
          <w:sz w:val="24"/>
          <w:szCs w:val="24"/>
        </w:rPr>
        <w:t>Is AB 2061 compliance required for chargers installed after Jan 1, 2024 (as written) or 2025</w:t>
      </w:r>
      <w:r w:rsidR="00934921" w:rsidRPr="00F86D91">
        <w:rPr>
          <w:rFonts w:ascii="Tahoma" w:eastAsia="Arial" w:hAnsi="Tahoma" w:cs="Tahoma"/>
          <w:b/>
          <w:bCs/>
          <w:color w:val="000000" w:themeColor="text1"/>
          <w:sz w:val="24"/>
          <w:szCs w:val="24"/>
        </w:rPr>
        <w:t>?</w:t>
      </w:r>
    </w:p>
    <w:p w14:paraId="4015DCC5" w14:textId="716E647A" w:rsidR="53234C4C" w:rsidRPr="00F86D91" w:rsidRDefault="53234C4C" w:rsidP="53234C4C">
      <w:pPr>
        <w:spacing w:after="0" w:line="240" w:lineRule="auto"/>
        <w:ind w:left="720" w:hanging="720"/>
        <w:rPr>
          <w:rFonts w:ascii="Tahoma" w:eastAsia="Arial" w:hAnsi="Tahoma" w:cs="Tahoma"/>
          <w:b/>
          <w:bCs/>
          <w:color w:val="000000" w:themeColor="text1"/>
          <w:sz w:val="24"/>
          <w:szCs w:val="24"/>
        </w:rPr>
      </w:pPr>
    </w:p>
    <w:p w14:paraId="154845EF" w14:textId="22B87CDF" w:rsidR="2B44BDA5" w:rsidRPr="00F86D91" w:rsidRDefault="2B44BDA5" w:rsidP="53234C4C">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78</w:t>
      </w:r>
      <w:r w:rsidRPr="00F86D91">
        <w:rPr>
          <w:rFonts w:ascii="Tahoma" w:eastAsia="Arial" w:hAnsi="Tahoma" w:cs="Tahoma"/>
          <w:color w:val="000000" w:themeColor="text1"/>
          <w:sz w:val="24"/>
          <w:szCs w:val="24"/>
        </w:rPr>
        <w:t>.</w:t>
      </w:r>
      <w:r w:rsidRPr="00F86D91">
        <w:rPr>
          <w:rFonts w:ascii="Tahoma" w:hAnsi="Tahoma" w:cs="Tahoma"/>
        </w:rPr>
        <w:tab/>
      </w:r>
      <w:r w:rsidR="00D271DF" w:rsidRPr="00F86D91">
        <w:rPr>
          <w:rFonts w:ascii="Tahoma" w:eastAsia="Arial" w:hAnsi="Tahoma" w:cs="Tahoma"/>
          <w:color w:val="000000" w:themeColor="text1"/>
          <w:sz w:val="24"/>
          <w:szCs w:val="24"/>
        </w:rPr>
        <w:t>The solicitation manual states, “R</w:t>
      </w:r>
      <w:r w:rsidR="3A65B76D" w:rsidRPr="00F86D91">
        <w:rPr>
          <w:rFonts w:ascii="Tahoma" w:eastAsia="Arial" w:hAnsi="Tahoma" w:cs="Tahoma"/>
          <w:color w:val="000000" w:themeColor="text1"/>
          <w:sz w:val="24"/>
          <w:szCs w:val="24"/>
        </w:rPr>
        <w:t xml:space="preserve">equirements for Charging Equipment Installed After January 1, 2024. In addition to the other requirements set forth in this solicitation, the terms and conditions applicable to the Applicant and the law, electric vehicle chargers and charging stations installed on or after January 1, </w:t>
      </w:r>
      <w:proofErr w:type="gramStart"/>
      <w:r w:rsidR="3A65B76D" w:rsidRPr="00F86D91">
        <w:rPr>
          <w:rFonts w:ascii="Tahoma" w:eastAsia="Arial" w:hAnsi="Tahoma" w:cs="Tahoma"/>
          <w:color w:val="000000" w:themeColor="text1"/>
          <w:sz w:val="24"/>
          <w:szCs w:val="24"/>
        </w:rPr>
        <w:t>2024</w:t>
      </w:r>
      <w:proofErr w:type="gramEnd"/>
      <w:r w:rsidR="3A65B76D" w:rsidRPr="00F86D91">
        <w:rPr>
          <w:rFonts w:ascii="Tahoma" w:eastAsia="Arial" w:hAnsi="Tahoma" w:cs="Tahoma"/>
          <w:color w:val="000000" w:themeColor="text1"/>
          <w:sz w:val="24"/>
          <w:szCs w:val="24"/>
        </w:rPr>
        <w:t xml:space="preserve"> must comply with recordkeeping and reporting standards which CEC is currently in the process of developing. As background, AB 2061 (Ting, Chapter 345, Statutes of 2022) and Cal. Pub. Resources Code sect. 25231.5 require the CEC, in consultation with the CPUC, to develop recordkeeping and reporting standards for electric vehicle chargers and charging stations. CEC is working to develop regulations in compliance with AB 2061. Other requirements, including but not limited to uptime and operation and maintenance requirements, may also be adopted by regulation. Once these regulations are finalized, chargers which are installed on or after January 1, 2024, including chargers installed under agreements resulting from this solicitation</w:t>
      </w:r>
      <w:r w:rsidR="00D271DF" w:rsidRPr="00F86D91">
        <w:rPr>
          <w:rFonts w:ascii="Tahoma" w:eastAsia="Arial" w:hAnsi="Tahoma" w:cs="Tahoma"/>
          <w:color w:val="000000" w:themeColor="text1"/>
          <w:sz w:val="24"/>
          <w:szCs w:val="24"/>
        </w:rPr>
        <w:t xml:space="preserve">” (Section </w:t>
      </w:r>
      <w:r w:rsidR="004729E9" w:rsidRPr="00F86D91">
        <w:rPr>
          <w:rFonts w:ascii="Tahoma" w:eastAsia="Arial" w:hAnsi="Tahoma" w:cs="Tahoma"/>
          <w:color w:val="000000" w:themeColor="text1"/>
          <w:sz w:val="24"/>
          <w:szCs w:val="24"/>
        </w:rPr>
        <w:t xml:space="preserve">II.B.7., page </w:t>
      </w:r>
      <w:r w:rsidR="00EB565D">
        <w:rPr>
          <w:rFonts w:ascii="Tahoma" w:eastAsia="Arial" w:hAnsi="Tahoma" w:cs="Tahoma"/>
          <w:color w:val="000000" w:themeColor="text1"/>
          <w:sz w:val="24"/>
          <w:szCs w:val="24"/>
        </w:rPr>
        <w:t>15-16</w:t>
      </w:r>
      <w:r w:rsidR="00363890" w:rsidRPr="00F86D91">
        <w:rPr>
          <w:rFonts w:ascii="Tahoma" w:eastAsia="Arial" w:hAnsi="Tahoma" w:cs="Tahoma"/>
          <w:color w:val="000000" w:themeColor="text1"/>
          <w:sz w:val="24"/>
          <w:szCs w:val="24"/>
        </w:rPr>
        <w:t xml:space="preserve">, </w:t>
      </w:r>
      <w:r w:rsidR="00944D8A" w:rsidRPr="00F86D91">
        <w:rPr>
          <w:rFonts w:ascii="Tahoma" w:eastAsia="Arial" w:hAnsi="Tahoma" w:cs="Tahoma"/>
          <w:color w:val="000000" w:themeColor="text1"/>
          <w:sz w:val="24"/>
          <w:szCs w:val="24"/>
        </w:rPr>
        <w:t>“</w:t>
      </w:r>
      <w:r w:rsidR="00363890" w:rsidRPr="00F86D91">
        <w:rPr>
          <w:rFonts w:ascii="Tahoma" w:eastAsia="Arial" w:hAnsi="Tahoma" w:cs="Tahoma"/>
          <w:color w:val="000000" w:themeColor="text1"/>
          <w:sz w:val="24"/>
          <w:szCs w:val="24"/>
        </w:rPr>
        <w:t>Eligible Project Costs</w:t>
      </w:r>
      <w:r w:rsidR="00944D8A" w:rsidRPr="00F86D91">
        <w:rPr>
          <w:rFonts w:ascii="Tahoma" w:eastAsia="Arial" w:hAnsi="Tahoma" w:cs="Tahoma"/>
          <w:color w:val="000000" w:themeColor="text1"/>
          <w:sz w:val="24"/>
          <w:szCs w:val="24"/>
        </w:rPr>
        <w:t>”</w:t>
      </w:r>
      <w:r w:rsidR="00363890" w:rsidRPr="00F86D91">
        <w:rPr>
          <w:rFonts w:ascii="Tahoma" w:eastAsia="Arial" w:hAnsi="Tahoma" w:cs="Tahoma"/>
          <w:color w:val="000000" w:themeColor="text1"/>
          <w:sz w:val="24"/>
          <w:szCs w:val="24"/>
        </w:rPr>
        <w:t>, Solicitation Manual).</w:t>
      </w:r>
    </w:p>
    <w:p w14:paraId="18818217" w14:textId="2D745F0D" w:rsidR="53234C4C" w:rsidRPr="00F86D91" w:rsidRDefault="53234C4C" w:rsidP="13BF8754">
      <w:pPr>
        <w:spacing w:after="0" w:line="240" w:lineRule="auto"/>
        <w:ind w:left="720" w:hanging="720"/>
        <w:rPr>
          <w:rFonts w:ascii="Tahoma" w:eastAsia="Arial" w:hAnsi="Tahoma" w:cs="Tahoma"/>
          <w:color w:val="000000" w:themeColor="text1"/>
          <w:sz w:val="24"/>
          <w:szCs w:val="24"/>
        </w:rPr>
      </w:pPr>
    </w:p>
    <w:p w14:paraId="33A1C752" w14:textId="07A05661" w:rsidR="53234C4C" w:rsidRPr="00F86D91" w:rsidRDefault="53234C4C" w:rsidP="00363890">
      <w:pPr>
        <w:spacing w:after="0" w:line="240" w:lineRule="auto"/>
        <w:rPr>
          <w:rFonts w:ascii="Tahoma" w:eastAsia="Arial" w:hAnsi="Tahoma" w:cs="Tahoma"/>
          <w:color w:val="000000" w:themeColor="text1"/>
          <w:sz w:val="24"/>
          <w:szCs w:val="24"/>
        </w:rPr>
      </w:pPr>
    </w:p>
    <w:p w14:paraId="5EB783B3" w14:textId="2C3FC284" w:rsidR="129240DA" w:rsidRPr="00F86D91" w:rsidRDefault="129240DA" w:rsidP="44A3F00F">
      <w:pPr>
        <w:spacing w:after="0" w:line="240" w:lineRule="auto"/>
        <w:ind w:left="720" w:hanging="720"/>
        <w:rPr>
          <w:rFonts w:ascii="Tahoma" w:eastAsia="Arial" w:hAnsi="Tahoma" w:cs="Tahoma"/>
          <w:sz w:val="24"/>
          <w:szCs w:val="24"/>
        </w:rPr>
      </w:pPr>
      <w:r w:rsidRPr="00F86D91">
        <w:rPr>
          <w:rFonts w:ascii="Tahoma" w:eastAsia="Arial" w:hAnsi="Tahoma" w:cs="Tahoma"/>
          <w:b/>
          <w:bCs/>
          <w:color w:val="000000" w:themeColor="text1"/>
          <w:sz w:val="24"/>
          <w:szCs w:val="24"/>
        </w:rPr>
        <w:lastRenderedPageBreak/>
        <w:t>Q</w:t>
      </w:r>
      <w:r w:rsidR="00823804" w:rsidRPr="00F86D91">
        <w:rPr>
          <w:rFonts w:ascii="Tahoma" w:eastAsia="Arial" w:hAnsi="Tahoma" w:cs="Tahoma"/>
          <w:b/>
          <w:bCs/>
          <w:color w:val="000000" w:themeColor="text1"/>
          <w:sz w:val="24"/>
          <w:szCs w:val="24"/>
        </w:rPr>
        <w:t>79</w:t>
      </w:r>
      <w:r w:rsidRPr="00F86D91">
        <w:rPr>
          <w:rFonts w:ascii="Tahoma" w:eastAsia="Arial" w:hAnsi="Tahoma" w:cs="Tahoma"/>
          <w:b/>
          <w:bCs/>
          <w:color w:val="000000" w:themeColor="text1"/>
          <w:sz w:val="24"/>
          <w:szCs w:val="24"/>
        </w:rPr>
        <w:t>.</w:t>
      </w:r>
      <w:r w:rsidRPr="00F86D91">
        <w:rPr>
          <w:rFonts w:ascii="Tahoma" w:hAnsi="Tahoma" w:cs="Tahoma"/>
        </w:rPr>
        <w:tab/>
      </w:r>
      <w:r w:rsidR="00934921" w:rsidRPr="00F86D91">
        <w:rPr>
          <w:rFonts w:ascii="Tahoma" w:eastAsia="Arial" w:hAnsi="Tahoma" w:cs="Tahoma"/>
          <w:b/>
          <w:bCs/>
          <w:color w:val="000000" w:themeColor="text1"/>
          <w:sz w:val="24"/>
          <w:szCs w:val="24"/>
        </w:rPr>
        <w:t xml:space="preserve">Is there a </w:t>
      </w:r>
      <w:r w:rsidR="00FD71F1" w:rsidRPr="00F86D91">
        <w:rPr>
          <w:rFonts w:ascii="Tahoma" w:eastAsia="Arial" w:hAnsi="Tahoma" w:cs="Tahoma"/>
          <w:b/>
          <w:bCs/>
          <w:color w:val="000000" w:themeColor="text1"/>
          <w:sz w:val="24"/>
          <w:szCs w:val="24"/>
        </w:rPr>
        <w:t xml:space="preserve">list of vendors </w:t>
      </w:r>
      <w:r w:rsidR="00671AE2" w:rsidRPr="00F86D91">
        <w:rPr>
          <w:rFonts w:ascii="Tahoma" w:eastAsia="Arial" w:hAnsi="Tahoma" w:cs="Tahoma"/>
          <w:b/>
          <w:bCs/>
          <w:color w:val="000000" w:themeColor="text1"/>
          <w:sz w:val="24"/>
          <w:szCs w:val="24"/>
        </w:rPr>
        <w:t xml:space="preserve">or subcontractors, </w:t>
      </w:r>
      <w:r w:rsidR="00FD71F1" w:rsidRPr="00F86D91">
        <w:rPr>
          <w:rFonts w:ascii="Tahoma" w:eastAsia="Arial" w:hAnsi="Tahoma" w:cs="Tahoma"/>
          <w:b/>
          <w:bCs/>
          <w:color w:val="000000" w:themeColor="text1"/>
          <w:sz w:val="24"/>
          <w:szCs w:val="24"/>
        </w:rPr>
        <w:t xml:space="preserve">or pathways to partner with </w:t>
      </w:r>
      <w:r w:rsidR="00671AE2" w:rsidRPr="00F86D91">
        <w:rPr>
          <w:rFonts w:ascii="Tahoma" w:eastAsia="Arial" w:hAnsi="Tahoma" w:cs="Tahoma"/>
          <w:b/>
          <w:bCs/>
          <w:color w:val="000000" w:themeColor="text1"/>
          <w:sz w:val="24"/>
          <w:szCs w:val="24"/>
        </w:rPr>
        <w:t>these entities?</w:t>
      </w:r>
    </w:p>
    <w:p w14:paraId="22D292EE" w14:textId="716E647A" w:rsidR="53234C4C" w:rsidRPr="00F86D91" w:rsidRDefault="53234C4C" w:rsidP="53234C4C">
      <w:pPr>
        <w:spacing w:after="0" w:line="240" w:lineRule="auto"/>
        <w:ind w:left="720" w:hanging="720"/>
        <w:rPr>
          <w:rFonts w:ascii="Tahoma" w:eastAsia="Arial" w:hAnsi="Tahoma" w:cs="Tahoma"/>
          <w:b/>
          <w:bCs/>
          <w:color w:val="000000" w:themeColor="text1"/>
          <w:sz w:val="24"/>
          <w:szCs w:val="24"/>
        </w:rPr>
      </w:pPr>
    </w:p>
    <w:p w14:paraId="4141F17B" w14:textId="773C9DAC" w:rsidR="129240DA" w:rsidRPr="00F86D91" w:rsidRDefault="129240DA" w:rsidP="53234C4C">
      <w:pPr>
        <w:spacing w:after="0" w:line="240" w:lineRule="auto"/>
        <w:ind w:left="720" w:hanging="720"/>
        <w:rPr>
          <w:rFonts w:ascii="Tahoma" w:hAnsi="Tahoma" w:cs="Tahoma"/>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79</w:t>
      </w:r>
      <w:r w:rsidRPr="00F86D91">
        <w:rPr>
          <w:rFonts w:ascii="Tahoma" w:eastAsia="Arial" w:hAnsi="Tahoma" w:cs="Tahoma"/>
          <w:color w:val="000000" w:themeColor="text1"/>
          <w:sz w:val="24"/>
          <w:szCs w:val="24"/>
        </w:rPr>
        <w:t>.</w:t>
      </w:r>
      <w:r w:rsidRPr="00F86D91">
        <w:rPr>
          <w:rFonts w:ascii="Tahoma" w:hAnsi="Tahoma" w:cs="Tahoma"/>
        </w:rPr>
        <w:tab/>
      </w:r>
      <w:r w:rsidR="00150777" w:rsidRPr="00F86D91">
        <w:rPr>
          <w:rFonts w:ascii="Tahoma" w:hAnsi="Tahoma" w:cs="Tahoma"/>
          <w:sz w:val="24"/>
          <w:szCs w:val="24"/>
        </w:rPr>
        <w:t>Empower Innovation is a free online networking platform designed specifically for the clean tech communit</w:t>
      </w:r>
      <w:r w:rsidR="00AE6C6C" w:rsidRPr="00F86D91">
        <w:rPr>
          <w:rFonts w:ascii="Tahoma" w:hAnsi="Tahoma" w:cs="Tahoma"/>
          <w:sz w:val="24"/>
          <w:szCs w:val="24"/>
        </w:rPr>
        <w:t>y, which</w:t>
      </w:r>
      <w:r w:rsidR="00150777" w:rsidRPr="00F86D91">
        <w:rPr>
          <w:rFonts w:ascii="Tahoma" w:hAnsi="Tahoma" w:cs="Tahoma"/>
          <w:sz w:val="24"/>
          <w:szCs w:val="24"/>
        </w:rPr>
        <w:t xml:space="preserve"> provides an opportunity for individuals and organizations to connect for possible partnering opportunities. </w:t>
      </w:r>
      <w:r w:rsidR="1A700DCB" w:rsidRPr="00F86D91">
        <w:rPr>
          <w:rFonts w:ascii="Tahoma" w:hAnsi="Tahoma" w:cs="Tahoma"/>
          <w:sz w:val="24"/>
          <w:szCs w:val="24"/>
        </w:rPr>
        <w:t>​</w:t>
      </w:r>
      <w:r w:rsidR="383EE6DD" w:rsidRPr="00F86D91">
        <w:rPr>
          <w:rFonts w:ascii="Tahoma" w:hAnsi="Tahoma" w:cs="Tahoma"/>
          <w:sz w:val="24"/>
          <w:szCs w:val="24"/>
        </w:rPr>
        <w:t xml:space="preserve">Please visit </w:t>
      </w:r>
      <w:r w:rsidR="6F773CA4" w:rsidRPr="00F86D91">
        <w:rPr>
          <w:rFonts w:ascii="Tahoma" w:hAnsi="Tahoma" w:cs="Tahoma"/>
          <w:sz w:val="24"/>
          <w:szCs w:val="24"/>
        </w:rPr>
        <w:t xml:space="preserve">the </w:t>
      </w:r>
      <w:hyperlink r:id="rId18">
        <w:r w:rsidR="6F773CA4" w:rsidRPr="00F86D91">
          <w:rPr>
            <w:rStyle w:val="Hyperlink"/>
            <w:rFonts w:ascii="Tahoma" w:hAnsi="Tahoma" w:cs="Tahoma"/>
            <w:sz w:val="24"/>
            <w:szCs w:val="24"/>
          </w:rPr>
          <w:t>Empower Innovation website</w:t>
        </w:r>
      </w:hyperlink>
      <w:r w:rsidR="00D16871" w:rsidRPr="00F86D91">
        <w:rPr>
          <w:rFonts w:ascii="Tahoma" w:hAnsi="Tahoma" w:cs="Tahoma"/>
          <w:sz w:val="24"/>
          <w:szCs w:val="24"/>
        </w:rPr>
        <w:t xml:space="preserve"> (https://www.empowerinnovation.net/en/custom/funding/directory) for more information.</w:t>
      </w:r>
    </w:p>
    <w:p w14:paraId="64ED1100" w14:textId="77777777" w:rsidR="002818CE" w:rsidRPr="00F86D91" w:rsidRDefault="002818CE" w:rsidP="53234C4C">
      <w:pPr>
        <w:spacing w:after="0" w:line="240" w:lineRule="auto"/>
        <w:ind w:left="720" w:hanging="720"/>
        <w:rPr>
          <w:rFonts w:ascii="Tahoma" w:eastAsia="Arial" w:hAnsi="Tahoma" w:cs="Tahoma"/>
          <w:color w:val="000000" w:themeColor="text1"/>
          <w:sz w:val="24"/>
          <w:szCs w:val="24"/>
        </w:rPr>
      </w:pPr>
    </w:p>
    <w:p w14:paraId="0B1A28F0" w14:textId="5F6B0CB9" w:rsidR="131AA204" w:rsidRPr="00F86D91" w:rsidRDefault="131AA204" w:rsidP="70A461D7">
      <w:pPr>
        <w:spacing w:after="0" w:line="240" w:lineRule="auto"/>
        <w:ind w:left="720" w:hanging="720"/>
        <w:rPr>
          <w:rFonts w:ascii="Tahoma" w:hAnsi="Tahoma" w:cs="Tahoma"/>
          <w:sz w:val="24"/>
          <w:szCs w:val="24"/>
        </w:rPr>
      </w:pPr>
      <w:r w:rsidRPr="00F86D91">
        <w:rPr>
          <w:rFonts w:ascii="Tahoma" w:hAnsi="Tahoma" w:cs="Tahoma"/>
        </w:rPr>
        <w:tab/>
      </w:r>
      <w:r w:rsidRPr="00F86D91">
        <w:rPr>
          <w:rFonts w:ascii="Tahoma" w:hAnsi="Tahoma" w:cs="Tahoma"/>
          <w:sz w:val="24"/>
          <w:szCs w:val="24"/>
        </w:rPr>
        <w:t xml:space="preserve">Please note that reference to any specific entity or services on the Empower Innovation website does not constitute an endorsement or recommendation of the entity or services by the CEC. </w:t>
      </w:r>
    </w:p>
    <w:p w14:paraId="6D95E844" w14:textId="24D52EB1" w:rsidR="53234C4C" w:rsidRPr="00F86D91" w:rsidRDefault="53234C4C" w:rsidP="53234C4C">
      <w:pPr>
        <w:spacing w:after="0" w:line="240" w:lineRule="auto"/>
        <w:ind w:left="720" w:hanging="720"/>
        <w:rPr>
          <w:rFonts w:ascii="Tahoma" w:eastAsia="Arial" w:hAnsi="Tahoma" w:cs="Tahoma"/>
          <w:color w:val="000000" w:themeColor="text1"/>
          <w:sz w:val="24"/>
          <w:szCs w:val="24"/>
        </w:rPr>
      </w:pPr>
    </w:p>
    <w:p w14:paraId="5E5D700B" w14:textId="23E1B242" w:rsidR="53234C4C" w:rsidRPr="00F86D91" w:rsidRDefault="53234C4C" w:rsidP="44A3F00F">
      <w:pPr>
        <w:spacing w:after="0" w:line="240" w:lineRule="auto"/>
        <w:ind w:left="720" w:hanging="720"/>
        <w:rPr>
          <w:rFonts w:ascii="Tahoma" w:eastAsia="Arial" w:hAnsi="Tahoma" w:cs="Tahoma"/>
          <w:color w:val="000000" w:themeColor="text1"/>
          <w:sz w:val="24"/>
          <w:szCs w:val="24"/>
        </w:rPr>
      </w:pPr>
    </w:p>
    <w:p w14:paraId="1985FE97" w14:textId="1185575F" w:rsidR="0BC460F8" w:rsidRPr="00F86D91" w:rsidRDefault="0BC460F8"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80</w:t>
      </w:r>
      <w:r w:rsidRPr="00F86D91">
        <w:rPr>
          <w:rFonts w:ascii="Tahoma" w:eastAsia="Arial" w:hAnsi="Tahoma" w:cs="Tahoma"/>
          <w:b/>
          <w:bCs/>
          <w:color w:val="000000" w:themeColor="text1"/>
          <w:sz w:val="24"/>
          <w:szCs w:val="24"/>
        </w:rPr>
        <w:t>.</w:t>
      </w:r>
      <w:r w:rsidRPr="00F86D91">
        <w:rPr>
          <w:rFonts w:ascii="Tahoma" w:hAnsi="Tahoma" w:cs="Tahoma"/>
        </w:rPr>
        <w:tab/>
      </w:r>
      <w:r w:rsidR="00753790" w:rsidRPr="00F86D91">
        <w:rPr>
          <w:rFonts w:ascii="Tahoma" w:eastAsia="Arial" w:hAnsi="Tahoma" w:cs="Tahoma"/>
          <w:b/>
          <w:bCs/>
          <w:color w:val="000000" w:themeColor="text1"/>
          <w:sz w:val="24"/>
          <w:szCs w:val="24"/>
        </w:rPr>
        <w:t>Are projects required or encouraged to support a certain percentage of disadvantaged and/or low-income communities?</w:t>
      </w:r>
    </w:p>
    <w:p w14:paraId="089F5E41" w14:textId="15E9D8E9" w:rsidR="53234C4C" w:rsidRPr="00F86D91" w:rsidRDefault="53234C4C" w:rsidP="53234C4C">
      <w:pPr>
        <w:spacing w:after="0" w:line="240" w:lineRule="auto"/>
        <w:ind w:left="720" w:hanging="720"/>
        <w:rPr>
          <w:rFonts w:ascii="Tahoma" w:eastAsia="Arial" w:hAnsi="Tahoma" w:cs="Tahoma"/>
          <w:b/>
          <w:bCs/>
          <w:color w:val="000000" w:themeColor="text1"/>
          <w:sz w:val="24"/>
          <w:szCs w:val="24"/>
        </w:rPr>
      </w:pPr>
    </w:p>
    <w:p w14:paraId="696E29A9" w14:textId="31AA6D09" w:rsidR="0BC460F8" w:rsidRPr="00F86D91" w:rsidRDefault="0BC460F8" w:rsidP="53234C4C">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80</w:t>
      </w:r>
      <w:r w:rsidRPr="00F86D91">
        <w:rPr>
          <w:rFonts w:ascii="Tahoma" w:eastAsia="Arial" w:hAnsi="Tahoma" w:cs="Tahoma"/>
          <w:color w:val="000000" w:themeColor="text1"/>
          <w:sz w:val="24"/>
          <w:szCs w:val="24"/>
        </w:rPr>
        <w:t>.</w:t>
      </w:r>
      <w:r w:rsidRPr="00F86D91">
        <w:rPr>
          <w:rFonts w:ascii="Tahoma" w:hAnsi="Tahoma" w:cs="Tahoma"/>
        </w:rPr>
        <w:tab/>
      </w:r>
      <w:r w:rsidR="00753790" w:rsidRPr="00F86D91">
        <w:rPr>
          <w:rFonts w:ascii="Tahoma" w:hAnsi="Tahoma" w:cs="Tahoma"/>
          <w:sz w:val="24"/>
          <w:szCs w:val="24"/>
        </w:rPr>
        <w:t xml:space="preserve">While there is no </w:t>
      </w:r>
      <w:r w:rsidR="00E02112" w:rsidRPr="00F86D91">
        <w:rPr>
          <w:rFonts w:ascii="Tahoma" w:hAnsi="Tahoma" w:cs="Tahoma"/>
          <w:sz w:val="24"/>
          <w:szCs w:val="24"/>
        </w:rPr>
        <w:t xml:space="preserve">requirement on the percentage of sites or installations that must occur in a disadvantaged and/or low-income community, </w:t>
      </w:r>
      <w:r w:rsidR="007744DF" w:rsidRPr="00F86D91">
        <w:rPr>
          <w:rFonts w:ascii="Tahoma" w:hAnsi="Tahoma" w:cs="Tahoma"/>
          <w:sz w:val="24"/>
          <w:szCs w:val="24"/>
        </w:rPr>
        <w:t xml:space="preserve">installations in these sites are highly encouraged. Applicants should discuss benefits to these communities </w:t>
      </w:r>
      <w:r w:rsidR="001F6A5E" w:rsidRPr="00F86D91">
        <w:rPr>
          <w:rFonts w:ascii="Tahoma" w:hAnsi="Tahoma" w:cs="Tahoma"/>
          <w:sz w:val="24"/>
          <w:szCs w:val="24"/>
        </w:rPr>
        <w:t>in their project narrative</w:t>
      </w:r>
      <w:r w:rsidR="00E442BC" w:rsidRPr="00F86D91">
        <w:rPr>
          <w:rFonts w:ascii="Tahoma" w:hAnsi="Tahoma" w:cs="Tahoma"/>
          <w:sz w:val="24"/>
          <w:szCs w:val="24"/>
        </w:rPr>
        <w:t xml:space="preserve">. See section </w:t>
      </w:r>
      <w:r w:rsidR="001251AD" w:rsidRPr="00F86D91">
        <w:rPr>
          <w:rFonts w:ascii="Tahoma" w:hAnsi="Tahoma" w:cs="Tahoma"/>
          <w:sz w:val="24"/>
          <w:szCs w:val="24"/>
        </w:rPr>
        <w:t>III.C.2.a</w:t>
      </w:r>
      <w:r w:rsidR="00F16489" w:rsidRPr="00F86D91">
        <w:rPr>
          <w:rFonts w:ascii="Tahoma" w:hAnsi="Tahoma" w:cs="Tahoma"/>
          <w:sz w:val="24"/>
          <w:szCs w:val="24"/>
        </w:rPr>
        <w:t>., page 2</w:t>
      </w:r>
      <w:r w:rsidR="00717822">
        <w:rPr>
          <w:rFonts w:ascii="Tahoma" w:hAnsi="Tahoma" w:cs="Tahoma"/>
          <w:sz w:val="24"/>
          <w:szCs w:val="24"/>
        </w:rPr>
        <w:t>5</w:t>
      </w:r>
      <w:r w:rsidR="00F16489" w:rsidRPr="00F86D91">
        <w:rPr>
          <w:rFonts w:ascii="Tahoma" w:hAnsi="Tahoma" w:cs="Tahoma"/>
          <w:sz w:val="24"/>
          <w:szCs w:val="24"/>
        </w:rPr>
        <w:t xml:space="preserve">, </w:t>
      </w:r>
      <w:r w:rsidR="00944D8A" w:rsidRPr="00F86D91">
        <w:rPr>
          <w:rFonts w:ascii="Tahoma" w:hAnsi="Tahoma" w:cs="Tahoma"/>
          <w:sz w:val="24"/>
          <w:szCs w:val="24"/>
        </w:rPr>
        <w:t>“</w:t>
      </w:r>
      <w:r w:rsidR="00F16489" w:rsidRPr="00F86D91">
        <w:rPr>
          <w:rFonts w:ascii="Tahoma" w:hAnsi="Tahoma" w:cs="Tahoma"/>
          <w:sz w:val="24"/>
          <w:szCs w:val="24"/>
        </w:rPr>
        <w:t>Project Description</w:t>
      </w:r>
      <w:r w:rsidR="00944D8A" w:rsidRPr="00F86D91">
        <w:rPr>
          <w:rFonts w:ascii="Tahoma" w:hAnsi="Tahoma" w:cs="Tahoma"/>
          <w:sz w:val="24"/>
          <w:szCs w:val="24"/>
        </w:rPr>
        <w:t>”</w:t>
      </w:r>
      <w:r w:rsidR="00F16489" w:rsidRPr="00F86D91">
        <w:rPr>
          <w:rFonts w:ascii="Tahoma" w:hAnsi="Tahoma" w:cs="Tahoma"/>
          <w:sz w:val="24"/>
          <w:szCs w:val="24"/>
        </w:rPr>
        <w:t xml:space="preserve"> and section III.C.2.c., page 2</w:t>
      </w:r>
      <w:r w:rsidR="00717822">
        <w:rPr>
          <w:rFonts w:ascii="Tahoma" w:hAnsi="Tahoma" w:cs="Tahoma"/>
          <w:sz w:val="24"/>
          <w:szCs w:val="24"/>
        </w:rPr>
        <w:t>5-26</w:t>
      </w:r>
      <w:r w:rsidR="00F16489" w:rsidRPr="00F86D91">
        <w:rPr>
          <w:rFonts w:ascii="Tahoma" w:hAnsi="Tahoma" w:cs="Tahoma"/>
          <w:sz w:val="24"/>
          <w:szCs w:val="24"/>
        </w:rPr>
        <w:t xml:space="preserve">, </w:t>
      </w:r>
      <w:r w:rsidR="00944D8A" w:rsidRPr="00F86D91">
        <w:rPr>
          <w:rFonts w:ascii="Tahoma" w:hAnsi="Tahoma" w:cs="Tahoma"/>
          <w:sz w:val="24"/>
          <w:szCs w:val="24"/>
        </w:rPr>
        <w:t>“</w:t>
      </w:r>
      <w:r w:rsidR="00F16489" w:rsidRPr="00F86D91">
        <w:rPr>
          <w:rFonts w:ascii="Tahoma" w:hAnsi="Tahoma" w:cs="Tahoma"/>
          <w:sz w:val="24"/>
          <w:szCs w:val="24"/>
        </w:rPr>
        <w:t>Project Benefits</w:t>
      </w:r>
      <w:r w:rsidR="00944D8A" w:rsidRPr="00F86D91">
        <w:rPr>
          <w:rFonts w:ascii="Tahoma" w:hAnsi="Tahoma" w:cs="Tahoma"/>
          <w:sz w:val="24"/>
          <w:szCs w:val="24"/>
        </w:rPr>
        <w:t>”</w:t>
      </w:r>
      <w:r w:rsidR="00F16489" w:rsidRPr="00F86D91">
        <w:rPr>
          <w:rFonts w:ascii="Tahoma" w:hAnsi="Tahoma" w:cs="Tahoma"/>
          <w:sz w:val="24"/>
          <w:szCs w:val="24"/>
        </w:rPr>
        <w:t xml:space="preserve"> in the solicitation manual for more information.</w:t>
      </w:r>
    </w:p>
    <w:p w14:paraId="5F812B99" w14:textId="24D52EB1" w:rsidR="53234C4C" w:rsidRPr="00F86D91" w:rsidRDefault="53234C4C" w:rsidP="53234C4C">
      <w:pPr>
        <w:spacing w:after="0" w:line="240" w:lineRule="auto"/>
        <w:ind w:left="720" w:hanging="720"/>
        <w:rPr>
          <w:rFonts w:ascii="Tahoma" w:eastAsia="Arial" w:hAnsi="Tahoma" w:cs="Tahoma"/>
          <w:color w:val="000000" w:themeColor="text1"/>
          <w:sz w:val="24"/>
          <w:szCs w:val="24"/>
        </w:rPr>
      </w:pPr>
    </w:p>
    <w:p w14:paraId="4E17C932" w14:textId="07A05661" w:rsidR="53234C4C" w:rsidRPr="00F86D91" w:rsidRDefault="53234C4C" w:rsidP="53234C4C">
      <w:pPr>
        <w:spacing w:after="0" w:line="240" w:lineRule="auto"/>
        <w:ind w:left="720" w:hanging="720"/>
        <w:rPr>
          <w:rFonts w:ascii="Tahoma" w:eastAsia="Arial" w:hAnsi="Tahoma" w:cs="Tahoma"/>
          <w:color w:val="000000" w:themeColor="text1"/>
          <w:sz w:val="24"/>
          <w:szCs w:val="24"/>
        </w:rPr>
      </w:pPr>
    </w:p>
    <w:p w14:paraId="6D7E2B8C" w14:textId="000852A3" w:rsidR="0BC460F8" w:rsidRPr="00F86D91" w:rsidRDefault="0BC460F8"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81</w:t>
      </w:r>
      <w:r w:rsidRPr="00F86D91">
        <w:rPr>
          <w:rFonts w:ascii="Tahoma" w:eastAsia="Arial" w:hAnsi="Tahoma" w:cs="Tahoma"/>
          <w:b/>
          <w:bCs/>
          <w:color w:val="000000" w:themeColor="text1"/>
          <w:sz w:val="24"/>
          <w:szCs w:val="24"/>
        </w:rPr>
        <w:t>.</w:t>
      </w:r>
      <w:r w:rsidRPr="00F86D91">
        <w:rPr>
          <w:rFonts w:ascii="Tahoma" w:hAnsi="Tahoma" w:cs="Tahoma"/>
        </w:rPr>
        <w:tab/>
      </w:r>
      <w:r w:rsidRPr="00F86D91">
        <w:rPr>
          <w:rFonts w:ascii="Tahoma" w:eastAsia="Arial" w:hAnsi="Tahoma" w:cs="Tahoma"/>
          <w:b/>
          <w:bCs/>
          <w:color w:val="000000" w:themeColor="text1"/>
          <w:sz w:val="24"/>
          <w:szCs w:val="24"/>
        </w:rPr>
        <w:t>Can the chargers installed under this grant be used to charge plug-in hybrid electric fleet vehicles, which have a minimum electric range?</w:t>
      </w:r>
    </w:p>
    <w:p w14:paraId="1431BA38" w14:textId="716E647A" w:rsidR="53234C4C" w:rsidRPr="00F86D91" w:rsidRDefault="53234C4C" w:rsidP="53234C4C">
      <w:pPr>
        <w:spacing w:after="0" w:line="240" w:lineRule="auto"/>
        <w:ind w:left="720" w:hanging="720"/>
        <w:rPr>
          <w:rFonts w:ascii="Tahoma" w:eastAsia="Arial" w:hAnsi="Tahoma" w:cs="Tahoma"/>
          <w:b/>
          <w:bCs/>
          <w:color w:val="000000" w:themeColor="text1"/>
          <w:sz w:val="24"/>
          <w:szCs w:val="24"/>
        </w:rPr>
      </w:pPr>
    </w:p>
    <w:p w14:paraId="373FF492" w14:textId="19FB980F" w:rsidR="0BC460F8" w:rsidRPr="00F86D91" w:rsidRDefault="0BC460F8" w:rsidP="53234C4C">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81</w:t>
      </w:r>
      <w:r w:rsidRPr="00F86D91">
        <w:rPr>
          <w:rFonts w:ascii="Tahoma" w:eastAsia="Arial" w:hAnsi="Tahoma" w:cs="Tahoma"/>
          <w:color w:val="000000" w:themeColor="text1"/>
          <w:sz w:val="24"/>
          <w:szCs w:val="24"/>
        </w:rPr>
        <w:t>.</w:t>
      </w:r>
      <w:r w:rsidRPr="00F86D91">
        <w:rPr>
          <w:rFonts w:ascii="Tahoma" w:hAnsi="Tahoma" w:cs="Tahoma"/>
        </w:rPr>
        <w:tab/>
      </w:r>
      <w:r w:rsidR="00521C20" w:rsidRPr="00F86D91">
        <w:rPr>
          <w:rFonts w:ascii="Tahoma" w:hAnsi="Tahoma" w:cs="Tahoma"/>
          <w:sz w:val="24"/>
          <w:szCs w:val="24"/>
        </w:rPr>
        <w:t>Ye</w:t>
      </w:r>
      <w:r w:rsidR="00BD261F" w:rsidRPr="00F86D91">
        <w:rPr>
          <w:rFonts w:ascii="Tahoma" w:hAnsi="Tahoma" w:cs="Tahoma"/>
          <w:sz w:val="24"/>
          <w:szCs w:val="24"/>
        </w:rPr>
        <w:t xml:space="preserve">s, </w:t>
      </w:r>
      <w:r w:rsidR="00521C20" w:rsidRPr="00F86D91">
        <w:rPr>
          <w:rFonts w:ascii="Tahoma" w:hAnsi="Tahoma" w:cs="Tahoma"/>
          <w:sz w:val="24"/>
          <w:szCs w:val="24"/>
        </w:rPr>
        <w:t>infrastructure installed through the project may charge hybrid electric vehicles. A</w:t>
      </w:r>
      <w:r w:rsidR="00921573" w:rsidRPr="00F86D91">
        <w:rPr>
          <w:rFonts w:ascii="Tahoma" w:hAnsi="Tahoma" w:cs="Tahoma"/>
          <w:sz w:val="24"/>
          <w:szCs w:val="24"/>
        </w:rPr>
        <w:t>s clarified in the addended</w:t>
      </w:r>
      <w:r w:rsidR="00576C0E" w:rsidRPr="00F86D91">
        <w:rPr>
          <w:rFonts w:ascii="Tahoma" w:hAnsi="Tahoma" w:cs="Tahoma"/>
          <w:sz w:val="24"/>
          <w:szCs w:val="24"/>
        </w:rPr>
        <w:t xml:space="preserve"> solicitation manual</w:t>
      </w:r>
      <w:r w:rsidR="00921573" w:rsidRPr="00F86D91">
        <w:rPr>
          <w:rFonts w:ascii="Tahoma" w:hAnsi="Tahoma" w:cs="Tahoma"/>
          <w:sz w:val="24"/>
          <w:szCs w:val="24"/>
        </w:rPr>
        <w:t>, an</w:t>
      </w:r>
      <w:r w:rsidR="00576C0E" w:rsidRPr="00F86D91">
        <w:rPr>
          <w:rFonts w:ascii="Tahoma" w:hAnsi="Tahoma" w:cs="Tahoma"/>
          <w:sz w:val="24"/>
          <w:szCs w:val="24"/>
        </w:rPr>
        <w:t xml:space="preserve"> “electric </w:t>
      </w:r>
      <w:r w:rsidR="00921573" w:rsidRPr="00F86D91">
        <w:rPr>
          <w:rFonts w:ascii="Tahoma" w:hAnsi="Tahoma" w:cs="Tahoma"/>
          <w:sz w:val="24"/>
          <w:szCs w:val="24"/>
        </w:rPr>
        <w:t>vehicle” is defined</w:t>
      </w:r>
      <w:r w:rsidR="00C649EE" w:rsidRPr="00F86D91">
        <w:rPr>
          <w:rFonts w:ascii="Tahoma" w:hAnsi="Tahoma" w:cs="Tahoma"/>
          <w:sz w:val="24"/>
          <w:szCs w:val="24"/>
        </w:rPr>
        <w:t xml:space="preserve"> as</w:t>
      </w:r>
      <w:r w:rsidR="00921573" w:rsidRPr="00F86D91">
        <w:rPr>
          <w:rFonts w:ascii="Tahoma" w:hAnsi="Tahoma" w:cs="Tahoma"/>
          <w:sz w:val="24"/>
          <w:szCs w:val="24"/>
        </w:rPr>
        <w:t>, “</w:t>
      </w:r>
      <w:r w:rsidR="00645D87" w:rsidRPr="00F86D91">
        <w:rPr>
          <w:rFonts w:ascii="Tahoma" w:hAnsi="Tahoma" w:cs="Tahoma"/>
          <w:sz w:val="24"/>
          <w:szCs w:val="24"/>
        </w:rPr>
        <w:t>A vehicle</w:t>
      </w:r>
      <w:r w:rsidR="007A4A66" w:rsidRPr="00F86D91">
        <w:rPr>
          <w:rFonts w:ascii="Tahoma" w:hAnsi="Tahoma" w:cs="Tahoma"/>
          <w:sz w:val="24"/>
          <w:szCs w:val="24"/>
        </w:rPr>
        <w:t xml:space="preserve"> that </w:t>
      </w:r>
      <w:r w:rsidR="00645D87" w:rsidRPr="00F86D91">
        <w:rPr>
          <w:rFonts w:ascii="Tahoma" w:hAnsi="Tahoma" w:cs="Tahoma"/>
          <w:sz w:val="24"/>
          <w:szCs w:val="24"/>
        </w:rPr>
        <w:t>is either partially or fully powered</w:t>
      </w:r>
      <w:r w:rsidR="007A4A66" w:rsidRPr="00F86D91">
        <w:rPr>
          <w:rFonts w:ascii="Tahoma" w:hAnsi="Tahoma" w:cs="Tahoma"/>
          <w:sz w:val="24"/>
          <w:szCs w:val="24"/>
        </w:rPr>
        <w:t xml:space="preserve"> on </w:t>
      </w:r>
      <w:r w:rsidR="00645D87" w:rsidRPr="00F86D91">
        <w:rPr>
          <w:rFonts w:ascii="Tahoma" w:hAnsi="Tahoma" w:cs="Tahoma"/>
          <w:sz w:val="24"/>
          <w:szCs w:val="24"/>
        </w:rPr>
        <w:t>electric</w:t>
      </w:r>
      <w:r w:rsidR="007A4A66" w:rsidRPr="00F86D91">
        <w:rPr>
          <w:rFonts w:ascii="Tahoma" w:hAnsi="Tahoma" w:cs="Tahoma"/>
          <w:sz w:val="24"/>
          <w:szCs w:val="24"/>
        </w:rPr>
        <w:t xml:space="preserve"> power </w:t>
      </w:r>
      <w:r w:rsidR="00645D87" w:rsidRPr="00F86D91">
        <w:rPr>
          <w:rFonts w:ascii="Tahoma" w:hAnsi="Tahoma" w:cs="Tahoma"/>
          <w:sz w:val="24"/>
          <w:szCs w:val="24"/>
        </w:rPr>
        <w:t>received</w:t>
      </w:r>
      <w:r w:rsidR="007A4A66" w:rsidRPr="00F86D91">
        <w:rPr>
          <w:rFonts w:ascii="Tahoma" w:hAnsi="Tahoma" w:cs="Tahoma"/>
          <w:sz w:val="24"/>
          <w:szCs w:val="24"/>
        </w:rPr>
        <w:t xml:space="preserve"> from </w:t>
      </w:r>
      <w:r w:rsidR="00645D87" w:rsidRPr="00F86D91">
        <w:rPr>
          <w:rFonts w:ascii="Tahoma" w:hAnsi="Tahoma" w:cs="Tahoma"/>
          <w:sz w:val="24"/>
          <w:szCs w:val="24"/>
        </w:rPr>
        <w:t>an external power source. For the purposes of this Agreement, this definition does not include golf carts, electric bicycles, or other micromobility devices</w:t>
      </w:r>
      <w:r w:rsidR="007A4A66" w:rsidRPr="00F86D91">
        <w:rPr>
          <w:rFonts w:ascii="Tahoma" w:hAnsi="Tahoma" w:cs="Tahoma"/>
          <w:sz w:val="24"/>
          <w:szCs w:val="24"/>
        </w:rPr>
        <w:t xml:space="preserve">” </w:t>
      </w:r>
      <w:r w:rsidR="004E1C87" w:rsidRPr="00F86D91">
        <w:rPr>
          <w:rFonts w:ascii="Tahoma" w:hAnsi="Tahoma" w:cs="Tahoma"/>
          <w:sz w:val="24"/>
          <w:szCs w:val="24"/>
        </w:rPr>
        <w:t>(Section V.A., page 4</w:t>
      </w:r>
      <w:r w:rsidR="00F72CC3">
        <w:rPr>
          <w:rFonts w:ascii="Tahoma" w:hAnsi="Tahoma" w:cs="Tahoma"/>
          <w:sz w:val="24"/>
          <w:szCs w:val="24"/>
        </w:rPr>
        <w:t>3</w:t>
      </w:r>
      <w:r w:rsidR="004E1C87" w:rsidRPr="00F86D91">
        <w:rPr>
          <w:rFonts w:ascii="Tahoma" w:hAnsi="Tahoma" w:cs="Tahoma"/>
          <w:sz w:val="24"/>
          <w:szCs w:val="24"/>
        </w:rPr>
        <w:t xml:space="preserve">, </w:t>
      </w:r>
      <w:r w:rsidR="00944D8A" w:rsidRPr="00F86D91">
        <w:rPr>
          <w:rFonts w:ascii="Tahoma" w:hAnsi="Tahoma" w:cs="Tahoma"/>
          <w:sz w:val="24"/>
          <w:szCs w:val="24"/>
        </w:rPr>
        <w:t>“</w:t>
      </w:r>
      <w:r w:rsidR="004E1C87" w:rsidRPr="00F86D91">
        <w:rPr>
          <w:rFonts w:ascii="Tahoma" w:hAnsi="Tahoma" w:cs="Tahoma"/>
          <w:sz w:val="24"/>
          <w:szCs w:val="24"/>
        </w:rPr>
        <w:t>Definition of Key Words</w:t>
      </w:r>
      <w:r w:rsidR="00944D8A" w:rsidRPr="00F86D91">
        <w:rPr>
          <w:rFonts w:ascii="Tahoma" w:hAnsi="Tahoma" w:cs="Tahoma"/>
          <w:sz w:val="24"/>
          <w:szCs w:val="24"/>
        </w:rPr>
        <w:t>”</w:t>
      </w:r>
      <w:r w:rsidR="004E1C87" w:rsidRPr="00F86D91">
        <w:rPr>
          <w:rFonts w:ascii="Tahoma" w:hAnsi="Tahoma" w:cs="Tahoma"/>
          <w:sz w:val="24"/>
          <w:szCs w:val="24"/>
        </w:rPr>
        <w:t>, Solicitation Manual).</w:t>
      </w:r>
    </w:p>
    <w:p w14:paraId="4D8F9DE7" w14:textId="1D9FEF7D" w:rsidR="53234C4C" w:rsidRPr="00F86D91" w:rsidRDefault="53234C4C" w:rsidP="007B5735">
      <w:pPr>
        <w:spacing w:after="0" w:line="240" w:lineRule="auto"/>
        <w:rPr>
          <w:rFonts w:ascii="Tahoma" w:eastAsia="Arial" w:hAnsi="Tahoma" w:cs="Tahoma"/>
          <w:color w:val="000000" w:themeColor="text1"/>
          <w:sz w:val="24"/>
          <w:szCs w:val="24"/>
        </w:rPr>
      </w:pPr>
    </w:p>
    <w:p w14:paraId="33E1E1A6" w14:textId="07A05661" w:rsidR="53234C4C" w:rsidRPr="00F86D91" w:rsidRDefault="53234C4C" w:rsidP="53234C4C">
      <w:pPr>
        <w:spacing w:after="0" w:line="240" w:lineRule="auto"/>
        <w:ind w:left="720" w:hanging="720"/>
        <w:rPr>
          <w:rFonts w:ascii="Tahoma" w:eastAsia="Arial" w:hAnsi="Tahoma" w:cs="Tahoma"/>
          <w:color w:val="000000" w:themeColor="text1"/>
          <w:sz w:val="24"/>
          <w:szCs w:val="24"/>
        </w:rPr>
      </w:pPr>
    </w:p>
    <w:p w14:paraId="59018989" w14:textId="01D2637C" w:rsidR="129240DA" w:rsidRPr="00F86D91" w:rsidRDefault="4F630C40"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82</w:t>
      </w:r>
      <w:r w:rsidRPr="00F86D91">
        <w:rPr>
          <w:rFonts w:ascii="Tahoma" w:eastAsia="Arial" w:hAnsi="Tahoma" w:cs="Tahoma"/>
          <w:b/>
          <w:bCs/>
          <w:color w:val="000000" w:themeColor="text1"/>
          <w:sz w:val="24"/>
          <w:szCs w:val="24"/>
        </w:rPr>
        <w:t>.</w:t>
      </w:r>
      <w:r w:rsidR="129240DA" w:rsidRPr="00F86D91">
        <w:rPr>
          <w:rFonts w:ascii="Tahoma" w:hAnsi="Tahoma" w:cs="Tahoma"/>
        </w:rPr>
        <w:tab/>
      </w:r>
      <w:r w:rsidR="0B328364" w:rsidRPr="00F86D91">
        <w:rPr>
          <w:rFonts w:ascii="Tahoma" w:eastAsia="Arial" w:hAnsi="Tahoma" w:cs="Tahoma"/>
          <w:b/>
          <w:bCs/>
          <w:color w:val="000000" w:themeColor="text1"/>
          <w:sz w:val="24"/>
          <w:szCs w:val="24"/>
        </w:rPr>
        <w:t>Are signatures on application materials waived</w:t>
      </w:r>
      <w:r w:rsidR="7D121CB4" w:rsidRPr="00F86D91">
        <w:rPr>
          <w:rFonts w:ascii="Tahoma" w:eastAsia="Arial" w:hAnsi="Tahoma" w:cs="Tahoma"/>
          <w:b/>
          <w:bCs/>
          <w:color w:val="000000" w:themeColor="text1"/>
          <w:sz w:val="24"/>
          <w:szCs w:val="24"/>
        </w:rPr>
        <w:t>?</w:t>
      </w:r>
    </w:p>
    <w:p w14:paraId="38F278A0" w14:textId="716E647A" w:rsidR="53234C4C" w:rsidRPr="00F86D91" w:rsidRDefault="53234C4C" w:rsidP="53234C4C">
      <w:pPr>
        <w:spacing w:after="0" w:line="240" w:lineRule="auto"/>
        <w:ind w:left="720" w:hanging="720"/>
        <w:rPr>
          <w:rFonts w:ascii="Tahoma" w:eastAsia="Arial" w:hAnsi="Tahoma" w:cs="Tahoma"/>
          <w:b/>
          <w:bCs/>
          <w:color w:val="000000" w:themeColor="text1"/>
          <w:sz w:val="24"/>
          <w:szCs w:val="24"/>
        </w:rPr>
      </w:pPr>
    </w:p>
    <w:p w14:paraId="42C30D5E" w14:textId="1C380E50" w:rsidR="129240DA" w:rsidRPr="00F86D91" w:rsidRDefault="129240DA" w:rsidP="53234C4C">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82</w:t>
      </w:r>
      <w:r w:rsidRPr="00F86D91">
        <w:rPr>
          <w:rFonts w:ascii="Tahoma" w:eastAsia="Arial" w:hAnsi="Tahoma" w:cs="Tahoma"/>
          <w:color w:val="000000" w:themeColor="text1"/>
          <w:sz w:val="24"/>
          <w:szCs w:val="24"/>
        </w:rPr>
        <w:t>.</w:t>
      </w:r>
      <w:r w:rsidRPr="00F86D91">
        <w:rPr>
          <w:rFonts w:ascii="Tahoma" w:hAnsi="Tahoma" w:cs="Tahoma"/>
        </w:rPr>
        <w:tab/>
      </w:r>
      <w:r w:rsidR="001D4DC3" w:rsidRPr="00F86D91">
        <w:rPr>
          <w:rFonts w:ascii="Tahoma" w:eastAsia="Arial" w:hAnsi="Tahoma" w:cs="Tahoma"/>
          <w:color w:val="000000" w:themeColor="text1"/>
          <w:sz w:val="24"/>
          <w:szCs w:val="24"/>
        </w:rPr>
        <w:t xml:space="preserve">The solicitation manual states, “The CEC may have waived the requirement for a signature on application materials for this solicitation. If a notice regarding CEC’s waiver of the signature requirement appears here: https://www.energy.ca.gov/funding-opportunities/solicitations, the waiver applies to this solicitation. In the event of a conflict between the notice and any </w:t>
      </w:r>
      <w:r w:rsidR="001D4DC3" w:rsidRPr="00F86D91">
        <w:rPr>
          <w:rFonts w:ascii="Tahoma" w:eastAsia="Arial" w:hAnsi="Tahoma" w:cs="Tahoma"/>
          <w:color w:val="000000" w:themeColor="text1"/>
          <w:sz w:val="24"/>
          <w:szCs w:val="24"/>
        </w:rPr>
        <w:lastRenderedPageBreak/>
        <w:t>language in this solicitation regarding signatures, the notice will govern</w:t>
      </w:r>
      <w:r w:rsidR="00F341BA" w:rsidRPr="00F86D91">
        <w:rPr>
          <w:rFonts w:ascii="Tahoma" w:eastAsia="Arial" w:hAnsi="Tahoma" w:cs="Tahoma"/>
          <w:color w:val="000000" w:themeColor="text1"/>
          <w:sz w:val="24"/>
          <w:szCs w:val="24"/>
        </w:rPr>
        <w:t xml:space="preserve">” (Section </w:t>
      </w:r>
      <w:r w:rsidR="000B1F64" w:rsidRPr="00F86D91">
        <w:rPr>
          <w:rFonts w:ascii="Tahoma" w:eastAsia="Arial" w:hAnsi="Tahoma" w:cs="Tahoma"/>
          <w:color w:val="000000" w:themeColor="text1"/>
          <w:sz w:val="24"/>
          <w:szCs w:val="24"/>
        </w:rPr>
        <w:t xml:space="preserve">III.C.13, page </w:t>
      </w:r>
      <w:r w:rsidR="00035CA2">
        <w:rPr>
          <w:rFonts w:ascii="Tahoma" w:eastAsia="Arial" w:hAnsi="Tahoma" w:cs="Tahoma"/>
          <w:color w:val="000000" w:themeColor="text1"/>
          <w:sz w:val="24"/>
          <w:szCs w:val="24"/>
        </w:rPr>
        <w:t>34</w:t>
      </w:r>
      <w:r w:rsidR="000B1F64" w:rsidRPr="00F86D91">
        <w:rPr>
          <w:rFonts w:ascii="Tahoma" w:eastAsia="Arial" w:hAnsi="Tahoma" w:cs="Tahoma"/>
          <w:color w:val="000000" w:themeColor="text1"/>
          <w:sz w:val="24"/>
          <w:szCs w:val="24"/>
        </w:rPr>
        <w:t xml:space="preserve">, </w:t>
      </w:r>
      <w:r w:rsidR="00944D8A" w:rsidRPr="00F86D91">
        <w:rPr>
          <w:rFonts w:ascii="Tahoma" w:eastAsia="Arial" w:hAnsi="Tahoma" w:cs="Tahoma"/>
          <w:color w:val="000000" w:themeColor="text1"/>
          <w:sz w:val="24"/>
          <w:szCs w:val="24"/>
        </w:rPr>
        <w:t>“</w:t>
      </w:r>
      <w:r w:rsidR="000B1F64" w:rsidRPr="00F86D91">
        <w:rPr>
          <w:rFonts w:ascii="Tahoma" w:eastAsia="Arial" w:hAnsi="Tahoma" w:cs="Tahoma"/>
          <w:color w:val="000000" w:themeColor="text1"/>
          <w:sz w:val="24"/>
          <w:szCs w:val="24"/>
        </w:rPr>
        <w:t>Applicant Declaration</w:t>
      </w:r>
      <w:r w:rsidR="00944D8A" w:rsidRPr="00F86D91">
        <w:rPr>
          <w:rFonts w:ascii="Tahoma" w:eastAsia="Arial" w:hAnsi="Tahoma" w:cs="Tahoma"/>
          <w:color w:val="000000" w:themeColor="text1"/>
          <w:sz w:val="24"/>
          <w:szCs w:val="24"/>
        </w:rPr>
        <w:t>”</w:t>
      </w:r>
      <w:r w:rsidR="000B1F64" w:rsidRPr="00F86D91">
        <w:rPr>
          <w:rFonts w:ascii="Tahoma" w:eastAsia="Arial" w:hAnsi="Tahoma" w:cs="Tahoma"/>
          <w:color w:val="000000" w:themeColor="text1"/>
          <w:sz w:val="24"/>
          <w:szCs w:val="24"/>
        </w:rPr>
        <w:t>, Solicitation Manual).</w:t>
      </w:r>
    </w:p>
    <w:p w14:paraId="071BBD13" w14:textId="24D52EB1" w:rsidR="53234C4C" w:rsidRPr="00F86D91" w:rsidRDefault="53234C4C" w:rsidP="53234C4C">
      <w:pPr>
        <w:spacing w:after="0" w:line="240" w:lineRule="auto"/>
        <w:ind w:left="720" w:hanging="720"/>
        <w:rPr>
          <w:rFonts w:ascii="Tahoma" w:eastAsia="Arial" w:hAnsi="Tahoma" w:cs="Tahoma"/>
          <w:color w:val="000000" w:themeColor="text1"/>
          <w:sz w:val="24"/>
          <w:szCs w:val="24"/>
        </w:rPr>
      </w:pPr>
    </w:p>
    <w:p w14:paraId="76B188C7" w14:textId="07A05661" w:rsidR="53234C4C" w:rsidRPr="00F86D91" w:rsidRDefault="53234C4C" w:rsidP="53234C4C">
      <w:pPr>
        <w:spacing w:after="0" w:line="240" w:lineRule="auto"/>
        <w:ind w:left="720" w:hanging="720"/>
        <w:rPr>
          <w:rFonts w:ascii="Tahoma" w:eastAsia="Arial" w:hAnsi="Tahoma" w:cs="Tahoma"/>
          <w:color w:val="000000" w:themeColor="text1"/>
          <w:sz w:val="24"/>
          <w:szCs w:val="24"/>
        </w:rPr>
      </w:pPr>
    </w:p>
    <w:p w14:paraId="067C5300" w14:textId="0FD215DB" w:rsidR="129240DA" w:rsidRPr="00F86D91" w:rsidRDefault="4F630C40" w:rsidP="44A3F00F">
      <w:pPr>
        <w:spacing w:after="0" w:line="240" w:lineRule="auto"/>
        <w:ind w:left="720" w:hanging="720"/>
        <w:rPr>
          <w:rFonts w:ascii="Tahoma" w:eastAsia="Arial" w:hAnsi="Tahoma" w:cs="Tahoma"/>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83</w:t>
      </w:r>
      <w:r w:rsidRPr="00F86D91">
        <w:rPr>
          <w:rFonts w:ascii="Tahoma" w:eastAsia="Arial" w:hAnsi="Tahoma" w:cs="Tahoma"/>
          <w:b/>
          <w:bCs/>
          <w:color w:val="000000" w:themeColor="text1"/>
          <w:sz w:val="24"/>
          <w:szCs w:val="24"/>
        </w:rPr>
        <w:t>.</w:t>
      </w:r>
      <w:r w:rsidR="129240DA" w:rsidRPr="00F86D91">
        <w:rPr>
          <w:rFonts w:ascii="Tahoma" w:hAnsi="Tahoma" w:cs="Tahoma"/>
        </w:rPr>
        <w:tab/>
      </w:r>
      <w:r w:rsidR="24DFADB3" w:rsidRPr="00F86D91">
        <w:rPr>
          <w:rFonts w:ascii="Tahoma" w:eastAsia="Arial" w:hAnsi="Tahoma" w:cs="Tahoma"/>
          <w:b/>
          <w:bCs/>
          <w:color w:val="000000" w:themeColor="text1"/>
          <w:sz w:val="24"/>
          <w:szCs w:val="24"/>
        </w:rPr>
        <w:t>Do project chargers need to meet CARB contactless payment requirements?</w:t>
      </w:r>
    </w:p>
    <w:p w14:paraId="7E800E32" w14:textId="72C1E9C6" w:rsidR="53234C4C" w:rsidRPr="00F86D91" w:rsidRDefault="53234C4C" w:rsidP="53234C4C">
      <w:pPr>
        <w:spacing w:after="0" w:line="240" w:lineRule="auto"/>
        <w:ind w:left="720" w:hanging="720"/>
        <w:rPr>
          <w:rFonts w:ascii="Tahoma" w:eastAsia="Arial" w:hAnsi="Tahoma" w:cs="Tahoma"/>
          <w:b/>
          <w:bCs/>
          <w:color w:val="000000" w:themeColor="text1"/>
          <w:sz w:val="24"/>
          <w:szCs w:val="24"/>
        </w:rPr>
      </w:pPr>
    </w:p>
    <w:p w14:paraId="4FCFA76B" w14:textId="0F6293E0" w:rsidR="00596BE8" w:rsidRPr="00F86D91" w:rsidRDefault="129240DA" w:rsidP="00596BE8">
      <w:pPr>
        <w:spacing w:after="0" w:line="240" w:lineRule="auto"/>
        <w:ind w:left="720" w:hanging="720"/>
        <w:rPr>
          <w:rFonts w:ascii="Tahoma" w:hAnsi="Tahoma" w:cs="Tahoma"/>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83</w:t>
      </w:r>
      <w:r w:rsidRPr="00F86D91">
        <w:rPr>
          <w:rFonts w:ascii="Tahoma" w:eastAsia="Arial" w:hAnsi="Tahoma" w:cs="Tahoma"/>
          <w:color w:val="000000" w:themeColor="text1"/>
          <w:sz w:val="24"/>
          <w:szCs w:val="24"/>
        </w:rPr>
        <w:t>.</w:t>
      </w:r>
      <w:r w:rsidRPr="00F86D91">
        <w:rPr>
          <w:rFonts w:ascii="Tahoma" w:hAnsi="Tahoma" w:cs="Tahoma"/>
        </w:rPr>
        <w:tab/>
      </w:r>
      <w:r w:rsidR="00596BE8" w:rsidRPr="00F86D91">
        <w:rPr>
          <w:rFonts w:ascii="Tahoma" w:hAnsi="Tahoma" w:cs="Tahoma"/>
          <w:sz w:val="24"/>
          <w:szCs w:val="24"/>
        </w:rPr>
        <w:t>If the charger installed meets the definition of publicly available and requires the payment of a fee to charge, it is required to comply with the requirements of HSC 44268.2 and CARB’s EVSE standards regulation.</w:t>
      </w:r>
    </w:p>
    <w:p w14:paraId="159C758A" w14:textId="77777777" w:rsidR="00596BE8" w:rsidRPr="00F86D91" w:rsidRDefault="00596BE8" w:rsidP="00596BE8">
      <w:pPr>
        <w:spacing w:after="0" w:line="240" w:lineRule="auto"/>
        <w:ind w:left="720" w:hanging="720"/>
        <w:rPr>
          <w:rFonts w:ascii="Tahoma" w:hAnsi="Tahoma" w:cs="Tahoma"/>
          <w:sz w:val="24"/>
          <w:szCs w:val="24"/>
        </w:rPr>
      </w:pPr>
    </w:p>
    <w:p w14:paraId="2A0F4173" w14:textId="6939F5F8" w:rsidR="129240DA" w:rsidRPr="00F86D91" w:rsidRDefault="1E58102E" w:rsidP="00596BE8">
      <w:pPr>
        <w:spacing w:after="0" w:line="240" w:lineRule="auto"/>
        <w:ind w:left="720"/>
        <w:rPr>
          <w:rFonts w:ascii="Tahoma" w:hAnsi="Tahoma" w:cs="Tahoma"/>
        </w:rPr>
      </w:pPr>
      <w:r w:rsidRPr="00F86D91">
        <w:rPr>
          <w:rFonts w:ascii="Tahoma" w:hAnsi="Tahoma" w:cs="Tahoma"/>
          <w:sz w:val="24"/>
          <w:szCs w:val="24"/>
        </w:rPr>
        <w:t>CARB’s EVSE Standards Regulation was modified by the passage of S</w:t>
      </w:r>
      <w:r w:rsidR="0072504D" w:rsidRPr="00F86D91">
        <w:rPr>
          <w:rFonts w:ascii="Tahoma" w:hAnsi="Tahoma" w:cs="Tahoma"/>
          <w:sz w:val="24"/>
          <w:szCs w:val="24"/>
        </w:rPr>
        <w:t xml:space="preserve">enate </w:t>
      </w:r>
      <w:r w:rsidRPr="00F86D91">
        <w:rPr>
          <w:rFonts w:ascii="Tahoma" w:hAnsi="Tahoma" w:cs="Tahoma"/>
          <w:sz w:val="24"/>
          <w:szCs w:val="24"/>
        </w:rPr>
        <w:t>B</w:t>
      </w:r>
      <w:r w:rsidR="0072504D" w:rsidRPr="00F86D91">
        <w:rPr>
          <w:rFonts w:ascii="Tahoma" w:hAnsi="Tahoma" w:cs="Tahoma"/>
          <w:sz w:val="24"/>
          <w:szCs w:val="24"/>
        </w:rPr>
        <w:t>ill</w:t>
      </w:r>
      <w:r w:rsidRPr="00F86D91">
        <w:rPr>
          <w:rFonts w:ascii="Tahoma" w:hAnsi="Tahoma" w:cs="Tahoma"/>
          <w:sz w:val="24"/>
          <w:szCs w:val="24"/>
        </w:rPr>
        <w:t xml:space="preserve"> </w:t>
      </w:r>
      <w:r w:rsidR="00B16257" w:rsidRPr="00F86D91">
        <w:rPr>
          <w:rFonts w:ascii="Tahoma" w:hAnsi="Tahoma" w:cs="Tahoma"/>
          <w:sz w:val="24"/>
          <w:szCs w:val="24"/>
        </w:rPr>
        <w:t>(SB)</w:t>
      </w:r>
      <w:r w:rsidRPr="00F86D91">
        <w:rPr>
          <w:rFonts w:ascii="Tahoma" w:hAnsi="Tahoma" w:cs="Tahoma"/>
          <w:sz w:val="24"/>
          <w:szCs w:val="24"/>
        </w:rPr>
        <w:t>123</w:t>
      </w:r>
      <w:r w:rsidR="001109C1" w:rsidRPr="00F86D91">
        <w:rPr>
          <w:rFonts w:ascii="Tahoma" w:hAnsi="Tahoma" w:cs="Tahoma"/>
          <w:sz w:val="24"/>
          <w:szCs w:val="24"/>
        </w:rPr>
        <w:t xml:space="preserve"> (Chapter 52, Statutes of 2023)</w:t>
      </w:r>
      <w:r w:rsidRPr="00F86D91">
        <w:rPr>
          <w:rFonts w:ascii="Tahoma" w:hAnsi="Tahoma" w:cs="Tahoma"/>
          <w:sz w:val="24"/>
          <w:szCs w:val="24"/>
        </w:rPr>
        <w:t>. SB 123 amended HSC 44268.2 to state</w:t>
      </w:r>
      <w:r w:rsidR="7FD8D3D1" w:rsidRPr="00F86D91">
        <w:rPr>
          <w:rFonts w:ascii="Tahoma" w:hAnsi="Tahoma" w:cs="Tahoma"/>
          <w:sz w:val="24"/>
          <w:szCs w:val="24"/>
        </w:rPr>
        <w:t xml:space="preserve"> the following:</w:t>
      </w:r>
    </w:p>
    <w:p w14:paraId="0E655E67" w14:textId="65C0CA10" w:rsidR="129240DA" w:rsidRPr="00F86D91" w:rsidRDefault="129240DA" w:rsidP="28F50580">
      <w:pPr>
        <w:spacing w:after="0" w:line="240" w:lineRule="auto"/>
        <w:ind w:left="720" w:hanging="720"/>
        <w:rPr>
          <w:rFonts w:ascii="Tahoma" w:hAnsi="Tahoma" w:cs="Tahoma"/>
          <w:i/>
          <w:iCs/>
          <w:sz w:val="24"/>
          <w:szCs w:val="24"/>
        </w:rPr>
      </w:pPr>
      <w:r w:rsidRPr="00F86D91">
        <w:rPr>
          <w:rFonts w:ascii="Tahoma" w:hAnsi="Tahoma" w:cs="Tahoma"/>
        </w:rPr>
        <w:br/>
      </w:r>
      <w:r w:rsidR="4B995587" w:rsidRPr="00F86D91">
        <w:rPr>
          <w:rFonts w:ascii="Tahoma" w:hAnsi="Tahoma" w:cs="Tahoma"/>
          <w:i/>
          <w:iCs/>
          <w:sz w:val="24"/>
          <w:szCs w:val="24"/>
        </w:rPr>
        <w:t>“</w:t>
      </w:r>
      <w:r w:rsidR="1E58102E" w:rsidRPr="00F86D91">
        <w:rPr>
          <w:rFonts w:ascii="Tahoma" w:hAnsi="Tahoma" w:cs="Tahoma"/>
          <w:i/>
          <w:iCs/>
          <w:sz w:val="24"/>
          <w:szCs w:val="24"/>
        </w:rPr>
        <w:t xml:space="preserve"> </w:t>
      </w:r>
      <w:r w:rsidR="4F7D03A8" w:rsidRPr="00F86D91">
        <w:rPr>
          <w:rFonts w:ascii="Tahoma" w:hAnsi="Tahoma" w:cs="Tahoma"/>
          <w:i/>
          <w:iCs/>
          <w:sz w:val="24"/>
          <w:szCs w:val="24"/>
        </w:rPr>
        <w:t>(3) (A) An electric vehicle charging station that requires payment of a fee and that is first installed or first made publicly available on or after the effective date of this paragraph, at a minimum, shall provide both of the following:</w:t>
      </w:r>
    </w:p>
    <w:p w14:paraId="7712409F" w14:textId="5BE8CCCF" w:rsidR="129240DA" w:rsidRPr="00F86D91" w:rsidRDefault="4F7D03A8" w:rsidP="28F50580">
      <w:pPr>
        <w:spacing w:after="0" w:line="240" w:lineRule="auto"/>
        <w:ind w:left="720"/>
        <w:rPr>
          <w:rFonts w:ascii="Tahoma" w:hAnsi="Tahoma" w:cs="Tahoma"/>
          <w:i/>
          <w:iCs/>
          <w:sz w:val="24"/>
          <w:szCs w:val="24"/>
        </w:rPr>
      </w:pPr>
      <w:r w:rsidRPr="00F86D91">
        <w:rPr>
          <w:rFonts w:ascii="Tahoma" w:hAnsi="Tahoma" w:cs="Tahoma"/>
          <w:i/>
          <w:iCs/>
          <w:sz w:val="24"/>
          <w:szCs w:val="24"/>
        </w:rPr>
        <w:t>(i) A contactless payment method that accepts major credit and debit cards. For purposes of this clause, “contactless payment method” means a secure method for consumers to purchase services using a debit card, credit card, smartcard, or another payment device, by using radio frequency identification (RFID) technology and near-field communication (NFC).”</w:t>
      </w:r>
    </w:p>
    <w:p w14:paraId="0154AAE4" w14:textId="318DC7F3" w:rsidR="5A62C5F3" w:rsidRPr="00F86D91" w:rsidRDefault="5A62C5F3" w:rsidP="5A62C5F3">
      <w:pPr>
        <w:spacing w:after="0" w:line="240" w:lineRule="auto"/>
        <w:ind w:left="720"/>
        <w:rPr>
          <w:rFonts w:ascii="Tahoma" w:hAnsi="Tahoma" w:cs="Tahoma"/>
          <w:sz w:val="24"/>
          <w:szCs w:val="24"/>
        </w:rPr>
      </w:pPr>
    </w:p>
    <w:p w14:paraId="72D5FD63" w14:textId="7BB34CAC" w:rsidR="4F7D03A8" w:rsidRPr="00F86D91" w:rsidRDefault="4F7D03A8" w:rsidP="28F50580">
      <w:pPr>
        <w:spacing w:after="0" w:line="240" w:lineRule="auto"/>
        <w:ind w:left="720"/>
        <w:rPr>
          <w:rFonts w:ascii="Tahoma" w:hAnsi="Tahoma" w:cs="Tahoma"/>
          <w:sz w:val="24"/>
          <w:szCs w:val="24"/>
        </w:rPr>
      </w:pPr>
      <w:r w:rsidRPr="00F86D91">
        <w:rPr>
          <w:rFonts w:ascii="Tahoma" w:hAnsi="Tahoma" w:cs="Tahoma"/>
          <w:sz w:val="24"/>
          <w:szCs w:val="24"/>
        </w:rPr>
        <w:t xml:space="preserve">This amendment sets the requirement for contactless credit payment </w:t>
      </w:r>
      <w:r w:rsidR="58F51906" w:rsidRPr="00F86D91">
        <w:rPr>
          <w:rFonts w:ascii="Tahoma" w:hAnsi="Tahoma" w:cs="Tahoma"/>
          <w:sz w:val="24"/>
          <w:szCs w:val="24"/>
        </w:rPr>
        <w:t>capabilities</w:t>
      </w:r>
      <w:r w:rsidRPr="00F86D91">
        <w:rPr>
          <w:rFonts w:ascii="Tahoma" w:hAnsi="Tahoma" w:cs="Tahoma"/>
          <w:sz w:val="24"/>
          <w:szCs w:val="24"/>
        </w:rPr>
        <w:t xml:space="preserve"> on chargers. </w:t>
      </w:r>
    </w:p>
    <w:p w14:paraId="7F2ED816" w14:textId="26608542" w:rsidR="4F7D03A8" w:rsidRPr="00F86D91" w:rsidRDefault="4F7D03A8" w:rsidP="28F50580">
      <w:pPr>
        <w:spacing w:after="0" w:line="240" w:lineRule="auto"/>
        <w:ind w:left="720"/>
        <w:rPr>
          <w:rFonts w:ascii="Tahoma" w:hAnsi="Tahoma" w:cs="Tahoma"/>
          <w:sz w:val="24"/>
          <w:szCs w:val="24"/>
        </w:rPr>
      </w:pPr>
    </w:p>
    <w:p w14:paraId="5E46342F" w14:textId="5F12D7CC" w:rsidR="4F7D03A8" w:rsidRPr="00F86D91" w:rsidRDefault="4F7D03A8" w:rsidP="5A62C5F3">
      <w:pPr>
        <w:spacing w:after="0" w:line="240" w:lineRule="auto"/>
        <w:ind w:left="720"/>
        <w:rPr>
          <w:rFonts w:ascii="Tahoma" w:hAnsi="Tahoma" w:cs="Tahoma"/>
          <w:sz w:val="24"/>
          <w:szCs w:val="24"/>
        </w:rPr>
      </w:pPr>
      <w:r w:rsidRPr="00F86D91">
        <w:rPr>
          <w:rFonts w:ascii="Tahoma" w:hAnsi="Tahoma" w:cs="Tahoma"/>
          <w:sz w:val="24"/>
          <w:szCs w:val="24"/>
        </w:rPr>
        <w:t>CARB’s EVSE standards regulation defines publicly available as:</w:t>
      </w:r>
    </w:p>
    <w:p w14:paraId="50D9035B" w14:textId="219A7007" w:rsidR="28F50580" w:rsidRPr="00F86D91" w:rsidRDefault="28F50580" w:rsidP="28F50580">
      <w:pPr>
        <w:spacing w:after="0" w:line="240" w:lineRule="auto"/>
        <w:ind w:left="720"/>
        <w:rPr>
          <w:rFonts w:ascii="Tahoma" w:hAnsi="Tahoma" w:cs="Tahoma"/>
          <w:sz w:val="24"/>
          <w:szCs w:val="24"/>
        </w:rPr>
      </w:pPr>
    </w:p>
    <w:p w14:paraId="533591C1" w14:textId="3FA6DB93" w:rsidR="4F7D03A8" w:rsidRPr="00F86D91" w:rsidRDefault="4F7D03A8" w:rsidP="28F50580">
      <w:pPr>
        <w:spacing w:after="0" w:line="240" w:lineRule="auto"/>
        <w:ind w:left="720"/>
        <w:rPr>
          <w:rFonts w:ascii="Tahoma" w:hAnsi="Tahoma" w:cs="Tahoma"/>
          <w:i/>
          <w:iCs/>
          <w:sz w:val="24"/>
          <w:szCs w:val="24"/>
        </w:rPr>
      </w:pPr>
      <w:r w:rsidRPr="00F86D91">
        <w:rPr>
          <w:rFonts w:ascii="Tahoma" w:hAnsi="Tahoma" w:cs="Tahoma"/>
          <w:i/>
          <w:iCs/>
          <w:sz w:val="24"/>
          <w:szCs w:val="24"/>
        </w:rPr>
        <w:t>““Publicly available Electric Vehicle Supply Equipment (publicly available EVSE, publicly available DCFC EVSE, or publicly available Level 2 EVSE)” means an EVSE and associated parking space or spaces designated by a property owner or lessee to be available to, and accessible by, the public for any period of time. An EVSE designated by a lessee or a property owner to be available only to customers or visitors of the business is a publicly available EVSE for purposes of this chapter. EVSE and associated parking spaces located in parking garages or gated facilities are considered publicly available for purposes of this chapter if any member of the public can obtain vehicular access to the facility for free or through payment of a fee.</w:t>
      </w:r>
    </w:p>
    <w:p w14:paraId="3977E3FF" w14:textId="05E34594" w:rsidR="4F7D03A8" w:rsidRPr="00F86D91" w:rsidRDefault="4F7D03A8" w:rsidP="28F50580">
      <w:pPr>
        <w:spacing w:after="0" w:line="240" w:lineRule="auto"/>
        <w:ind w:left="720"/>
        <w:rPr>
          <w:rFonts w:ascii="Tahoma" w:hAnsi="Tahoma" w:cs="Tahoma"/>
          <w:i/>
          <w:iCs/>
          <w:sz w:val="24"/>
          <w:szCs w:val="24"/>
        </w:rPr>
      </w:pPr>
      <w:r w:rsidRPr="00F86D91">
        <w:rPr>
          <w:rFonts w:ascii="Tahoma" w:hAnsi="Tahoma" w:cs="Tahoma"/>
          <w:i/>
          <w:iCs/>
          <w:sz w:val="24"/>
          <w:szCs w:val="24"/>
        </w:rPr>
        <w:t>A - 2</w:t>
      </w:r>
    </w:p>
    <w:p w14:paraId="2D4211F5" w14:textId="724AA8B7" w:rsidR="4F7D03A8" w:rsidRPr="00F86D91" w:rsidRDefault="4F7D03A8" w:rsidP="28F50580">
      <w:pPr>
        <w:spacing w:after="0" w:line="240" w:lineRule="auto"/>
        <w:ind w:left="720"/>
        <w:rPr>
          <w:rFonts w:ascii="Tahoma" w:hAnsi="Tahoma" w:cs="Tahoma"/>
          <w:i/>
          <w:iCs/>
          <w:sz w:val="24"/>
          <w:szCs w:val="24"/>
        </w:rPr>
      </w:pPr>
      <w:r w:rsidRPr="00F86D91">
        <w:rPr>
          <w:rFonts w:ascii="Tahoma" w:hAnsi="Tahoma" w:cs="Tahoma"/>
          <w:i/>
          <w:iCs/>
          <w:sz w:val="24"/>
          <w:szCs w:val="24"/>
        </w:rPr>
        <w:t>If an EVSE and associated parking space is made available to the public for only limited time periods, that EVSE and associated parking space is considered a publicly available EVSE during those limited time periods only, and must comply with this chapter during those limited time periods.</w:t>
      </w:r>
    </w:p>
    <w:p w14:paraId="2241A38F" w14:textId="6E11B325" w:rsidR="4F7D03A8" w:rsidRPr="00F86D91" w:rsidRDefault="4F7D03A8" w:rsidP="28F50580">
      <w:pPr>
        <w:spacing w:after="0" w:line="240" w:lineRule="auto"/>
        <w:ind w:left="720"/>
        <w:rPr>
          <w:rFonts w:ascii="Tahoma" w:hAnsi="Tahoma" w:cs="Tahoma"/>
          <w:i/>
          <w:iCs/>
          <w:sz w:val="24"/>
          <w:szCs w:val="24"/>
        </w:rPr>
      </w:pPr>
      <w:r w:rsidRPr="00F86D91">
        <w:rPr>
          <w:rFonts w:ascii="Tahoma" w:hAnsi="Tahoma" w:cs="Tahoma"/>
          <w:i/>
          <w:iCs/>
          <w:sz w:val="24"/>
          <w:szCs w:val="24"/>
        </w:rPr>
        <w:lastRenderedPageBreak/>
        <w:t>A publicly available EVSE does not include:</w:t>
      </w:r>
    </w:p>
    <w:p w14:paraId="4900BAAC" w14:textId="055527DF" w:rsidR="4F7D03A8" w:rsidRPr="00F86D91" w:rsidRDefault="4F7D03A8" w:rsidP="28F50580">
      <w:pPr>
        <w:spacing w:after="0" w:line="240" w:lineRule="auto"/>
        <w:ind w:left="720"/>
        <w:rPr>
          <w:rFonts w:ascii="Tahoma" w:hAnsi="Tahoma" w:cs="Tahoma"/>
          <w:i/>
          <w:iCs/>
          <w:sz w:val="24"/>
          <w:szCs w:val="24"/>
        </w:rPr>
      </w:pPr>
      <w:r w:rsidRPr="00F86D91">
        <w:rPr>
          <w:rFonts w:ascii="Tahoma" w:hAnsi="Tahoma" w:cs="Tahoma"/>
          <w:i/>
          <w:iCs/>
          <w:sz w:val="24"/>
          <w:szCs w:val="24"/>
        </w:rPr>
        <w:t>(i)</w:t>
      </w:r>
    </w:p>
    <w:p w14:paraId="2B577BAC" w14:textId="569C0986" w:rsidR="4F7D03A8" w:rsidRPr="00F86D91" w:rsidRDefault="4F7D03A8" w:rsidP="28F50580">
      <w:pPr>
        <w:spacing w:after="0" w:line="240" w:lineRule="auto"/>
        <w:ind w:left="720"/>
        <w:rPr>
          <w:rFonts w:ascii="Tahoma" w:hAnsi="Tahoma" w:cs="Tahoma"/>
          <w:i/>
          <w:iCs/>
          <w:sz w:val="24"/>
          <w:szCs w:val="24"/>
        </w:rPr>
      </w:pPr>
      <w:r w:rsidRPr="00F86D91">
        <w:rPr>
          <w:rFonts w:ascii="Tahoma" w:hAnsi="Tahoma" w:cs="Tahoma"/>
          <w:i/>
          <w:iCs/>
          <w:sz w:val="24"/>
          <w:szCs w:val="24"/>
        </w:rPr>
        <w:t>A workplace EVSE and its associated parking space if it is clearly marked and operated as available exclusively to employees or contracted drivers. For the purposes of this chapter, “contracted drivers” includes participating drivers, as that term is defined in Public Utilities Code section 5431, regardless of the physical accessibility of the EVSE to the public;</w:t>
      </w:r>
    </w:p>
    <w:p w14:paraId="2F7172AC" w14:textId="7FA402D2" w:rsidR="4F7D03A8" w:rsidRPr="00F86D91" w:rsidRDefault="4F7D03A8" w:rsidP="28F50580">
      <w:pPr>
        <w:spacing w:after="0" w:line="240" w:lineRule="auto"/>
        <w:ind w:left="720"/>
        <w:rPr>
          <w:rFonts w:ascii="Tahoma" w:hAnsi="Tahoma" w:cs="Tahoma"/>
          <w:i/>
          <w:iCs/>
          <w:sz w:val="24"/>
          <w:szCs w:val="24"/>
        </w:rPr>
      </w:pPr>
      <w:r w:rsidRPr="00F86D91">
        <w:rPr>
          <w:rFonts w:ascii="Tahoma" w:hAnsi="Tahoma" w:cs="Tahoma"/>
          <w:i/>
          <w:iCs/>
          <w:sz w:val="24"/>
          <w:szCs w:val="24"/>
        </w:rPr>
        <w:t>(ii)</w:t>
      </w:r>
    </w:p>
    <w:p w14:paraId="6B9CB040" w14:textId="5561937B" w:rsidR="4F7D03A8" w:rsidRPr="00F86D91" w:rsidRDefault="4F7D03A8" w:rsidP="28F50580">
      <w:pPr>
        <w:spacing w:after="0" w:line="240" w:lineRule="auto"/>
        <w:ind w:left="720"/>
        <w:rPr>
          <w:rFonts w:ascii="Tahoma" w:hAnsi="Tahoma" w:cs="Tahoma"/>
          <w:i/>
          <w:iCs/>
          <w:sz w:val="24"/>
          <w:szCs w:val="24"/>
        </w:rPr>
      </w:pPr>
      <w:r w:rsidRPr="00F86D91">
        <w:rPr>
          <w:rFonts w:ascii="Tahoma" w:hAnsi="Tahoma" w:cs="Tahoma"/>
          <w:i/>
          <w:iCs/>
          <w:sz w:val="24"/>
          <w:szCs w:val="24"/>
        </w:rPr>
        <w:t>An EVSE and associated parking spaces reserved exclusively to residents, tenants, visitors, or employees of a private residence or common interest development; or a residential building adjacent to a private residence; or</w:t>
      </w:r>
    </w:p>
    <w:p w14:paraId="5BEC372F" w14:textId="470FAA9D" w:rsidR="4F7D03A8" w:rsidRPr="00F86D91" w:rsidRDefault="4F7D03A8" w:rsidP="28F50580">
      <w:pPr>
        <w:spacing w:after="0" w:line="240" w:lineRule="auto"/>
        <w:ind w:left="720"/>
        <w:rPr>
          <w:rFonts w:ascii="Tahoma" w:hAnsi="Tahoma" w:cs="Tahoma"/>
          <w:i/>
          <w:iCs/>
          <w:sz w:val="24"/>
          <w:szCs w:val="24"/>
        </w:rPr>
      </w:pPr>
      <w:r w:rsidRPr="00F86D91">
        <w:rPr>
          <w:rFonts w:ascii="Tahoma" w:hAnsi="Tahoma" w:cs="Tahoma"/>
          <w:i/>
          <w:iCs/>
          <w:sz w:val="24"/>
          <w:szCs w:val="24"/>
        </w:rPr>
        <w:t>(iii)</w:t>
      </w:r>
    </w:p>
    <w:p w14:paraId="77D7A91C" w14:textId="67D78CA6" w:rsidR="4F7D03A8" w:rsidRPr="00F86D91" w:rsidRDefault="4F7D03A8" w:rsidP="28F50580">
      <w:pPr>
        <w:spacing w:after="0" w:line="240" w:lineRule="auto"/>
        <w:ind w:left="720"/>
        <w:rPr>
          <w:rFonts w:ascii="Tahoma" w:hAnsi="Tahoma" w:cs="Tahoma"/>
          <w:i/>
          <w:iCs/>
          <w:sz w:val="24"/>
          <w:szCs w:val="24"/>
        </w:rPr>
      </w:pPr>
      <w:r w:rsidRPr="00F86D91">
        <w:rPr>
          <w:rFonts w:ascii="Tahoma" w:hAnsi="Tahoma" w:cs="Tahoma"/>
          <w:i/>
          <w:iCs/>
          <w:sz w:val="24"/>
          <w:szCs w:val="24"/>
        </w:rPr>
        <w:t>An EVSE provided by a manufacturer of electric vehicles for the exclusive use by vehicles it manufactures.”</w:t>
      </w:r>
    </w:p>
    <w:p w14:paraId="02EE1E51" w14:textId="73A25E37" w:rsidR="129240DA" w:rsidRPr="00F86D91" w:rsidRDefault="129240DA" w:rsidP="67A7640C">
      <w:pPr>
        <w:spacing w:after="0" w:line="240" w:lineRule="auto"/>
        <w:ind w:left="720" w:hanging="720"/>
        <w:rPr>
          <w:rFonts w:ascii="Tahoma" w:hAnsi="Tahoma" w:cs="Tahoma"/>
          <w:sz w:val="24"/>
          <w:szCs w:val="24"/>
        </w:rPr>
      </w:pPr>
    </w:p>
    <w:p w14:paraId="0A02B67E" w14:textId="7B6537CB" w:rsidR="53234C4C" w:rsidRPr="00F86D91" w:rsidRDefault="53234C4C" w:rsidP="44A3F00F">
      <w:pPr>
        <w:spacing w:after="0" w:line="240" w:lineRule="auto"/>
        <w:ind w:left="720" w:hanging="720"/>
        <w:rPr>
          <w:rFonts w:ascii="Tahoma" w:eastAsia="Arial" w:hAnsi="Tahoma" w:cs="Tahoma"/>
          <w:color w:val="000000" w:themeColor="text1"/>
          <w:sz w:val="24"/>
          <w:szCs w:val="24"/>
        </w:rPr>
      </w:pPr>
    </w:p>
    <w:p w14:paraId="35B59E60" w14:textId="13D3E1D7" w:rsidR="129240DA" w:rsidRPr="00F86D91" w:rsidRDefault="129240DA"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84</w:t>
      </w:r>
      <w:r w:rsidRPr="00F86D91">
        <w:rPr>
          <w:rFonts w:ascii="Tahoma" w:hAnsi="Tahoma" w:cs="Tahoma"/>
        </w:rPr>
        <w:tab/>
      </w:r>
      <w:r w:rsidR="00464AB2" w:rsidRPr="00F86D91">
        <w:rPr>
          <w:rFonts w:ascii="Tahoma" w:eastAsia="Arial" w:hAnsi="Tahoma" w:cs="Tahoma"/>
          <w:b/>
          <w:bCs/>
          <w:color w:val="000000" w:themeColor="text1"/>
          <w:sz w:val="24"/>
          <w:szCs w:val="24"/>
        </w:rPr>
        <w:t xml:space="preserve">Does </w:t>
      </w:r>
      <w:r w:rsidR="62028FCE" w:rsidRPr="00F86D91">
        <w:rPr>
          <w:rFonts w:ascii="Tahoma" w:eastAsia="Arial" w:hAnsi="Tahoma" w:cs="Tahoma"/>
          <w:b/>
          <w:bCs/>
          <w:color w:val="000000" w:themeColor="text1"/>
          <w:sz w:val="24"/>
          <w:szCs w:val="24"/>
        </w:rPr>
        <w:t>a single government entity need to have one federal tax id number?</w:t>
      </w:r>
    </w:p>
    <w:p w14:paraId="3CC21194" w14:textId="716E647A" w:rsidR="53234C4C" w:rsidRPr="00F86D91" w:rsidRDefault="53234C4C" w:rsidP="53234C4C">
      <w:pPr>
        <w:spacing w:after="0" w:line="240" w:lineRule="auto"/>
        <w:ind w:left="720" w:hanging="720"/>
        <w:rPr>
          <w:rFonts w:ascii="Tahoma" w:eastAsia="Arial" w:hAnsi="Tahoma" w:cs="Tahoma"/>
          <w:b/>
          <w:bCs/>
          <w:color w:val="000000" w:themeColor="text1"/>
          <w:sz w:val="24"/>
          <w:szCs w:val="24"/>
        </w:rPr>
      </w:pPr>
    </w:p>
    <w:p w14:paraId="62D27070" w14:textId="0D590ECA" w:rsidR="129240DA" w:rsidRPr="00F86D91" w:rsidRDefault="129240DA" w:rsidP="53234C4C">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84</w:t>
      </w:r>
      <w:r w:rsidRPr="00F86D91">
        <w:rPr>
          <w:rFonts w:ascii="Tahoma" w:eastAsia="Arial" w:hAnsi="Tahoma" w:cs="Tahoma"/>
          <w:color w:val="000000" w:themeColor="text1"/>
          <w:sz w:val="24"/>
          <w:szCs w:val="24"/>
        </w:rPr>
        <w:t>.</w:t>
      </w:r>
      <w:r w:rsidRPr="00F86D91">
        <w:rPr>
          <w:rFonts w:ascii="Tahoma" w:hAnsi="Tahoma" w:cs="Tahoma"/>
        </w:rPr>
        <w:tab/>
      </w:r>
      <w:r w:rsidR="00F3369B" w:rsidRPr="00F86D91">
        <w:rPr>
          <w:rFonts w:ascii="Tahoma" w:hAnsi="Tahoma" w:cs="Tahoma"/>
          <w:sz w:val="24"/>
          <w:szCs w:val="24"/>
        </w:rPr>
        <w:t>Yes, a</w:t>
      </w:r>
      <w:r w:rsidR="00A3201A" w:rsidRPr="00F86D91">
        <w:rPr>
          <w:rFonts w:ascii="Tahoma" w:hAnsi="Tahoma" w:cs="Tahoma"/>
          <w:sz w:val="24"/>
          <w:szCs w:val="24"/>
        </w:rPr>
        <w:t xml:space="preserve">n entity should </w:t>
      </w:r>
      <w:r w:rsidR="00C4549B" w:rsidRPr="00F86D91">
        <w:rPr>
          <w:rFonts w:ascii="Tahoma" w:hAnsi="Tahoma" w:cs="Tahoma"/>
          <w:sz w:val="24"/>
          <w:szCs w:val="24"/>
        </w:rPr>
        <w:t>have one</w:t>
      </w:r>
      <w:r w:rsidR="004D3807" w:rsidRPr="00F86D91">
        <w:rPr>
          <w:rFonts w:ascii="Tahoma" w:hAnsi="Tahoma" w:cs="Tahoma"/>
          <w:sz w:val="24"/>
          <w:szCs w:val="24"/>
        </w:rPr>
        <w:t xml:space="preserve"> federal tax id number.</w:t>
      </w:r>
    </w:p>
    <w:p w14:paraId="485C1826" w14:textId="24D52EB1" w:rsidR="53234C4C" w:rsidRPr="00F86D91" w:rsidRDefault="53234C4C" w:rsidP="53234C4C">
      <w:pPr>
        <w:spacing w:after="0" w:line="240" w:lineRule="auto"/>
        <w:ind w:left="720" w:hanging="720"/>
        <w:rPr>
          <w:rFonts w:ascii="Tahoma" w:eastAsia="Arial" w:hAnsi="Tahoma" w:cs="Tahoma"/>
          <w:color w:val="000000" w:themeColor="text1"/>
          <w:sz w:val="24"/>
          <w:szCs w:val="24"/>
        </w:rPr>
      </w:pPr>
    </w:p>
    <w:p w14:paraId="2CDE64B2" w14:textId="124A4AF7" w:rsidR="53234C4C" w:rsidRPr="00F86D91" w:rsidRDefault="53234C4C" w:rsidP="44A3F00F">
      <w:pPr>
        <w:spacing w:after="0" w:line="240" w:lineRule="auto"/>
        <w:ind w:left="720" w:hanging="720"/>
        <w:rPr>
          <w:rFonts w:ascii="Tahoma" w:eastAsia="Arial" w:hAnsi="Tahoma" w:cs="Tahoma"/>
          <w:color w:val="000000" w:themeColor="text1"/>
          <w:sz w:val="24"/>
          <w:szCs w:val="24"/>
        </w:rPr>
      </w:pPr>
    </w:p>
    <w:p w14:paraId="273F0140" w14:textId="5B7D943E" w:rsidR="129240DA" w:rsidRPr="00F86D91" w:rsidRDefault="129240DA"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85</w:t>
      </w:r>
      <w:r w:rsidRPr="00F86D91">
        <w:rPr>
          <w:rFonts w:ascii="Tahoma" w:eastAsia="Arial" w:hAnsi="Tahoma" w:cs="Tahoma"/>
          <w:b/>
          <w:bCs/>
          <w:color w:val="000000" w:themeColor="text1"/>
          <w:sz w:val="24"/>
          <w:szCs w:val="24"/>
        </w:rPr>
        <w:t>.</w:t>
      </w:r>
      <w:r w:rsidRPr="00F86D91">
        <w:rPr>
          <w:rFonts w:ascii="Tahoma" w:hAnsi="Tahoma" w:cs="Tahoma"/>
        </w:rPr>
        <w:tab/>
      </w:r>
      <w:r w:rsidR="6A78D0F5" w:rsidRPr="00F86D91">
        <w:rPr>
          <w:rFonts w:ascii="Tahoma" w:eastAsia="Arial" w:hAnsi="Tahoma" w:cs="Tahoma"/>
          <w:b/>
          <w:bCs/>
          <w:color w:val="000000" w:themeColor="text1"/>
          <w:sz w:val="24"/>
          <w:szCs w:val="24"/>
        </w:rPr>
        <w:t>What page of the solicitation/scope of work document highlights the 97% uptime requirement</w:t>
      </w:r>
      <w:r w:rsidR="76E74A67" w:rsidRPr="00F86D91">
        <w:rPr>
          <w:rFonts w:ascii="Tahoma" w:eastAsia="Arial" w:hAnsi="Tahoma" w:cs="Tahoma"/>
          <w:b/>
          <w:bCs/>
          <w:color w:val="000000" w:themeColor="text1"/>
          <w:sz w:val="24"/>
          <w:szCs w:val="24"/>
        </w:rPr>
        <w:t>)?</w:t>
      </w:r>
    </w:p>
    <w:p w14:paraId="7CC4887B" w14:textId="716E647A" w:rsidR="53234C4C" w:rsidRPr="00F86D91" w:rsidRDefault="53234C4C" w:rsidP="53234C4C">
      <w:pPr>
        <w:spacing w:after="0" w:line="240" w:lineRule="auto"/>
        <w:ind w:left="720" w:hanging="720"/>
        <w:rPr>
          <w:rFonts w:ascii="Tahoma" w:eastAsia="Arial" w:hAnsi="Tahoma" w:cs="Tahoma"/>
          <w:b/>
          <w:bCs/>
          <w:color w:val="000000" w:themeColor="text1"/>
          <w:sz w:val="24"/>
          <w:szCs w:val="24"/>
        </w:rPr>
      </w:pPr>
    </w:p>
    <w:p w14:paraId="72252A9D" w14:textId="6AFDCFA8" w:rsidR="129240DA" w:rsidRPr="00F86D91" w:rsidRDefault="129240DA" w:rsidP="53234C4C">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85</w:t>
      </w:r>
      <w:r w:rsidRPr="00F86D91">
        <w:rPr>
          <w:rFonts w:ascii="Tahoma" w:eastAsia="Arial" w:hAnsi="Tahoma" w:cs="Tahoma"/>
          <w:color w:val="000000" w:themeColor="text1"/>
          <w:sz w:val="24"/>
          <w:szCs w:val="24"/>
        </w:rPr>
        <w:t>.</w:t>
      </w:r>
      <w:r w:rsidRPr="00F86D91">
        <w:rPr>
          <w:rFonts w:ascii="Tahoma" w:hAnsi="Tahoma" w:cs="Tahoma"/>
        </w:rPr>
        <w:tab/>
      </w:r>
      <w:r w:rsidR="00E36904" w:rsidRPr="00F86D91">
        <w:rPr>
          <w:rFonts w:ascii="Tahoma" w:eastAsia="Arial" w:hAnsi="Tahoma" w:cs="Tahoma"/>
          <w:color w:val="000000" w:themeColor="text1"/>
          <w:sz w:val="24"/>
          <w:szCs w:val="24"/>
        </w:rPr>
        <w:t>The Operations task on p</w:t>
      </w:r>
      <w:r w:rsidR="7B0A7E22" w:rsidRPr="00F86D91">
        <w:rPr>
          <w:rFonts w:ascii="Tahoma" w:eastAsia="Arial" w:hAnsi="Tahoma" w:cs="Tahoma"/>
          <w:color w:val="000000" w:themeColor="text1"/>
          <w:sz w:val="24"/>
          <w:szCs w:val="24"/>
        </w:rPr>
        <w:t xml:space="preserve">age 16 </w:t>
      </w:r>
      <w:r w:rsidR="00E36904" w:rsidRPr="00F86D91">
        <w:rPr>
          <w:rFonts w:ascii="Tahoma" w:eastAsia="Arial" w:hAnsi="Tahoma" w:cs="Tahoma"/>
          <w:color w:val="000000" w:themeColor="text1"/>
          <w:sz w:val="24"/>
          <w:szCs w:val="24"/>
        </w:rPr>
        <w:t>of</w:t>
      </w:r>
      <w:r w:rsidR="7B0A7E22" w:rsidRPr="00F86D91">
        <w:rPr>
          <w:rFonts w:ascii="Tahoma" w:eastAsia="Arial" w:hAnsi="Tahoma" w:cs="Tahoma"/>
          <w:color w:val="000000" w:themeColor="text1"/>
          <w:sz w:val="24"/>
          <w:szCs w:val="24"/>
        </w:rPr>
        <w:t xml:space="preserve"> the </w:t>
      </w:r>
      <w:r w:rsidR="00915564" w:rsidRPr="00F86D91">
        <w:rPr>
          <w:rFonts w:ascii="Tahoma" w:eastAsia="Arial" w:hAnsi="Tahoma" w:cs="Tahoma"/>
          <w:color w:val="000000" w:themeColor="text1"/>
          <w:sz w:val="24"/>
          <w:szCs w:val="24"/>
        </w:rPr>
        <w:t>Scope of Work</w:t>
      </w:r>
      <w:r w:rsidR="00E36904" w:rsidRPr="00F86D91">
        <w:rPr>
          <w:rFonts w:ascii="Tahoma" w:eastAsia="Arial" w:hAnsi="Tahoma" w:cs="Tahoma"/>
          <w:color w:val="000000" w:themeColor="text1"/>
          <w:sz w:val="24"/>
          <w:szCs w:val="24"/>
        </w:rPr>
        <w:t xml:space="preserve"> (Attachment</w:t>
      </w:r>
      <w:r w:rsidR="004127F7" w:rsidRPr="00F86D91">
        <w:rPr>
          <w:rFonts w:ascii="Tahoma" w:eastAsia="Arial" w:hAnsi="Tahoma" w:cs="Tahoma"/>
          <w:color w:val="000000" w:themeColor="text1"/>
          <w:sz w:val="24"/>
          <w:szCs w:val="24"/>
        </w:rPr>
        <w:t xml:space="preserve"> 1)</w:t>
      </w:r>
      <w:r w:rsidR="00915564" w:rsidRPr="00F86D91">
        <w:rPr>
          <w:rFonts w:ascii="Tahoma" w:eastAsia="Arial" w:hAnsi="Tahoma" w:cs="Tahoma"/>
          <w:color w:val="000000" w:themeColor="text1"/>
          <w:sz w:val="24"/>
          <w:szCs w:val="24"/>
        </w:rPr>
        <w:t xml:space="preserve"> states, “</w:t>
      </w:r>
      <w:r w:rsidR="00035BEF" w:rsidRPr="00F86D91">
        <w:rPr>
          <w:rFonts w:ascii="Tahoma" w:eastAsia="Arial" w:hAnsi="Tahoma" w:cs="Tahoma"/>
          <w:color w:val="000000" w:themeColor="text1"/>
          <w:sz w:val="24"/>
          <w:szCs w:val="24"/>
        </w:rPr>
        <w:t xml:space="preserve">The Recipient shall: </w:t>
      </w:r>
      <w:r w:rsidR="00C26B67" w:rsidRPr="00F86D91">
        <w:rPr>
          <w:rFonts w:ascii="Tahoma" w:eastAsia="Arial" w:hAnsi="Tahoma" w:cs="Tahoma"/>
          <w:color w:val="000000" w:themeColor="text1"/>
          <w:sz w:val="24"/>
          <w:szCs w:val="24"/>
        </w:rPr>
        <w:t>Ensure that the charging port uptime for each charging port installed in the project is at least 97 percent of each year for six years after the beginning of operation</w:t>
      </w:r>
      <w:r w:rsidR="004127F7" w:rsidRPr="00F86D91">
        <w:rPr>
          <w:rFonts w:ascii="Tahoma" w:eastAsia="Arial" w:hAnsi="Tahoma" w:cs="Tahoma"/>
          <w:color w:val="000000" w:themeColor="text1"/>
          <w:sz w:val="24"/>
          <w:szCs w:val="24"/>
        </w:rPr>
        <w:t>.”</w:t>
      </w:r>
    </w:p>
    <w:p w14:paraId="6FBB4098" w14:textId="24D52EB1" w:rsidR="53234C4C" w:rsidRPr="00F86D91" w:rsidRDefault="53234C4C" w:rsidP="53234C4C">
      <w:pPr>
        <w:spacing w:after="0" w:line="240" w:lineRule="auto"/>
        <w:ind w:left="720" w:hanging="720"/>
        <w:rPr>
          <w:rFonts w:ascii="Tahoma" w:eastAsia="Arial" w:hAnsi="Tahoma" w:cs="Tahoma"/>
          <w:color w:val="000000" w:themeColor="text1"/>
          <w:sz w:val="24"/>
          <w:szCs w:val="24"/>
        </w:rPr>
      </w:pPr>
    </w:p>
    <w:p w14:paraId="039F7C24" w14:textId="07A05661" w:rsidR="53234C4C" w:rsidRPr="00F86D91" w:rsidRDefault="53234C4C" w:rsidP="53234C4C">
      <w:pPr>
        <w:spacing w:after="0" w:line="240" w:lineRule="auto"/>
        <w:ind w:left="720" w:hanging="720"/>
        <w:rPr>
          <w:rFonts w:ascii="Tahoma" w:eastAsia="Arial" w:hAnsi="Tahoma" w:cs="Tahoma"/>
          <w:color w:val="000000" w:themeColor="text1"/>
          <w:sz w:val="24"/>
          <w:szCs w:val="24"/>
        </w:rPr>
      </w:pPr>
    </w:p>
    <w:p w14:paraId="40BFA898" w14:textId="3C5778C1" w:rsidR="129240DA" w:rsidRPr="00F86D91" w:rsidRDefault="129240DA"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86</w:t>
      </w:r>
      <w:r w:rsidRPr="00F86D91">
        <w:rPr>
          <w:rFonts w:ascii="Tahoma" w:eastAsia="Arial" w:hAnsi="Tahoma" w:cs="Tahoma"/>
          <w:b/>
          <w:bCs/>
          <w:color w:val="000000" w:themeColor="text1"/>
          <w:sz w:val="24"/>
          <w:szCs w:val="24"/>
        </w:rPr>
        <w:t>.</w:t>
      </w:r>
      <w:r w:rsidRPr="00F86D91">
        <w:rPr>
          <w:rFonts w:ascii="Tahoma" w:hAnsi="Tahoma" w:cs="Tahoma"/>
        </w:rPr>
        <w:tab/>
      </w:r>
      <w:r w:rsidR="12B93EE3" w:rsidRPr="00F86D91">
        <w:rPr>
          <w:rFonts w:ascii="Tahoma" w:eastAsia="Arial" w:hAnsi="Tahoma" w:cs="Tahoma"/>
          <w:b/>
          <w:bCs/>
          <w:color w:val="000000" w:themeColor="text1"/>
          <w:sz w:val="24"/>
          <w:szCs w:val="24"/>
        </w:rPr>
        <w:t xml:space="preserve">Can applicants use local or regional disadvantaged </w:t>
      </w:r>
      <w:r w:rsidR="3E4B007D" w:rsidRPr="00F86D91">
        <w:rPr>
          <w:rFonts w:ascii="Tahoma" w:eastAsia="Arial" w:hAnsi="Tahoma" w:cs="Tahoma"/>
          <w:b/>
          <w:bCs/>
          <w:color w:val="000000" w:themeColor="text1"/>
          <w:sz w:val="24"/>
          <w:szCs w:val="24"/>
        </w:rPr>
        <w:t>communit</w:t>
      </w:r>
      <w:r w:rsidR="66FF0DDD" w:rsidRPr="00F86D91">
        <w:rPr>
          <w:rFonts w:ascii="Tahoma" w:eastAsia="Arial" w:hAnsi="Tahoma" w:cs="Tahoma"/>
          <w:b/>
          <w:bCs/>
          <w:color w:val="000000" w:themeColor="text1"/>
          <w:sz w:val="24"/>
          <w:szCs w:val="24"/>
        </w:rPr>
        <w:t>y</w:t>
      </w:r>
      <w:r w:rsidR="3E4B007D" w:rsidRPr="00F86D91">
        <w:rPr>
          <w:rFonts w:ascii="Tahoma" w:eastAsia="Arial" w:hAnsi="Tahoma" w:cs="Tahoma"/>
          <w:b/>
          <w:bCs/>
          <w:color w:val="000000" w:themeColor="text1"/>
          <w:sz w:val="24"/>
          <w:szCs w:val="24"/>
        </w:rPr>
        <w:t xml:space="preserve"> designations?</w:t>
      </w:r>
    </w:p>
    <w:p w14:paraId="778DEE16" w14:textId="716E647A" w:rsidR="53234C4C" w:rsidRPr="00F86D91" w:rsidRDefault="53234C4C" w:rsidP="53234C4C">
      <w:pPr>
        <w:spacing w:after="0" w:line="240" w:lineRule="auto"/>
        <w:ind w:left="720" w:hanging="720"/>
        <w:rPr>
          <w:rFonts w:ascii="Tahoma" w:eastAsia="Arial" w:hAnsi="Tahoma" w:cs="Tahoma"/>
          <w:b/>
          <w:bCs/>
          <w:color w:val="000000" w:themeColor="text1"/>
          <w:sz w:val="24"/>
          <w:szCs w:val="24"/>
        </w:rPr>
      </w:pPr>
    </w:p>
    <w:p w14:paraId="7606581D" w14:textId="5BE0921E" w:rsidR="129240DA" w:rsidRPr="00F86D91" w:rsidRDefault="129240DA" w:rsidP="53234C4C">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86</w:t>
      </w:r>
      <w:r w:rsidRPr="00F86D91">
        <w:rPr>
          <w:rFonts w:ascii="Tahoma" w:eastAsia="Arial" w:hAnsi="Tahoma" w:cs="Tahoma"/>
          <w:color w:val="000000" w:themeColor="text1"/>
          <w:sz w:val="24"/>
          <w:szCs w:val="24"/>
        </w:rPr>
        <w:t>.</w:t>
      </w:r>
      <w:r w:rsidRPr="00F86D91">
        <w:rPr>
          <w:rFonts w:ascii="Tahoma" w:hAnsi="Tahoma" w:cs="Tahoma"/>
        </w:rPr>
        <w:tab/>
      </w:r>
      <w:r w:rsidR="0070582F" w:rsidRPr="00F86D91">
        <w:rPr>
          <w:rFonts w:ascii="Tahoma" w:eastAsia="Arial" w:hAnsi="Tahoma" w:cs="Tahoma"/>
          <w:color w:val="000000" w:themeColor="text1"/>
          <w:sz w:val="24"/>
          <w:szCs w:val="24"/>
        </w:rPr>
        <w:t xml:space="preserve">The </w:t>
      </w:r>
      <w:r w:rsidR="009F7C9C" w:rsidRPr="00F86D91">
        <w:rPr>
          <w:rFonts w:ascii="Tahoma" w:eastAsia="Arial" w:hAnsi="Tahoma" w:cs="Tahoma"/>
          <w:color w:val="000000" w:themeColor="text1"/>
          <w:sz w:val="24"/>
          <w:szCs w:val="24"/>
        </w:rPr>
        <w:t xml:space="preserve">manual states, “Disadvantaged communities are census tracts that score within the top 25th percentile of California Environmental Protection Agency </w:t>
      </w:r>
      <w:proofErr w:type="spellStart"/>
      <w:r w:rsidR="009F7C9C" w:rsidRPr="00F86D91">
        <w:rPr>
          <w:rFonts w:ascii="Tahoma" w:eastAsia="Arial" w:hAnsi="Tahoma" w:cs="Tahoma"/>
          <w:color w:val="000000" w:themeColor="text1"/>
          <w:sz w:val="24"/>
          <w:szCs w:val="24"/>
        </w:rPr>
        <w:t>CalEnviroScreen</w:t>
      </w:r>
      <w:proofErr w:type="spellEnd"/>
      <w:r w:rsidR="009F7C9C" w:rsidRPr="00F86D91">
        <w:rPr>
          <w:rFonts w:ascii="Tahoma" w:eastAsia="Arial" w:hAnsi="Tahoma" w:cs="Tahoma"/>
          <w:color w:val="000000" w:themeColor="text1"/>
          <w:sz w:val="24"/>
          <w:szCs w:val="24"/>
        </w:rPr>
        <w:t xml:space="preserve"> 4.0 scores and include areas of high pollution and low population, such as ports” </w:t>
      </w:r>
      <w:r w:rsidR="009F7C9C" w:rsidRPr="00F86D91">
        <w:rPr>
          <w:rFonts w:ascii="Tahoma" w:hAnsi="Tahoma" w:cs="Tahoma"/>
          <w:sz w:val="24"/>
          <w:szCs w:val="24"/>
        </w:rPr>
        <w:t>(Section V.A., page 4</w:t>
      </w:r>
      <w:r w:rsidR="00A414A1">
        <w:rPr>
          <w:rFonts w:ascii="Tahoma" w:hAnsi="Tahoma" w:cs="Tahoma"/>
          <w:sz w:val="24"/>
          <w:szCs w:val="24"/>
        </w:rPr>
        <w:t>3</w:t>
      </w:r>
      <w:r w:rsidR="009F7C9C" w:rsidRPr="00F86D91">
        <w:rPr>
          <w:rFonts w:ascii="Tahoma" w:hAnsi="Tahoma" w:cs="Tahoma"/>
          <w:sz w:val="24"/>
          <w:szCs w:val="24"/>
        </w:rPr>
        <w:t xml:space="preserve">, </w:t>
      </w:r>
      <w:r w:rsidR="007E0A5E" w:rsidRPr="00F86D91">
        <w:rPr>
          <w:rFonts w:ascii="Tahoma" w:hAnsi="Tahoma" w:cs="Tahoma"/>
          <w:sz w:val="24"/>
          <w:szCs w:val="24"/>
        </w:rPr>
        <w:t>“</w:t>
      </w:r>
      <w:r w:rsidR="009F7C9C" w:rsidRPr="00F86D91">
        <w:rPr>
          <w:rFonts w:ascii="Tahoma" w:hAnsi="Tahoma" w:cs="Tahoma"/>
          <w:sz w:val="24"/>
          <w:szCs w:val="24"/>
        </w:rPr>
        <w:t>Definition of Key Words</w:t>
      </w:r>
      <w:r w:rsidR="007E0A5E" w:rsidRPr="00F86D91">
        <w:rPr>
          <w:rFonts w:ascii="Tahoma" w:hAnsi="Tahoma" w:cs="Tahoma"/>
          <w:sz w:val="24"/>
          <w:szCs w:val="24"/>
        </w:rPr>
        <w:t>”</w:t>
      </w:r>
      <w:r w:rsidR="009F7C9C" w:rsidRPr="00F86D91">
        <w:rPr>
          <w:rFonts w:ascii="Tahoma" w:hAnsi="Tahoma" w:cs="Tahoma"/>
          <w:sz w:val="24"/>
          <w:szCs w:val="24"/>
        </w:rPr>
        <w:t>, Solicitation Manual).</w:t>
      </w:r>
    </w:p>
    <w:p w14:paraId="48EA8DA4" w14:textId="24D52EB1" w:rsidR="53234C4C" w:rsidRPr="00F86D91" w:rsidRDefault="53234C4C" w:rsidP="53234C4C">
      <w:pPr>
        <w:spacing w:after="0" w:line="240" w:lineRule="auto"/>
        <w:ind w:left="720" w:hanging="720"/>
        <w:rPr>
          <w:rFonts w:ascii="Tahoma" w:eastAsia="Arial" w:hAnsi="Tahoma" w:cs="Tahoma"/>
          <w:color w:val="000000" w:themeColor="text1"/>
          <w:sz w:val="24"/>
          <w:szCs w:val="24"/>
        </w:rPr>
      </w:pPr>
    </w:p>
    <w:p w14:paraId="30C625DE" w14:textId="559DCC3C" w:rsidR="53234C4C" w:rsidRPr="00F86D91" w:rsidRDefault="53234C4C" w:rsidP="44A3F00F">
      <w:pPr>
        <w:spacing w:after="0" w:line="240" w:lineRule="auto"/>
        <w:rPr>
          <w:rFonts w:ascii="Tahoma" w:eastAsia="Arial" w:hAnsi="Tahoma" w:cs="Tahoma"/>
          <w:color w:val="000000" w:themeColor="text1"/>
          <w:sz w:val="24"/>
          <w:szCs w:val="24"/>
        </w:rPr>
      </w:pPr>
    </w:p>
    <w:p w14:paraId="6F3D26AF" w14:textId="48201FDD" w:rsidR="1A588E90" w:rsidRPr="00F86D91" w:rsidRDefault="1A588E90" w:rsidP="53234C4C">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87</w:t>
      </w:r>
      <w:r w:rsidRPr="00F86D91">
        <w:rPr>
          <w:rFonts w:ascii="Tahoma" w:eastAsia="Arial" w:hAnsi="Tahoma" w:cs="Tahoma"/>
          <w:b/>
          <w:bCs/>
          <w:color w:val="000000" w:themeColor="text1"/>
          <w:sz w:val="24"/>
          <w:szCs w:val="24"/>
        </w:rPr>
        <w:t>.</w:t>
      </w:r>
      <w:r w:rsidRPr="00F86D91">
        <w:rPr>
          <w:rFonts w:ascii="Tahoma" w:hAnsi="Tahoma" w:cs="Tahoma"/>
        </w:rPr>
        <w:tab/>
      </w:r>
      <w:r w:rsidRPr="00F86D91">
        <w:rPr>
          <w:rFonts w:ascii="Tahoma" w:eastAsia="Arial" w:hAnsi="Tahoma" w:cs="Tahoma"/>
          <w:b/>
          <w:bCs/>
          <w:color w:val="000000" w:themeColor="text1"/>
          <w:sz w:val="24"/>
          <w:szCs w:val="24"/>
        </w:rPr>
        <w:t>What are the rules surrounding an infrastructure as a service model?</w:t>
      </w:r>
    </w:p>
    <w:p w14:paraId="044D42BB" w14:textId="716E647A" w:rsidR="53234C4C" w:rsidRPr="00F86D91" w:rsidRDefault="53234C4C" w:rsidP="53234C4C">
      <w:pPr>
        <w:spacing w:after="0" w:line="240" w:lineRule="auto"/>
        <w:ind w:left="720" w:hanging="720"/>
        <w:rPr>
          <w:rFonts w:ascii="Tahoma" w:eastAsia="Arial" w:hAnsi="Tahoma" w:cs="Tahoma"/>
          <w:b/>
          <w:bCs/>
          <w:color w:val="000000" w:themeColor="text1"/>
          <w:sz w:val="24"/>
          <w:szCs w:val="24"/>
        </w:rPr>
      </w:pPr>
    </w:p>
    <w:p w14:paraId="227312F2" w14:textId="5C7342BE" w:rsidR="53234C4C" w:rsidRPr="00F86D91" w:rsidRDefault="1A588E90" w:rsidP="53234C4C">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87</w:t>
      </w:r>
      <w:r w:rsidRPr="00F86D91">
        <w:rPr>
          <w:rFonts w:ascii="Tahoma" w:eastAsia="Arial" w:hAnsi="Tahoma" w:cs="Tahoma"/>
          <w:color w:val="000000" w:themeColor="text1"/>
          <w:sz w:val="24"/>
          <w:szCs w:val="24"/>
        </w:rPr>
        <w:t>.</w:t>
      </w:r>
      <w:r w:rsidRPr="00F86D91">
        <w:rPr>
          <w:rFonts w:ascii="Tahoma" w:hAnsi="Tahoma" w:cs="Tahoma"/>
        </w:rPr>
        <w:tab/>
      </w:r>
      <w:r w:rsidR="00872C33" w:rsidRPr="00F86D91">
        <w:rPr>
          <w:rFonts w:ascii="Tahoma" w:hAnsi="Tahoma" w:cs="Tahoma"/>
          <w:sz w:val="24"/>
          <w:szCs w:val="24"/>
        </w:rPr>
        <w:t>Projects may utilize charging-as-a-service models.</w:t>
      </w:r>
    </w:p>
    <w:p w14:paraId="4ADDE759" w14:textId="73456A75" w:rsidR="1A588E90" w:rsidRPr="00F86D91" w:rsidRDefault="1A588E90" w:rsidP="13BF8754">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lastRenderedPageBreak/>
        <w:t>Q</w:t>
      </w:r>
      <w:r w:rsidR="00823804" w:rsidRPr="00F86D91">
        <w:rPr>
          <w:rFonts w:ascii="Tahoma" w:eastAsia="Arial" w:hAnsi="Tahoma" w:cs="Tahoma"/>
          <w:b/>
          <w:bCs/>
          <w:color w:val="000000" w:themeColor="text1"/>
          <w:sz w:val="24"/>
          <w:szCs w:val="24"/>
        </w:rPr>
        <w:t>88</w:t>
      </w:r>
      <w:r w:rsidRPr="00F86D91">
        <w:rPr>
          <w:rFonts w:ascii="Tahoma" w:eastAsia="Arial" w:hAnsi="Tahoma" w:cs="Tahoma"/>
          <w:b/>
          <w:bCs/>
          <w:color w:val="000000" w:themeColor="text1"/>
          <w:sz w:val="24"/>
          <w:szCs w:val="24"/>
        </w:rPr>
        <w:t>.</w:t>
      </w:r>
      <w:r w:rsidRPr="00F86D91">
        <w:rPr>
          <w:rFonts w:ascii="Tahoma" w:hAnsi="Tahoma" w:cs="Tahoma"/>
        </w:rPr>
        <w:tab/>
      </w:r>
      <w:r w:rsidR="4B11E689" w:rsidRPr="00F86D91">
        <w:rPr>
          <w:rFonts w:ascii="Tahoma" w:eastAsia="Arial" w:hAnsi="Tahoma" w:cs="Tahoma"/>
          <w:b/>
          <w:bCs/>
          <w:color w:val="000000" w:themeColor="text1"/>
          <w:sz w:val="24"/>
          <w:szCs w:val="24"/>
        </w:rPr>
        <w:t>Is</w:t>
      </w:r>
      <w:r w:rsidR="6A6B1782" w:rsidRPr="00F86D91">
        <w:rPr>
          <w:rFonts w:ascii="Tahoma" w:eastAsia="Arial" w:hAnsi="Tahoma" w:cs="Tahoma"/>
          <w:b/>
          <w:bCs/>
          <w:color w:val="000000" w:themeColor="text1"/>
          <w:sz w:val="24"/>
          <w:szCs w:val="24"/>
        </w:rPr>
        <w:t xml:space="preserve"> “ISO 15118 ready” different than “ISO 15118 compliant”</w:t>
      </w:r>
      <w:r w:rsidR="009C3D7D" w:rsidRPr="00F86D91">
        <w:rPr>
          <w:rFonts w:ascii="Tahoma" w:eastAsia="Arial" w:hAnsi="Tahoma" w:cs="Tahoma"/>
          <w:b/>
          <w:bCs/>
          <w:color w:val="000000" w:themeColor="text1"/>
          <w:sz w:val="24"/>
          <w:szCs w:val="24"/>
        </w:rPr>
        <w:t>?</w:t>
      </w:r>
    </w:p>
    <w:p w14:paraId="50DA7655" w14:textId="716E647A" w:rsidR="53234C4C" w:rsidRPr="00F86D91" w:rsidRDefault="53234C4C" w:rsidP="53234C4C">
      <w:pPr>
        <w:spacing w:after="0" w:line="240" w:lineRule="auto"/>
        <w:ind w:left="720" w:hanging="720"/>
        <w:rPr>
          <w:rFonts w:ascii="Tahoma" w:eastAsia="Arial" w:hAnsi="Tahoma" w:cs="Tahoma"/>
          <w:b/>
          <w:bCs/>
          <w:color w:val="000000" w:themeColor="text1"/>
          <w:sz w:val="24"/>
          <w:szCs w:val="24"/>
        </w:rPr>
      </w:pPr>
    </w:p>
    <w:p w14:paraId="6D7E5DC9" w14:textId="4F8CFF7D" w:rsidR="003F2AA2" w:rsidRPr="00F86D91" w:rsidRDefault="1A588E90" w:rsidP="00CD5197">
      <w:pPr>
        <w:spacing w:after="0" w:line="240" w:lineRule="auto"/>
        <w:ind w:left="720" w:hanging="720"/>
        <w:rPr>
          <w:rFonts w:ascii="Tahoma" w:hAnsi="Tahoma" w:cs="Tahoma"/>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88</w:t>
      </w:r>
      <w:r w:rsidRPr="00F86D91">
        <w:rPr>
          <w:rFonts w:ascii="Tahoma" w:eastAsia="Arial" w:hAnsi="Tahoma" w:cs="Tahoma"/>
          <w:color w:val="000000" w:themeColor="text1"/>
          <w:sz w:val="24"/>
          <w:szCs w:val="24"/>
        </w:rPr>
        <w:t>.</w:t>
      </w:r>
      <w:r>
        <w:tab/>
      </w:r>
      <w:r w:rsidR="2CEDDC35" w:rsidRPr="00C9EFA8">
        <w:rPr>
          <w:rFonts w:ascii="Tahoma" w:eastAsia="Arial" w:hAnsi="Tahoma" w:cs="Tahoma"/>
          <w:color w:val="000000" w:themeColor="text1"/>
          <w:sz w:val="24"/>
          <w:szCs w:val="24"/>
        </w:rPr>
        <w:t xml:space="preserve">No. </w:t>
      </w:r>
      <w:r w:rsidR="00CD5197" w:rsidRPr="00F86D91">
        <w:rPr>
          <w:rFonts w:ascii="Tahoma" w:hAnsi="Tahoma" w:cs="Tahoma"/>
          <w:sz w:val="24"/>
          <w:szCs w:val="24"/>
        </w:rPr>
        <w:t xml:space="preserve">ISO 15118 ready means </w:t>
      </w:r>
      <w:r w:rsidR="003F2AA2" w:rsidRPr="00F86D91">
        <w:rPr>
          <w:rFonts w:ascii="Tahoma" w:hAnsi="Tahoma" w:cs="Tahoma"/>
          <w:sz w:val="24"/>
          <w:szCs w:val="24"/>
        </w:rPr>
        <w:t>a charger is capable of, at minimum:</w:t>
      </w:r>
    </w:p>
    <w:p w14:paraId="2E459E06" w14:textId="3742D3C8" w:rsidR="00CD5197" w:rsidRPr="00F86D91" w:rsidRDefault="00CD5197" w:rsidP="009B5265">
      <w:pPr>
        <w:pStyle w:val="ListParagraph"/>
        <w:numPr>
          <w:ilvl w:val="0"/>
          <w:numId w:val="9"/>
        </w:numPr>
        <w:spacing w:after="0"/>
        <w:rPr>
          <w:rFonts w:ascii="Tahoma" w:eastAsiaTheme="minorHAnsi" w:hAnsi="Tahoma" w:cs="Tahoma"/>
          <w:sz w:val="24"/>
          <w:szCs w:val="24"/>
        </w:rPr>
      </w:pPr>
      <w:r w:rsidRPr="00F86D91">
        <w:rPr>
          <w:rFonts w:ascii="Tahoma" w:eastAsiaTheme="minorHAnsi" w:hAnsi="Tahoma" w:cs="Tahoma"/>
          <w:sz w:val="24"/>
          <w:szCs w:val="24"/>
        </w:rPr>
        <w:t>Powerline carrier (PLC) based high-level communication as specified in ISO 15118-3.</w:t>
      </w:r>
    </w:p>
    <w:p w14:paraId="3FCC1709" w14:textId="31AE65AC" w:rsidR="00CD5197" w:rsidRPr="00F86D91" w:rsidRDefault="00CD5197" w:rsidP="009B5265">
      <w:pPr>
        <w:pStyle w:val="ListParagraph"/>
        <w:numPr>
          <w:ilvl w:val="0"/>
          <w:numId w:val="9"/>
        </w:numPr>
        <w:spacing w:after="0"/>
        <w:rPr>
          <w:rFonts w:ascii="Tahoma" w:eastAsiaTheme="minorHAnsi" w:hAnsi="Tahoma" w:cs="Tahoma"/>
          <w:sz w:val="24"/>
          <w:szCs w:val="24"/>
        </w:rPr>
      </w:pPr>
      <w:r w:rsidRPr="00F86D91">
        <w:rPr>
          <w:rFonts w:ascii="Tahoma" w:eastAsiaTheme="minorHAnsi" w:hAnsi="Tahoma" w:cs="Tahoma"/>
          <w:sz w:val="24"/>
          <w:szCs w:val="24"/>
        </w:rPr>
        <w:t>Secure management and storage of keys and certificates.</w:t>
      </w:r>
    </w:p>
    <w:p w14:paraId="74E85DAA" w14:textId="5E7E5768" w:rsidR="00CD5197" w:rsidRPr="00F86D91" w:rsidRDefault="00CD5197" w:rsidP="009B5265">
      <w:pPr>
        <w:pStyle w:val="ListParagraph"/>
        <w:numPr>
          <w:ilvl w:val="0"/>
          <w:numId w:val="9"/>
        </w:numPr>
        <w:spacing w:after="0"/>
        <w:rPr>
          <w:rFonts w:ascii="Tahoma" w:eastAsiaTheme="minorHAnsi" w:hAnsi="Tahoma" w:cs="Tahoma"/>
          <w:sz w:val="24"/>
          <w:szCs w:val="24"/>
        </w:rPr>
      </w:pPr>
      <w:r w:rsidRPr="00F86D91">
        <w:rPr>
          <w:rFonts w:ascii="Tahoma" w:eastAsiaTheme="minorHAnsi" w:hAnsi="Tahoma" w:cs="Tahoma"/>
          <w:sz w:val="24"/>
          <w:szCs w:val="24"/>
        </w:rPr>
        <w:t>Transport Layer Security (TLS) version 1.2; additional support for TLS 1.3 or subsequent versions is</w:t>
      </w:r>
      <w:r w:rsidR="00180B50" w:rsidRPr="00F86D91">
        <w:rPr>
          <w:rFonts w:ascii="Tahoma" w:eastAsiaTheme="minorHAnsi" w:hAnsi="Tahoma" w:cs="Tahoma"/>
          <w:sz w:val="24"/>
          <w:szCs w:val="24"/>
        </w:rPr>
        <w:t xml:space="preserve"> </w:t>
      </w:r>
      <w:r w:rsidRPr="00F86D91">
        <w:rPr>
          <w:rFonts w:ascii="Tahoma" w:eastAsiaTheme="minorHAnsi" w:hAnsi="Tahoma" w:cs="Tahoma"/>
          <w:sz w:val="24"/>
          <w:szCs w:val="24"/>
        </w:rPr>
        <w:t>recommended to prepare for future updates to the ISO 15118 standard.</w:t>
      </w:r>
    </w:p>
    <w:p w14:paraId="115E3926" w14:textId="21851C1C" w:rsidR="00CD5197" w:rsidRPr="00F86D91" w:rsidRDefault="00CD5197" w:rsidP="009B5265">
      <w:pPr>
        <w:pStyle w:val="ListParagraph"/>
        <w:numPr>
          <w:ilvl w:val="0"/>
          <w:numId w:val="9"/>
        </w:numPr>
        <w:spacing w:after="0"/>
        <w:rPr>
          <w:rFonts w:ascii="Tahoma" w:eastAsiaTheme="minorHAnsi" w:hAnsi="Tahoma" w:cs="Tahoma"/>
          <w:sz w:val="24"/>
          <w:szCs w:val="24"/>
        </w:rPr>
      </w:pPr>
      <w:r w:rsidRPr="00F86D91">
        <w:rPr>
          <w:rFonts w:ascii="Tahoma" w:eastAsiaTheme="minorHAnsi" w:hAnsi="Tahoma" w:cs="Tahoma"/>
          <w:sz w:val="24"/>
          <w:szCs w:val="24"/>
        </w:rPr>
        <w:t>Remotely receiving updates to activate or enable ISO 15118 use cases.</w:t>
      </w:r>
    </w:p>
    <w:p w14:paraId="66C319FB" w14:textId="0D0DF914" w:rsidR="00CD5197" w:rsidRPr="00F86D91" w:rsidRDefault="00CD5197" w:rsidP="009B5265">
      <w:pPr>
        <w:pStyle w:val="ListParagraph"/>
        <w:numPr>
          <w:ilvl w:val="0"/>
          <w:numId w:val="9"/>
        </w:numPr>
        <w:spacing w:after="0"/>
        <w:rPr>
          <w:rFonts w:ascii="Tahoma" w:eastAsiaTheme="minorHAnsi" w:hAnsi="Tahoma" w:cs="Tahoma"/>
          <w:sz w:val="24"/>
          <w:szCs w:val="24"/>
        </w:rPr>
      </w:pPr>
      <w:r w:rsidRPr="00F86D91">
        <w:rPr>
          <w:rFonts w:ascii="Tahoma" w:eastAsiaTheme="minorHAnsi" w:hAnsi="Tahoma" w:cs="Tahoma"/>
          <w:sz w:val="24"/>
          <w:szCs w:val="24"/>
        </w:rPr>
        <w:t>Connecting to a backend network.</w:t>
      </w:r>
    </w:p>
    <w:p w14:paraId="5CF047AC" w14:textId="2C1174AD" w:rsidR="1A588E90" w:rsidRPr="00F86D91" w:rsidRDefault="00CD5197" w:rsidP="009B5265">
      <w:pPr>
        <w:pStyle w:val="ListParagraph"/>
        <w:numPr>
          <w:ilvl w:val="0"/>
          <w:numId w:val="9"/>
        </w:numPr>
        <w:spacing w:after="0"/>
        <w:rPr>
          <w:rFonts w:ascii="Tahoma" w:eastAsia="Arial" w:hAnsi="Tahoma" w:cs="Tahoma"/>
          <w:color w:val="000000" w:themeColor="text1"/>
          <w:sz w:val="24"/>
          <w:szCs w:val="24"/>
        </w:rPr>
      </w:pPr>
      <w:r w:rsidRPr="00F86D91">
        <w:rPr>
          <w:rFonts w:ascii="Tahoma" w:eastAsiaTheme="minorHAnsi" w:hAnsi="Tahoma" w:cs="Tahoma"/>
          <w:sz w:val="24"/>
          <w:szCs w:val="24"/>
        </w:rPr>
        <w:t>Selecting the appropriate communication protocol used by the vehicle.</w:t>
      </w:r>
    </w:p>
    <w:p w14:paraId="1AE8E637" w14:textId="24D52EB1" w:rsidR="53234C4C" w:rsidRPr="00F86D91" w:rsidRDefault="53234C4C" w:rsidP="13BF8754">
      <w:pPr>
        <w:spacing w:after="0" w:line="240" w:lineRule="auto"/>
        <w:ind w:left="720" w:hanging="720"/>
        <w:rPr>
          <w:rFonts w:ascii="Tahoma" w:eastAsia="Arial" w:hAnsi="Tahoma" w:cs="Tahoma"/>
          <w:color w:val="000000" w:themeColor="text1"/>
          <w:sz w:val="24"/>
          <w:szCs w:val="24"/>
        </w:rPr>
      </w:pPr>
    </w:p>
    <w:p w14:paraId="0C7D248B" w14:textId="72E2CE78" w:rsidR="009B5265" w:rsidRPr="00F86D91" w:rsidRDefault="00734EB3" w:rsidP="002E34DF">
      <w:pPr>
        <w:spacing w:after="0" w:line="240" w:lineRule="auto"/>
        <w:ind w:left="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 xml:space="preserve">For more information about </w:t>
      </w:r>
      <w:r w:rsidR="00716ECC" w:rsidRPr="00F86D91">
        <w:rPr>
          <w:rFonts w:ascii="Tahoma" w:eastAsia="Arial" w:hAnsi="Tahoma" w:cs="Tahoma"/>
          <w:color w:val="000000" w:themeColor="text1"/>
          <w:sz w:val="24"/>
          <w:szCs w:val="24"/>
        </w:rPr>
        <w:t xml:space="preserve">ISO 15118, please see </w:t>
      </w:r>
      <w:r w:rsidR="00A95D75" w:rsidRPr="00F86D91">
        <w:rPr>
          <w:rFonts w:ascii="Tahoma" w:eastAsia="Arial" w:hAnsi="Tahoma" w:cs="Tahoma"/>
          <w:color w:val="000000" w:themeColor="text1"/>
          <w:sz w:val="24"/>
          <w:szCs w:val="24"/>
        </w:rPr>
        <w:t>“</w:t>
      </w:r>
      <w:hyperlink r:id="rId19" w:anchor=":~:text=ready%20hardware%20designs.-,CEC%20staff%20recommends%20that%20charging%20providers%20pursue%20widespread%20deployment%20of,on%20market%20indicators%20described%20below" w:history="1">
        <w:r w:rsidR="002E34DF" w:rsidRPr="00F86D91">
          <w:rPr>
            <w:rStyle w:val="Hyperlink"/>
            <w:rFonts w:ascii="Tahoma" w:eastAsia="Arial" w:hAnsi="Tahoma" w:cs="Tahoma"/>
            <w:sz w:val="24"/>
            <w:szCs w:val="24"/>
          </w:rPr>
          <w:t>CEC Recommendation for Deployment of ISO 15118-Ready Chargers</w:t>
        </w:r>
      </w:hyperlink>
      <w:r w:rsidR="002E34DF" w:rsidRPr="00F86D91">
        <w:rPr>
          <w:rFonts w:ascii="Tahoma" w:eastAsia="Arial" w:hAnsi="Tahoma" w:cs="Tahoma"/>
          <w:color w:val="000000" w:themeColor="text1"/>
          <w:sz w:val="24"/>
          <w:szCs w:val="24"/>
        </w:rPr>
        <w:t xml:space="preserve">” on the CEC’s </w:t>
      </w:r>
      <w:r w:rsidR="00896807" w:rsidRPr="00F86D91">
        <w:rPr>
          <w:rFonts w:ascii="Tahoma" w:eastAsia="Arial" w:hAnsi="Tahoma" w:cs="Tahoma"/>
          <w:color w:val="000000" w:themeColor="text1"/>
          <w:sz w:val="24"/>
          <w:szCs w:val="24"/>
        </w:rPr>
        <w:t>19-AB-2127 docket</w:t>
      </w:r>
      <w:r w:rsidR="007773CC" w:rsidRPr="00F86D91">
        <w:rPr>
          <w:rFonts w:ascii="Tahoma" w:eastAsia="Arial" w:hAnsi="Tahoma" w:cs="Tahoma"/>
          <w:color w:val="000000" w:themeColor="text1"/>
          <w:sz w:val="24"/>
          <w:szCs w:val="24"/>
        </w:rPr>
        <w:t xml:space="preserve"> (</w:t>
      </w:r>
      <w:r w:rsidR="00D90DDA" w:rsidRPr="00F86D91">
        <w:rPr>
          <w:rFonts w:ascii="Tahoma" w:eastAsia="Arial" w:hAnsi="Tahoma" w:cs="Tahoma"/>
          <w:color w:val="000000" w:themeColor="text1"/>
          <w:sz w:val="24"/>
          <w:szCs w:val="24"/>
        </w:rPr>
        <w:t>https://efiling.energy.ca.gov/Lists/DocketLog.aspx?docketnumber=19-AB-2127).</w:t>
      </w:r>
    </w:p>
    <w:p w14:paraId="3017E78D" w14:textId="07A05661" w:rsidR="53234C4C" w:rsidRDefault="53234C4C" w:rsidP="13BF8754">
      <w:pPr>
        <w:spacing w:after="0" w:line="240" w:lineRule="auto"/>
        <w:ind w:left="720" w:hanging="720"/>
        <w:rPr>
          <w:rFonts w:ascii="Tahoma" w:eastAsia="Arial" w:hAnsi="Tahoma" w:cs="Tahoma"/>
          <w:color w:val="000000" w:themeColor="text1"/>
          <w:sz w:val="24"/>
          <w:szCs w:val="24"/>
        </w:rPr>
      </w:pPr>
    </w:p>
    <w:p w14:paraId="64F56C8A" w14:textId="77777777" w:rsidR="00A414A1" w:rsidRPr="00F86D91" w:rsidRDefault="00A414A1" w:rsidP="13BF8754">
      <w:pPr>
        <w:spacing w:after="0" w:line="240" w:lineRule="auto"/>
        <w:ind w:left="720" w:hanging="720"/>
        <w:rPr>
          <w:rFonts w:ascii="Tahoma" w:eastAsia="Arial" w:hAnsi="Tahoma" w:cs="Tahoma"/>
          <w:color w:val="000000" w:themeColor="text1"/>
          <w:sz w:val="24"/>
          <w:szCs w:val="24"/>
        </w:rPr>
      </w:pPr>
    </w:p>
    <w:p w14:paraId="67F03655" w14:textId="569F5F7F" w:rsidR="53234C4C" w:rsidRPr="00F86D91" w:rsidRDefault="4D3E2DA0" w:rsidP="13BF8754">
      <w:pPr>
        <w:spacing w:after="0" w:line="240" w:lineRule="auto"/>
        <w:ind w:left="720" w:hanging="720"/>
        <w:rPr>
          <w:rFonts w:ascii="Tahoma" w:eastAsia="Arial" w:hAnsi="Tahoma" w:cs="Tahoma"/>
          <w:b/>
          <w:bCs/>
          <w:color w:val="000000" w:themeColor="text1"/>
          <w:sz w:val="24"/>
          <w:szCs w:val="24"/>
        </w:rPr>
      </w:pPr>
      <w:r w:rsidRPr="00F86D91">
        <w:rPr>
          <w:rFonts w:ascii="Tahoma" w:eastAsia="Arial" w:hAnsi="Tahoma" w:cs="Tahoma"/>
          <w:b/>
          <w:bCs/>
          <w:color w:val="000000" w:themeColor="text1"/>
          <w:sz w:val="24"/>
          <w:szCs w:val="24"/>
        </w:rPr>
        <w:t>Q</w:t>
      </w:r>
      <w:r w:rsidR="00823804" w:rsidRPr="00F86D91">
        <w:rPr>
          <w:rFonts w:ascii="Tahoma" w:eastAsia="Arial" w:hAnsi="Tahoma" w:cs="Tahoma"/>
          <w:b/>
          <w:bCs/>
          <w:color w:val="000000" w:themeColor="text1"/>
          <w:sz w:val="24"/>
          <w:szCs w:val="24"/>
        </w:rPr>
        <w:t>89</w:t>
      </w:r>
      <w:r w:rsidRPr="00F86D91">
        <w:rPr>
          <w:rFonts w:ascii="Tahoma" w:eastAsia="Arial" w:hAnsi="Tahoma" w:cs="Tahoma"/>
          <w:b/>
          <w:bCs/>
          <w:color w:val="000000" w:themeColor="text1"/>
          <w:sz w:val="24"/>
          <w:szCs w:val="24"/>
        </w:rPr>
        <w:t>.</w:t>
      </w:r>
      <w:r w:rsidR="53234C4C" w:rsidRPr="00F86D91">
        <w:rPr>
          <w:rFonts w:ascii="Tahoma" w:hAnsi="Tahoma" w:cs="Tahoma"/>
        </w:rPr>
        <w:tab/>
      </w:r>
      <w:r w:rsidR="5F72705B" w:rsidRPr="00F86D91">
        <w:rPr>
          <w:rFonts w:ascii="Tahoma" w:eastAsia="Arial" w:hAnsi="Tahoma" w:cs="Tahoma"/>
          <w:b/>
          <w:bCs/>
          <w:color w:val="000000" w:themeColor="text1"/>
          <w:sz w:val="24"/>
          <w:szCs w:val="24"/>
        </w:rPr>
        <w:t xml:space="preserve">I wanted to confirm whether an applicant can seek funds to implement chargers for fleets that includes vehicles that are leased by the government or vehicles that are leased by a contractor operating a turn-key service on behalf of the government? </w:t>
      </w:r>
    </w:p>
    <w:p w14:paraId="5B8ED2A7" w14:textId="716E647A" w:rsidR="53234C4C" w:rsidRPr="00F86D91" w:rsidRDefault="53234C4C" w:rsidP="13BF8754">
      <w:pPr>
        <w:spacing w:after="0" w:line="240" w:lineRule="auto"/>
        <w:ind w:left="720" w:hanging="720"/>
        <w:rPr>
          <w:rFonts w:ascii="Tahoma" w:eastAsia="Arial" w:hAnsi="Tahoma" w:cs="Tahoma"/>
          <w:b/>
          <w:bCs/>
          <w:color w:val="000000" w:themeColor="text1"/>
          <w:sz w:val="24"/>
          <w:szCs w:val="24"/>
        </w:rPr>
      </w:pPr>
    </w:p>
    <w:p w14:paraId="2E20D29B" w14:textId="6CDE4597" w:rsidR="53234C4C" w:rsidRPr="00F86D91" w:rsidRDefault="4D3E2DA0" w:rsidP="13BF8754">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A</w:t>
      </w:r>
      <w:r w:rsidR="00823804" w:rsidRPr="00F86D91">
        <w:rPr>
          <w:rFonts w:ascii="Tahoma" w:eastAsia="Arial" w:hAnsi="Tahoma" w:cs="Tahoma"/>
          <w:color w:val="000000" w:themeColor="text1"/>
          <w:sz w:val="24"/>
          <w:szCs w:val="24"/>
        </w:rPr>
        <w:t>89</w:t>
      </w:r>
      <w:r w:rsidRPr="00F86D91">
        <w:rPr>
          <w:rFonts w:ascii="Tahoma" w:eastAsia="Arial" w:hAnsi="Tahoma" w:cs="Tahoma"/>
          <w:color w:val="000000" w:themeColor="text1"/>
          <w:sz w:val="24"/>
          <w:szCs w:val="24"/>
        </w:rPr>
        <w:t>.</w:t>
      </w:r>
      <w:r w:rsidR="53234C4C" w:rsidRPr="00F86D91">
        <w:rPr>
          <w:rFonts w:ascii="Tahoma" w:hAnsi="Tahoma" w:cs="Tahoma"/>
        </w:rPr>
        <w:tab/>
      </w:r>
      <w:r w:rsidR="0072336D" w:rsidRPr="00F86D91">
        <w:rPr>
          <w:rFonts w:ascii="Tahoma" w:hAnsi="Tahoma" w:cs="Tahoma"/>
          <w:sz w:val="24"/>
          <w:szCs w:val="24"/>
        </w:rPr>
        <w:t>As clarified in the addended solicitation manual, “</w:t>
      </w:r>
      <w:r w:rsidR="00F34885" w:rsidRPr="00F86D91">
        <w:rPr>
          <w:rFonts w:ascii="Tahoma" w:hAnsi="Tahoma" w:cs="Tahoma"/>
          <w:sz w:val="24"/>
          <w:szCs w:val="24"/>
        </w:rPr>
        <w:t>Eligible projects will deploy electric vehicle charging infrastructure to support a light-duty government fleet(s) owned, leased, and/or operated by a single government entity” (Section II.</w:t>
      </w:r>
      <w:r w:rsidR="001C5B47" w:rsidRPr="00F86D91">
        <w:rPr>
          <w:rFonts w:ascii="Tahoma" w:hAnsi="Tahoma" w:cs="Tahoma"/>
          <w:sz w:val="24"/>
          <w:szCs w:val="24"/>
        </w:rPr>
        <w:t xml:space="preserve">B.1., page </w:t>
      </w:r>
      <w:r w:rsidR="0062486A">
        <w:rPr>
          <w:rFonts w:ascii="Tahoma" w:hAnsi="Tahoma" w:cs="Tahoma"/>
          <w:sz w:val="24"/>
          <w:szCs w:val="24"/>
        </w:rPr>
        <w:t>10</w:t>
      </w:r>
      <w:r w:rsidR="001C5B47" w:rsidRPr="00F86D91">
        <w:rPr>
          <w:rFonts w:ascii="Tahoma" w:hAnsi="Tahoma" w:cs="Tahoma"/>
          <w:sz w:val="24"/>
          <w:szCs w:val="24"/>
        </w:rPr>
        <w:t xml:space="preserve">, </w:t>
      </w:r>
      <w:r w:rsidR="007E0A5E" w:rsidRPr="00F86D91">
        <w:rPr>
          <w:rFonts w:ascii="Tahoma" w:hAnsi="Tahoma" w:cs="Tahoma"/>
          <w:sz w:val="24"/>
          <w:szCs w:val="24"/>
        </w:rPr>
        <w:t>“</w:t>
      </w:r>
      <w:r w:rsidR="001C5B47" w:rsidRPr="00F86D91">
        <w:rPr>
          <w:rFonts w:ascii="Tahoma" w:hAnsi="Tahoma" w:cs="Tahoma"/>
          <w:sz w:val="24"/>
          <w:szCs w:val="24"/>
        </w:rPr>
        <w:t>Eligible Projects</w:t>
      </w:r>
      <w:r w:rsidR="007E0A5E" w:rsidRPr="00F86D91">
        <w:rPr>
          <w:rFonts w:ascii="Tahoma" w:hAnsi="Tahoma" w:cs="Tahoma"/>
          <w:sz w:val="24"/>
          <w:szCs w:val="24"/>
        </w:rPr>
        <w:t>”</w:t>
      </w:r>
      <w:r w:rsidR="001C5B47" w:rsidRPr="00F86D91">
        <w:rPr>
          <w:rFonts w:ascii="Tahoma" w:hAnsi="Tahoma" w:cs="Tahoma"/>
          <w:sz w:val="24"/>
          <w:szCs w:val="24"/>
        </w:rPr>
        <w:t>, Solicitation Manual).</w:t>
      </w:r>
      <w:r w:rsidR="00471C38" w:rsidRPr="00F86D91">
        <w:rPr>
          <w:rFonts w:ascii="Tahoma" w:hAnsi="Tahoma" w:cs="Tahoma"/>
          <w:sz w:val="24"/>
          <w:szCs w:val="24"/>
        </w:rPr>
        <w:t xml:space="preserve"> An eligible government entity must be the </w:t>
      </w:r>
      <w:r w:rsidR="009734C2" w:rsidRPr="00F86D91">
        <w:rPr>
          <w:rFonts w:ascii="Tahoma" w:hAnsi="Tahoma" w:cs="Tahoma"/>
          <w:sz w:val="24"/>
          <w:szCs w:val="24"/>
        </w:rPr>
        <w:t xml:space="preserve">entity leasing the </w:t>
      </w:r>
      <w:r w:rsidR="00327C2F" w:rsidRPr="00F86D91">
        <w:rPr>
          <w:rFonts w:ascii="Tahoma" w:hAnsi="Tahoma" w:cs="Tahoma"/>
          <w:sz w:val="24"/>
          <w:szCs w:val="24"/>
        </w:rPr>
        <w:t>vehicles</w:t>
      </w:r>
      <w:r w:rsidR="007F3154" w:rsidRPr="00F86D91">
        <w:rPr>
          <w:rFonts w:ascii="Tahoma" w:hAnsi="Tahoma" w:cs="Tahoma"/>
          <w:sz w:val="24"/>
          <w:szCs w:val="24"/>
        </w:rPr>
        <w:t>.</w:t>
      </w:r>
    </w:p>
    <w:p w14:paraId="5A042D69" w14:textId="6D42A8ED" w:rsidR="53234C4C" w:rsidRPr="00F86D91" w:rsidRDefault="008C3A07" w:rsidP="13BF8754">
      <w:pPr>
        <w:spacing w:after="0" w:line="240" w:lineRule="auto"/>
        <w:ind w:left="720" w:hanging="720"/>
        <w:rPr>
          <w:rFonts w:ascii="Tahoma" w:eastAsia="Arial" w:hAnsi="Tahoma" w:cs="Tahoma"/>
          <w:color w:val="000000" w:themeColor="text1"/>
          <w:sz w:val="24"/>
          <w:szCs w:val="24"/>
        </w:rPr>
      </w:pPr>
      <w:r w:rsidRPr="00F86D91">
        <w:rPr>
          <w:rFonts w:ascii="Tahoma" w:eastAsia="Arial" w:hAnsi="Tahoma" w:cs="Tahoma"/>
          <w:color w:val="000000" w:themeColor="text1"/>
          <w:sz w:val="24"/>
          <w:szCs w:val="24"/>
        </w:rPr>
        <w:t xml:space="preserve"> </w:t>
      </w:r>
    </w:p>
    <w:p w14:paraId="1E14DB0E" w14:textId="29C25680" w:rsidR="53234C4C" w:rsidRPr="00F86D91" w:rsidRDefault="7D469F30" w:rsidP="13BF8754">
      <w:pPr>
        <w:spacing w:after="0" w:line="240" w:lineRule="auto"/>
        <w:ind w:left="720" w:hanging="720"/>
        <w:rPr>
          <w:rFonts w:ascii="Tahoma" w:eastAsia="Arial" w:hAnsi="Tahoma" w:cs="Tahoma"/>
          <w:b/>
          <w:color w:val="000000" w:themeColor="text1"/>
          <w:sz w:val="24"/>
          <w:szCs w:val="24"/>
        </w:rPr>
      </w:pPr>
      <w:r w:rsidRPr="00F86D91">
        <w:rPr>
          <w:rFonts w:ascii="Tahoma" w:eastAsia="Arial" w:hAnsi="Tahoma" w:cs="Tahoma"/>
          <w:b/>
          <w:bCs/>
          <w:color w:val="000000" w:themeColor="text1"/>
          <w:sz w:val="24"/>
          <w:szCs w:val="24"/>
        </w:rPr>
        <w:t xml:space="preserve"> </w:t>
      </w:r>
    </w:p>
    <w:sectPr w:rsidR="53234C4C" w:rsidRPr="00F86D91">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43897" w14:textId="77777777" w:rsidR="00004B08" w:rsidRDefault="00004B08" w:rsidP="00004B08">
      <w:pPr>
        <w:spacing w:after="0" w:line="240" w:lineRule="auto"/>
      </w:pPr>
      <w:r>
        <w:separator/>
      </w:r>
    </w:p>
  </w:endnote>
  <w:endnote w:type="continuationSeparator" w:id="0">
    <w:p w14:paraId="4EE9D4E5" w14:textId="77777777" w:rsidR="00004B08" w:rsidRDefault="00004B08" w:rsidP="00004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3549" w14:textId="13E2A656" w:rsidR="008C79E6" w:rsidRDefault="00DF539D" w:rsidP="0052310E">
    <w:pPr>
      <w:pStyle w:val="Footer"/>
      <w:tabs>
        <w:tab w:val="left" w:pos="0"/>
      </w:tabs>
    </w:pPr>
    <w:r>
      <w:t>March 202</w:t>
    </w:r>
    <w:r w:rsidR="00820AE6">
      <w:t>4</w:t>
    </w:r>
    <w:r w:rsidR="008C79E6">
      <w:tab/>
    </w:r>
    <w:sdt>
      <w:sdtPr>
        <w:id w:val="1728636285"/>
        <w:docPartObj>
          <w:docPartGallery w:val="Page Numbers (Top of Page)"/>
          <w:docPartUnique/>
        </w:docPartObj>
      </w:sdtPr>
      <w:sdtEndPr/>
      <w:sdtContent>
        <w:r w:rsidR="008C79E6">
          <w:t xml:space="preserve">Page </w:t>
        </w:r>
        <w:r w:rsidR="008C79E6">
          <w:rPr>
            <w:b/>
            <w:bCs/>
            <w:sz w:val="24"/>
            <w:szCs w:val="24"/>
          </w:rPr>
          <w:fldChar w:fldCharType="begin"/>
        </w:r>
        <w:r w:rsidR="008C79E6">
          <w:rPr>
            <w:b/>
            <w:bCs/>
          </w:rPr>
          <w:instrText xml:space="preserve"> PAGE </w:instrText>
        </w:r>
        <w:r w:rsidR="008C79E6">
          <w:rPr>
            <w:b/>
            <w:bCs/>
            <w:sz w:val="24"/>
            <w:szCs w:val="24"/>
          </w:rPr>
          <w:fldChar w:fldCharType="separate"/>
        </w:r>
        <w:r w:rsidR="008C79E6">
          <w:rPr>
            <w:b/>
            <w:bCs/>
            <w:sz w:val="24"/>
            <w:szCs w:val="24"/>
          </w:rPr>
          <w:t>1</w:t>
        </w:r>
        <w:r w:rsidR="008C79E6">
          <w:rPr>
            <w:b/>
            <w:bCs/>
            <w:sz w:val="24"/>
            <w:szCs w:val="24"/>
          </w:rPr>
          <w:fldChar w:fldCharType="end"/>
        </w:r>
        <w:r w:rsidR="008C79E6">
          <w:t xml:space="preserve"> of </w:t>
        </w:r>
        <w:r w:rsidR="008C79E6">
          <w:rPr>
            <w:b/>
            <w:bCs/>
            <w:sz w:val="24"/>
            <w:szCs w:val="24"/>
          </w:rPr>
          <w:fldChar w:fldCharType="begin"/>
        </w:r>
        <w:r w:rsidR="008C79E6">
          <w:rPr>
            <w:b/>
            <w:bCs/>
          </w:rPr>
          <w:instrText xml:space="preserve"> NUMPAGES  </w:instrText>
        </w:r>
        <w:r w:rsidR="008C79E6">
          <w:rPr>
            <w:b/>
            <w:bCs/>
            <w:sz w:val="24"/>
            <w:szCs w:val="24"/>
          </w:rPr>
          <w:fldChar w:fldCharType="separate"/>
        </w:r>
        <w:r w:rsidR="008C79E6">
          <w:rPr>
            <w:b/>
            <w:bCs/>
            <w:sz w:val="24"/>
            <w:szCs w:val="24"/>
          </w:rPr>
          <w:t>8</w:t>
        </w:r>
        <w:r w:rsidR="008C79E6">
          <w:rPr>
            <w:b/>
            <w:bCs/>
            <w:sz w:val="24"/>
            <w:szCs w:val="24"/>
          </w:rPr>
          <w:fldChar w:fldCharType="end"/>
        </w:r>
        <w:r w:rsidR="0052310E">
          <w:rPr>
            <w:b/>
            <w:bCs/>
            <w:sz w:val="24"/>
            <w:szCs w:val="24"/>
          </w:rPr>
          <w:tab/>
        </w:r>
        <w:r w:rsidR="0052310E" w:rsidRPr="0052310E">
          <w:t>GFO</w:t>
        </w:r>
        <w:r w:rsidR="0052310E">
          <w:t>-23-606</w:t>
        </w:r>
      </w:sdtContent>
    </w:sdt>
  </w:p>
  <w:p w14:paraId="7E26C5CF" w14:textId="698E8B2A" w:rsidR="00004B08" w:rsidRDefault="00DF539D">
    <w:pPr>
      <w:pStyle w:val="Footer"/>
    </w:pPr>
    <w:r>
      <w:tab/>
    </w:r>
    <w:r>
      <w:tab/>
    </w:r>
    <w:r w:rsidRPr="00DF539D">
      <w:t>Charging Infrastructure for Government Fleets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343C0" w14:textId="77777777" w:rsidR="00004B08" w:rsidRDefault="00004B08" w:rsidP="00004B08">
      <w:pPr>
        <w:spacing w:after="0" w:line="240" w:lineRule="auto"/>
      </w:pPr>
      <w:r>
        <w:separator/>
      </w:r>
    </w:p>
  </w:footnote>
  <w:footnote w:type="continuationSeparator" w:id="0">
    <w:p w14:paraId="6CB213D2" w14:textId="77777777" w:rsidR="00004B08" w:rsidRDefault="00004B08" w:rsidP="00004B08">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Q6l3Uu2BkBjcgB" int2:id="4VQ5dYSK">
      <int2:state int2:value="Rejected" int2:type="AugLoop_Text_Critique"/>
    </int2:textHash>
    <int2:textHash int2:hashCode="dFSD/9U1hqaqEj" int2:id="E1zERjrW">
      <int2:state int2:value="Rejected" int2:type="AugLoop_Text_Critique"/>
    </int2:textHash>
    <int2:textHash int2:hashCode="2rmkIm2ijziwNi" int2:id="GFnHMwER">
      <int2:state int2:value="Rejected" int2:type="AugLoop_Text_Critique"/>
    </int2:textHash>
    <int2:textHash int2:hashCode="Bon/TOcAfHhxR8" int2:id="n9pag14K">
      <int2:state int2:value="Rejected" int2:type="AugLoop_Text_Critique"/>
    </int2:textHash>
    <int2:bookmark int2:bookmarkName="_Int_H7F5r6Ia" int2:invalidationBookmarkName="" int2:hashCode="utY08F55huS0Rq" int2:id="M4hlG0f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D0C7"/>
    <w:multiLevelType w:val="hybridMultilevel"/>
    <w:tmpl w:val="48C41AF2"/>
    <w:lvl w:ilvl="0" w:tplc="29E6D13E">
      <w:start w:val="1"/>
      <w:numFmt w:val="upperLetter"/>
      <w:lvlText w:val="%1."/>
      <w:lvlJc w:val="left"/>
      <w:pPr>
        <w:ind w:left="720" w:hanging="360"/>
      </w:pPr>
    </w:lvl>
    <w:lvl w:ilvl="1" w:tplc="C1B49160">
      <w:start w:val="1"/>
      <w:numFmt w:val="lowerLetter"/>
      <w:lvlText w:val="%2."/>
      <w:lvlJc w:val="left"/>
      <w:pPr>
        <w:ind w:left="1440" w:hanging="360"/>
      </w:pPr>
    </w:lvl>
    <w:lvl w:ilvl="2" w:tplc="9E525146">
      <w:start w:val="1"/>
      <w:numFmt w:val="lowerRoman"/>
      <w:lvlText w:val="%3."/>
      <w:lvlJc w:val="right"/>
      <w:pPr>
        <w:ind w:left="2160" w:hanging="180"/>
      </w:pPr>
    </w:lvl>
    <w:lvl w:ilvl="3" w:tplc="51CC4E10">
      <w:start w:val="1"/>
      <w:numFmt w:val="decimal"/>
      <w:lvlText w:val="%4."/>
      <w:lvlJc w:val="left"/>
      <w:pPr>
        <w:ind w:left="2880" w:hanging="360"/>
      </w:pPr>
    </w:lvl>
    <w:lvl w:ilvl="4" w:tplc="25E0594C">
      <w:start w:val="1"/>
      <w:numFmt w:val="lowerLetter"/>
      <w:lvlText w:val="%5."/>
      <w:lvlJc w:val="left"/>
      <w:pPr>
        <w:ind w:left="3600" w:hanging="360"/>
      </w:pPr>
    </w:lvl>
    <w:lvl w:ilvl="5" w:tplc="2A86B210">
      <w:start w:val="1"/>
      <w:numFmt w:val="lowerRoman"/>
      <w:lvlText w:val="%6."/>
      <w:lvlJc w:val="right"/>
      <w:pPr>
        <w:ind w:left="4320" w:hanging="180"/>
      </w:pPr>
    </w:lvl>
    <w:lvl w:ilvl="6" w:tplc="8398C63A">
      <w:start w:val="1"/>
      <w:numFmt w:val="decimal"/>
      <w:lvlText w:val="%7."/>
      <w:lvlJc w:val="left"/>
      <w:pPr>
        <w:ind w:left="5040" w:hanging="360"/>
      </w:pPr>
    </w:lvl>
    <w:lvl w:ilvl="7" w:tplc="5BF89930">
      <w:start w:val="1"/>
      <w:numFmt w:val="lowerLetter"/>
      <w:lvlText w:val="%8."/>
      <w:lvlJc w:val="left"/>
      <w:pPr>
        <w:ind w:left="5760" w:hanging="360"/>
      </w:pPr>
    </w:lvl>
    <w:lvl w:ilvl="8" w:tplc="508A373C">
      <w:start w:val="1"/>
      <w:numFmt w:val="lowerRoman"/>
      <w:lvlText w:val="%9."/>
      <w:lvlJc w:val="right"/>
      <w:pPr>
        <w:ind w:left="6480" w:hanging="180"/>
      </w:pPr>
    </w:lvl>
  </w:abstractNum>
  <w:abstractNum w:abstractNumId="1" w15:restartNumberingAfterBreak="0">
    <w:nsid w:val="11EC940F"/>
    <w:multiLevelType w:val="hybridMultilevel"/>
    <w:tmpl w:val="CBE0DAF0"/>
    <w:lvl w:ilvl="0" w:tplc="A7B0A0D6">
      <w:start w:val="1"/>
      <w:numFmt w:val="bullet"/>
      <w:lvlText w:val=""/>
      <w:lvlJc w:val="left"/>
      <w:pPr>
        <w:ind w:left="720" w:hanging="360"/>
      </w:pPr>
      <w:rPr>
        <w:rFonts w:ascii="Symbol" w:hAnsi="Symbol" w:hint="default"/>
      </w:rPr>
    </w:lvl>
    <w:lvl w:ilvl="1" w:tplc="CA6666BA">
      <w:start w:val="1"/>
      <w:numFmt w:val="bullet"/>
      <w:lvlText w:val=""/>
      <w:lvlJc w:val="left"/>
      <w:pPr>
        <w:ind w:left="1440" w:hanging="360"/>
      </w:pPr>
      <w:rPr>
        <w:rFonts w:ascii="Symbol" w:hAnsi="Symbol" w:hint="default"/>
      </w:rPr>
    </w:lvl>
    <w:lvl w:ilvl="2" w:tplc="87903722">
      <w:start w:val="1"/>
      <w:numFmt w:val="bullet"/>
      <w:lvlText w:val=""/>
      <w:lvlJc w:val="left"/>
      <w:pPr>
        <w:ind w:left="2160" w:hanging="360"/>
      </w:pPr>
      <w:rPr>
        <w:rFonts w:ascii="Wingdings" w:hAnsi="Wingdings" w:hint="default"/>
      </w:rPr>
    </w:lvl>
    <w:lvl w:ilvl="3" w:tplc="80301808">
      <w:start w:val="1"/>
      <w:numFmt w:val="bullet"/>
      <w:lvlText w:val=""/>
      <w:lvlJc w:val="left"/>
      <w:pPr>
        <w:ind w:left="2880" w:hanging="360"/>
      </w:pPr>
      <w:rPr>
        <w:rFonts w:ascii="Symbol" w:hAnsi="Symbol" w:hint="default"/>
      </w:rPr>
    </w:lvl>
    <w:lvl w:ilvl="4" w:tplc="603415CC">
      <w:start w:val="1"/>
      <w:numFmt w:val="bullet"/>
      <w:lvlText w:val="o"/>
      <w:lvlJc w:val="left"/>
      <w:pPr>
        <w:ind w:left="3600" w:hanging="360"/>
      </w:pPr>
      <w:rPr>
        <w:rFonts w:ascii="Courier New" w:hAnsi="Courier New" w:hint="default"/>
      </w:rPr>
    </w:lvl>
    <w:lvl w:ilvl="5" w:tplc="7A626F42">
      <w:start w:val="1"/>
      <w:numFmt w:val="bullet"/>
      <w:lvlText w:val=""/>
      <w:lvlJc w:val="left"/>
      <w:pPr>
        <w:ind w:left="4320" w:hanging="360"/>
      </w:pPr>
      <w:rPr>
        <w:rFonts w:ascii="Wingdings" w:hAnsi="Wingdings" w:hint="default"/>
      </w:rPr>
    </w:lvl>
    <w:lvl w:ilvl="6" w:tplc="A6A46590">
      <w:start w:val="1"/>
      <w:numFmt w:val="bullet"/>
      <w:lvlText w:val=""/>
      <w:lvlJc w:val="left"/>
      <w:pPr>
        <w:ind w:left="5040" w:hanging="360"/>
      </w:pPr>
      <w:rPr>
        <w:rFonts w:ascii="Symbol" w:hAnsi="Symbol" w:hint="default"/>
      </w:rPr>
    </w:lvl>
    <w:lvl w:ilvl="7" w:tplc="A99E9EE4">
      <w:start w:val="1"/>
      <w:numFmt w:val="bullet"/>
      <w:lvlText w:val="o"/>
      <w:lvlJc w:val="left"/>
      <w:pPr>
        <w:ind w:left="5760" w:hanging="360"/>
      </w:pPr>
      <w:rPr>
        <w:rFonts w:ascii="Courier New" w:hAnsi="Courier New" w:hint="default"/>
      </w:rPr>
    </w:lvl>
    <w:lvl w:ilvl="8" w:tplc="01162BAE">
      <w:start w:val="1"/>
      <w:numFmt w:val="bullet"/>
      <w:lvlText w:val=""/>
      <w:lvlJc w:val="left"/>
      <w:pPr>
        <w:ind w:left="6480" w:hanging="360"/>
      </w:pPr>
      <w:rPr>
        <w:rFonts w:ascii="Wingdings" w:hAnsi="Wingdings" w:hint="default"/>
      </w:rPr>
    </w:lvl>
  </w:abstractNum>
  <w:abstractNum w:abstractNumId="2" w15:restartNumberingAfterBreak="0">
    <w:nsid w:val="20A04859"/>
    <w:multiLevelType w:val="hybridMultilevel"/>
    <w:tmpl w:val="9B967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A1565F"/>
    <w:multiLevelType w:val="hybridMultilevel"/>
    <w:tmpl w:val="B5AE7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F1AB6"/>
    <w:multiLevelType w:val="hybridMultilevel"/>
    <w:tmpl w:val="FA6A3BEC"/>
    <w:lvl w:ilvl="0" w:tplc="3070B048">
      <w:start w:val="1"/>
      <w:numFmt w:val="bullet"/>
      <w:lvlText w:val=""/>
      <w:lvlJc w:val="left"/>
      <w:pPr>
        <w:ind w:left="720" w:hanging="360"/>
      </w:pPr>
      <w:rPr>
        <w:rFonts w:ascii="Symbol" w:hAnsi="Symbol" w:hint="default"/>
      </w:rPr>
    </w:lvl>
    <w:lvl w:ilvl="1" w:tplc="2E3C0C6A">
      <w:start w:val="1"/>
      <w:numFmt w:val="bullet"/>
      <w:lvlText w:val="o"/>
      <w:lvlJc w:val="left"/>
      <w:pPr>
        <w:ind w:left="1440" w:hanging="360"/>
      </w:pPr>
      <w:rPr>
        <w:rFonts w:ascii="Courier New" w:hAnsi="Courier New" w:hint="default"/>
      </w:rPr>
    </w:lvl>
    <w:lvl w:ilvl="2" w:tplc="17DC9ABC">
      <w:start w:val="1"/>
      <w:numFmt w:val="bullet"/>
      <w:lvlText w:val=""/>
      <w:lvlJc w:val="left"/>
      <w:pPr>
        <w:ind w:left="2160" w:hanging="360"/>
      </w:pPr>
      <w:rPr>
        <w:rFonts w:ascii="Symbol" w:hAnsi="Symbol" w:hint="default"/>
        <w:sz w:val="24"/>
        <w:szCs w:val="24"/>
      </w:rPr>
    </w:lvl>
    <w:lvl w:ilvl="3" w:tplc="5E72A2D0">
      <w:start w:val="1"/>
      <w:numFmt w:val="bullet"/>
      <w:lvlText w:val=""/>
      <w:lvlJc w:val="left"/>
      <w:pPr>
        <w:ind w:left="2880" w:hanging="360"/>
      </w:pPr>
      <w:rPr>
        <w:rFonts w:ascii="Symbol" w:hAnsi="Symbol" w:hint="default"/>
      </w:rPr>
    </w:lvl>
    <w:lvl w:ilvl="4" w:tplc="95B83B00">
      <w:start w:val="1"/>
      <w:numFmt w:val="bullet"/>
      <w:lvlText w:val="o"/>
      <w:lvlJc w:val="left"/>
      <w:pPr>
        <w:ind w:left="3600" w:hanging="360"/>
      </w:pPr>
      <w:rPr>
        <w:rFonts w:ascii="Courier New" w:hAnsi="Courier New" w:hint="default"/>
      </w:rPr>
    </w:lvl>
    <w:lvl w:ilvl="5" w:tplc="C136B9A8">
      <w:start w:val="1"/>
      <w:numFmt w:val="bullet"/>
      <w:lvlText w:val=""/>
      <w:lvlJc w:val="left"/>
      <w:pPr>
        <w:ind w:left="4320" w:hanging="360"/>
      </w:pPr>
      <w:rPr>
        <w:rFonts w:ascii="Wingdings" w:hAnsi="Wingdings" w:hint="default"/>
      </w:rPr>
    </w:lvl>
    <w:lvl w:ilvl="6" w:tplc="116A666E">
      <w:start w:val="1"/>
      <w:numFmt w:val="bullet"/>
      <w:lvlText w:val=""/>
      <w:lvlJc w:val="left"/>
      <w:pPr>
        <w:ind w:left="5040" w:hanging="360"/>
      </w:pPr>
      <w:rPr>
        <w:rFonts w:ascii="Symbol" w:hAnsi="Symbol" w:hint="default"/>
      </w:rPr>
    </w:lvl>
    <w:lvl w:ilvl="7" w:tplc="1826C456">
      <w:start w:val="1"/>
      <w:numFmt w:val="bullet"/>
      <w:lvlText w:val="o"/>
      <w:lvlJc w:val="left"/>
      <w:pPr>
        <w:ind w:left="5760" w:hanging="360"/>
      </w:pPr>
      <w:rPr>
        <w:rFonts w:ascii="Courier New" w:hAnsi="Courier New" w:hint="default"/>
      </w:rPr>
    </w:lvl>
    <w:lvl w:ilvl="8" w:tplc="C5DE5F04">
      <w:start w:val="1"/>
      <w:numFmt w:val="bullet"/>
      <w:lvlText w:val=""/>
      <w:lvlJc w:val="left"/>
      <w:pPr>
        <w:ind w:left="6480" w:hanging="360"/>
      </w:pPr>
      <w:rPr>
        <w:rFonts w:ascii="Wingdings" w:hAnsi="Wingdings" w:hint="default"/>
      </w:rPr>
    </w:lvl>
  </w:abstractNum>
  <w:abstractNum w:abstractNumId="5" w15:restartNumberingAfterBreak="0">
    <w:nsid w:val="439D1F33"/>
    <w:multiLevelType w:val="hybridMultilevel"/>
    <w:tmpl w:val="28022AD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5025A7C"/>
    <w:multiLevelType w:val="hybridMultilevel"/>
    <w:tmpl w:val="DCB210E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7305FC6"/>
    <w:multiLevelType w:val="hybridMultilevel"/>
    <w:tmpl w:val="9BD49122"/>
    <w:lvl w:ilvl="0" w:tplc="04090001">
      <w:start w:val="1"/>
      <w:numFmt w:val="bullet"/>
      <w:lvlText w:val=""/>
      <w:lvlJc w:val="left"/>
      <w:pPr>
        <w:ind w:left="2160" w:hanging="360"/>
      </w:pPr>
      <w:rPr>
        <w:rFonts w:ascii="Symbol" w:hAnsi="Symbol" w:hint="default"/>
      </w:rPr>
    </w:lvl>
    <w:lvl w:ilvl="1" w:tplc="71A08C66">
      <w:numFmt w:val="bullet"/>
      <w:lvlText w:val="•"/>
      <w:lvlJc w:val="left"/>
      <w:pPr>
        <w:ind w:left="2880" w:hanging="360"/>
      </w:pPr>
      <w:rPr>
        <w:rFonts w:ascii="Tahoma" w:eastAsia="Tahoma" w:hAnsi="Tahoma"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C1F2654"/>
    <w:multiLevelType w:val="hybridMultilevel"/>
    <w:tmpl w:val="1B8C0CE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D3439DB"/>
    <w:multiLevelType w:val="hybridMultilevel"/>
    <w:tmpl w:val="34BC656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BB916E"/>
    <w:multiLevelType w:val="hybridMultilevel"/>
    <w:tmpl w:val="8F38F1CA"/>
    <w:lvl w:ilvl="0" w:tplc="6E508A14">
      <w:start w:val="1"/>
      <w:numFmt w:val="upperLetter"/>
      <w:lvlText w:val="%1."/>
      <w:lvlJc w:val="left"/>
      <w:pPr>
        <w:ind w:left="-2520" w:hanging="360"/>
      </w:pPr>
    </w:lvl>
    <w:lvl w:ilvl="1" w:tplc="82544D8A">
      <w:start w:val="1"/>
      <w:numFmt w:val="lowerLetter"/>
      <w:lvlText w:val="%2."/>
      <w:lvlJc w:val="left"/>
      <w:pPr>
        <w:ind w:left="-1800" w:hanging="360"/>
      </w:pPr>
    </w:lvl>
    <w:lvl w:ilvl="2" w:tplc="0EA672A8">
      <w:start w:val="1"/>
      <w:numFmt w:val="lowerRoman"/>
      <w:lvlText w:val="%3."/>
      <w:lvlJc w:val="right"/>
      <w:pPr>
        <w:ind w:left="-1080" w:hanging="180"/>
      </w:pPr>
    </w:lvl>
    <w:lvl w:ilvl="3" w:tplc="05AE627E">
      <w:start w:val="1"/>
      <w:numFmt w:val="decimal"/>
      <w:lvlText w:val="%4."/>
      <w:lvlJc w:val="left"/>
      <w:pPr>
        <w:ind w:left="-360" w:hanging="360"/>
      </w:pPr>
    </w:lvl>
    <w:lvl w:ilvl="4" w:tplc="E0AA89CC">
      <w:start w:val="1"/>
      <w:numFmt w:val="lowerLetter"/>
      <w:lvlText w:val="%5."/>
      <w:lvlJc w:val="left"/>
      <w:pPr>
        <w:ind w:left="360" w:hanging="360"/>
      </w:pPr>
    </w:lvl>
    <w:lvl w:ilvl="5" w:tplc="E17E354E">
      <w:start w:val="1"/>
      <w:numFmt w:val="lowerRoman"/>
      <w:lvlText w:val="%6."/>
      <w:lvlJc w:val="right"/>
      <w:pPr>
        <w:ind w:left="1080" w:hanging="180"/>
      </w:pPr>
    </w:lvl>
    <w:lvl w:ilvl="6" w:tplc="4698979C">
      <w:start w:val="1"/>
      <w:numFmt w:val="decimal"/>
      <w:lvlText w:val="%7."/>
      <w:lvlJc w:val="left"/>
      <w:pPr>
        <w:ind w:left="1800" w:hanging="360"/>
      </w:pPr>
    </w:lvl>
    <w:lvl w:ilvl="7" w:tplc="B2C26DF8">
      <w:start w:val="1"/>
      <w:numFmt w:val="lowerLetter"/>
      <w:lvlText w:val="%8."/>
      <w:lvlJc w:val="left"/>
      <w:pPr>
        <w:ind w:left="2520" w:hanging="360"/>
      </w:pPr>
    </w:lvl>
    <w:lvl w:ilvl="8" w:tplc="59B4CD1E">
      <w:start w:val="1"/>
      <w:numFmt w:val="lowerRoman"/>
      <w:lvlText w:val="%9."/>
      <w:lvlJc w:val="right"/>
      <w:pPr>
        <w:ind w:left="3240" w:hanging="180"/>
      </w:pPr>
    </w:lvl>
  </w:abstractNum>
  <w:num w:numId="1" w16cid:durableId="2134787439">
    <w:abstractNumId w:val="6"/>
  </w:num>
  <w:num w:numId="2" w16cid:durableId="170875381">
    <w:abstractNumId w:val="4"/>
  </w:num>
  <w:num w:numId="3" w16cid:durableId="803036840">
    <w:abstractNumId w:val="7"/>
  </w:num>
  <w:num w:numId="4" w16cid:durableId="292951274">
    <w:abstractNumId w:val="1"/>
  </w:num>
  <w:num w:numId="5" w16cid:durableId="1100182163">
    <w:abstractNumId w:val="0"/>
  </w:num>
  <w:num w:numId="6" w16cid:durableId="428737889">
    <w:abstractNumId w:val="10"/>
  </w:num>
  <w:num w:numId="7" w16cid:durableId="1784228521">
    <w:abstractNumId w:val="3"/>
  </w:num>
  <w:num w:numId="8" w16cid:durableId="937297793">
    <w:abstractNumId w:val="2"/>
  </w:num>
  <w:num w:numId="9" w16cid:durableId="1665746220">
    <w:abstractNumId w:val="9"/>
  </w:num>
  <w:num w:numId="10" w16cid:durableId="1837065584">
    <w:abstractNumId w:val="5"/>
  </w:num>
  <w:num w:numId="11" w16cid:durableId="710447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A8947A"/>
    <w:rsid w:val="000022B6"/>
    <w:rsid w:val="00002961"/>
    <w:rsid w:val="00004B08"/>
    <w:rsid w:val="00004E1F"/>
    <w:rsid w:val="00007783"/>
    <w:rsid w:val="00007E31"/>
    <w:rsid w:val="00011292"/>
    <w:rsid w:val="000143B7"/>
    <w:rsid w:val="00015C74"/>
    <w:rsid w:val="000162B4"/>
    <w:rsid w:val="00017FAE"/>
    <w:rsid w:val="0002266F"/>
    <w:rsid w:val="000231E7"/>
    <w:rsid w:val="00024165"/>
    <w:rsid w:val="00024637"/>
    <w:rsid w:val="00025278"/>
    <w:rsid w:val="00025FF4"/>
    <w:rsid w:val="000266A5"/>
    <w:rsid w:val="00030AF0"/>
    <w:rsid w:val="00032698"/>
    <w:rsid w:val="00032960"/>
    <w:rsid w:val="00035ADD"/>
    <w:rsid w:val="00035BC8"/>
    <w:rsid w:val="00035BEF"/>
    <w:rsid w:val="00035CA2"/>
    <w:rsid w:val="00042BB8"/>
    <w:rsid w:val="00043222"/>
    <w:rsid w:val="000436DF"/>
    <w:rsid w:val="0004402C"/>
    <w:rsid w:val="00044B15"/>
    <w:rsid w:val="00044DF9"/>
    <w:rsid w:val="00045B19"/>
    <w:rsid w:val="00046C82"/>
    <w:rsid w:val="000478A3"/>
    <w:rsid w:val="00050890"/>
    <w:rsid w:val="000523C8"/>
    <w:rsid w:val="0005330B"/>
    <w:rsid w:val="00055E61"/>
    <w:rsid w:val="0005647E"/>
    <w:rsid w:val="00061CC5"/>
    <w:rsid w:val="0006205E"/>
    <w:rsid w:val="000627AD"/>
    <w:rsid w:val="0006325A"/>
    <w:rsid w:val="00065125"/>
    <w:rsid w:val="00065E08"/>
    <w:rsid w:val="00066949"/>
    <w:rsid w:val="00066FAA"/>
    <w:rsid w:val="00071304"/>
    <w:rsid w:val="0007211D"/>
    <w:rsid w:val="000738D0"/>
    <w:rsid w:val="00074A60"/>
    <w:rsid w:val="000764BB"/>
    <w:rsid w:val="00076C5C"/>
    <w:rsid w:val="00077B0C"/>
    <w:rsid w:val="000800EC"/>
    <w:rsid w:val="0008129A"/>
    <w:rsid w:val="000824E4"/>
    <w:rsid w:val="00083020"/>
    <w:rsid w:val="000932A3"/>
    <w:rsid w:val="00093644"/>
    <w:rsid w:val="00093B08"/>
    <w:rsid w:val="0009516E"/>
    <w:rsid w:val="00095B84"/>
    <w:rsid w:val="000A03DA"/>
    <w:rsid w:val="000A0A71"/>
    <w:rsid w:val="000A28FF"/>
    <w:rsid w:val="000A3A6E"/>
    <w:rsid w:val="000A53AC"/>
    <w:rsid w:val="000A7641"/>
    <w:rsid w:val="000B1F64"/>
    <w:rsid w:val="000B28C4"/>
    <w:rsid w:val="000C0C27"/>
    <w:rsid w:val="000C121E"/>
    <w:rsid w:val="000C1A05"/>
    <w:rsid w:val="000C1CD0"/>
    <w:rsid w:val="000C4863"/>
    <w:rsid w:val="000C5A06"/>
    <w:rsid w:val="000C5DCD"/>
    <w:rsid w:val="000C6986"/>
    <w:rsid w:val="000C710C"/>
    <w:rsid w:val="000C76E0"/>
    <w:rsid w:val="000C78A0"/>
    <w:rsid w:val="000D2563"/>
    <w:rsid w:val="000D293E"/>
    <w:rsid w:val="000D2F68"/>
    <w:rsid w:val="000D36B7"/>
    <w:rsid w:val="000D6C12"/>
    <w:rsid w:val="000D75B8"/>
    <w:rsid w:val="000E3037"/>
    <w:rsid w:val="000E4EE7"/>
    <w:rsid w:val="000E5D34"/>
    <w:rsid w:val="000E662A"/>
    <w:rsid w:val="000F3DA2"/>
    <w:rsid w:val="000F3ED8"/>
    <w:rsid w:val="000F41B2"/>
    <w:rsid w:val="000F45A1"/>
    <w:rsid w:val="000F5274"/>
    <w:rsid w:val="000F53E5"/>
    <w:rsid w:val="000F637B"/>
    <w:rsid w:val="000F638C"/>
    <w:rsid w:val="000F683A"/>
    <w:rsid w:val="000F70D6"/>
    <w:rsid w:val="000F7754"/>
    <w:rsid w:val="0010261A"/>
    <w:rsid w:val="00102CD4"/>
    <w:rsid w:val="00102FA7"/>
    <w:rsid w:val="00103AF0"/>
    <w:rsid w:val="00103AF4"/>
    <w:rsid w:val="00103E34"/>
    <w:rsid w:val="00105FDD"/>
    <w:rsid w:val="001079BE"/>
    <w:rsid w:val="00110751"/>
    <w:rsid w:val="001109C1"/>
    <w:rsid w:val="00113536"/>
    <w:rsid w:val="001141C3"/>
    <w:rsid w:val="0011519F"/>
    <w:rsid w:val="0012197D"/>
    <w:rsid w:val="00122EEC"/>
    <w:rsid w:val="00122F5A"/>
    <w:rsid w:val="001251AD"/>
    <w:rsid w:val="00125449"/>
    <w:rsid w:val="00131445"/>
    <w:rsid w:val="00132291"/>
    <w:rsid w:val="00132A3E"/>
    <w:rsid w:val="00132D6D"/>
    <w:rsid w:val="00133BF8"/>
    <w:rsid w:val="001340F2"/>
    <w:rsid w:val="00136786"/>
    <w:rsid w:val="0013743A"/>
    <w:rsid w:val="00140913"/>
    <w:rsid w:val="0014211F"/>
    <w:rsid w:val="00142B1D"/>
    <w:rsid w:val="001444E7"/>
    <w:rsid w:val="00144A35"/>
    <w:rsid w:val="00144CD2"/>
    <w:rsid w:val="00145631"/>
    <w:rsid w:val="001458E1"/>
    <w:rsid w:val="0014669D"/>
    <w:rsid w:val="00146A55"/>
    <w:rsid w:val="00150777"/>
    <w:rsid w:val="001518AD"/>
    <w:rsid w:val="00154200"/>
    <w:rsid w:val="001550DE"/>
    <w:rsid w:val="00155ACE"/>
    <w:rsid w:val="00156618"/>
    <w:rsid w:val="001606BB"/>
    <w:rsid w:val="00161492"/>
    <w:rsid w:val="0016254B"/>
    <w:rsid w:val="00162C39"/>
    <w:rsid w:val="00162E73"/>
    <w:rsid w:val="00163298"/>
    <w:rsid w:val="00167FC8"/>
    <w:rsid w:val="00174040"/>
    <w:rsid w:val="00174D8B"/>
    <w:rsid w:val="00176477"/>
    <w:rsid w:val="00177CA3"/>
    <w:rsid w:val="00177F06"/>
    <w:rsid w:val="00180B50"/>
    <w:rsid w:val="00181E7C"/>
    <w:rsid w:val="00182212"/>
    <w:rsid w:val="00183AF1"/>
    <w:rsid w:val="00186784"/>
    <w:rsid w:val="001868D3"/>
    <w:rsid w:val="0018732C"/>
    <w:rsid w:val="001879FD"/>
    <w:rsid w:val="00187AAB"/>
    <w:rsid w:val="0019131B"/>
    <w:rsid w:val="001915EF"/>
    <w:rsid w:val="00192334"/>
    <w:rsid w:val="00194245"/>
    <w:rsid w:val="0019430C"/>
    <w:rsid w:val="00196756"/>
    <w:rsid w:val="00196C25"/>
    <w:rsid w:val="001A2D4D"/>
    <w:rsid w:val="001A342A"/>
    <w:rsid w:val="001A5C9B"/>
    <w:rsid w:val="001A5F2C"/>
    <w:rsid w:val="001A75FE"/>
    <w:rsid w:val="001B078F"/>
    <w:rsid w:val="001C1C5F"/>
    <w:rsid w:val="001C2D74"/>
    <w:rsid w:val="001C4642"/>
    <w:rsid w:val="001C5B47"/>
    <w:rsid w:val="001C7D9C"/>
    <w:rsid w:val="001CFDE8"/>
    <w:rsid w:val="001D2A96"/>
    <w:rsid w:val="001D4423"/>
    <w:rsid w:val="001D4DC3"/>
    <w:rsid w:val="001D5688"/>
    <w:rsid w:val="001D5C5A"/>
    <w:rsid w:val="001D648A"/>
    <w:rsid w:val="001D6BC8"/>
    <w:rsid w:val="001D7D6F"/>
    <w:rsid w:val="001E0E55"/>
    <w:rsid w:val="001E3658"/>
    <w:rsid w:val="001E6FAF"/>
    <w:rsid w:val="001E702A"/>
    <w:rsid w:val="001E7067"/>
    <w:rsid w:val="001F0FD6"/>
    <w:rsid w:val="001F573F"/>
    <w:rsid w:val="001F6A5E"/>
    <w:rsid w:val="001F7CFE"/>
    <w:rsid w:val="00200F39"/>
    <w:rsid w:val="002032AB"/>
    <w:rsid w:val="00214A44"/>
    <w:rsid w:val="00215A45"/>
    <w:rsid w:val="00216384"/>
    <w:rsid w:val="00220FAC"/>
    <w:rsid w:val="00221804"/>
    <w:rsid w:val="002224DD"/>
    <w:rsid w:val="00222884"/>
    <w:rsid w:val="00224292"/>
    <w:rsid w:val="002252E6"/>
    <w:rsid w:val="0022583D"/>
    <w:rsid w:val="00226F9A"/>
    <w:rsid w:val="00230792"/>
    <w:rsid w:val="002309F0"/>
    <w:rsid w:val="00234C14"/>
    <w:rsid w:val="00234E4B"/>
    <w:rsid w:val="0023573E"/>
    <w:rsid w:val="00236CE4"/>
    <w:rsid w:val="00241505"/>
    <w:rsid w:val="00245878"/>
    <w:rsid w:val="00246DDD"/>
    <w:rsid w:val="00253657"/>
    <w:rsid w:val="00253AEB"/>
    <w:rsid w:val="002547A9"/>
    <w:rsid w:val="00263D00"/>
    <w:rsid w:val="00264B3B"/>
    <w:rsid w:val="0026600A"/>
    <w:rsid w:val="00266862"/>
    <w:rsid w:val="00267323"/>
    <w:rsid w:val="00270364"/>
    <w:rsid w:val="002726B5"/>
    <w:rsid w:val="002740A8"/>
    <w:rsid w:val="002752D1"/>
    <w:rsid w:val="00277548"/>
    <w:rsid w:val="00277874"/>
    <w:rsid w:val="002779BA"/>
    <w:rsid w:val="00277A19"/>
    <w:rsid w:val="00281780"/>
    <w:rsid w:val="002818CE"/>
    <w:rsid w:val="0028284F"/>
    <w:rsid w:val="00284273"/>
    <w:rsid w:val="002844F3"/>
    <w:rsid w:val="00285500"/>
    <w:rsid w:val="00286259"/>
    <w:rsid w:val="002870C0"/>
    <w:rsid w:val="00290671"/>
    <w:rsid w:val="002923EB"/>
    <w:rsid w:val="002929F5"/>
    <w:rsid w:val="00292B2F"/>
    <w:rsid w:val="00294184"/>
    <w:rsid w:val="002947BF"/>
    <w:rsid w:val="00295787"/>
    <w:rsid w:val="0029689D"/>
    <w:rsid w:val="0029708C"/>
    <w:rsid w:val="00297782"/>
    <w:rsid w:val="002A0145"/>
    <w:rsid w:val="002A1281"/>
    <w:rsid w:val="002A1862"/>
    <w:rsid w:val="002A1B39"/>
    <w:rsid w:val="002A2878"/>
    <w:rsid w:val="002A460F"/>
    <w:rsid w:val="002A6D7A"/>
    <w:rsid w:val="002B056E"/>
    <w:rsid w:val="002B29BD"/>
    <w:rsid w:val="002C5D28"/>
    <w:rsid w:val="002C6D2E"/>
    <w:rsid w:val="002C7BCE"/>
    <w:rsid w:val="002D078D"/>
    <w:rsid w:val="002D1BA2"/>
    <w:rsid w:val="002D3822"/>
    <w:rsid w:val="002D38A2"/>
    <w:rsid w:val="002D39DF"/>
    <w:rsid w:val="002D3BD8"/>
    <w:rsid w:val="002D6577"/>
    <w:rsid w:val="002E34DF"/>
    <w:rsid w:val="002E4BA8"/>
    <w:rsid w:val="002E732F"/>
    <w:rsid w:val="002E7BB8"/>
    <w:rsid w:val="002F1D6B"/>
    <w:rsid w:val="002F205A"/>
    <w:rsid w:val="002F57D8"/>
    <w:rsid w:val="00300419"/>
    <w:rsid w:val="00300778"/>
    <w:rsid w:val="003009F2"/>
    <w:rsid w:val="00300BC7"/>
    <w:rsid w:val="0030320E"/>
    <w:rsid w:val="003035E6"/>
    <w:rsid w:val="00303DE5"/>
    <w:rsid w:val="003052AB"/>
    <w:rsid w:val="003063A3"/>
    <w:rsid w:val="00307360"/>
    <w:rsid w:val="00314967"/>
    <w:rsid w:val="00315F90"/>
    <w:rsid w:val="00322213"/>
    <w:rsid w:val="003222AF"/>
    <w:rsid w:val="00323A39"/>
    <w:rsid w:val="0032401B"/>
    <w:rsid w:val="0032692A"/>
    <w:rsid w:val="00326F03"/>
    <w:rsid w:val="00327C2F"/>
    <w:rsid w:val="003313F2"/>
    <w:rsid w:val="00332959"/>
    <w:rsid w:val="00337C48"/>
    <w:rsid w:val="003419BD"/>
    <w:rsid w:val="0034343B"/>
    <w:rsid w:val="00350162"/>
    <w:rsid w:val="00350473"/>
    <w:rsid w:val="00350966"/>
    <w:rsid w:val="003536DB"/>
    <w:rsid w:val="00353C30"/>
    <w:rsid w:val="003610B3"/>
    <w:rsid w:val="00363890"/>
    <w:rsid w:val="00365359"/>
    <w:rsid w:val="003656D3"/>
    <w:rsid w:val="003677F1"/>
    <w:rsid w:val="0036799C"/>
    <w:rsid w:val="00370B73"/>
    <w:rsid w:val="00371417"/>
    <w:rsid w:val="00377F94"/>
    <w:rsid w:val="00381953"/>
    <w:rsid w:val="00382A11"/>
    <w:rsid w:val="00383F97"/>
    <w:rsid w:val="00386108"/>
    <w:rsid w:val="00386249"/>
    <w:rsid w:val="00387B8F"/>
    <w:rsid w:val="00387F78"/>
    <w:rsid w:val="00390266"/>
    <w:rsid w:val="003906E5"/>
    <w:rsid w:val="003963E1"/>
    <w:rsid w:val="00396454"/>
    <w:rsid w:val="00397B6C"/>
    <w:rsid w:val="003A5341"/>
    <w:rsid w:val="003B0EAD"/>
    <w:rsid w:val="003B11DF"/>
    <w:rsid w:val="003B2C57"/>
    <w:rsid w:val="003B4A37"/>
    <w:rsid w:val="003B6B88"/>
    <w:rsid w:val="003B7521"/>
    <w:rsid w:val="003C0B25"/>
    <w:rsid w:val="003C17A4"/>
    <w:rsid w:val="003C2840"/>
    <w:rsid w:val="003C34A6"/>
    <w:rsid w:val="003C353A"/>
    <w:rsid w:val="003C5D9E"/>
    <w:rsid w:val="003C766E"/>
    <w:rsid w:val="003C7AF7"/>
    <w:rsid w:val="003C7EA8"/>
    <w:rsid w:val="003D1901"/>
    <w:rsid w:val="003D1E94"/>
    <w:rsid w:val="003D40E3"/>
    <w:rsid w:val="003D6948"/>
    <w:rsid w:val="003D7709"/>
    <w:rsid w:val="003E0A3D"/>
    <w:rsid w:val="003E194F"/>
    <w:rsid w:val="003E35D0"/>
    <w:rsid w:val="003E62CF"/>
    <w:rsid w:val="003E67A2"/>
    <w:rsid w:val="003E7F3C"/>
    <w:rsid w:val="003F03F1"/>
    <w:rsid w:val="003F0E1B"/>
    <w:rsid w:val="003F10D6"/>
    <w:rsid w:val="003F1F46"/>
    <w:rsid w:val="003F2AA2"/>
    <w:rsid w:val="003F3F55"/>
    <w:rsid w:val="003F748A"/>
    <w:rsid w:val="00400845"/>
    <w:rsid w:val="00406B86"/>
    <w:rsid w:val="004075A4"/>
    <w:rsid w:val="00411407"/>
    <w:rsid w:val="004127F7"/>
    <w:rsid w:val="004136FA"/>
    <w:rsid w:val="00413D47"/>
    <w:rsid w:val="00414526"/>
    <w:rsid w:val="00416256"/>
    <w:rsid w:val="00417534"/>
    <w:rsid w:val="004179C5"/>
    <w:rsid w:val="00417F5F"/>
    <w:rsid w:val="00420FF6"/>
    <w:rsid w:val="004217C2"/>
    <w:rsid w:val="00426BB5"/>
    <w:rsid w:val="00430E1F"/>
    <w:rsid w:val="00435477"/>
    <w:rsid w:val="004373BC"/>
    <w:rsid w:val="00441543"/>
    <w:rsid w:val="00443568"/>
    <w:rsid w:val="004445C7"/>
    <w:rsid w:val="004448CA"/>
    <w:rsid w:val="004466D4"/>
    <w:rsid w:val="004468E4"/>
    <w:rsid w:val="00447A24"/>
    <w:rsid w:val="00447BBB"/>
    <w:rsid w:val="00451F9A"/>
    <w:rsid w:val="00453ACD"/>
    <w:rsid w:val="0045457E"/>
    <w:rsid w:val="00456809"/>
    <w:rsid w:val="00461818"/>
    <w:rsid w:val="00462DC4"/>
    <w:rsid w:val="00463E37"/>
    <w:rsid w:val="004642AD"/>
    <w:rsid w:val="004647C1"/>
    <w:rsid w:val="00464AB2"/>
    <w:rsid w:val="00467612"/>
    <w:rsid w:val="004676A5"/>
    <w:rsid w:val="00467940"/>
    <w:rsid w:val="00471C38"/>
    <w:rsid w:val="004729E9"/>
    <w:rsid w:val="00475A26"/>
    <w:rsid w:val="00477513"/>
    <w:rsid w:val="00477644"/>
    <w:rsid w:val="004777BC"/>
    <w:rsid w:val="004825F5"/>
    <w:rsid w:val="00483B4C"/>
    <w:rsid w:val="004878B6"/>
    <w:rsid w:val="00487D6C"/>
    <w:rsid w:val="00493376"/>
    <w:rsid w:val="00494E19"/>
    <w:rsid w:val="004968DD"/>
    <w:rsid w:val="004A076F"/>
    <w:rsid w:val="004A147D"/>
    <w:rsid w:val="004A2152"/>
    <w:rsid w:val="004A3370"/>
    <w:rsid w:val="004A3559"/>
    <w:rsid w:val="004A3FA8"/>
    <w:rsid w:val="004A57E7"/>
    <w:rsid w:val="004A6C36"/>
    <w:rsid w:val="004B0AF5"/>
    <w:rsid w:val="004B15BA"/>
    <w:rsid w:val="004B5BEB"/>
    <w:rsid w:val="004C0526"/>
    <w:rsid w:val="004C1183"/>
    <w:rsid w:val="004C3CDF"/>
    <w:rsid w:val="004C481F"/>
    <w:rsid w:val="004C4A46"/>
    <w:rsid w:val="004D3807"/>
    <w:rsid w:val="004D4D4B"/>
    <w:rsid w:val="004D52FA"/>
    <w:rsid w:val="004D580E"/>
    <w:rsid w:val="004D7C38"/>
    <w:rsid w:val="004E1C87"/>
    <w:rsid w:val="004E2067"/>
    <w:rsid w:val="004E3DAC"/>
    <w:rsid w:val="004E3E90"/>
    <w:rsid w:val="004E54E0"/>
    <w:rsid w:val="004F2AF3"/>
    <w:rsid w:val="004F3337"/>
    <w:rsid w:val="004F394E"/>
    <w:rsid w:val="004F40D2"/>
    <w:rsid w:val="00501981"/>
    <w:rsid w:val="00502A1C"/>
    <w:rsid w:val="005035AB"/>
    <w:rsid w:val="00512162"/>
    <w:rsid w:val="0051762B"/>
    <w:rsid w:val="00520375"/>
    <w:rsid w:val="00521C20"/>
    <w:rsid w:val="00522977"/>
    <w:rsid w:val="0052310E"/>
    <w:rsid w:val="005238AD"/>
    <w:rsid w:val="005267D9"/>
    <w:rsid w:val="00526A43"/>
    <w:rsid w:val="005328E8"/>
    <w:rsid w:val="00532CE1"/>
    <w:rsid w:val="005346F0"/>
    <w:rsid w:val="00535F41"/>
    <w:rsid w:val="0053646B"/>
    <w:rsid w:val="00540213"/>
    <w:rsid w:val="00546DB7"/>
    <w:rsid w:val="00550CEB"/>
    <w:rsid w:val="005518D6"/>
    <w:rsid w:val="00551EF4"/>
    <w:rsid w:val="005546E2"/>
    <w:rsid w:val="00555299"/>
    <w:rsid w:val="00557557"/>
    <w:rsid w:val="005631CE"/>
    <w:rsid w:val="00566676"/>
    <w:rsid w:val="00566B00"/>
    <w:rsid w:val="00570589"/>
    <w:rsid w:val="00571A4F"/>
    <w:rsid w:val="00574EAD"/>
    <w:rsid w:val="005755A9"/>
    <w:rsid w:val="00576C0E"/>
    <w:rsid w:val="00583ACD"/>
    <w:rsid w:val="00584842"/>
    <w:rsid w:val="0058521C"/>
    <w:rsid w:val="005861F6"/>
    <w:rsid w:val="0058647D"/>
    <w:rsid w:val="005917AE"/>
    <w:rsid w:val="005961A5"/>
    <w:rsid w:val="00596BE8"/>
    <w:rsid w:val="005A3798"/>
    <w:rsid w:val="005B2CA5"/>
    <w:rsid w:val="005B5791"/>
    <w:rsid w:val="005B5A20"/>
    <w:rsid w:val="005B71A4"/>
    <w:rsid w:val="005C4662"/>
    <w:rsid w:val="005D2791"/>
    <w:rsid w:val="005D4C37"/>
    <w:rsid w:val="005D4ED2"/>
    <w:rsid w:val="005D51FC"/>
    <w:rsid w:val="005D5CDC"/>
    <w:rsid w:val="005E01CD"/>
    <w:rsid w:val="005E03D8"/>
    <w:rsid w:val="005E043E"/>
    <w:rsid w:val="005E1DB4"/>
    <w:rsid w:val="005E5485"/>
    <w:rsid w:val="005E6EC4"/>
    <w:rsid w:val="005F15C8"/>
    <w:rsid w:val="005F2E5A"/>
    <w:rsid w:val="005F31E3"/>
    <w:rsid w:val="005F3F9F"/>
    <w:rsid w:val="005F4EE4"/>
    <w:rsid w:val="005F575A"/>
    <w:rsid w:val="005F668C"/>
    <w:rsid w:val="00600595"/>
    <w:rsid w:val="00602FA2"/>
    <w:rsid w:val="006042F5"/>
    <w:rsid w:val="00606005"/>
    <w:rsid w:val="00612437"/>
    <w:rsid w:val="0061429B"/>
    <w:rsid w:val="006153D4"/>
    <w:rsid w:val="006174BB"/>
    <w:rsid w:val="00620CF2"/>
    <w:rsid w:val="00621951"/>
    <w:rsid w:val="00622099"/>
    <w:rsid w:val="0062486A"/>
    <w:rsid w:val="006260C6"/>
    <w:rsid w:val="00631C3E"/>
    <w:rsid w:val="00631F60"/>
    <w:rsid w:val="00632C8B"/>
    <w:rsid w:val="006332E0"/>
    <w:rsid w:val="0063398B"/>
    <w:rsid w:val="006347F1"/>
    <w:rsid w:val="00635FA4"/>
    <w:rsid w:val="00643480"/>
    <w:rsid w:val="00644906"/>
    <w:rsid w:val="00645B7C"/>
    <w:rsid w:val="00645D6E"/>
    <w:rsid w:val="00645D87"/>
    <w:rsid w:val="00646E31"/>
    <w:rsid w:val="0065724E"/>
    <w:rsid w:val="00663267"/>
    <w:rsid w:val="006654D9"/>
    <w:rsid w:val="006661EC"/>
    <w:rsid w:val="00666E51"/>
    <w:rsid w:val="00667964"/>
    <w:rsid w:val="006700BD"/>
    <w:rsid w:val="006707CB"/>
    <w:rsid w:val="00671AE2"/>
    <w:rsid w:val="0067338B"/>
    <w:rsid w:val="00673E23"/>
    <w:rsid w:val="00674292"/>
    <w:rsid w:val="00675284"/>
    <w:rsid w:val="006768A8"/>
    <w:rsid w:val="006769C0"/>
    <w:rsid w:val="00680D23"/>
    <w:rsid w:val="006815B3"/>
    <w:rsid w:val="0068234A"/>
    <w:rsid w:val="0068347C"/>
    <w:rsid w:val="00685BFF"/>
    <w:rsid w:val="006900A2"/>
    <w:rsid w:val="006902BE"/>
    <w:rsid w:val="006931CA"/>
    <w:rsid w:val="00693B93"/>
    <w:rsid w:val="006940C3"/>
    <w:rsid w:val="0069466F"/>
    <w:rsid w:val="006963DA"/>
    <w:rsid w:val="006964A6"/>
    <w:rsid w:val="00696DDF"/>
    <w:rsid w:val="0069780E"/>
    <w:rsid w:val="00697DB4"/>
    <w:rsid w:val="006A0B95"/>
    <w:rsid w:val="006A5162"/>
    <w:rsid w:val="006A65F3"/>
    <w:rsid w:val="006A6AB4"/>
    <w:rsid w:val="006A7D5F"/>
    <w:rsid w:val="006B25FE"/>
    <w:rsid w:val="006B2B98"/>
    <w:rsid w:val="006B32AF"/>
    <w:rsid w:val="006B3CE3"/>
    <w:rsid w:val="006B438B"/>
    <w:rsid w:val="006B5AD1"/>
    <w:rsid w:val="006C0035"/>
    <w:rsid w:val="006C1761"/>
    <w:rsid w:val="006C34A2"/>
    <w:rsid w:val="006C4BBF"/>
    <w:rsid w:val="006D413B"/>
    <w:rsid w:val="006D55DE"/>
    <w:rsid w:val="006D5CE5"/>
    <w:rsid w:val="006D5D7B"/>
    <w:rsid w:val="006E03D2"/>
    <w:rsid w:val="006E333E"/>
    <w:rsid w:val="006E62E2"/>
    <w:rsid w:val="006F08C1"/>
    <w:rsid w:val="006F2BBB"/>
    <w:rsid w:val="006F2D79"/>
    <w:rsid w:val="006F2EB4"/>
    <w:rsid w:val="006F58F0"/>
    <w:rsid w:val="006F647F"/>
    <w:rsid w:val="006F7387"/>
    <w:rsid w:val="00701331"/>
    <w:rsid w:val="0070582F"/>
    <w:rsid w:val="0070646B"/>
    <w:rsid w:val="00707D2B"/>
    <w:rsid w:val="00711487"/>
    <w:rsid w:val="007136A3"/>
    <w:rsid w:val="007151B5"/>
    <w:rsid w:val="00716ECC"/>
    <w:rsid w:val="00716F0D"/>
    <w:rsid w:val="00717822"/>
    <w:rsid w:val="00722205"/>
    <w:rsid w:val="007223CC"/>
    <w:rsid w:val="0072321E"/>
    <w:rsid w:val="0072336D"/>
    <w:rsid w:val="0072504D"/>
    <w:rsid w:val="00725B09"/>
    <w:rsid w:val="00734EB3"/>
    <w:rsid w:val="007356D5"/>
    <w:rsid w:val="00736FB6"/>
    <w:rsid w:val="007439B6"/>
    <w:rsid w:val="00745AE6"/>
    <w:rsid w:val="00750AF6"/>
    <w:rsid w:val="00753790"/>
    <w:rsid w:val="00753DC8"/>
    <w:rsid w:val="00753E14"/>
    <w:rsid w:val="00761C52"/>
    <w:rsid w:val="00764B82"/>
    <w:rsid w:val="00765695"/>
    <w:rsid w:val="0076764D"/>
    <w:rsid w:val="00767C64"/>
    <w:rsid w:val="00770956"/>
    <w:rsid w:val="007711ED"/>
    <w:rsid w:val="0077374D"/>
    <w:rsid w:val="007744DF"/>
    <w:rsid w:val="0077702B"/>
    <w:rsid w:val="007773CC"/>
    <w:rsid w:val="00780503"/>
    <w:rsid w:val="00783AC9"/>
    <w:rsid w:val="00784BC1"/>
    <w:rsid w:val="00785323"/>
    <w:rsid w:val="007853D2"/>
    <w:rsid w:val="007902E0"/>
    <w:rsid w:val="00791603"/>
    <w:rsid w:val="00791B60"/>
    <w:rsid w:val="007A06EE"/>
    <w:rsid w:val="007A146B"/>
    <w:rsid w:val="007A38C6"/>
    <w:rsid w:val="007A4A66"/>
    <w:rsid w:val="007A7243"/>
    <w:rsid w:val="007B15AA"/>
    <w:rsid w:val="007B1B0F"/>
    <w:rsid w:val="007B4615"/>
    <w:rsid w:val="007B4A2C"/>
    <w:rsid w:val="007B5735"/>
    <w:rsid w:val="007B57B8"/>
    <w:rsid w:val="007B6933"/>
    <w:rsid w:val="007B78C8"/>
    <w:rsid w:val="007C156F"/>
    <w:rsid w:val="007C172B"/>
    <w:rsid w:val="007C1C45"/>
    <w:rsid w:val="007C1C6A"/>
    <w:rsid w:val="007C1EA7"/>
    <w:rsid w:val="007C20B1"/>
    <w:rsid w:val="007C4990"/>
    <w:rsid w:val="007C6991"/>
    <w:rsid w:val="007C6B99"/>
    <w:rsid w:val="007D2D26"/>
    <w:rsid w:val="007D2FB9"/>
    <w:rsid w:val="007D4F12"/>
    <w:rsid w:val="007D5C05"/>
    <w:rsid w:val="007E0A5E"/>
    <w:rsid w:val="007E18A0"/>
    <w:rsid w:val="007E35AA"/>
    <w:rsid w:val="007E41E8"/>
    <w:rsid w:val="007E4323"/>
    <w:rsid w:val="007E555F"/>
    <w:rsid w:val="007E5AF9"/>
    <w:rsid w:val="007E7C65"/>
    <w:rsid w:val="007F1848"/>
    <w:rsid w:val="007F1A55"/>
    <w:rsid w:val="007F2D80"/>
    <w:rsid w:val="007F3154"/>
    <w:rsid w:val="007F4194"/>
    <w:rsid w:val="007F470F"/>
    <w:rsid w:val="007F66E7"/>
    <w:rsid w:val="007F7290"/>
    <w:rsid w:val="008016AE"/>
    <w:rsid w:val="008040C4"/>
    <w:rsid w:val="00804DBF"/>
    <w:rsid w:val="0080539C"/>
    <w:rsid w:val="00806E62"/>
    <w:rsid w:val="0080734E"/>
    <w:rsid w:val="008115CE"/>
    <w:rsid w:val="008119D0"/>
    <w:rsid w:val="00812BEE"/>
    <w:rsid w:val="0081358B"/>
    <w:rsid w:val="00813C89"/>
    <w:rsid w:val="00813E4B"/>
    <w:rsid w:val="0081400A"/>
    <w:rsid w:val="008149D7"/>
    <w:rsid w:val="0081581B"/>
    <w:rsid w:val="0082050A"/>
    <w:rsid w:val="00820AE6"/>
    <w:rsid w:val="00823804"/>
    <w:rsid w:val="00825014"/>
    <w:rsid w:val="00827861"/>
    <w:rsid w:val="00827883"/>
    <w:rsid w:val="00830835"/>
    <w:rsid w:val="00833090"/>
    <w:rsid w:val="00833488"/>
    <w:rsid w:val="00834810"/>
    <w:rsid w:val="00842189"/>
    <w:rsid w:val="00842C96"/>
    <w:rsid w:val="00843802"/>
    <w:rsid w:val="00844494"/>
    <w:rsid w:val="0084575B"/>
    <w:rsid w:val="00846A64"/>
    <w:rsid w:val="00846DF8"/>
    <w:rsid w:val="00850CBF"/>
    <w:rsid w:val="00851813"/>
    <w:rsid w:val="008518F1"/>
    <w:rsid w:val="008558A0"/>
    <w:rsid w:val="00855AB6"/>
    <w:rsid w:val="00856CD0"/>
    <w:rsid w:val="0086386F"/>
    <w:rsid w:val="00864869"/>
    <w:rsid w:val="0087117D"/>
    <w:rsid w:val="00872C33"/>
    <w:rsid w:val="00872FCD"/>
    <w:rsid w:val="00877EB1"/>
    <w:rsid w:val="008803EC"/>
    <w:rsid w:val="00880EC3"/>
    <w:rsid w:val="0088140B"/>
    <w:rsid w:val="00882611"/>
    <w:rsid w:val="00884238"/>
    <w:rsid w:val="00890574"/>
    <w:rsid w:val="00892923"/>
    <w:rsid w:val="0089341C"/>
    <w:rsid w:val="00893ADC"/>
    <w:rsid w:val="008943DA"/>
    <w:rsid w:val="00894ACC"/>
    <w:rsid w:val="00895B1F"/>
    <w:rsid w:val="00896807"/>
    <w:rsid w:val="00897DB9"/>
    <w:rsid w:val="008A142B"/>
    <w:rsid w:val="008A3D02"/>
    <w:rsid w:val="008A5588"/>
    <w:rsid w:val="008A6AD4"/>
    <w:rsid w:val="008B256F"/>
    <w:rsid w:val="008B34DF"/>
    <w:rsid w:val="008B699C"/>
    <w:rsid w:val="008B6B8E"/>
    <w:rsid w:val="008B7867"/>
    <w:rsid w:val="008B7D55"/>
    <w:rsid w:val="008C0D97"/>
    <w:rsid w:val="008C3A07"/>
    <w:rsid w:val="008C4455"/>
    <w:rsid w:val="008C5AE4"/>
    <w:rsid w:val="008C79E6"/>
    <w:rsid w:val="008D0483"/>
    <w:rsid w:val="008D111E"/>
    <w:rsid w:val="008D1BD3"/>
    <w:rsid w:val="008D1BE2"/>
    <w:rsid w:val="008D3E18"/>
    <w:rsid w:val="008D6D71"/>
    <w:rsid w:val="008D6D89"/>
    <w:rsid w:val="008E1169"/>
    <w:rsid w:val="008E2F46"/>
    <w:rsid w:val="008E33A2"/>
    <w:rsid w:val="008E3F34"/>
    <w:rsid w:val="008EE88B"/>
    <w:rsid w:val="008F16CA"/>
    <w:rsid w:val="008F21E7"/>
    <w:rsid w:val="008F2A55"/>
    <w:rsid w:val="008F4901"/>
    <w:rsid w:val="008F5173"/>
    <w:rsid w:val="008F5881"/>
    <w:rsid w:val="008F6415"/>
    <w:rsid w:val="008F661E"/>
    <w:rsid w:val="009011E9"/>
    <w:rsid w:val="00901565"/>
    <w:rsid w:val="00902277"/>
    <w:rsid w:val="00902AC1"/>
    <w:rsid w:val="00902AEA"/>
    <w:rsid w:val="00902F2B"/>
    <w:rsid w:val="00904BE0"/>
    <w:rsid w:val="00906F45"/>
    <w:rsid w:val="00907FBB"/>
    <w:rsid w:val="00910E65"/>
    <w:rsid w:val="00911899"/>
    <w:rsid w:val="00911F5D"/>
    <w:rsid w:val="009120CA"/>
    <w:rsid w:val="00914B27"/>
    <w:rsid w:val="0091500C"/>
    <w:rsid w:val="00915564"/>
    <w:rsid w:val="00915F8A"/>
    <w:rsid w:val="009165E2"/>
    <w:rsid w:val="009206AB"/>
    <w:rsid w:val="00921573"/>
    <w:rsid w:val="0092464D"/>
    <w:rsid w:val="00927B78"/>
    <w:rsid w:val="0093077A"/>
    <w:rsid w:val="0093131A"/>
    <w:rsid w:val="0093196F"/>
    <w:rsid w:val="009319B3"/>
    <w:rsid w:val="00933666"/>
    <w:rsid w:val="009343C1"/>
    <w:rsid w:val="00934921"/>
    <w:rsid w:val="0093524A"/>
    <w:rsid w:val="00936640"/>
    <w:rsid w:val="00936C35"/>
    <w:rsid w:val="00944D8A"/>
    <w:rsid w:val="00944EEA"/>
    <w:rsid w:val="00947FD1"/>
    <w:rsid w:val="00950920"/>
    <w:rsid w:val="00952D0E"/>
    <w:rsid w:val="00954401"/>
    <w:rsid w:val="00954DAD"/>
    <w:rsid w:val="00956832"/>
    <w:rsid w:val="00956C23"/>
    <w:rsid w:val="00956DD8"/>
    <w:rsid w:val="00957DA0"/>
    <w:rsid w:val="00960079"/>
    <w:rsid w:val="00963BC1"/>
    <w:rsid w:val="00964073"/>
    <w:rsid w:val="0096487E"/>
    <w:rsid w:val="00964942"/>
    <w:rsid w:val="00971D69"/>
    <w:rsid w:val="009734C2"/>
    <w:rsid w:val="00980F98"/>
    <w:rsid w:val="00982D6B"/>
    <w:rsid w:val="00982E23"/>
    <w:rsid w:val="0098363D"/>
    <w:rsid w:val="00983EAE"/>
    <w:rsid w:val="00984D12"/>
    <w:rsid w:val="00985874"/>
    <w:rsid w:val="009859D8"/>
    <w:rsid w:val="00985B73"/>
    <w:rsid w:val="009900AA"/>
    <w:rsid w:val="00993717"/>
    <w:rsid w:val="0099438A"/>
    <w:rsid w:val="009A15E5"/>
    <w:rsid w:val="009A3C0E"/>
    <w:rsid w:val="009A61D5"/>
    <w:rsid w:val="009B1643"/>
    <w:rsid w:val="009B5265"/>
    <w:rsid w:val="009B565C"/>
    <w:rsid w:val="009B583A"/>
    <w:rsid w:val="009B5C2B"/>
    <w:rsid w:val="009C0769"/>
    <w:rsid w:val="009C3D7D"/>
    <w:rsid w:val="009C471D"/>
    <w:rsid w:val="009C48CE"/>
    <w:rsid w:val="009C5EA4"/>
    <w:rsid w:val="009C640D"/>
    <w:rsid w:val="009D24D7"/>
    <w:rsid w:val="009D4440"/>
    <w:rsid w:val="009D56B3"/>
    <w:rsid w:val="009D60E8"/>
    <w:rsid w:val="009D66C1"/>
    <w:rsid w:val="009D6A23"/>
    <w:rsid w:val="009D7718"/>
    <w:rsid w:val="009D779E"/>
    <w:rsid w:val="009E1E7C"/>
    <w:rsid w:val="009E3C45"/>
    <w:rsid w:val="009E477A"/>
    <w:rsid w:val="009E486B"/>
    <w:rsid w:val="009E71D8"/>
    <w:rsid w:val="009F0885"/>
    <w:rsid w:val="009F0C62"/>
    <w:rsid w:val="009F1A32"/>
    <w:rsid w:val="009F1C9E"/>
    <w:rsid w:val="009F20B3"/>
    <w:rsid w:val="009F3855"/>
    <w:rsid w:val="009F4131"/>
    <w:rsid w:val="009F590D"/>
    <w:rsid w:val="009F5EB1"/>
    <w:rsid w:val="009F70CB"/>
    <w:rsid w:val="009F7C9C"/>
    <w:rsid w:val="009F7DF9"/>
    <w:rsid w:val="00A00B3F"/>
    <w:rsid w:val="00A0140B"/>
    <w:rsid w:val="00A0155D"/>
    <w:rsid w:val="00A01C6A"/>
    <w:rsid w:val="00A10421"/>
    <w:rsid w:val="00A11408"/>
    <w:rsid w:val="00A12C0D"/>
    <w:rsid w:val="00A14474"/>
    <w:rsid w:val="00A154AA"/>
    <w:rsid w:val="00A16EFA"/>
    <w:rsid w:val="00A21056"/>
    <w:rsid w:val="00A222B9"/>
    <w:rsid w:val="00A22E4E"/>
    <w:rsid w:val="00A25064"/>
    <w:rsid w:val="00A3183F"/>
    <w:rsid w:val="00A3201A"/>
    <w:rsid w:val="00A345C9"/>
    <w:rsid w:val="00A37492"/>
    <w:rsid w:val="00A379C3"/>
    <w:rsid w:val="00A37D8A"/>
    <w:rsid w:val="00A414A1"/>
    <w:rsid w:val="00A467F6"/>
    <w:rsid w:val="00A55CC2"/>
    <w:rsid w:val="00A605DC"/>
    <w:rsid w:val="00A6196B"/>
    <w:rsid w:val="00A62C1D"/>
    <w:rsid w:val="00A63442"/>
    <w:rsid w:val="00A63A45"/>
    <w:rsid w:val="00A64AB3"/>
    <w:rsid w:val="00A7540C"/>
    <w:rsid w:val="00A75991"/>
    <w:rsid w:val="00A84F7D"/>
    <w:rsid w:val="00A903CA"/>
    <w:rsid w:val="00A90AAE"/>
    <w:rsid w:val="00A91D07"/>
    <w:rsid w:val="00A91EB4"/>
    <w:rsid w:val="00A9287C"/>
    <w:rsid w:val="00A9337D"/>
    <w:rsid w:val="00A95D75"/>
    <w:rsid w:val="00A977A4"/>
    <w:rsid w:val="00A97FD3"/>
    <w:rsid w:val="00AA0848"/>
    <w:rsid w:val="00AA1B7E"/>
    <w:rsid w:val="00AA3C94"/>
    <w:rsid w:val="00AA4C37"/>
    <w:rsid w:val="00AA5094"/>
    <w:rsid w:val="00AA5980"/>
    <w:rsid w:val="00AA6000"/>
    <w:rsid w:val="00AB0467"/>
    <w:rsid w:val="00AB05FC"/>
    <w:rsid w:val="00AB0F88"/>
    <w:rsid w:val="00AB11BF"/>
    <w:rsid w:val="00AB160D"/>
    <w:rsid w:val="00AB46C5"/>
    <w:rsid w:val="00AB4E77"/>
    <w:rsid w:val="00AB67CF"/>
    <w:rsid w:val="00AB6E8D"/>
    <w:rsid w:val="00AB6FF9"/>
    <w:rsid w:val="00AC25A9"/>
    <w:rsid w:val="00AC2E17"/>
    <w:rsid w:val="00AC699A"/>
    <w:rsid w:val="00AD029F"/>
    <w:rsid w:val="00AD3CB3"/>
    <w:rsid w:val="00AD3F98"/>
    <w:rsid w:val="00AD4DD5"/>
    <w:rsid w:val="00AD504A"/>
    <w:rsid w:val="00AD596F"/>
    <w:rsid w:val="00AD5ADD"/>
    <w:rsid w:val="00AD65C0"/>
    <w:rsid w:val="00AD778D"/>
    <w:rsid w:val="00AE1FE0"/>
    <w:rsid w:val="00AE2AFB"/>
    <w:rsid w:val="00AE3EB6"/>
    <w:rsid w:val="00AE62DA"/>
    <w:rsid w:val="00AE6C6C"/>
    <w:rsid w:val="00AE6D30"/>
    <w:rsid w:val="00AE6FFF"/>
    <w:rsid w:val="00AE768D"/>
    <w:rsid w:val="00AF1E8A"/>
    <w:rsid w:val="00AF394E"/>
    <w:rsid w:val="00AF4A87"/>
    <w:rsid w:val="00AF53B7"/>
    <w:rsid w:val="00AF6696"/>
    <w:rsid w:val="00AFDCCC"/>
    <w:rsid w:val="00B06A9C"/>
    <w:rsid w:val="00B10072"/>
    <w:rsid w:val="00B1036C"/>
    <w:rsid w:val="00B10681"/>
    <w:rsid w:val="00B1104C"/>
    <w:rsid w:val="00B11D23"/>
    <w:rsid w:val="00B12560"/>
    <w:rsid w:val="00B13053"/>
    <w:rsid w:val="00B134E6"/>
    <w:rsid w:val="00B139DC"/>
    <w:rsid w:val="00B15032"/>
    <w:rsid w:val="00B16257"/>
    <w:rsid w:val="00B179F6"/>
    <w:rsid w:val="00B25E80"/>
    <w:rsid w:val="00B2671C"/>
    <w:rsid w:val="00B27C11"/>
    <w:rsid w:val="00B3243C"/>
    <w:rsid w:val="00B331A1"/>
    <w:rsid w:val="00B34D0B"/>
    <w:rsid w:val="00B36A56"/>
    <w:rsid w:val="00B40F92"/>
    <w:rsid w:val="00B41196"/>
    <w:rsid w:val="00B42019"/>
    <w:rsid w:val="00B42A61"/>
    <w:rsid w:val="00B43F7A"/>
    <w:rsid w:val="00B44601"/>
    <w:rsid w:val="00B469FC"/>
    <w:rsid w:val="00B50F63"/>
    <w:rsid w:val="00B515CB"/>
    <w:rsid w:val="00B517CB"/>
    <w:rsid w:val="00B520DC"/>
    <w:rsid w:val="00B5462B"/>
    <w:rsid w:val="00B57C0D"/>
    <w:rsid w:val="00B617D0"/>
    <w:rsid w:val="00B6220D"/>
    <w:rsid w:val="00B65A9F"/>
    <w:rsid w:val="00B65CDC"/>
    <w:rsid w:val="00B66984"/>
    <w:rsid w:val="00B70481"/>
    <w:rsid w:val="00B70B2F"/>
    <w:rsid w:val="00B72DDE"/>
    <w:rsid w:val="00B748EF"/>
    <w:rsid w:val="00B75599"/>
    <w:rsid w:val="00B75E0B"/>
    <w:rsid w:val="00B81461"/>
    <w:rsid w:val="00B85FE1"/>
    <w:rsid w:val="00B95683"/>
    <w:rsid w:val="00B970E3"/>
    <w:rsid w:val="00BA0F61"/>
    <w:rsid w:val="00BA1B6A"/>
    <w:rsid w:val="00BA30CD"/>
    <w:rsid w:val="00BA3627"/>
    <w:rsid w:val="00BA3C71"/>
    <w:rsid w:val="00BA5925"/>
    <w:rsid w:val="00BA66FE"/>
    <w:rsid w:val="00BA6D6C"/>
    <w:rsid w:val="00BA7818"/>
    <w:rsid w:val="00BB1232"/>
    <w:rsid w:val="00BB143B"/>
    <w:rsid w:val="00BB2E4D"/>
    <w:rsid w:val="00BB37DB"/>
    <w:rsid w:val="00BB4803"/>
    <w:rsid w:val="00BB744C"/>
    <w:rsid w:val="00BB74D9"/>
    <w:rsid w:val="00BC168C"/>
    <w:rsid w:val="00BC3234"/>
    <w:rsid w:val="00BC6342"/>
    <w:rsid w:val="00BC64D6"/>
    <w:rsid w:val="00BC6518"/>
    <w:rsid w:val="00BD0F42"/>
    <w:rsid w:val="00BD261F"/>
    <w:rsid w:val="00BD7BCC"/>
    <w:rsid w:val="00BE1707"/>
    <w:rsid w:val="00BE1EE5"/>
    <w:rsid w:val="00BE4377"/>
    <w:rsid w:val="00BE45E5"/>
    <w:rsid w:val="00BE48CD"/>
    <w:rsid w:val="00BE4AE0"/>
    <w:rsid w:val="00BE5279"/>
    <w:rsid w:val="00BE5583"/>
    <w:rsid w:val="00BE5C25"/>
    <w:rsid w:val="00BE67D8"/>
    <w:rsid w:val="00BF3EC9"/>
    <w:rsid w:val="00BF550A"/>
    <w:rsid w:val="00BF6DFE"/>
    <w:rsid w:val="00C00456"/>
    <w:rsid w:val="00C01EB4"/>
    <w:rsid w:val="00C01ED9"/>
    <w:rsid w:val="00C02986"/>
    <w:rsid w:val="00C04225"/>
    <w:rsid w:val="00C0700B"/>
    <w:rsid w:val="00C07C10"/>
    <w:rsid w:val="00C11DAF"/>
    <w:rsid w:val="00C12800"/>
    <w:rsid w:val="00C12A80"/>
    <w:rsid w:val="00C12C9C"/>
    <w:rsid w:val="00C12FB0"/>
    <w:rsid w:val="00C1465E"/>
    <w:rsid w:val="00C14CA6"/>
    <w:rsid w:val="00C16824"/>
    <w:rsid w:val="00C17E1C"/>
    <w:rsid w:val="00C17F87"/>
    <w:rsid w:val="00C20329"/>
    <w:rsid w:val="00C20DFE"/>
    <w:rsid w:val="00C20ECA"/>
    <w:rsid w:val="00C219C7"/>
    <w:rsid w:val="00C22165"/>
    <w:rsid w:val="00C247F3"/>
    <w:rsid w:val="00C26B67"/>
    <w:rsid w:val="00C2704E"/>
    <w:rsid w:val="00C3062B"/>
    <w:rsid w:val="00C31843"/>
    <w:rsid w:val="00C3303E"/>
    <w:rsid w:val="00C34AD6"/>
    <w:rsid w:val="00C370A1"/>
    <w:rsid w:val="00C4211D"/>
    <w:rsid w:val="00C423E9"/>
    <w:rsid w:val="00C4549B"/>
    <w:rsid w:val="00C4675A"/>
    <w:rsid w:val="00C51DCF"/>
    <w:rsid w:val="00C53D66"/>
    <w:rsid w:val="00C54FBE"/>
    <w:rsid w:val="00C55568"/>
    <w:rsid w:val="00C57F5A"/>
    <w:rsid w:val="00C611F4"/>
    <w:rsid w:val="00C62799"/>
    <w:rsid w:val="00C649EE"/>
    <w:rsid w:val="00C708E3"/>
    <w:rsid w:val="00C713E8"/>
    <w:rsid w:val="00C72383"/>
    <w:rsid w:val="00C73AD8"/>
    <w:rsid w:val="00C766D5"/>
    <w:rsid w:val="00C772D0"/>
    <w:rsid w:val="00C77BCB"/>
    <w:rsid w:val="00C809E3"/>
    <w:rsid w:val="00C818DC"/>
    <w:rsid w:val="00C840D3"/>
    <w:rsid w:val="00C8411E"/>
    <w:rsid w:val="00C87DB6"/>
    <w:rsid w:val="00C91C17"/>
    <w:rsid w:val="00C95A0C"/>
    <w:rsid w:val="00C9EFA8"/>
    <w:rsid w:val="00CA017D"/>
    <w:rsid w:val="00CA2BDD"/>
    <w:rsid w:val="00CA54D2"/>
    <w:rsid w:val="00CA5643"/>
    <w:rsid w:val="00CA6E1F"/>
    <w:rsid w:val="00CA7ADD"/>
    <w:rsid w:val="00CB0FD8"/>
    <w:rsid w:val="00CB21AA"/>
    <w:rsid w:val="00CB2A57"/>
    <w:rsid w:val="00CB2A6B"/>
    <w:rsid w:val="00CB6C1B"/>
    <w:rsid w:val="00CC0BEC"/>
    <w:rsid w:val="00CC44B0"/>
    <w:rsid w:val="00CC4F16"/>
    <w:rsid w:val="00CC50DD"/>
    <w:rsid w:val="00CC5133"/>
    <w:rsid w:val="00CC576A"/>
    <w:rsid w:val="00CC57DC"/>
    <w:rsid w:val="00CC60AC"/>
    <w:rsid w:val="00CC69E4"/>
    <w:rsid w:val="00CD20FE"/>
    <w:rsid w:val="00CD5197"/>
    <w:rsid w:val="00CD53DC"/>
    <w:rsid w:val="00CD63E7"/>
    <w:rsid w:val="00CD68B8"/>
    <w:rsid w:val="00CD6CC2"/>
    <w:rsid w:val="00CDB2A2"/>
    <w:rsid w:val="00CE0C99"/>
    <w:rsid w:val="00CE1E84"/>
    <w:rsid w:val="00CE218A"/>
    <w:rsid w:val="00CE218C"/>
    <w:rsid w:val="00CE53EB"/>
    <w:rsid w:val="00CE79BD"/>
    <w:rsid w:val="00CE7D6F"/>
    <w:rsid w:val="00CF2E37"/>
    <w:rsid w:val="00CF3DED"/>
    <w:rsid w:val="00CF4A77"/>
    <w:rsid w:val="00CF5FD9"/>
    <w:rsid w:val="00CF642F"/>
    <w:rsid w:val="00CF9137"/>
    <w:rsid w:val="00D010BC"/>
    <w:rsid w:val="00D01F0D"/>
    <w:rsid w:val="00D03914"/>
    <w:rsid w:val="00D1010E"/>
    <w:rsid w:val="00D118AC"/>
    <w:rsid w:val="00D129B9"/>
    <w:rsid w:val="00D15451"/>
    <w:rsid w:val="00D16871"/>
    <w:rsid w:val="00D16884"/>
    <w:rsid w:val="00D20E9D"/>
    <w:rsid w:val="00D21DA9"/>
    <w:rsid w:val="00D271DF"/>
    <w:rsid w:val="00D2777D"/>
    <w:rsid w:val="00D31429"/>
    <w:rsid w:val="00D31974"/>
    <w:rsid w:val="00D325BE"/>
    <w:rsid w:val="00D35024"/>
    <w:rsid w:val="00D35098"/>
    <w:rsid w:val="00D365C5"/>
    <w:rsid w:val="00D36828"/>
    <w:rsid w:val="00D37634"/>
    <w:rsid w:val="00D40BB8"/>
    <w:rsid w:val="00D434A6"/>
    <w:rsid w:val="00D4380C"/>
    <w:rsid w:val="00D44D9C"/>
    <w:rsid w:val="00D456A9"/>
    <w:rsid w:val="00D45FF1"/>
    <w:rsid w:val="00D46F2E"/>
    <w:rsid w:val="00D47791"/>
    <w:rsid w:val="00D509DA"/>
    <w:rsid w:val="00D5167D"/>
    <w:rsid w:val="00D51BCD"/>
    <w:rsid w:val="00D53A35"/>
    <w:rsid w:val="00D54F2F"/>
    <w:rsid w:val="00D5647B"/>
    <w:rsid w:val="00D57AD4"/>
    <w:rsid w:val="00D612E8"/>
    <w:rsid w:val="00D61DC0"/>
    <w:rsid w:val="00D632D0"/>
    <w:rsid w:val="00D6555B"/>
    <w:rsid w:val="00D65FE6"/>
    <w:rsid w:val="00D66065"/>
    <w:rsid w:val="00D66BB9"/>
    <w:rsid w:val="00D71A35"/>
    <w:rsid w:val="00D736C2"/>
    <w:rsid w:val="00D749BE"/>
    <w:rsid w:val="00D757E7"/>
    <w:rsid w:val="00D77CA7"/>
    <w:rsid w:val="00D80837"/>
    <w:rsid w:val="00D83DCA"/>
    <w:rsid w:val="00D84162"/>
    <w:rsid w:val="00D84E48"/>
    <w:rsid w:val="00D8584A"/>
    <w:rsid w:val="00D858A2"/>
    <w:rsid w:val="00D85F85"/>
    <w:rsid w:val="00D86210"/>
    <w:rsid w:val="00D86F46"/>
    <w:rsid w:val="00D86FA5"/>
    <w:rsid w:val="00D90B42"/>
    <w:rsid w:val="00D90DDA"/>
    <w:rsid w:val="00D91C13"/>
    <w:rsid w:val="00D93CC8"/>
    <w:rsid w:val="00D95F88"/>
    <w:rsid w:val="00D96364"/>
    <w:rsid w:val="00D9774A"/>
    <w:rsid w:val="00DA240D"/>
    <w:rsid w:val="00DA6341"/>
    <w:rsid w:val="00DA6A55"/>
    <w:rsid w:val="00DA6B5E"/>
    <w:rsid w:val="00DB07CD"/>
    <w:rsid w:val="00DB166A"/>
    <w:rsid w:val="00DB1BBD"/>
    <w:rsid w:val="00DB2BB2"/>
    <w:rsid w:val="00DB2C46"/>
    <w:rsid w:val="00DB3D2E"/>
    <w:rsid w:val="00DB4C8C"/>
    <w:rsid w:val="00DB5DF4"/>
    <w:rsid w:val="00DB669F"/>
    <w:rsid w:val="00DB69FD"/>
    <w:rsid w:val="00DC19F0"/>
    <w:rsid w:val="00DC1D60"/>
    <w:rsid w:val="00DC29DD"/>
    <w:rsid w:val="00DD0993"/>
    <w:rsid w:val="00DD2A5B"/>
    <w:rsid w:val="00DD38BA"/>
    <w:rsid w:val="00DD40D3"/>
    <w:rsid w:val="00DD490A"/>
    <w:rsid w:val="00DE0A59"/>
    <w:rsid w:val="00DE27C8"/>
    <w:rsid w:val="00DE2E8C"/>
    <w:rsid w:val="00DF2FD7"/>
    <w:rsid w:val="00DF539D"/>
    <w:rsid w:val="00DF6548"/>
    <w:rsid w:val="00E02112"/>
    <w:rsid w:val="00E028C0"/>
    <w:rsid w:val="00E05FD1"/>
    <w:rsid w:val="00E0675F"/>
    <w:rsid w:val="00E112F3"/>
    <w:rsid w:val="00E165CE"/>
    <w:rsid w:val="00E16C08"/>
    <w:rsid w:val="00E23EC4"/>
    <w:rsid w:val="00E25F12"/>
    <w:rsid w:val="00E27550"/>
    <w:rsid w:val="00E30EBC"/>
    <w:rsid w:val="00E312C1"/>
    <w:rsid w:val="00E32867"/>
    <w:rsid w:val="00E33A7A"/>
    <w:rsid w:val="00E34A82"/>
    <w:rsid w:val="00E36904"/>
    <w:rsid w:val="00E416DB"/>
    <w:rsid w:val="00E4269F"/>
    <w:rsid w:val="00E442BC"/>
    <w:rsid w:val="00E44A0C"/>
    <w:rsid w:val="00E51D0C"/>
    <w:rsid w:val="00E52D02"/>
    <w:rsid w:val="00E531F2"/>
    <w:rsid w:val="00E533F2"/>
    <w:rsid w:val="00E5603F"/>
    <w:rsid w:val="00E60C90"/>
    <w:rsid w:val="00E60CDA"/>
    <w:rsid w:val="00E61131"/>
    <w:rsid w:val="00E616E2"/>
    <w:rsid w:val="00E61E22"/>
    <w:rsid w:val="00E62F01"/>
    <w:rsid w:val="00E65AE0"/>
    <w:rsid w:val="00E67D9B"/>
    <w:rsid w:val="00E730E9"/>
    <w:rsid w:val="00E747E5"/>
    <w:rsid w:val="00E74BF1"/>
    <w:rsid w:val="00E76182"/>
    <w:rsid w:val="00E81166"/>
    <w:rsid w:val="00E84104"/>
    <w:rsid w:val="00E902F5"/>
    <w:rsid w:val="00E908A5"/>
    <w:rsid w:val="00E944F9"/>
    <w:rsid w:val="00E953F3"/>
    <w:rsid w:val="00E96758"/>
    <w:rsid w:val="00E97CCD"/>
    <w:rsid w:val="00EA0BA2"/>
    <w:rsid w:val="00EA4517"/>
    <w:rsid w:val="00EA4CB6"/>
    <w:rsid w:val="00EA7C70"/>
    <w:rsid w:val="00EB088E"/>
    <w:rsid w:val="00EB2936"/>
    <w:rsid w:val="00EB565D"/>
    <w:rsid w:val="00EB5C21"/>
    <w:rsid w:val="00EB7B77"/>
    <w:rsid w:val="00EC0525"/>
    <w:rsid w:val="00EC645F"/>
    <w:rsid w:val="00EC7516"/>
    <w:rsid w:val="00ED179E"/>
    <w:rsid w:val="00ED41BC"/>
    <w:rsid w:val="00ED64BC"/>
    <w:rsid w:val="00EE0365"/>
    <w:rsid w:val="00EE335A"/>
    <w:rsid w:val="00EE45EC"/>
    <w:rsid w:val="00EE67F3"/>
    <w:rsid w:val="00EF2C6A"/>
    <w:rsid w:val="00EF3236"/>
    <w:rsid w:val="00EF341D"/>
    <w:rsid w:val="00EF7193"/>
    <w:rsid w:val="00F00FB1"/>
    <w:rsid w:val="00F03B3B"/>
    <w:rsid w:val="00F04253"/>
    <w:rsid w:val="00F103D9"/>
    <w:rsid w:val="00F13875"/>
    <w:rsid w:val="00F16489"/>
    <w:rsid w:val="00F212E0"/>
    <w:rsid w:val="00F224FD"/>
    <w:rsid w:val="00F2420D"/>
    <w:rsid w:val="00F26106"/>
    <w:rsid w:val="00F270BC"/>
    <w:rsid w:val="00F27617"/>
    <w:rsid w:val="00F3081B"/>
    <w:rsid w:val="00F30950"/>
    <w:rsid w:val="00F3369B"/>
    <w:rsid w:val="00F33AFA"/>
    <w:rsid w:val="00F341BA"/>
    <w:rsid w:val="00F34885"/>
    <w:rsid w:val="00F34E5B"/>
    <w:rsid w:val="00F40DB7"/>
    <w:rsid w:val="00F454CF"/>
    <w:rsid w:val="00F4655E"/>
    <w:rsid w:val="00F473F7"/>
    <w:rsid w:val="00F516E1"/>
    <w:rsid w:val="00F51E4A"/>
    <w:rsid w:val="00F54ABF"/>
    <w:rsid w:val="00F6099C"/>
    <w:rsid w:val="00F63365"/>
    <w:rsid w:val="00F64388"/>
    <w:rsid w:val="00F66475"/>
    <w:rsid w:val="00F70496"/>
    <w:rsid w:val="00F70609"/>
    <w:rsid w:val="00F72CC3"/>
    <w:rsid w:val="00F74821"/>
    <w:rsid w:val="00F76055"/>
    <w:rsid w:val="00F76E28"/>
    <w:rsid w:val="00F771A1"/>
    <w:rsid w:val="00F77BF0"/>
    <w:rsid w:val="00F82C85"/>
    <w:rsid w:val="00F84298"/>
    <w:rsid w:val="00F84400"/>
    <w:rsid w:val="00F86339"/>
    <w:rsid w:val="00F86D91"/>
    <w:rsid w:val="00F9057F"/>
    <w:rsid w:val="00F90C66"/>
    <w:rsid w:val="00F91982"/>
    <w:rsid w:val="00F9333D"/>
    <w:rsid w:val="00F944D6"/>
    <w:rsid w:val="00F95455"/>
    <w:rsid w:val="00F9710D"/>
    <w:rsid w:val="00F97484"/>
    <w:rsid w:val="00FA0B9E"/>
    <w:rsid w:val="00FA335C"/>
    <w:rsid w:val="00FA7319"/>
    <w:rsid w:val="00FB287C"/>
    <w:rsid w:val="00FB3C25"/>
    <w:rsid w:val="00FB657C"/>
    <w:rsid w:val="00FC2300"/>
    <w:rsid w:val="00FC4429"/>
    <w:rsid w:val="00FC5992"/>
    <w:rsid w:val="00FD0AE7"/>
    <w:rsid w:val="00FD10BE"/>
    <w:rsid w:val="00FD1601"/>
    <w:rsid w:val="00FD3F8F"/>
    <w:rsid w:val="00FD71F1"/>
    <w:rsid w:val="00FE08B1"/>
    <w:rsid w:val="00FE1EEC"/>
    <w:rsid w:val="00FE450E"/>
    <w:rsid w:val="00FE543E"/>
    <w:rsid w:val="00FE56B7"/>
    <w:rsid w:val="00FE5D09"/>
    <w:rsid w:val="00FE616E"/>
    <w:rsid w:val="00FEBA2E"/>
    <w:rsid w:val="00FF1EBA"/>
    <w:rsid w:val="00FF1FDB"/>
    <w:rsid w:val="00FF26F6"/>
    <w:rsid w:val="00FF390D"/>
    <w:rsid w:val="00FF4091"/>
    <w:rsid w:val="00FF4D23"/>
    <w:rsid w:val="00FF6412"/>
    <w:rsid w:val="00FF6D50"/>
    <w:rsid w:val="010266DF"/>
    <w:rsid w:val="010FF3F9"/>
    <w:rsid w:val="01122079"/>
    <w:rsid w:val="015B7F45"/>
    <w:rsid w:val="016901CF"/>
    <w:rsid w:val="0174192B"/>
    <w:rsid w:val="01750CEC"/>
    <w:rsid w:val="017C8D8D"/>
    <w:rsid w:val="0191FC4D"/>
    <w:rsid w:val="01921D9B"/>
    <w:rsid w:val="01E73048"/>
    <w:rsid w:val="01E8054B"/>
    <w:rsid w:val="01E8134A"/>
    <w:rsid w:val="021DB2AB"/>
    <w:rsid w:val="021F3562"/>
    <w:rsid w:val="02320C22"/>
    <w:rsid w:val="0261F7AD"/>
    <w:rsid w:val="0263042D"/>
    <w:rsid w:val="0284BF46"/>
    <w:rsid w:val="02CAA2C0"/>
    <w:rsid w:val="02DF00AC"/>
    <w:rsid w:val="02EAD8C7"/>
    <w:rsid w:val="02F2499A"/>
    <w:rsid w:val="0300DD1B"/>
    <w:rsid w:val="0335DC7E"/>
    <w:rsid w:val="034991ED"/>
    <w:rsid w:val="0365D835"/>
    <w:rsid w:val="03A71F6C"/>
    <w:rsid w:val="03C3FA80"/>
    <w:rsid w:val="03CFCDE5"/>
    <w:rsid w:val="03D6C8B0"/>
    <w:rsid w:val="03F58319"/>
    <w:rsid w:val="046A0184"/>
    <w:rsid w:val="04784C8F"/>
    <w:rsid w:val="04A692E2"/>
    <w:rsid w:val="04B9B1F0"/>
    <w:rsid w:val="04C30AAA"/>
    <w:rsid w:val="04CC1BB7"/>
    <w:rsid w:val="04F5F291"/>
    <w:rsid w:val="0510B9DC"/>
    <w:rsid w:val="0511B6CB"/>
    <w:rsid w:val="051C8BEA"/>
    <w:rsid w:val="051F0002"/>
    <w:rsid w:val="0525B34E"/>
    <w:rsid w:val="058F1514"/>
    <w:rsid w:val="05AEA459"/>
    <w:rsid w:val="05C65BAF"/>
    <w:rsid w:val="05C6DD31"/>
    <w:rsid w:val="05CF050A"/>
    <w:rsid w:val="05E3651C"/>
    <w:rsid w:val="060E23DB"/>
    <w:rsid w:val="064347EA"/>
    <w:rsid w:val="064EC3BB"/>
    <w:rsid w:val="06792CE5"/>
    <w:rsid w:val="06875130"/>
    <w:rsid w:val="068F5098"/>
    <w:rsid w:val="069A7A31"/>
    <w:rsid w:val="06AA1C02"/>
    <w:rsid w:val="06C1EFB7"/>
    <w:rsid w:val="06C7FE99"/>
    <w:rsid w:val="06EDB981"/>
    <w:rsid w:val="06F284C1"/>
    <w:rsid w:val="072393D2"/>
    <w:rsid w:val="073C5D33"/>
    <w:rsid w:val="0762AD92"/>
    <w:rsid w:val="076AE9BC"/>
    <w:rsid w:val="07705F20"/>
    <w:rsid w:val="0784CD1A"/>
    <w:rsid w:val="078590F6"/>
    <w:rsid w:val="07A5EB77"/>
    <w:rsid w:val="07EA941C"/>
    <w:rsid w:val="0803BC79"/>
    <w:rsid w:val="080735A6"/>
    <w:rsid w:val="08166F86"/>
    <w:rsid w:val="083FABE3"/>
    <w:rsid w:val="084C9CC3"/>
    <w:rsid w:val="0871CC76"/>
    <w:rsid w:val="08A29189"/>
    <w:rsid w:val="08C612E1"/>
    <w:rsid w:val="08CDE8FB"/>
    <w:rsid w:val="0922C5BC"/>
    <w:rsid w:val="097E3436"/>
    <w:rsid w:val="0990B920"/>
    <w:rsid w:val="09929756"/>
    <w:rsid w:val="099FD3C7"/>
    <w:rsid w:val="09ECB590"/>
    <w:rsid w:val="09F9A226"/>
    <w:rsid w:val="0A1F3C2A"/>
    <w:rsid w:val="0A4F16E0"/>
    <w:rsid w:val="0A5AADAD"/>
    <w:rsid w:val="0A7F3A28"/>
    <w:rsid w:val="0A88F724"/>
    <w:rsid w:val="0A99ADC0"/>
    <w:rsid w:val="0AB3ACFD"/>
    <w:rsid w:val="0ADFA9EA"/>
    <w:rsid w:val="0AF52755"/>
    <w:rsid w:val="0B328364"/>
    <w:rsid w:val="0B4E1048"/>
    <w:rsid w:val="0B58EFDE"/>
    <w:rsid w:val="0B6607E5"/>
    <w:rsid w:val="0B69E6AE"/>
    <w:rsid w:val="0B761ACD"/>
    <w:rsid w:val="0BAEE878"/>
    <w:rsid w:val="0BB4756F"/>
    <w:rsid w:val="0BC460F8"/>
    <w:rsid w:val="0BE1DA95"/>
    <w:rsid w:val="0BEA395A"/>
    <w:rsid w:val="0BEEA768"/>
    <w:rsid w:val="0C081011"/>
    <w:rsid w:val="0C0EAE9B"/>
    <w:rsid w:val="0C30BEE3"/>
    <w:rsid w:val="0C38B4F5"/>
    <w:rsid w:val="0C4AEDD8"/>
    <w:rsid w:val="0C53B10F"/>
    <w:rsid w:val="0C6A9BFE"/>
    <w:rsid w:val="0CB507A5"/>
    <w:rsid w:val="0CBCDA27"/>
    <w:rsid w:val="0CE9E0A9"/>
    <w:rsid w:val="0CFAD8A2"/>
    <w:rsid w:val="0D27A412"/>
    <w:rsid w:val="0D2BE070"/>
    <w:rsid w:val="0D4D65DB"/>
    <w:rsid w:val="0D5B2B61"/>
    <w:rsid w:val="0D5F91F0"/>
    <w:rsid w:val="0D7DAAF6"/>
    <w:rsid w:val="0DAB68CD"/>
    <w:rsid w:val="0DC7DCD3"/>
    <w:rsid w:val="0E16EBE0"/>
    <w:rsid w:val="0E369E8C"/>
    <w:rsid w:val="0E4D36E9"/>
    <w:rsid w:val="0E505806"/>
    <w:rsid w:val="0E5D64DA"/>
    <w:rsid w:val="0E9009B9"/>
    <w:rsid w:val="0E959009"/>
    <w:rsid w:val="0EAB8B72"/>
    <w:rsid w:val="0EDA4867"/>
    <w:rsid w:val="0EDDC661"/>
    <w:rsid w:val="0EE25306"/>
    <w:rsid w:val="0EE9ECE7"/>
    <w:rsid w:val="0EFFEF0D"/>
    <w:rsid w:val="0F078F5D"/>
    <w:rsid w:val="0F0BC140"/>
    <w:rsid w:val="0F0D49C1"/>
    <w:rsid w:val="0F1BA989"/>
    <w:rsid w:val="0F851FAD"/>
    <w:rsid w:val="0F8A4762"/>
    <w:rsid w:val="0F9B8A35"/>
    <w:rsid w:val="0FAAE874"/>
    <w:rsid w:val="0FBB7186"/>
    <w:rsid w:val="0FC7DAB3"/>
    <w:rsid w:val="0FD8B2C7"/>
    <w:rsid w:val="0FE1364A"/>
    <w:rsid w:val="10093A7A"/>
    <w:rsid w:val="100BBF97"/>
    <w:rsid w:val="1021816B"/>
    <w:rsid w:val="102E3376"/>
    <w:rsid w:val="1041B76D"/>
    <w:rsid w:val="10475BD3"/>
    <w:rsid w:val="1077BABF"/>
    <w:rsid w:val="10B33AD5"/>
    <w:rsid w:val="111CEFDD"/>
    <w:rsid w:val="112126FC"/>
    <w:rsid w:val="112617C3"/>
    <w:rsid w:val="112ADF2C"/>
    <w:rsid w:val="1146220B"/>
    <w:rsid w:val="114B3C32"/>
    <w:rsid w:val="1154C018"/>
    <w:rsid w:val="115FDC99"/>
    <w:rsid w:val="11649F28"/>
    <w:rsid w:val="119BA13C"/>
    <w:rsid w:val="11B149B2"/>
    <w:rsid w:val="11B9138D"/>
    <w:rsid w:val="11BBA777"/>
    <w:rsid w:val="11BD51CC"/>
    <w:rsid w:val="11D8315B"/>
    <w:rsid w:val="11EF5681"/>
    <w:rsid w:val="12161B8C"/>
    <w:rsid w:val="1220B855"/>
    <w:rsid w:val="1240EFB5"/>
    <w:rsid w:val="12495666"/>
    <w:rsid w:val="1262F769"/>
    <w:rsid w:val="126DBEAA"/>
    <w:rsid w:val="129240DA"/>
    <w:rsid w:val="12AA13F7"/>
    <w:rsid w:val="12B93EE3"/>
    <w:rsid w:val="12E31B3A"/>
    <w:rsid w:val="131AA204"/>
    <w:rsid w:val="131B55D1"/>
    <w:rsid w:val="131C0BEC"/>
    <w:rsid w:val="13353449"/>
    <w:rsid w:val="13428FB2"/>
    <w:rsid w:val="134FBB76"/>
    <w:rsid w:val="136133F6"/>
    <w:rsid w:val="136DFA83"/>
    <w:rsid w:val="13782130"/>
    <w:rsid w:val="13B27230"/>
    <w:rsid w:val="13BF8754"/>
    <w:rsid w:val="13C89459"/>
    <w:rsid w:val="13F1F82C"/>
    <w:rsid w:val="13F25929"/>
    <w:rsid w:val="13FEDAAE"/>
    <w:rsid w:val="140995E3"/>
    <w:rsid w:val="1424A51D"/>
    <w:rsid w:val="144CE520"/>
    <w:rsid w:val="144DC9CF"/>
    <w:rsid w:val="145DB885"/>
    <w:rsid w:val="1460392E"/>
    <w:rsid w:val="1465A60B"/>
    <w:rsid w:val="146F492A"/>
    <w:rsid w:val="14AF6B57"/>
    <w:rsid w:val="14BC154A"/>
    <w:rsid w:val="14C5486D"/>
    <w:rsid w:val="14C6C5C8"/>
    <w:rsid w:val="14CB64C5"/>
    <w:rsid w:val="14CC42B9"/>
    <w:rsid w:val="14F4F28E"/>
    <w:rsid w:val="150F26A0"/>
    <w:rsid w:val="151ACCF6"/>
    <w:rsid w:val="152A0D9C"/>
    <w:rsid w:val="1536F255"/>
    <w:rsid w:val="1563BE6B"/>
    <w:rsid w:val="157257A4"/>
    <w:rsid w:val="157C8B45"/>
    <w:rsid w:val="159F018F"/>
    <w:rsid w:val="15A5DB34"/>
    <w:rsid w:val="15ADCF4E"/>
    <w:rsid w:val="15B8B63F"/>
    <w:rsid w:val="15DC0949"/>
    <w:rsid w:val="15DDE4BD"/>
    <w:rsid w:val="15F4140C"/>
    <w:rsid w:val="1608FE7A"/>
    <w:rsid w:val="16223846"/>
    <w:rsid w:val="16320BBD"/>
    <w:rsid w:val="163D703D"/>
    <w:rsid w:val="1643DA7F"/>
    <w:rsid w:val="1658B24C"/>
    <w:rsid w:val="16B677A4"/>
    <w:rsid w:val="16D71FF3"/>
    <w:rsid w:val="1705C126"/>
    <w:rsid w:val="1709991C"/>
    <w:rsid w:val="178E2963"/>
    <w:rsid w:val="17A0A248"/>
    <w:rsid w:val="17C88E22"/>
    <w:rsid w:val="17D44101"/>
    <w:rsid w:val="17EB81F1"/>
    <w:rsid w:val="17EF7D0F"/>
    <w:rsid w:val="1808A56C"/>
    <w:rsid w:val="1858A29B"/>
    <w:rsid w:val="1860629B"/>
    <w:rsid w:val="186E9317"/>
    <w:rsid w:val="18716FAC"/>
    <w:rsid w:val="1875A934"/>
    <w:rsid w:val="187DE39E"/>
    <w:rsid w:val="18946A7A"/>
    <w:rsid w:val="18D6C076"/>
    <w:rsid w:val="18D72EA4"/>
    <w:rsid w:val="1900F053"/>
    <w:rsid w:val="190315D8"/>
    <w:rsid w:val="19153638"/>
    <w:rsid w:val="191EB574"/>
    <w:rsid w:val="1939172E"/>
    <w:rsid w:val="1978C6B1"/>
    <w:rsid w:val="199AC079"/>
    <w:rsid w:val="19A046CC"/>
    <w:rsid w:val="19A3257D"/>
    <w:rsid w:val="19E2A53A"/>
    <w:rsid w:val="1A20CB41"/>
    <w:rsid w:val="1A31B3A7"/>
    <w:rsid w:val="1A347240"/>
    <w:rsid w:val="1A564E23"/>
    <w:rsid w:val="1A588E90"/>
    <w:rsid w:val="1A6A22E1"/>
    <w:rsid w:val="1A700DCB"/>
    <w:rsid w:val="1A825291"/>
    <w:rsid w:val="1A86DE0A"/>
    <w:rsid w:val="1AA7F7B9"/>
    <w:rsid w:val="1ABC519C"/>
    <w:rsid w:val="1ABE3C1B"/>
    <w:rsid w:val="1AC8D8AF"/>
    <w:rsid w:val="1AF2AF34"/>
    <w:rsid w:val="1B0C0853"/>
    <w:rsid w:val="1B294FED"/>
    <w:rsid w:val="1B56ABC8"/>
    <w:rsid w:val="1B9555DC"/>
    <w:rsid w:val="1BD4C487"/>
    <w:rsid w:val="1C16C1E7"/>
    <w:rsid w:val="1C2C5FAC"/>
    <w:rsid w:val="1C2CA055"/>
    <w:rsid w:val="1C363185"/>
    <w:rsid w:val="1C69DC22"/>
    <w:rsid w:val="1CC2A41F"/>
    <w:rsid w:val="1CF3FC59"/>
    <w:rsid w:val="1CF6D64E"/>
    <w:rsid w:val="1CFA124E"/>
    <w:rsid w:val="1D1CFB05"/>
    <w:rsid w:val="1D351F81"/>
    <w:rsid w:val="1D41173D"/>
    <w:rsid w:val="1D716111"/>
    <w:rsid w:val="1D9B3062"/>
    <w:rsid w:val="1D9D93DC"/>
    <w:rsid w:val="1DB13E20"/>
    <w:rsid w:val="1DD8F183"/>
    <w:rsid w:val="1DFA7A15"/>
    <w:rsid w:val="1E480C18"/>
    <w:rsid w:val="1E58102E"/>
    <w:rsid w:val="1E78073B"/>
    <w:rsid w:val="1E878B1D"/>
    <w:rsid w:val="1EA3C25A"/>
    <w:rsid w:val="1EB7B727"/>
    <w:rsid w:val="1ED4B004"/>
    <w:rsid w:val="1EE5C221"/>
    <w:rsid w:val="1F000FBB"/>
    <w:rsid w:val="1F07E363"/>
    <w:rsid w:val="1F225A87"/>
    <w:rsid w:val="1F6A8BA9"/>
    <w:rsid w:val="1F6ED68C"/>
    <w:rsid w:val="20317BF8"/>
    <w:rsid w:val="2061D454"/>
    <w:rsid w:val="20735A93"/>
    <w:rsid w:val="20F9A608"/>
    <w:rsid w:val="210EF59C"/>
    <w:rsid w:val="212B15EE"/>
    <w:rsid w:val="21321AD7"/>
    <w:rsid w:val="214DA651"/>
    <w:rsid w:val="215712C2"/>
    <w:rsid w:val="216CEEED"/>
    <w:rsid w:val="2176CAAC"/>
    <w:rsid w:val="2184EEA4"/>
    <w:rsid w:val="21C31F6E"/>
    <w:rsid w:val="21C3D9CE"/>
    <w:rsid w:val="21DAF223"/>
    <w:rsid w:val="21F6C8DE"/>
    <w:rsid w:val="21FA4E38"/>
    <w:rsid w:val="21FE58D2"/>
    <w:rsid w:val="223B3BCD"/>
    <w:rsid w:val="2250F7E8"/>
    <w:rsid w:val="22527328"/>
    <w:rsid w:val="22854A94"/>
    <w:rsid w:val="229592B2"/>
    <w:rsid w:val="22ABE3A7"/>
    <w:rsid w:val="22D1BF4A"/>
    <w:rsid w:val="22DFF974"/>
    <w:rsid w:val="22FB3BF1"/>
    <w:rsid w:val="23018A03"/>
    <w:rsid w:val="230CB34C"/>
    <w:rsid w:val="232DA37A"/>
    <w:rsid w:val="234E7FA8"/>
    <w:rsid w:val="235EEFCF"/>
    <w:rsid w:val="236DD3DB"/>
    <w:rsid w:val="2373CEB6"/>
    <w:rsid w:val="2377337D"/>
    <w:rsid w:val="237F6E13"/>
    <w:rsid w:val="23A7C49B"/>
    <w:rsid w:val="23B93344"/>
    <w:rsid w:val="23FFAD93"/>
    <w:rsid w:val="243309A8"/>
    <w:rsid w:val="2435FD6C"/>
    <w:rsid w:val="249823F8"/>
    <w:rsid w:val="24C549C9"/>
    <w:rsid w:val="24DFADB3"/>
    <w:rsid w:val="24E3000A"/>
    <w:rsid w:val="24EAA1A1"/>
    <w:rsid w:val="24FAC030"/>
    <w:rsid w:val="25183A85"/>
    <w:rsid w:val="25186687"/>
    <w:rsid w:val="2553403F"/>
    <w:rsid w:val="2561A1D9"/>
    <w:rsid w:val="25CFA54B"/>
    <w:rsid w:val="25D678C4"/>
    <w:rsid w:val="261378DC"/>
    <w:rsid w:val="2613E03A"/>
    <w:rsid w:val="26275B66"/>
    <w:rsid w:val="262F3C98"/>
    <w:rsid w:val="263BF1C2"/>
    <w:rsid w:val="264C1615"/>
    <w:rsid w:val="26604DBD"/>
    <w:rsid w:val="26608576"/>
    <w:rsid w:val="2663074A"/>
    <w:rsid w:val="26772BE1"/>
    <w:rsid w:val="267A9C10"/>
    <w:rsid w:val="267E2740"/>
    <w:rsid w:val="269931BD"/>
    <w:rsid w:val="26B6C52C"/>
    <w:rsid w:val="26FBFEA8"/>
    <w:rsid w:val="273A3617"/>
    <w:rsid w:val="2743911A"/>
    <w:rsid w:val="275529B0"/>
    <w:rsid w:val="276F847A"/>
    <w:rsid w:val="27A20218"/>
    <w:rsid w:val="27C315E5"/>
    <w:rsid w:val="27C699B9"/>
    <w:rsid w:val="27C8E38E"/>
    <w:rsid w:val="27F8F378"/>
    <w:rsid w:val="27F91E28"/>
    <w:rsid w:val="28154B9C"/>
    <w:rsid w:val="288096D0"/>
    <w:rsid w:val="288E052D"/>
    <w:rsid w:val="28B57F9D"/>
    <w:rsid w:val="28EF178E"/>
    <w:rsid w:val="28F50580"/>
    <w:rsid w:val="292BFBC2"/>
    <w:rsid w:val="29445082"/>
    <w:rsid w:val="2980F4BB"/>
    <w:rsid w:val="29873514"/>
    <w:rsid w:val="29BAA996"/>
    <w:rsid w:val="29C44101"/>
    <w:rsid w:val="29DA6CE7"/>
    <w:rsid w:val="29E8AF44"/>
    <w:rsid w:val="29F0425A"/>
    <w:rsid w:val="2A19E2D7"/>
    <w:rsid w:val="2A246F32"/>
    <w:rsid w:val="2A42B52D"/>
    <w:rsid w:val="2A52AF54"/>
    <w:rsid w:val="2A5E0EFC"/>
    <w:rsid w:val="2A9D89C4"/>
    <w:rsid w:val="2AA1BAA5"/>
    <w:rsid w:val="2AEB0B59"/>
    <w:rsid w:val="2AF21E09"/>
    <w:rsid w:val="2AFD2DAA"/>
    <w:rsid w:val="2B1E4034"/>
    <w:rsid w:val="2B41772F"/>
    <w:rsid w:val="2B44BDA5"/>
    <w:rsid w:val="2B7857B9"/>
    <w:rsid w:val="2B82B992"/>
    <w:rsid w:val="2BA467EE"/>
    <w:rsid w:val="2BC44529"/>
    <w:rsid w:val="2BCF160B"/>
    <w:rsid w:val="2BD45AB5"/>
    <w:rsid w:val="2BE67361"/>
    <w:rsid w:val="2BF0FC26"/>
    <w:rsid w:val="2C3CC752"/>
    <w:rsid w:val="2C496494"/>
    <w:rsid w:val="2C51654F"/>
    <w:rsid w:val="2C983166"/>
    <w:rsid w:val="2CAD24B8"/>
    <w:rsid w:val="2CB76D65"/>
    <w:rsid w:val="2CB858FB"/>
    <w:rsid w:val="2CBF9020"/>
    <w:rsid w:val="2CEDDC35"/>
    <w:rsid w:val="2CF5B386"/>
    <w:rsid w:val="2D02EFD5"/>
    <w:rsid w:val="2D5E5033"/>
    <w:rsid w:val="2D75D775"/>
    <w:rsid w:val="2D95ED2B"/>
    <w:rsid w:val="2D97390E"/>
    <w:rsid w:val="2DA89844"/>
    <w:rsid w:val="2DCCD4EF"/>
    <w:rsid w:val="2DD3D376"/>
    <w:rsid w:val="2DD897B3"/>
    <w:rsid w:val="2DDA3058"/>
    <w:rsid w:val="2DF7ACCC"/>
    <w:rsid w:val="2E67E159"/>
    <w:rsid w:val="2E70EC4A"/>
    <w:rsid w:val="2E89D6C7"/>
    <w:rsid w:val="2E9275B2"/>
    <w:rsid w:val="2ED89148"/>
    <w:rsid w:val="2EFF709E"/>
    <w:rsid w:val="2F04093B"/>
    <w:rsid w:val="2F11DA7B"/>
    <w:rsid w:val="2F319BBD"/>
    <w:rsid w:val="2F3F571A"/>
    <w:rsid w:val="2F5CDE5A"/>
    <w:rsid w:val="2FADEEA1"/>
    <w:rsid w:val="2FB6D5B9"/>
    <w:rsid w:val="2FBDB4FE"/>
    <w:rsid w:val="2FCC8D3E"/>
    <w:rsid w:val="2FD2236D"/>
    <w:rsid w:val="2FE163F5"/>
    <w:rsid w:val="2FE5A2D2"/>
    <w:rsid w:val="2FE91C1E"/>
    <w:rsid w:val="3009E990"/>
    <w:rsid w:val="301C9E4B"/>
    <w:rsid w:val="3026645F"/>
    <w:rsid w:val="30372E88"/>
    <w:rsid w:val="3040EC17"/>
    <w:rsid w:val="305191B0"/>
    <w:rsid w:val="307C76B9"/>
    <w:rsid w:val="3082B367"/>
    <w:rsid w:val="30876D1B"/>
    <w:rsid w:val="3097655F"/>
    <w:rsid w:val="30991712"/>
    <w:rsid w:val="30AA678E"/>
    <w:rsid w:val="30B89301"/>
    <w:rsid w:val="30CDD06E"/>
    <w:rsid w:val="30F86453"/>
    <w:rsid w:val="312B9FD7"/>
    <w:rsid w:val="31334AEE"/>
    <w:rsid w:val="31623C33"/>
    <w:rsid w:val="318BB881"/>
    <w:rsid w:val="31941C05"/>
    <w:rsid w:val="31C5D288"/>
    <w:rsid w:val="31C6896C"/>
    <w:rsid w:val="31D8DEF2"/>
    <w:rsid w:val="320BB458"/>
    <w:rsid w:val="322DB5AB"/>
    <w:rsid w:val="32545510"/>
    <w:rsid w:val="329434B4"/>
    <w:rsid w:val="32B13C1F"/>
    <w:rsid w:val="32E496AB"/>
    <w:rsid w:val="32F94F04"/>
    <w:rsid w:val="3302E89A"/>
    <w:rsid w:val="331636E2"/>
    <w:rsid w:val="33163E93"/>
    <w:rsid w:val="333A1AD8"/>
    <w:rsid w:val="33418A52"/>
    <w:rsid w:val="3349908B"/>
    <w:rsid w:val="336ECF4A"/>
    <w:rsid w:val="3373034E"/>
    <w:rsid w:val="3397881E"/>
    <w:rsid w:val="33BDF210"/>
    <w:rsid w:val="33CC5AC0"/>
    <w:rsid w:val="33DE5D5E"/>
    <w:rsid w:val="33FA9D88"/>
    <w:rsid w:val="3410620C"/>
    <w:rsid w:val="34166A03"/>
    <w:rsid w:val="3453FC3D"/>
    <w:rsid w:val="3467490F"/>
    <w:rsid w:val="34702E72"/>
    <w:rsid w:val="3483F9CD"/>
    <w:rsid w:val="348E7458"/>
    <w:rsid w:val="34B7479A"/>
    <w:rsid w:val="34D13593"/>
    <w:rsid w:val="34D5872F"/>
    <w:rsid w:val="34F52E3C"/>
    <w:rsid w:val="352F1E10"/>
    <w:rsid w:val="352FD966"/>
    <w:rsid w:val="3538C2AC"/>
    <w:rsid w:val="353A3264"/>
    <w:rsid w:val="3553E8C5"/>
    <w:rsid w:val="3572D5D4"/>
    <w:rsid w:val="35A6E52A"/>
    <w:rsid w:val="35B984F0"/>
    <w:rsid w:val="35C74C29"/>
    <w:rsid w:val="35EB6BE8"/>
    <w:rsid w:val="35EEAD70"/>
    <w:rsid w:val="360C0315"/>
    <w:rsid w:val="36107449"/>
    <w:rsid w:val="36592EB3"/>
    <w:rsid w:val="36792B14"/>
    <w:rsid w:val="368334AF"/>
    <w:rsid w:val="36AA7FA5"/>
    <w:rsid w:val="37170683"/>
    <w:rsid w:val="3756A465"/>
    <w:rsid w:val="376CBEE4"/>
    <w:rsid w:val="376E6FEB"/>
    <w:rsid w:val="37854D57"/>
    <w:rsid w:val="37880E40"/>
    <w:rsid w:val="379F21A6"/>
    <w:rsid w:val="37CCC027"/>
    <w:rsid w:val="37EE7ADA"/>
    <w:rsid w:val="38012433"/>
    <w:rsid w:val="3807E9BC"/>
    <w:rsid w:val="38114862"/>
    <w:rsid w:val="38358A4D"/>
    <w:rsid w:val="383EE6DD"/>
    <w:rsid w:val="3846975A"/>
    <w:rsid w:val="384C61F2"/>
    <w:rsid w:val="389072DB"/>
    <w:rsid w:val="389E34AA"/>
    <w:rsid w:val="38A8D23A"/>
    <w:rsid w:val="38D93F4B"/>
    <w:rsid w:val="38E32779"/>
    <w:rsid w:val="38FFDE61"/>
    <w:rsid w:val="390B63BE"/>
    <w:rsid w:val="390F8796"/>
    <w:rsid w:val="39189EC2"/>
    <w:rsid w:val="3923369B"/>
    <w:rsid w:val="39396A4C"/>
    <w:rsid w:val="393D9FCE"/>
    <w:rsid w:val="394444CC"/>
    <w:rsid w:val="395EC0B4"/>
    <w:rsid w:val="399F8409"/>
    <w:rsid w:val="39B7C9BA"/>
    <w:rsid w:val="39DC5276"/>
    <w:rsid w:val="39F94C91"/>
    <w:rsid w:val="39FF7EED"/>
    <w:rsid w:val="3A3FF958"/>
    <w:rsid w:val="3A65B76D"/>
    <w:rsid w:val="3AA54891"/>
    <w:rsid w:val="3AA7341F"/>
    <w:rsid w:val="3AA88482"/>
    <w:rsid w:val="3ADA9223"/>
    <w:rsid w:val="3AE30E98"/>
    <w:rsid w:val="3AFC55FE"/>
    <w:rsid w:val="3B1E95A0"/>
    <w:rsid w:val="3B7AF9C1"/>
    <w:rsid w:val="3BA72C37"/>
    <w:rsid w:val="3BC8139D"/>
    <w:rsid w:val="3BC8D26A"/>
    <w:rsid w:val="3BD203B8"/>
    <w:rsid w:val="3BEB7507"/>
    <w:rsid w:val="3C02494D"/>
    <w:rsid w:val="3C07243F"/>
    <w:rsid w:val="3C285CF1"/>
    <w:rsid w:val="3C34BE91"/>
    <w:rsid w:val="3C3B3D01"/>
    <w:rsid w:val="3C3B5B64"/>
    <w:rsid w:val="3C3ED0C0"/>
    <w:rsid w:val="3C41D70C"/>
    <w:rsid w:val="3C430480"/>
    <w:rsid w:val="3C44A9B0"/>
    <w:rsid w:val="3C7FB5CD"/>
    <w:rsid w:val="3C863915"/>
    <w:rsid w:val="3CD724CB"/>
    <w:rsid w:val="3CD87048"/>
    <w:rsid w:val="3D10C657"/>
    <w:rsid w:val="3D138BAF"/>
    <w:rsid w:val="3D216F8D"/>
    <w:rsid w:val="3D45419C"/>
    <w:rsid w:val="3D4B9885"/>
    <w:rsid w:val="3D63E3FE"/>
    <w:rsid w:val="3D705B76"/>
    <w:rsid w:val="3D7669FE"/>
    <w:rsid w:val="3D83DC36"/>
    <w:rsid w:val="3D9576AB"/>
    <w:rsid w:val="3DB60477"/>
    <w:rsid w:val="3DBF6893"/>
    <w:rsid w:val="3E0B6FB3"/>
    <w:rsid w:val="3E334E00"/>
    <w:rsid w:val="3E4B007D"/>
    <w:rsid w:val="3E53775A"/>
    <w:rsid w:val="3E839FB6"/>
    <w:rsid w:val="3EC2CD84"/>
    <w:rsid w:val="3ECC6B40"/>
    <w:rsid w:val="3F78D689"/>
    <w:rsid w:val="3F7EC91A"/>
    <w:rsid w:val="3FA95066"/>
    <w:rsid w:val="3FB4F9F9"/>
    <w:rsid w:val="3FD1DE8C"/>
    <w:rsid w:val="3FECA44B"/>
    <w:rsid w:val="3FF59D30"/>
    <w:rsid w:val="4016E97C"/>
    <w:rsid w:val="401C5A47"/>
    <w:rsid w:val="40295B9C"/>
    <w:rsid w:val="4046CA18"/>
    <w:rsid w:val="40644E17"/>
    <w:rsid w:val="4094273D"/>
    <w:rsid w:val="40994087"/>
    <w:rsid w:val="40A371D6"/>
    <w:rsid w:val="40B3C1F5"/>
    <w:rsid w:val="40C72379"/>
    <w:rsid w:val="40D20264"/>
    <w:rsid w:val="40EBCCD1"/>
    <w:rsid w:val="411F670A"/>
    <w:rsid w:val="413A6CCB"/>
    <w:rsid w:val="413ED8EF"/>
    <w:rsid w:val="415878B6"/>
    <w:rsid w:val="4165D137"/>
    <w:rsid w:val="416C4F4D"/>
    <w:rsid w:val="41909E4C"/>
    <w:rsid w:val="41A23A9E"/>
    <w:rsid w:val="41AABB97"/>
    <w:rsid w:val="41E9F6D0"/>
    <w:rsid w:val="41F7011F"/>
    <w:rsid w:val="422C5748"/>
    <w:rsid w:val="425F8603"/>
    <w:rsid w:val="42B24604"/>
    <w:rsid w:val="430F924F"/>
    <w:rsid w:val="43259C4C"/>
    <w:rsid w:val="432DFCC7"/>
    <w:rsid w:val="433BBC7D"/>
    <w:rsid w:val="438B319A"/>
    <w:rsid w:val="438CE09A"/>
    <w:rsid w:val="438DDDCA"/>
    <w:rsid w:val="43B6A249"/>
    <w:rsid w:val="43DB30E1"/>
    <w:rsid w:val="43EBA307"/>
    <w:rsid w:val="43F1211D"/>
    <w:rsid w:val="440B3804"/>
    <w:rsid w:val="442CFB7A"/>
    <w:rsid w:val="4447FCAA"/>
    <w:rsid w:val="44A0B2DA"/>
    <w:rsid w:val="44A3F00F"/>
    <w:rsid w:val="44A6ED11"/>
    <w:rsid w:val="44B9B0DC"/>
    <w:rsid w:val="44C9E6FC"/>
    <w:rsid w:val="45105BD8"/>
    <w:rsid w:val="4529AE2B"/>
    <w:rsid w:val="4538B9FE"/>
    <w:rsid w:val="453CA9C1"/>
    <w:rsid w:val="455F6E14"/>
    <w:rsid w:val="4563151D"/>
    <w:rsid w:val="4569A7E8"/>
    <w:rsid w:val="4582ABFF"/>
    <w:rsid w:val="45938C67"/>
    <w:rsid w:val="45F04B42"/>
    <w:rsid w:val="45F0DCFF"/>
    <w:rsid w:val="45FFAC59"/>
    <w:rsid w:val="460DDDEE"/>
    <w:rsid w:val="4618517F"/>
    <w:rsid w:val="461BE286"/>
    <w:rsid w:val="4627C68C"/>
    <w:rsid w:val="462B447A"/>
    <w:rsid w:val="464F0116"/>
    <w:rsid w:val="465C70D9"/>
    <w:rsid w:val="466E5EF8"/>
    <w:rsid w:val="46A17EBF"/>
    <w:rsid w:val="46AD136D"/>
    <w:rsid w:val="46DA06CA"/>
    <w:rsid w:val="46E2EC5A"/>
    <w:rsid w:val="46EBB44E"/>
    <w:rsid w:val="46F42D0F"/>
    <w:rsid w:val="470AF93C"/>
    <w:rsid w:val="470FB65E"/>
    <w:rsid w:val="47283BB4"/>
    <w:rsid w:val="4744F908"/>
    <w:rsid w:val="474BEC69"/>
    <w:rsid w:val="47539F2A"/>
    <w:rsid w:val="4780C69D"/>
    <w:rsid w:val="47C714DB"/>
    <w:rsid w:val="47DC3F45"/>
    <w:rsid w:val="47E5DF81"/>
    <w:rsid w:val="4821AAC0"/>
    <w:rsid w:val="4833114F"/>
    <w:rsid w:val="4846F45E"/>
    <w:rsid w:val="484A7E49"/>
    <w:rsid w:val="485F07BF"/>
    <w:rsid w:val="488A136C"/>
    <w:rsid w:val="48A774CC"/>
    <w:rsid w:val="48BA1A61"/>
    <w:rsid w:val="48BD1B9C"/>
    <w:rsid w:val="48C61C67"/>
    <w:rsid w:val="48DB554E"/>
    <w:rsid w:val="490625ED"/>
    <w:rsid w:val="490FA1D6"/>
    <w:rsid w:val="4924E298"/>
    <w:rsid w:val="49336524"/>
    <w:rsid w:val="49411DFA"/>
    <w:rsid w:val="4941212C"/>
    <w:rsid w:val="4986A1D8"/>
    <w:rsid w:val="49998AA0"/>
    <w:rsid w:val="49A217B1"/>
    <w:rsid w:val="49A674C9"/>
    <w:rsid w:val="49D76895"/>
    <w:rsid w:val="49D875FB"/>
    <w:rsid w:val="49EAE715"/>
    <w:rsid w:val="49F13B2D"/>
    <w:rsid w:val="4A1BED9B"/>
    <w:rsid w:val="4A28C9FC"/>
    <w:rsid w:val="4A32882E"/>
    <w:rsid w:val="4A48D706"/>
    <w:rsid w:val="4A7325E0"/>
    <w:rsid w:val="4A846BF5"/>
    <w:rsid w:val="4A8E3A32"/>
    <w:rsid w:val="4A97188D"/>
    <w:rsid w:val="4AB6FF80"/>
    <w:rsid w:val="4AD186D9"/>
    <w:rsid w:val="4ADD9E95"/>
    <w:rsid w:val="4AF4D3B8"/>
    <w:rsid w:val="4B03174B"/>
    <w:rsid w:val="4B11E689"/>
    <w:rsid w:val="4B22B43D"/>
    <w:rsid w:val="4B3E42A7"/>
    <w:rsid w:val="4B51852A"/>
    <w:rsid w:val="4B8F53AF"/>
    <w:rsid w:val="4B97F27F"/>
    <w:rsid w:val="4B995587"/>
    <w:rsid w:val="4B9C1657"/>
    <w:rsid w:val="4BC058E3"/>
    <w:rsid w:val="4BE9C977"/>
    <w:rsid w:val="4BE9D697"/>
    <w:rsid w:val="4BEF7E43"/>
    <w:rsid w:val="4BFBA4BA"/>
    <w:rsid w:val="4BFBB2DE"/>
    <w:rsid w:val="4C18E294"/>
    <w:rsid w:val="4C6AF5D9"/>
    <w:rsid w:val="4C78BEBC"/>
    <w:rsid w:val="4C8C8354"/>
    <w:rsid w:val="4CB34F93"/>
    <w:rsid w:val="4CB48021"/>
    <w:rsid w:val="4D0787A3"/>
    <w:rsid w:val="4D2B0561"/>
    <w:rsid w:val="4D3E2DA0"/>
    <w:rsid w:val="4D3EFC5E"/>
    <w:rsid w:val="4D6ADA12"/>
    <w:rsid w:val="4DF5AC06"/>
    <w:rsid w:val="4E14A1C5"/>
    <w:rsid w:val="4E46FFBB"/>
    <w:rsid w:val="4E5A12FB"/>
    <w:rsid w:val="4E5CB7D2"/>
    <w:rsid w:val="4E5DD31D"/>
    <w:rsid w:val="4E6A51C3"/>
    <w:rsid w:val="4E7B585C"/>
    <w:rsid w:val="4E89AFCB"/>
    <w:rsid w:val="4E931739"/>
    <w:rsid w:val="4E9C8F37"/>
    <w:rsid w:val="4EA7D74C"/>
    <w:rsid w:val="4ED983D1"/>
    <w:rsid w:val="4EF2DC13"/>
    <w:rsid w:val="4F0C6E00"/>
    <w:rsid w:val="4F1127B1"/>
    <w:rsid w:val="4F1E79B1"/>
    <w:rsid w:val="4F30E5A6"/>
    <w:rsid w:val="4F32A542"/>
    <w:rsid w:val="4F41084E"/>
    <w:rsid w:val="4F630C40"/>
    <w:rsid w:val="4F7D03A8"/>
    <w:rsid w:val="4F7F3DB4"/>
    <w:rsid w:val="4F8FAFA0"/>
    <w:rsid w:val="4FBC3F82"/>
    <w:rsid w:val="4FDCA713"/>
    <w:rsid w:val="4FDD1F9B"/>
    <w:rsid w:val="50183F87"/>
    <w:rsid w:val="5038414C"/>
    <w:rsid w:val="504EF3AD"/>
    <w:rsid w:val="506F877A"/>
    <w:rsid w:val="50C13D4C"/>
    <w:rsid w:val="50CB14E7"/>
    <w:rsid w:val="510D8EAC"/>
    <w:rsid w:val="5140A05C"/>
    <w:rsid w:val="515C0137"/>
    <w:rsid w:val="51AE9C8A"/>
    <w:rsid w:val="51B0CA5E"/>
    <w:rsid w:val="51BCDEC4"/>
    <w:rsid w:val="51C93F95"/>
    <w:rsid w:val="51CA924D"/>
    <w:rsid w:val="51DCC382"/>
    <w:rsid w:val="51FFA685"/>
    <w:rsid w:val="524AA856"/>
    <w:rsid w:val="5250E72E"/>
    <w:rsid w:val="52570E51"/>
    <w:rsid w:val="52676838"/>
    <w:rsid w:val="52689C1B"/>
    <w:rsid w:val="5278C737"/>
    <w:rsid w:val="527E301B"/>
    <w:rsid w:val="5293BC2F"/>
    <w:rsid w:val="52B37CAD"/>
    <w:rsid w:val="52C0A24A"/>
    <w:rsid w:val="52C8AE38"/>
    <w:rsid w:val="530AA6AE"/>
    <w:rsid w:val="531A5923"/>
    <w:rsid w:val="53234C4C"/>
    <w:rsid w:val="5374C421"/>
    <w:rsid w:val="5394BE75"/>
    <w:rsid w:val="539C7484"/>
    <w:rsid w:val="53A4317E"/>
    <w:rsid w:val="53A7283C"/>
    <w:rsid w:val="53AB8616"/>
    <w:rsid w:val="53B6289B"/>
    <w:rsid w:val="53D9B5EA"/>
    <w:rsid w:val="53F8DE0E"/>
    <w:rsid w:val="542E3F24"/>
    <w:rsid w:val="546CF4D9"/>
    <w:rsid w:val="548F5F0E"/>
    <w:rsid w:val="54B45105"/>
    <w:rsid w:val="54BE0F06"/>
    <w:rsid w:val="54FB3681"/>
    <w:rsid w:val="5520880B"/>
    <w:rsid w:val="554DFC2F"/>
    <w:rsid w:val="557F660A"/>
    <w:rsid w:val="558A85EF"/>
    <w:rsid w:val="55AB0328"/>
    <w:rsid w:val="55FB091D"/>
    <w:rsid w:val="561B64A5"/>
    <w:rsid w:val="562301A4"/>
    <w:rsid w:val="563276C8"/>
    <w:rsid w:val="566B65C0"/>
    <w:rsid w:val="5674CF33"/>
    <w:rsid w:val="567FDACB"/>
    <w:rsid w:val="56A55FE2"/>
    <w:rsid w:val="56B27196"/>
    <w:rsid w:val="56B3348A"/>
    <w:rsid w:val="56BAC90E"/>
    <w:rsid w:val="56DAA526"/>
    <w:rsid w:val="56DC4A56"/>
    <w:rsid w:val="56F7C1D2"/>
    <w:rsid w:val="57138C03"/>
    <w:rsid w:val="571AF791"/>
    <w:rsid w:val="571F549F"/>
    <w:rsid w:val="572BC388"/>
    <w:rsid w:val="57410A22"/>
    <w:rsid w:val="57862A17"/>
    <w:rsid w:val="57923D1F"/>
    <w:rsid w:val="579F020C"/>
    <w:rsid w:val="57BB840B"/>
    <w:rsid w:val="57DC171E"/>
    <w:rsid w:val="58172846"/>
    <w:rsid w:val="581EE60E"/>
    <w:rsid w:val="582946AA"/>
    <w:rsid w:val="5834B74F"/>
    <w:rsid w:val="58526639"/>
    <w:rsid w:val="58767587"/>
    <w:rsid w:val="58C6F592"/>
    <w:rsid w:val="58CC4F31"/>
    <w:rsid w:val="58F1F41C"/>
    <w:rsid w:val="58F51906"/>
    <w:rsid w:val="5904CBB7"/>
    <w:rsid w:val="592737C2"/>
    <w:rsid w:val="593AAE55"/>
    <w:rsid w:val="59440537"/>
    <w:rsid w:val="594CE062"/>
    <w:rsid w:val="59550D4D"/>
    <w:rsid w:val="597E2CA8"/>
    <w:rsid w:val="59B76FA4"/>
    <w:rsid w:val="59BC4DF4"/>
    <w:rsid w:val="59F0BDC7"/>
    <w:rsid w:val="59F9A117"/>
    <w:rsid w:val="59FC39E2"/>
    <w:rsid w:val="5A037221"/>
    <w:rsid w:val="5A0A856E"/>
    <w:rsid w:val="5A1245E8"/>
    <w:rsid w:val="5A39D500"/>
    <w:rsid w:val="5A56F561"/>
    <w:rsid w:val="5A62C5F3"/>
    <w:rsid w:val="5A9AC809"/>
    <w:rsid w:val="5AB0F5B7"/>
    <w:rsid w:val="5ABCE71A"/>
    <w:rsid w:val="5AF6D7C9"/>
    <w:rsid w:val="5B00D87A"/>
    <w:rsid w:val="5B03E0FC"/>
    <w:rsid w:val="5B0845C3"/>
    <w:rsid w:val="5B0DDA23"/>
    <w:rsid w:val="5B2D55EC"/>
    <w:rsid w:val="5B3554D1"/>
    <w:rsid w:val="5B432588"/>
    <w:rsid w:val="5B6A71D9"/>
    <w:rsid w:val="5B7F3E25"/>
    <w:rsid w:val="5BB3A95E"/>
    <w:rsid w:val="5BBDBCE0"/>
    <w:rsid w:val="5BDCE4CB"/>
    <w:rsid w:val="5BE68933"/>
    <w:rsid w:val="5BF2C5C2"/>
    <w:rsid w:val="5BF6474E"/>
    <w:rsid w:val="5C4B6F97"/>
    <w:rsid w:val="5C9D787D"/>
    <w:rsid w:val="5CA79BC9"/>
    <w:rsid w:val="5D265B0A"/>
    <w:rsid w:val="5D3EAE12"/>
    <w:rsid w:val="5D55F808"/>
    <w:rsid w:val="5D698BF2"/>
    <w:rsid w:val="5D6EF91D"/>
    <w:rsid w:val="5D7EF733"/>
    <w:rsid w:val="5D8697F7"/>
    <w:rsid w:val="5DBD5767"/>
    <w:rsid w:val="5DE7B08E"/>
    <w:rsid w:val="5DE85646"/>
    <w:rsid w:val="5E0BAFFA"/>
    <w:rsid w:val="5E2908CF"/>
    <w:rsid w:val="5E31F25B"/>
    <w:rsid w:val="5E40AC62"/>
    <w:rsid w:val="5E44AF98"/>
    <w:rsid w:val="5E64BE6E"/>
    <w:rsid w:val="5E784531"/>
    <w:rsid w:val="5E858E21"/>
    <w:rsid w:val="5E9EED47"/>
    <w:rsid w:val="5EAB2422"/>
    <w:rsid w:val="5EEA8EFC"/>
    <w:rsid w:val="5EF2365F"/>
    <w:rsid w:val="5F14858D"/>
    <w:rsid w:val="5F4B2777"/>
    <w:rsid w:val="5F4F70C7"/>
    <w:rsid w:val="5F68095E"/>
    <w:rsid w:val="5F72705B"/>
    <w:rsid w:val="5F777666"/>
    <w:rsid w:val="5F930CA9"/>
    <w:rsid w:val="5F9E15BB"/>
    <w:rsid w:val="5FCF1F94"/>
    <w:rsid w:val="5FD5CEB3"/>
    <w:rsid w:val="5FD7B512"/>
    <w:rsid w:val="5FDF3C8B"/>
    <w:rsid w:val="5FE0D301"/>
    <w:rsid w:val="5FE3296C"/>
    <w:rsid w:val="6056DDCD"/>
    <w:rsid w:val="605BD27A"/>
    <w:rsid w:val="6063F872"/>
    <w:rsid w:val="60990153"/>
    <w:rsid w:val="60A6D599"/>
    <w:rsid w:val="60BA9C7A"/>
    <w:rsid w:val="60BF7D5D"/>
    <w:rsid w:val="61064BC4"/>
    <w:rsid w:val="612D4973"/>
    <w:rsid w:val="614AA62B"/>
    <w:rsid w:val="61542E0C"/>
    <w:rsid w:val="6159EEBE"/>
    <w:rsid w:val="6193CAFA"/>
    <w:rsid w:val="61B260D7"/>
    <w:rsid w:val="61C7BDA0"/>
    <w:rsid w:val="61F8CEB7"/>
    <w:rsid w:val="62028FCE"/>
    <w:rsid w:val="6206F1D5"/>
    <w:rsid w:val="62096AAA"/>
    <w:rsid w:val="621040CE"/>
    <w:rsid w:val="6214F365"/>
    <w:rsid w:val="6227605A"/>
    <w:rsid w:val="62319490"/>
    <w:rsid w:val="623B33F4"/>
    <w:rsid w:val="6254D39C"/>
    <w:rsid w:val="62954207"/>
    <w:rsid w:val="62B1850E"/>
    <w:rsid w:val="62CAAD6B"/>
    <w:rsid w:val="62E57A11"/>
    <w:rsid w:val="62EAAE3C"/>
    <w:rsid w:val="62F7F263"/>
    <w:rsid w:val="630D136A"/>
    <w:rsid w:val="630D1456"/>
    <w:rsid w:val="6316DD4D"/>
    <w:rsid w:val="631FC9E8"/>
    <w:rsid w:val="633EFF46"/>
    <w:rsid w:val="6345571F"/>
    <w:rsid w:val="6359DAED"/>
    <w:rsid w:val="639E8A8D"/>
    <w:rsid w:val="63A9A3FA"/>
    <w:rsid w:val="63AC112F"/>
    <w:rsid w:val="63B82418"/>
    <w:rsid w:val="63BD1FB6"/>
    <w:rsid w:val="63EB98A0"/>
    <w:rsid w:val="641D71AB"/>
    <w:rsid w:val="643D423C"/>
    <w:rsid w:val="644873EF"/>
    <w:rsid w:val="64504795"/>
    <w:rsid w:val="645797CA"/>
    <w:rsid w:val="647EE850"/>
    <w:rsid w:val="64991AE4"/>
    <w:rsid w:val="64992264"/>
    <w:rsid w:val="649ECD61"/>
    <w:rsid w:val="64A0FE94"/>
    <w:rsid w:val="64A943E6"/>
    <w:rsid w:val="64D40030"/>
    <w:rsid w:val="64EAE0BD"/>
    <w:rsid w:val="6529F5A6"/>
    <w:rsid w:val="652EE9B6"/>
    <w:rsid w:val="653E84B3"/>
    <w:rsid w:val="654EC636"/>
    <w:rsid w:val="655F951B"/>
    <w:rsid w:val="6563EC1E"/>
    <w:rsid w:val="65730F06"/>
    <w:rsid w:val="657EBAE2"/>
    <w:rsid w:val="65B9420C"/>
    <w:rsid w:val="65D66FB0"/>
    <w:rsid w:val="65E620A9"/>
    <w:rsid w:val="65F3682B"/>
    <w:rsid w:val="661E29FA"/>
    <w:rsid w:val="66278004"/>
    <w:rsid w:val="6636317E"/>
    <w:rsid w:val="66AF3B17"/>
    <w:rsid w:val="66C83014"/>
    <w:rsid w:val="66EFAFA4"/>
    <w:rsid w:val="66F0D304"/>
    <w:rsid w:val="66FEA67D"/>
    <w:rsid w:val="66FF0DDD"/>
    <w:rsid w:val="671C3F66"/>
    <w:rsid w:val="671EBEDC"/>
    <w:rsid w:val="671EF562"/>
    <w:rsid w:val="6726B128"/>
    <w:rsid w:val="672F67FC"/>
    <w:rsid w:val="673567C3"/>
    <w:rsid w:val="6747170D"/>
    <w:rsid w:val="67603013"/>
    <w:rsid w:val="678042A9"/>
    <w:rsid w:val="67821885"/>
    <w:rsid w:val="6784F631"/>
    <w:rsid w:val="6790D375"/>
    <w:rsid w:val="67A7640C"/>
    <w:rsid w:val="67B8A9FB"/>
    <w:rsid w:val="67E2CB60"/>
    <w:rsid w:val="68150597"/>
    <w:rsid w:val="68460476"/>
    <w:rsid w:val="6857B257"/>
    <w:rsid w:val="685F9366"/>
    <w:rsid w:val="6863F9B3"/>
    <w:rsid w:val="686D188B"/>
    <w:rsid w:val="688DD371"/>
    <w:rsid w:val="68B05519"/>
    <w:rsid w:val="68BAA586"/>
    <w:rsid w:val="68C700C9"/>
    <w:rsid w:val="68F833A3"/>
    <w:rsid w:val="690A6AD2"/>
    <w:rsid w:val="690F7EC5"/>
    <w:rsid w:val="6910CA42"/>
    <w:rsid w:val="6932317B"/>
    <w:rsid w:val="693750D1"/>
    <w:rsid w:val="69452D87"/>
    <w:rsid w:val="69469FD6"/>
    <w:rsid w:val="69972B78"/>
    <w:rsid w:val="69A85DA5"/>
    <w:rsid w:val="69C31D0D"/>
    <w:rsid w:val="69E91EEE"/>
    <w:rsid w:val="69F09B2C"/>
    <w:rsid w:val="6A128152"/>
    <w:rsid w:val="6A129C65"/>
    <w:rsid w:val="6A347B10"/>
    <w:rsid w:val="6A42B586"/>
    <w:rsid w:val="6A5675E7"/>
    <w:rsid w:val="6A6B1782"/>
    <w:rsid w:val="6A6C9DBB"/>
    <w:rsid w:val="6A78D0F5"/>
    <w:rsid w:val="6A84F5FC"/>
    <w:rsid w:val="6A8BA828"/>
    <w:rsid w:val="6AC33B35"/>
    <w:rsid w:val="6AD594E6"/>
    <w:rsid w:val="6ADA83BD"/>
    <w:rsid w:val="6B1E3EE9"/>
    <w:rsid w:val="6B1E8AC9"/>
    <w:rsid w:val="6B63B8DB"/>
    <w:rsid w:val="6B749820"/>
    <w:rsid w:val="6BEFB089"/>
    <w:rsid w:val="6BF36091"/>
    <w:rsid w:val="6C077A3D"/>
    <w:rsid w:val="6C0F4CBF"/>
    <w:rsid w:val="6C40823D"/>
    <w:rsid w:val="6C47256F"/>
    <w:rsid w:val="6C6047E4"/>
    <w:rsid w:val="6C8B0BEC"/>
    <w:rsid w:val="6C973B1E"/>
    <w:rsid w:val="6C97B1B1"/>
    <w:rsid w:val="6C9C91FD"/>
    <w:rsid w:val="6CA94045"/>
    <w:rsid w:val="6CAFDBD4"/>
    <w:rsid w:val="6CBC6965"/>
    <w:rsid w:val="6CBC7622"/>
    <w:rsid w:val="6CC04D5D"/>
    <w:rsid w:val="6D1A4F6B"/>
    <w:rsid w:val="6D31615D"/>
    <w:rsid w:val="6D3F7A59"/>
    <w:rsid w:val="6D40BA1E"/>
    <w:rsid w:val="6D5E1B0F"/>
    <w:rsid w:val="6D682FF5"/>
    <w:rsid w:val="6D69F76C"/>
    <w:rsid w:val="6D8BCA83"/>
    <w:rsid w:val="6DA12EF5"/>
    <w:rsid w:val="6DA3B5BE"/>
    <w:rsid w:val="6DA4A947"/>
    <w:rsid w:val="6DCCAE66"/>
    <w:rsid w:val="6E0AE2A9"/>
    <w:rsid w:val="6E1B8351"/>
    <w:rsid w:val="6E20BE4C"/>
    <w:rsid w:val="6E475817"/>
    <w:rsid w:val="6E5E9DFD"/>
    <w:rsid w:val="6E91AD2D"/>
    <w:rsid w:val="6E9C8D94"/>
    <w:rsid w:val="6ECA118D"/>
    <w:rsid w:val="6ECB118A"/>
    <w:rsid w:val="6ED490FD"/>
    <w:rsid w:val="6ED79245"/>
    <w:rsid w:val="6F113E15"/>
    <w:rsid w:val="6F1B83EF"/>
    <w:rsid w:val="6F22409A"/>
    <w:rsid w:val="6F398A5C"/>
    <w:rsid w:val="6F3ADC4F"/>
    <w:rsid w:val="6F4079A8"/>
    <w:rsid w:val="6F43D384"/>
    <w:rsid w:val="6F4D52E7"/>
    <w:rsid w:val="6F6E43D9"/>
    <w:rsid w:val="6F773CA4"/>
    <w:rsid w:val="6F7EC049"/>
    <w:rsid w:val="6F9526B4"/>
    <w:rsid w:val="6FBAA4AA"/>
    <w:rsid w:val="6FC79C32"/>
    <w:rsid w:val="6FE050D4"/>
    <w:rsid w:val="6FEBB711"/>
    <w:rsid w:val="70480943"/>
    <w:rsid w:val="706CD9D4"/>
    <w:rsid w:val="706DD675"/>
    <w:rsid w:val="70782A70"/>
    <w:rsid w:val="7081169D"/>
    <w:rsid w:val="70A461D7"/>
    <w:rsid w:val="70A735C1"/>
    <w:rsid w:val="70DFA3E5"/>
    <w:rsid w:val="70F7F5C0"/>
    <w:rsid w:val="71030FEF"/>
    <w:rsid w:val="710B8625"/>
    <w:rsid w:val="711878FD"/>
    <w:rsid w:val="712451DD"/>
    <w:rsid w:val="7133C5FD"/>
    <w:rsid w:val="71373994"/>
    <w:rsid w:val="714DB8ED"/>
    <w:rsid w:val="71589A54"/>
    <w:rsid w:val="7177B919"/>
    <w:rsid w:val="718123E8"/>
    <w:rsid w:val="71817F2D"/>
    <w:rsid w:val="719BF0A0"/>
    <w:rsid w:val="71A3DEBA"/>
    <w:rsid w:val="71A6CB5C"/>
    <w:rsid w:val="71E22FFC"/>
    <w:rsid w:val="721CE6FE"/>
    <w:rsid w:val="72273B2A"/>
    <w:rsid w:val="72381DD7"/>
    <w:rsid w:val="725CDC5B"/>
    <w:rsid w:val="727535B8"/>
    <w:rsid w:val="7299A241"/>
    <w:rsid w:val="72D43E41"/>
    <w:rsid w:val="72D91B84"/>
    <w:rsid w:val="7305625B"/>
    <w:rsid w:val="730C8C15"/>
    <w:rsid w:val="7328BA23"/>
    <w:rsid w:val="734E7E46"/>
    <w:rsid w:val="73538D13"/>
    <w:rsid w:val="736BB0F2"/>
    <w:rsid w:val="7399A4B1"/>
    <w:rsid w:val="73B66805"/>
    <w:rsid w:val="73C83673"/>
    <w:rsid w:val="73D72963"/>
    <w:rsid w:val="7417BB05"/>
    <w:rsid w:val="742BA454"/>
    <w:rsid w:val="747DF140"/>
    <w:rsid w:val="747F3DBC"/>
    <w:rsid w:val="74A6E602"/>
    <w:rsid w:val="74AF9646"/>
    <w:rsid w:val="74B220D8"/>
    <w:rsid w:val="74B2D144"/>
    <w:rsid w:val="74C0B30A"/>
    <w:rsid w:val="74C6F3EA"/>
    <w:rsid w:val="74D23BDF"/>
    <w:rsid w:val="74DAFE41"/>
    <w:rsid w:val="74F0D4E0"/>
    <w:rsid w:val="7519A174"/>
    <w:rsid w:val="75208715"/>
    <w:rsid w:val="752F0571"/>
    <w:rsid w:val="754CCA83"/>
    <w:rsid w:val="75ACD67A"/>
    <w:rsid w:val="75CD1D29"/>
    <w:rsid w:val="76073720"/>
    <w:rsid w:val="7612FBC9"/>
    <w:rsid w:val="76371B6C"/>
    <w:rsid w:val="764EA1A5"/>
    <w:rsid w:val="76593504"/>
    <w:rsid w:val="765AA320"/>
    <w:rsid w:val="767BDB7F"/>
    <w:rsid w:val="76A74C71"/>
    <w:rsid w:val="76A89684"/>
    <w:rsid w:val="76AA7F22"/>
    <w:rsid w:val="76C2D895"/>
    <w:rsid w:val="76C3963D"/>
    <w:rsid w:val="76E74A67"/>
    <w:rsid w:val="76E89AE4"/>
    <w:rsid w:val="770747A5"/>
    <w:rsid w:val="7714E960"/>
    <w:rsid w:val="774A1334"/>
    <w:rsid w:val="775BBD95"/>
    <w:rsid w:val="7767B0EC"/>
    <w:rsid w:val="776A3A69"/>
    <w:rsid w:val="778C6B83"/>
    <w:rsid w:val="77AC68CD"/>
    <w:rsid w:val="77D8B9E9"/>
    <w:rsid w:val="77DE4F7D"/>
    <w:rsid w:val="784D0F05"/>
    <w:rsid w:val="788896B5"/>
    <w:rsid w:val="7894D246"/>
    <w:rsid w:val="78C6E54F"/>
    <w:rsid w:val="78D2E755"/>
    <w:rsid w:val="78F5EE1D"/>
    <w:rsid w:val="78FB68F2"/>
    <w:rsid w:val="7913D8B4"/>
    <w:rsid w:val="793345A9"/>
    <w:rsid w:val="79369514"/>
    <w:rsid w:val="7943952F"/>
    <w:rsid w:val="79D02F06"/>
    <w:rsid w:val="79D4E745"/>
    <w:rsid w:val="79DCB128"/>
    <w:rsid w:val="7A177336"/>
    <w:rsid w:val="7A3C53E2"/>
    <w:rsid w:val="7A4521CC"/>
    <w:rsid w:val="7A569C89"/>
    <w:rsid w:val="7A77106D"/>
    <w:rsid w:val="7A7A4C18"/>
    <w:rsid w:val="7A9E4B2E"/>
    <w:rsid w:val="7A9F51AE"/>
    <w:rsid w:val="7AB2CA22"/>
    <w:rsid w:val="7AC8662B"/>
    <w:rsid w:val="7ADAA843"/>
    <w:rsid w:val="7B0A7E22"/>
    <w:rsid w:val="7B4BC5ED"/>
    <w:rsid w:val="7B746718"/>
    <w:rsid w:val="7BBC0C07"/>
    <w:rsid w:val="7C3AE5B7"/>
    <w:rsid w:val="7C429241"/>
    <w:rsid w:val="7C43048E"/>
    <w:rsid w:val="7C45D822"/>
    <w:rsid w:val="7C8AFAC6"/>
    <w:rsid w:val="7C90204D"/>
    <w:rsid w:val="7CA4B489"/>
    <w:rsid w:val="7CADEF8C"/>
    <w:rsid w:val="7CCF643E"/>
    <w:rsid w:val="7CD75765"/>
    <w:rsid w:val="7CDE87C3"/>
    <w:rsid w:val="7CDF12BA"/>
    <w:rsid w:val="7CDF21BE"/>
    <w:rsid w:val="7CE07F8F"/>
    <w:rsid w:val="7D121CB4"/>
    <w:rsid w:val="7D33AD3F"/>
    <w:rsid w:val="7D3B13F7"/>
    <w:rsid w:val="7D4111DD"/>
    <w:rsid w:val="7D469F30"/>
    <w:rsid w:val="7D4ABAB7"/>
    <w:rsid w:val="7D57DC68"/>
    <w:rsid w:val="7D684E77"/>
    <w:rsid w:val="7D88EA8F"/>
    <w:rsid w:val="7DC6E970"/>
    <w:rsid w:val="7DCE1BD3"/>
    <w:rsid w:val="7DD5EA9F"/>
    <w:rsid w:val="7DF6A6BE"/>
    <w:rsid w:val="7DF9338F"/>
    <w:rsid w:val="7E1C3A52"/>
    <w:rsid w:val="7E28C790"/>
    <w:rsid w:val="7E3750C4"/>
    <w:rsid w:val="7E461B8E"/>
    <w:rsid w:val="7E4F4D27"/>
    <w:rsid w:val="7E6CAA88"/>
    <w:rsid w:val="7E84C956"/>
    <w:rsid w:val="7E9567A7"/>
    <w:rsid w:val="7EA01394"/>
    <w:rsid w:val="7EA8947A"/>
    <w:rsid w:val="7ED93823"/>
    <w:rsid w:val="7EFE1E72"/>
    <w:rsid w:val="7F10FAE1"/>
    <w:rsid w:val="7F16E372"/>
    <w:rsid w:val="7F2B636A"/>
    <w:rsid w:val="7F30C30A"/>
    <w:rsid w:val="7F52FCE8"/>
    <w:rsid w:val="7F54B047"/>
    <w:rsid w:val="7F556E0B"/>
    <w:rsid w:val="7F5C8422"/>
    <w:rsid w:val="7F6F1FD4"/>
    <w:rsid w:val="7FA2F5A1"/>
    <w:rsid w:val="7FAA04BA"/>
    <w:rsid w:val="7FB80AB3"/>
    <w:rsid w:val="7FCC08F8"/>
    <w:rsid w:val="7FD8D3D1"/>
    <w:rsid w:val="7FDA3590"/>
    <w:rsid w:val="7FF7F2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A8947A"/>
  <w15:chartTrackingRefBased/>
  <w15:docId w15:val="{17AE9D92-A3FF-4A70-BD20-8E209D4C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E555F"/>
    <w:pPr>
      <w:spacing w:after="0" w:line="240" w:lineRule="auto"/>
    </w:pPr>
  </w:style>
  <w:style w:type="character" w:styleId="Hyperlink">
    <w:name w:val="Hyperlink"/>
    <w:basedOn w:val="DefaultParagraphFont"/>
    <w:uiPriority w:val="99"/>
    <w:unhideWhenUsed/>
    <w:rsid w:val="008943DA"/>
    <w:rPr>
      <w:color w:val="0563C1" w:themeColor="hyperlink"/>
      <w:u w:val="single"/>
    </w:rPr>
  </w:style>
  <w:style w:type="character" w:styleId="UnresolvedMention">
    <w:name w:val="Unresolved Mention"/>
    <w:basedOn w:val="DefaultParagraphFont"/>
    <w:uiPriority w:val="99"/>
    <w:semiHidden/>
    <w:unhideWhenUsed/>
    <w:rsid w:val="008943D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37634"/>
    <w:rPr>
      <w:b/>
      <w:bCs/>
    </w:rPr>
  </w:style>
  <w:style w:type="character" w:customStyle="1" w:styleId="CommentSubjectChar">
    <w:name w:val="Comment Subject Char"/>
    <w:basedOn w:val="CommentTextChar"/>
    <w:link w:val="CommentSubject"/>
    <w:uiPriority w:val="99"/>
    <w:semiHidden/>
    <w:rsid w:val="00D37634"/>
    <w:rPr>
      <w:b/>
      <w:bCs/>
      <w:sz w:val="20"/>
      <w:szCs w:val="20"/>
    </w:rPr>
  </w:style>
  <w:style w:type="paragraph" w:styleId="ListParagraph">
    <w:name w:val="List Paragraph"/>
    <w:basedOn w:val="Normal"/>
    <w:link w:val="ListParagraphChar"/>
    <w:uiPriority w:val="34"/>
    <w:qFormat/>
    <w:rsid w:val="005328E8"/>
    <w:pPr>
      <w:spacing w:after="120" w:line="240" w:lineRule="auto"/>
      <w:ind w:left="720"/>
    </w:pPr>
    <w:rPr>
      <w:rFonts w:ascii="Arial" w:eastAsia="Times New Roman" w:hAnsi="Arial" w:cs="Arial"/>
      <w:szCs w:val="20"/>
    </w:rPr>
  </w:style>
  <w:style w:type="character" w:customStyle="1" w:styleId="ListParagraphChar">
    <w:name w:val="List Paragraph Char"/>
    <w:basedOn w:val="DefaultParagraphFont"/>
    <w:link w:val="ListParagraph"/>
    <w:uiPriority w:val="34"/>
    <w:locked/>
    <w:rsid w:val="005328E8"/>
    <w:rPr>
      <w:rFonts w:ascii="Arial" w:eastAsia="Times New Roman" w:hAnsi="Arial" w:cs="Arial"/>
      <w:szCs w:val="20"/>
    </w:rPr>
  </w:style>
  <w:style w:type="character" w:styleId="Mention">
    <w:name w:val="Mention"/>
    <w:basedOn w:val="DefaultParagraphFont"/>
    <w:uiPriority w:val="99"/>
    <w:unhideWhenUsed/>
    <w:rsid w:val="00FF4091"/>
    <w:rPr>
      <w:color w:val="2B579A"/>
      <w:shd w:val="clear" w:color="auto" w:fill="E6E6E6"/>
    </w:rPr>
  </w:style>
  <w:style w:type="paragraph" w:styleId="Header">
    <w:name w:val="header"/>
    <w:basedOn w:val="Normal"/>
    <w:link w:val="HeaderChar"/>
    <w:uiPriority w:val="99"/>
    <w:unhideWhenUsed/>
    <w:rsid w:val="00004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4B08"/>
  </w:style>
  <w:style w:type="paragraph" w:styleId="Footer">
    <w:name w:val="footer"/>
    <w:basedOn w:val="Normal"/>
    <w:link w:val="FooterChar"/>
    <w:uiPriority w:val="99"/>
    <w:unhideWhenUsed/>
    <w:rsid w:val="00004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4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36216">
      <w:bodyDiv w:val="1"/>
      <w:marLeft w:val="0"/>
      <w:marRight w:val="0"/>
      <w:marTop w:val="0"/>
      <w:marBottom w:val="0"/>
      <w:divBdr>
        <w:top w:val="none" w:sz="0" w:space="0" w:color="auto"/>
        <w:left w:val="none" w:sz="0" w:space="0" w:color="auto"/>
        <w:bottom w:val="none" w:sz="0" w:space="0" w:color="auto"/>
        <w:right w:val="none" w:sz="0" w:space="0" w:color="auto"/>
      </w:divBdr>
    </w:div>
    <w:div w:id="855928322">
      <w:bodyDiv w:val="1"/>
      <w:marLeft w:val="0"/>
      <w:marRight w:val="0"/>
      <w:marTop w:val="0"/>
      <w:marBottom w:val="0"/>
      <w:divBdr>
        <w:top w:val="none" w:sz="0" w:space="0" w:color="auto"/>
        <w:left w:val="none" w:sz="0" w:space="0" w:color="auto"/>
        <w:bottom w:val="none" w:sz="0" w:space="0" w:color="auto"/>
        <w:right w:val="none" w:sz="0" w:space="0" w:color="auto"/>
      </w:divBdr>
    </w:div>
    <w:div w:id="930505704">
      <w:bodyDiv w:val="1"/>
      <w:marLeft w:val="0"/>
      <w:marRight w:val="0"/>
      <w:marTop w:val="0"/>
      <w:marBottom w:val="0"/>
      <w:divBdr>
        <w:top w:val="none" w:sz="0" w:space="0" w:color="auto"/>
        <w:left w:val="none" w:sz="0" w:space="0" w:color="auto"/>
        <w:bottom w:val="none" w:sz="0" w:space="0" w:color="auto"/>
        <w:right w:val="none" w:sz="0" w:space="0" w:color="auto"/>
      </w:divBdr>
    </w:div>
    <w:div w:id="172956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ca.gov/funding-opportunities/funding-resources/ecams-resources/budget-category-guidance?auHash=cEItgat6JNbO9BFGeVqe4E5T6koCOgTaqliFX6bmwtg" TargetMode="External"/><Relationship Id="rId18" Type="http://schemas.openxmlformats.org/officeDocument/2006/relationships/hyperlink" Target="https://www.empowerinnovation.net/en/custom/funding/director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nergy.ca.gov/subscriptions" TargetMode="External"/><Relationship Id="rId17" Type="http://schemas.openxmlformats.org/officeDocument/2006/relationships/hyperlink" Target="https://www.energy.ca.gov/funding-opportunities/funding-resources/ecams-resources/budget-category-guidance?auHash=cEItgat6JNbO9BFGeVqe4E5T6koCOgTaqliFX6bmwtg" TargetMode="External"/><Relationship Id="rId2" Type="http://schemas.openxmlformats.org/officeDocument/2006/relationships/customXml" Target="../customXml/item2.xml"/><Relationship Id="rId16" Type="http://schemas.openxmlformats.org/officeDocument/2006/relationships/hyperlink" Target="https://www.energy.ca.gov/funding-opportunities/funding-resources/ecams-resources/budget-category-guidance?auHash=cEItgat6JNbO9BFGeVqe4E5T6koCOgTaqliFX6bmwt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y.ca.gov/funding-opportunities/funding-resources/ecams-resources/budget-category-guidance?auHash=cEItgat6JNbO9BFGeVqe4E5T6koCOgTaqliFX6bmwtg" TargetMode="External"/><Relationship Id="rId5" Type="http://schemas.openxmlformats.org/officeDocument/2006/relationships/numbering" Target="numbering.xml"/><Relationship Id="rId15" Type="http://schemas.openxmlformats.org/officeDocument/2006/relationships/hyperlink" Target="https://www.energy.ca.gov/funding-opportunities/funding-resources/ecams-resources/budget-category-guidance?auHash=cEItgat6JNbO9BFGeVqe4E5T6koCOgTaqliFX6bmwtg"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efiling.energy.ca.gov/GetDocument.aspx?tn=24195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y.ca.gov/subscrip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ate xmlns="785685f2-c2e1-4352-89aa-3faca8eaba52" xsi:nil="true"/>
    <SharedWithUsers xmlns="5067c814-4b34-462c-a21d-c185ff6548d2">
      <UserInfo>
        <DisplayName>Irish, Cory@Energy</DisplayName>
        <AccountId>142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8" ma:contentTypeDescription="Create a new document." ma:contentTypeScope="" ma:versionID="827d858ba6e95d61dcfb14a225713ed4">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cd4d4f18febc87fe52dd5c2eafc5b776"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A68CAB-49BA-48EF-AFE5-2E8CCE0284B9}">
  <ds:schemaRef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785685f2-c2e1-4352-89aa-3faca8eaba52"/>
    <ds:schemaRef ds:uri="http://schemas.openxmlformats.org/package/2006/metadata/core-properties"/>
    <ds:schemaRef ds:uri="5067c814-4b34-462c-a21d-c185ff6548d2"/>
    <ds:schemaRef ds:uri="http://purl.org/dc/terms/"/>
  </ds:schemaRefs>
</ds:datastoreItem>
</file>

<file path=customXml/itemProps2.xml><?xml version="1.0" encoding="utf-8"?>
<ds:datastoreItem xmlns:ds="http://schemas.openxmlformats.org/officeDocument/2006/customXml" ds:itemID="{65B62DA6-21B7-4AE3-A8F0-FC8AF5B20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F10C99-0D64-4118-B06B-1425D47E8751}">
  <ds:schemaRefs>
    <ds:schemaRef ds:uri="http://schemas.openxmlformats.org/officeDocument/2006/bibliography"/>
  </ds:schemaRefs>
</ds:datastoreItem>
</file>

<file path=customXml/itemProps4.xml><?xml version="1.0" encoding="utf-8"?>
<ds:datastoreItem xmlns:ds="http://schemas.openxmlformats.org/officeDocument/2006/customXml" ds:itemID="{4DBB43B1-E110-4588-99B7-69543A46F0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1668</TotalTime>
  <Pages>30</Pages>
  <Words>10002</Words>
  <Characters>57016</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GFO-23-606 Q&amp;A</vt:lpstr>
    </vt:vector>
  </TitlesOfParts>
  <Company/>
  <LinksUpToDate>false</LinksUpToDate>
  <CharactersWithSpaces>66885</CharactersWithSpaces>
  <SharedDoc>false</SharedDoc>
  <HLinks>
    <vt:vector size="324" baseType="variant">
      <vt:variant>
        <vt:i4>2031621</vt:i4>
      </vt:variant>
      <vt:variant>
        <vt:i4>24</vt:i4>
      </vt:variant>
      <vt:variant>
        <vt:i4>0</vt:i4>
      </vt:variant>
      <vt:variant>
        <vt:i4>5</vt:i4>
      </vt:variant>
      <vt:variant>
        <vt:lpwstr>https://efiling.energy.ca.gov/GetDocument.aspx?tn=241955</vt:lpwstr>
      </vt:variant>
      <vt:variant>
        <vt:lpwstr>:~:text=ready%20hardware%20designs.-,CEC%20staff%20recommends%20that%20charging%20providers%20pursue%20widespread%20deployment%20of,on%20market%20indicators%20described%20below</vt:lpwstr>
      </vt:variant>
      <vt:variant>
        <vt:i4>4522007</vt:i4>
      </vt:variant>
      <vt:variant>
        <vt:i4>21</vt:i4>
      </vt:variant>
      <vt:variant>
        <vt:i4>0</vt:i4>
      </vt:variant>
      <vt:variant>
        <vt:i4>5</vt:i4>
      </vt:variant>
      <vt:variant>
        <vt:lpwstr>https://www.empowerinnovation.net/en/custom/funding/directory</vt:lpwstr>
      </vt:variant>
      <vt:variant>
        <vt:lpwstr/>
      </vt:variant>
      <vt:variant>
        <vt:i4>4653082</vt:i4>
      </vt:variant>
      <vt:variant>
        <vt:i4>18</vt:i4>
      </vt:variant>
      <vt:variant>
        <vt:i4>0</vt:i4>
      </vt:variant>
      <vt:variant>
        <vt:i4>5</vt:i4>
      </vt:variant>
      <vt:variant>
        <vt:lpwstr>https://www.energy.ca.gov/funding-opportunities/funding-resources/ecams-resources/budget-category-guidance?auHash=cEItgat6JNbO9BFGeVqe4E5T6koCOgTaqliFX6bmwtg</vt:lpwstr>
      </vt:variant>
      <vt:variant>
        <vt:lpwstr/>
      </vt:variant>
      <vt:variant>
        <vt:i4>4653082</vt:i4>
      </vt:variant>
      <vt:variant>
        <vt:i4>15</vt:i4>
      </vt:variant>
      <vt:variant>
        <vt:i4>0</vt:i4>
      </vt:variant>
      <vt:variant>
        <vt:i4>5</vt:i4>
      </vt:variant>
      <vt:variant>
        <vt:lpwstr>https://www.energy.ca.gov/funding-opportunities/funding-resources/ecams-resources/budget-category-guidance?auHash=cEItgat6JNbO9BFGeVqe4E5T6koCOgTaqliFX6bmwtg</vt:lpwstr>
      </vt:variant>
      <vt:variant>
        <vt:lpwstr/>
      </vt:variant>
      <vt:variant>
        <vt:i4>4653082</vt:i4>
      </vt:variant>
      <vt:variant>
        <vt:i4>12</vt:i4>
      </vt:variant>
      <vt:variant>
        <vt:i4>0</vt:i4>
      </vt:variant>
      <vt:variant>
        <vt:i4>5</vt:i4>
      </vt:variant>
      <vt:variant>
        <vt:lpwstr>https://www.energy.ca.gov/funding-opportunities/funding-resources/ecams-resources/budget-category-guidance?auHash=cEItgat6JNbO9BFGeVqe4E5T6koCOgTaqliFX6bmwtg</vt:lpwstr>
      </vt:variant>
      <vt:variant>
        <vt:lpwstr/>
      </vt:variant>
      <vt:variant>
        <vt:i4>2293881</vt:i4>
      </vt:variant>
      <vt:variant>
        <vt:i4>9</vt:i4>
      </vt:variant>
      <vt:variant>
        <vt:i4>0</vt:i4>
      </vt:variant>
      <vt:variant>
        <vt:i4>5</vt:i4>
      </vt:variant>
      <vt:variant>
        <vt:lpwstr>https://www.energy.ca.gov/subscriptions</vt:lpwstr>
      </vt:variant>
      <vt:variant>
        <vt:lpwstr/>
      </vt:variant>
      <vt:variant>
        <vt:i4>4653082</vt:i4>
      </vt:variant>
      <vt:variant>
        <vt:i4>6</vt:i4>
      </vt:variant>
      <vt:variant>
        <vt:i4>0</vt:i4>
      </vt:variant>
      <vt:variant>
        <vt:i4>5</vt:i4>
      </vt:variant>
      <vt:variant>
        <vt:lpwstr>https://www.energy.ca.gov/funding-opportunities/funding-resources/ecams-resources/budget-category-guidance?auHash=cEItgat6JNbO9BFGeVqe4E5T6koCOgTaqliFX6bmwtg</vt:lpwstr>
      </vt:variant>
      <vt:variant>
        <vt:lpwstr/>
      </vt:variant>
      <vt:variant>
        <vt:i4>2293881</vt:i4>
      </vt:variant>
      <vt:variant>
        <vt:i4>3</vt:i4>
      </vt:variant>
      <vt:variant>
        <vt:i4>0</vt:i4>
      </vt:variant>
      <vt:variant>
        <vt:i4>5</vt:i4>
      </vt:variant>
      <vt:variant>
        <vt:lpwstr>https://www.energy.ca.gov/subscriptions</vt:lpwstr>
      </vt:variant>
      <vt:variant>
        <vt:lpwstr/>
      </vt:variant>
      <vt:variant>
        <vt:i4>4653082</vt:i4>
      </vt:variant>
      <vt:variant>
        <vt:i4>0</vt:i4>
      </vt:variant>
      <vt:variant>
        <vt:i4>0</vt:i4>
      </vt:variant>
      <vt:variant>
        <vt:i4>5</vt:i4>
      </vt:variant>
      <vt:variant>
        <vt:lpwstr>https://www.energy.ca.gov/funding-opportunities/funding-resources/ecams-resources/budget-category-guidance?auHash=cEItgat6JNbO9BFGeVqe4E5T6koCOgTaqliFX6bmwtg</vt:lpwstr>
      </vt:variant>
      <vt:variant>
        <vt:lpwstr/>
      </vt:variant>
      <vt:variant>
        <vt:i4>7864410</vt:i4>
      </vt:variant>
      <vt:variant>
        <vt:i4>132</vt:i4>
      </vt:variant>
      <vt:variant>
        <vt:i4>0</vt:i4>
      </vt:variant>
      <vt:variant>
        <vt:i4>5</vt:i4>
      </vt:variant>
      <vt:variant>
        <vt:lpwstr>mailto:Jaron.Weston@Energy.ca.gov</vt:lpwstr>
      </vt:variant>
      <vt:variant>
        <vt:lpwstr/>
      </vt:variant>
      <vt:variant>
        <vt:i4>40</vt:i4>
      </vt:variant>
      <vt:variant>
        <vt:i4>129</vt:i4>
      </vt:variant>
      <vt:variant>
        <vt:i4>0</vt:i4>
      </vt:variant>
      <vt:variant>
        <vt:i4>5</vt:i4>
      </vt:variant>
      <vt:variant>
        <vt:lpwstr>mailto:Madison.Jarvis@energy.ca.gov</vt:lpwstr>
      </vt:variant>
      <vt:variant>
        <vt:lpwstr/>
      </vt:variant>
      <vt:variant>
        <vt:i4>6226032</vt:i4>
      </vt:variant>
      <vt:variant>
        <vt:i4>126</vt:i4>
      </vt:variant>
      <vt:variant>
        <vt:i4>0</vt:i4>
      </vt:variant>
      <vt:variant>
        <vt:i4>5</vt:i4>
      </vt:variant>
      <vt:variant>
        <vt:lpwstr>mailto:nicholas.driemeyer@energy.ca.gov</vt:lpwstr>
      </vt:variant>
      <vt:variant>
        <vt:lpwstr/>
      </vt:variant>
      <vt:variant>
        <vt:i4>7864410</vt:i4>
      </vt:variant>
      <vt:variant>
        <vt:i4>123</vt:i4>
      </vt:variant>
      <vt:variant>
        <vt:i4>0</vt:i4>
      </vt:variant>
      <vt:variant>
        <vt:i4>5</vt:i4>
      </vt:variant>
      <vt:variant>
        <vt:lpwstr>mailto:Jaron.Weston@Energy.ca.gov</vt:lpwstr>
      </vt:variant>
      <vt:variant>
        <vt:lpwstr/>
      </vt:variant>
      <vt:variant>
        <vt:i4>40</vt:i4>
      </vt:variant>
      <vt:variant>
        <vt:i4>120</vt:i4>
      </vt:variant>
      <vt:variant>
        <vt:i4>0</vt:i4>
      </vt:variant>
      <vt:variant>
        <vt:i4>5</vt:i4>
      </vt:variant>
      <vt:variant>
        <vt:lpwstr>mailto:Madison.Jarvis@energy.ca.gov</vt:lpwstr>
      </vt:variant>
      <vt:variant>
        <vt:lpwstr/>
      </vt:variant>
      <vt:variant>
        <vt:i4>7340107</vt:i4>
      </vt:variant>
      <vt:variant>
        <vt:i4>117</vt:i4>
      </vt:variant>
      <vt:variant>
        <vt:i4>0</vt:i4>
      </vt:variant>
      <vt:variant>
        <vt:i4>5</vt:i4>
      </vt:variant>
      <vt:variant>
        <vt:lpwstr>mailto:Melanie.Vail@energy.ca.gov</vt:lpwstr>
      </vt:variant>
      <vt:variant>
        <vt:lpwstr/>
      </vt:variant>
      <vt:variant>
        <vt:i4>6357077</vt:i4>
      </vt:variant>
      <vt:variant>
        <vt:i4>114</vt:i4>
      </vt:variant>
      <vt:variant>
        <vt:i4>0</vt:i4>
      </vt:variant>
      <vt:variant>
        <vt:i4>5</vt:i4>
      </vt:variant>
      <vt:variant>
        <vt:lpwstr>mailto:Dustin.Schell@Energy.ca.gov</vt:lpwstr>
      </vt:variant>
      <vt:variant>
        <vt:lpwstr/>
      </vt:variant>
      <vt:variant>
        <vt:i4>7340107</vt:i4>
      </vt:variant>
      <vt:variant>
        <vt:i4>111</vt:i4>
      </vt:variant>
      <vt:variant>
        <vt:i4>0</vt:i4>
      </vt:variant>
      <vt:variant>
        <vt:i4>5</vt:i4>
      </vt:variant>
      <vt:variant>
        <vt:lpwstr>mailto:Melanie.Vail@energy.ca.gov</vt:lpwstr>
      </vt:variant>
      <vt:variant>
        <vt:lpwstr/>
      </vt:variant>
      <vt:variant>
        <vt:i4>7864410</vt:i4>
      </vt:variant>
      <vt:variant>
        <vt:i4>108</vt:i4>
      </vt:variant>
      <vt:variant>
        <vt:i4>0</vt:i4>
      </vt:variant>
      <vt:variant>
        <vt:i4>5</vt:i4>
      </vt:variant>
      <vt:variant>
        <vt:lpwstr>mailto:Jaron.Weston@Energy.ca.gov</vt:lpwstr>
      </vt:variant>
      <vt:variant>
        <vt:lpwstr/>
      </vt:variant>
      <vt:variant>
        <vt:i4>917560</vt:i4>
      </vt:variant>
      <vt:variant>
        <vt:i4>105</vt:i4>
      </vt:variant>
      <vt:variant>
        <vt:i4>0</vt:i4>
      </vt:variant>
      <vt:variant>
        <vt:i4>5</vt:i4>
      </vt:variant>
      <vt:variant>
        <vt:lpwstr>mailto:Jeffrey.Lu@energy.ca.gov</vt:lpwstr>
      </vt:variant>
      <vt:variant>
        <vt:lpwstr/>
      </vt:variant>
      <vt:variant>
        <vt:i4>4063247</vt:i4>
      </vt:variant>
      <vt:variant>
        <vt:i4>102</vt:i4>
      </vt:variant>
      <vt:variant>
        <vt:i4>0</vt:i4>
      </vt:variant>
      <vt:variant>
        <vt:i4>5</vt:i4>
      </vt:variant>
      <vt:variant>
        <vt:lpwstr>mailto:Corey.Permann@Energy.ca.gov</vt:lpwstr>
      </vt:variant>
      <vt:variant>
        <vt:lpwstr/>
      </vt:variant>
      <vt:variant>
        <vt:i4>7864410</vt:i4>
      </vt:variant>
      <vt:variant>
        <vt:i4>99</vt:i4>
      </vt:variant>
      <vt:variant>
        <vt:i4>0</vt:i4>
      </vt:variant>
      <vt:variant>
        <vt:i4>5</vt:i4>
      </vt:variant>
      <vt:variant>
        <vt:lpwstr>mailto:Jaron.Weston@Energy.ca.gov</vt:lpwstr>
      </vt:variant>
      <vt:variant>
        <vt:lpwstr/>
      </vt:variant>
      <vt:variant>
        <vt:i4>7864410</vt:i4>
      </vt:variant>
      <vt:variant>
        <vt:i4>96</vt:i4>
      </vt:variant>
      <vt:variant>
        <vt:i4>0</vt:i4>
      </vt:variant>
      <vt:variant>
        <vt:i4>5</vt:i4>
      </vt:variant>
      <vt:variant>
        <vt:lpwstr>mailto:Jaron.Weston@Energy.ca.gov</vt:lpwstr>
      </vt:variant>
      <vt:variant>
        <vt:lpwstr/>
      </vt:variant>
      <vt:variant>
        <vt:i4>5242998</vt:i4>
      </vt:variant>
      <vt:variant>
        <vt:i4>93</vt:i4>
      </vt:variant>
      <vt:variant>
        <vt:i4>0</vt:i4>
      </vt:variant>
      <vt:variant>
        <vt:i4>5</vt:i4>
      </vt:variant>
      <vt:variant>
        <vt:lpwstr>mailto:tomas.ortiz@energy.ca.gov</vt:lpwstr>
      </vt:variant>
      <vt:variant>
        <vt:lpwstr/>
      </vt:variant>
      <vt:variant>
        <vt:i4>5636199</vt:i4>
      </vt:variant>
      <vt:variant>
        <vt:i4>90</vt:i4>
      </vt:variant>
      <vt:variant>
        <vt:i4>0</vt:i4>
      </vt:variant>
      <vt:variant>
        <vt:i4>5</vt:i4>
      </vt:variant>
      <vt:variant>
        <vt:lpwstr>mailto:Danny.Leung@Energy.ca.gov</vt:lpwstr>
      </vt:variant>
      <vt:variant>
        <vt:lpwstr/>
      </vt:variant>
      <vt:variant>
        <vt:i4>7143496</vt:i4>
      </vt:variant>
      <vt:variant>
        <vt:i4>87</vt:i4>
      </vt:variant>
      <vt:variant>
        <vt:i4>0</vt:i4>
      </vt:variant>
      <vt:variant>
        <vt:i4>5</vt:i4>
      </vt:variant>
      <vt:variant>
        <vt:lpwstr>mailto:Bridey.Scully@Energy.ca.gov</vt:lpwstr>
      </vt:variant>
      <vt:variant>
        <vt:lpwstr/>
      </vt:variant>
      <vt:variant>
        <vt:i4>2686998</vt:i4>
      </vt:variant>
      <vt:variant>
        <vt:i4>84</vt:i4>
      </vt:variant>
      <vt:variant>
        <vt:i4>0</vt:i4>
      </vt:variant>
      <vt:variant>
        <vt:i4>5</vt:i4>
      </vt:variant>
      <vt:variant>
        <vt:lpwstr>mailto:Matthew.Jumps@Energy.ca.gov</vt:lpwstr>
      </vt:variant>
      <vt:variant>
        <vt:lpwstr/>
      </vt:variant>
      <vt:variant>
        <vt:i4>7143496</vt:i4>
      </vt:variant>
      <vt:variant>
        <vt:i4>81</vt:i4>
      </vt:variant>
      <vt:variant>
        <vt:i4>0</vt:i4>
      </vt:variant>
      <vt:variant>
        <vt:i4>5</vt:i4>
      </vt:variant>
      <vt:variant>
        <vt:lpwstr>mailto:Bridey.Scully@Energy.ca.gov</vt:lpwstr>
      </vt:variant>
      <vt:variant>
        <vt:lpwstr/>
      </vt:variant>
      <vt:variant>
        <vt:i4>5963899</vt:i4>
      </vt:variant>
      <vt:variant>
        <vt:i4>78</vt:i4>
      </vt:variant>
      <vt:variant>
        <vt:i4>0</vt:i4>
      </vt:variant>
      <vt:variant>
        <vt:i4>5</vt:i4>
      </vt:variant>
      <vt:variant>
        <vt:lpwstr>mailto:cory.irish@energy.ca.gov</vt:lpwstr>
      </vt:variant>
      <vt:variant>
        <vt:lpwstr/>
      </vt:variant>
      <vt:variant>
        <vt:i4>7012479</vt:i4>
      </vt:variant>
      <vt:variant>
        <vt:i4>75</vt:i4>
      </vt:variant>
      <vt:variant>
        <vt:i4>0</vt:i4>
      </vt:variant>
      <vt:variant>
        <vt:i4>5</vt:i4>
      </vt:variant>
      <vt:variant>
        <vt:lpwstr>https://casetext.com/regulation/california-code-of-regulations/title-14-natural-resources/division-6-resources-agency/chapter-3-guidelines-for-implementation-of-the-california-environmental-quality-act/article-19-categorical-exemptions/section-15301-existing-facilities</vt:lpwstr>
      </vt:variant>
      <vt:variant>
        <vt:lpwstr/>
      </vt:variant>
      <vt:variant>
        <vt:i4>4063247</vt:i4>
      </vt:variant>
      <vt:variant>
        <vt:i4>72</vt:i4>
      </vt:variant>
      <vt:variant>
        <vt:i4>0</vt:i4>
      </vt:variant>
      <vt:variant>
        <vt:i4>5</vt:i4>
      </vt:variant>
      <vt:variant>
        <vt:lpwstr>mailto:Corey.Permann@Energy.ca.gov</vt:lpwstr>
      </vt:variant>
      <vt:variant>
        <vt:lpwstr/>
      </vt:variant>
      <vt:variant>
        <vt:i4>40</vt:i4>
      </vt:variant>
      <vt:variant>
        <vt:i4>69</vt:i4>
      </vt:variant>
      <vt:variant>
        <vt:i4>0</vt:i4>
      </vt:variant>
      <vt:variant>
        <vt:i4>5</vt:i4>
      </vt:variant>
      <vt:variant>
        <vt:lpwstr>mailto:Madison.Jarvis@energy.ca.gov</vt:lpwstr>
      </vt:variant>
      <vt:variant>
        <vt:lpwstr/>
      </vt:variant>
      <vt:variant>
        <vt:i4>6226032</vt:i4>
      </vt:variant>
      <vt:variant>
        <vt:i4>66</vt:i4>
      </vt:variant>
      <vt:variant>
        <vt:i4>0</vt:i4>
      </vt:variant>
      <vt:variant>
        <vt:i4>5</vt:i4>
      </vt:variant>
      <vt:variant>
        <vt:lpwstr>mailto:nicholas.driemeyer@energy.ca.gov</vt:lpwstr>
      </vt:variant>
      <vt:variant>
        <vt:lpwstr/>
      </vt:variant>
      <vt:variant>
        <vt:i4>7864410</vt:i4>
      </vt:variant>
      <vt:variant>
        <vt:i4>63</vt:i4>
      </vt:variant>
      <vt:variant>
        <vt:i4>0</vt:i4>
      </vt:variant>
      <vt:variant>
        <vt:i4>5</vt:i4>
      </vt:variant>
      <vt:variant>
        <vt:lpwstr>mailto:Jaron.Weston@Energy.ca.gov</vt:lpwstr>
      </vt:variant>
      <vt:variant>
        <vt:lpwstr/>
      </vt:variant>
      <vt:variant>
        <vt:i4>7864410</vt:i4>
      </vt:variant>
      <vt:variant>
        <vt:i4>60</vt:i4>
      </vt:variant>
      <vt:variant>
        <vt:i4>0</vt:i4>
      </vt:variant>
      <vt:variant>
        <vt:i4>5</vt:i4>
      </vt:variant>
      <vt:variant>
        <vt:lpwstr>mailto:Jaron.Weston@Energy.ca.gov</vt:lpwstr>
      </vt:variant>
      <vt:variant>
        <vt:lpwstr/>
      </vt:variant>
      <vt:variant>
        <vt:i4>40</vt:i4>
      </vt:variant>
      <vt:variant>
        <vt:i4>57</vt:i4>
      </vt:variant>
      <vt:variant>
        <vt:i4>0</vt:i4>
      </vt:variant>
      <vt:variant>
        <vt:i4>5</vt:i4>
      </vt:variant>
      <vt:variant>
        <vt:lpwstr>mailto:Madison.Jarvis@energy.ca.gov</vt:lpwstr>
      </vt:variant>
      <vt:variant>
        <vt:lpwstr/>
      </vt:variant>
      <vt:variant>
        <vt:i4>4063247</vt:i4>
      </vt:variant>
      <vt:variant>
        <vt:i4>54</vt:i4>
      </vt:variant>
      <vt:variant>
        <vt:i4>0</vt:i4>
      </vt:variant>
      <vt:variant>
        <vt:i4>5</vt:i4>
      </vt:variant>
      <vt:variant>
        <vt:lpwstr>mailto:Corey.Permann@Energy.ca.gov</vt:lpwstr>
      </vt:variant>
      <vt:variant>
        <vt:lpwstr/>
      </vt:variant>
      <vt:variant>
        <vt:i4>7864410</vt:i4>
      </vt:variant>
      <vt:variant>
        <vt:i4>51</vt:i4>
      </vt:variant>
      <vt:variant>
        <vt:i4>0</vt:i4>
      </vt:variant>
      <vt:variant>
        <vt:i4>5</vt:i4>
      </vt:variant>
      <vt:variant>
        <vt:lpwstr>mailto:Jaron.Weston@Energy.ca.gov</vt:lpwstr>
      </vt:variant>
      <vt:variant>
        <vt:lpwstr/>
      </vt:variant>
      <vt:variant>
        <vt:i4>2818050</vt:i4>
      </vt:variant>
      <vt:variant>
        <vt:i4>48</vt:i4>
      </vt:variant>
      <vt:variant>
        <vt:i4>0</vt:i4>
      </vt:variant>
      <vt:variant>
        <vt:i4>5</vt:i4>
      </vt:variant>
      <vt:variant>
        <vt:lpwstr>mailto:Raj.Dixit@energy.ca.gov</vt:lpwstr>
      </vt:variant>
      <vt:variant>
        <vt:lpwstr/>
      </vt:variant>
      <vt:variant>
        <vt:i4>6226032</vt:i4>
      </vt:variant>
      <vt:variant>
        <vt:i4>45</vt:i4>
      </vt:variant>
      <vt:variant>
        <vt:i4>0</vt:i4>
      </vt:variant>
      <vt:variant>
        <vt:i4>5</vt:i4>
      </vt:variant>
      <vt:variant>
        <vt:lpwstr>mailto:nicholas.driemeyer@energy.ca.gov</vt:lpwstr>
      </vt:variant>
      <vt:variant>
        <vt:lpwstr/>
      </vt:variant>
      <vt:variant>
        <vt:i4>7864410</vt:i4>
      </vt:variant>
      <vt:variant>
        <vt:i4>42</vt:i4>
      </vt:variant>
      <vt:variant>
        <vt:i4>0</vt:i4>
      </vt:variant>
      <vt:variant>
        <vt:i4>5</vt:i4>
      </vt:variant>
      <vt:variant>
        <vt:lpwstr>mailto:Jaron.Weston@Energy.ca.gov</vt:lpwstr>
      </vt:variant>
      <vt:variant>
        <vt:lpwstr/>
      </vt:variant>
      <vt:variant>
        <vt:i4>40</vt:i4>
      </vt:variant>
      <vt:variant>
        <vt:i4>39</vt:i4>
      </vt:variant>
      <vt:variant>
        <vt:i4>0</vt:i4>
      </vt:variant>
      <vt:variant>
        <vt:i4>5</vt:i4>
      </vt:variant>
      <vt:variant>
        <vt:lpwstr>mailto:Madison.Jarvis@energy.ca.gov</vt:lpwstr>
      </vt:variant>
      <vt:variant>
        <vt:lpwstr/>
      </vt:variant>
      <vt:variant>
        <vt:i4>40</vt:i4>
      </vt:variant>
      <vt:variant>
        <vt:i4>36</vt:i4>
      </vt:variant>
      <vt:variant>
        <vt:i4>0</vt:i4>
      </vt:variant>
      <vt:variant>
        <vt:i4>5</vt:i4>
      </vt:variant>
      <vt:variant>
        <vt:lpwstr>mailto:Madison.Jarvis@energy.ca.gov</vt:lpwstr>
      </vt:variant>
      <vt:variant>
        <vt:lpwstr/>
      </vt:variant>
      <vt:variant>
        <vt:i4>6226032</vt:i4>
      </vt:variant>
      <vt:variant>
        <vt:i4>33</vt:i4>
      </vt:variant>
      <vt:variant>
        <vt:i4>0</vt:i4>
      </vt:variant>
      <vt:variant>
        <vt:i4>5</vt:i4>
      </vt:variant>
      <vt:variant>
        <vt:lpwstr>mailto:nicholas.driemeyer@energy.ca.gov</vt:lpwstr>
      </vt:variant>
      <vt:variant>
        <vt:lpwstr/>
      </vt:variant>
      <vt:variant>
        <vt:i4>40</vt:i4>
      </vt:variant>
      <vt:variant>
        <vt:i4>30</vt:i4>
      </vt:variant>
      <vt:variant>
        <vt:i4>0</vt:i4>
      </vt:variant>
      <vt:variant>
        <vt:i4>5</vt:i4>
      </vt:variant>
      <vt:variant>
        <vt:lpwstr>mailto:Madison.Jarvis@energy.ca.gov</vt:lpwstr>
      </vt:variant>
      <vt:variant>
        <vt:lpwstr/>
      </vt:variant>
      <vt:variant>
        <vt:i4>2818050</vt:i4>
      </vt:variant>
      <vt:variant>
        <vt:i4>27</vt:i4>
      </vt:variant>
      <vt:variant>
        <vt:i4>0</vt:i4>
      </vt:variant>
      <vt:variant>
        <vt:i4>5</vt:i4>
      </vt:variant>
      <vt:variant>
        <vt:lpwstr>mailto:Raj.Dixit@energy.ca.gov</vt:lpwstr>
      </vt:variant>
      <vt:variant>
        <vt:lpwstr/>
      </vt:variant>
      <vt:variant>
        <vt:i4>4063247</vt:i4>
      </vt:variant>
      <vt:variant>
        <vt:i4>24</vt:i4>
      </vt:variant>
      <vt:variant>
        <vt:i4>0</vt:i4>
      </vt:variant>
      <vt:variant>
        <vt:i4>5</vt:i4>
      </vt:variant>
      <vt:variant>
        <vt:lpwstr>mailto:Corey.Permann@Energy.ca.gov</vt:lpwstr>
      </vt:variant>
      <vt:variant>
        <vt:lpwstr/>
      </vt:variant>
      <vt:variant>
        <vt:i4>40</vt:i4>
      </vt:variant>
      <vt:variant>
        <vt:i4>21</vt:i4>
      </vt:variant>
      <vt:variant>
        <vt:i4>0</vt:i4>
      </vt:variant>
      <vt:variant>
        <vt:i4>5</vt:i4>
      </vt:variant>
      <vt:variant>
        <vt:lpwstr>mailto:Madison.Jarvis@energy.ca.gov</vt:lpwstr>
      </vt:variant>
      <vt:variant>
        <vt:lpwstr/>
      </vt:variant>
      <vt:variant>
        <vt:i4>6226032</vt:i4>
      </vt:variant>
      <vt:variant>
        <vt:i4>18</vt:i4>
      </vt:variant>
      <vt:variant>
        <vt:i4>0</vt:i4>
      </vt:variant>
      <vt:variant>
        <vt:i4>5</vt:i4>
      </vt:variant>
      <vt:variant>
        <vt:lpwstr>mailto:nicholas.driemeyer@energy.ca.gov</vt:lpwstr>
      </vt:variant>
      <vt:variant>
        <vt:lpwstr/>
      </vt:variant>
      <vt:variant>
        <vt:i4>4063247</vt:i4>
      </vt:variant>
      <vt:variant>
        <vt:i4>15</vt:i4>
      </vt:variant>
      <vt:variant>
        <vt:i4>0</vt:i4>
      </vt:variant>
      <vt:variant>
        <vt:i4>5</vt:i4>
      </vt:variant>
      <vt:variant>
        <vt:lpwstr>mailto:Corey.Permann@Energy.ca.gov</vt:lpwstr>
      </vt:variant>
      <vt:variant>
        <vt:lpwstr/>
      </vt:variant>
      <vt:variant>
        <vt:i4>7864410</vt:i4>
      </vt:variant>
      <vt:variant>
        <vt:i4>12</vt:i4>
      </vt:variant>
      <vt:variant>
        <vt:i4>0</vt:i4>
      </vt:variant>
      <vt:variant>
        <vt:i4>5</vt:i4>
      </vt:variant>
      <vt:variant>
        <vt:lpwstr>mailto:Jaron.Weston@Energy.ca.gov</vt:lpwstr>
      </vt:variant>
      <vt:variant>
        <vt:lpwstr/>
      </vt:variant>
      <vt:variant>
        <vt:i4>2818050</vt:i4>
      </vt:variant>
      <vt:variant>
        <vt:i4>9</vt:i4>
      </vt:variant>
      <vt:variant>
        <vt:i4>0</vt:i4>
      </vt:variant>
      <vt:variant>
        <vt:i4>5</vt:i4>
      </vt:variant>
      <vt:variant>
        <vt:lpwstr>mailto:Raj.Dixit@energy.ca.gov</vt:lpwstr>
      </vt:variant>
      <vt:variant>
        <vt:lpwstr/>
      </vt:variant>
      <vt:variant>
        <vt:i4>40</vt:i4>
      </vt:variant>
      <vt:variant>
        <vt:i4>6</vt:i4>
      </vt:variant>
      <vt:variant>
        <vt:i4>0</vt:i4>
      </vt:variant>
      <vt:variant>
        <vt:i4>5</vt:i4>
      </vt:variant>
      <vt:variant>
        <vt:lpwstr>mailto:Madison.Jarvis@energy.ca.gov</vt:lpwstr>
      </vt:variant>
      <vt:variant>
        <vt:lpwstr/>
      </vt:variant>
      <vt:variant>
        <vt:i4>6226032</vt:i4>
      </vt:variant>
      <vt:variant>
        <vt:i4>3</vt:i4>
      </vt:variant>
      <vt:variant>
        <vt:i4>0</vt:i4>
      </vt:variant>
      <vt:variant>
        <vt:i4>5</vt:i4>
      </vt:variant>
      <vt:variant>
        <vt:lpwstr>mailto:nicholas.driemeyer@energy.ca.gov</vt:lpwstr>
      </vt:variant>
      <vt:variant>
        <vt:lpwstr/>
      </vt:variant>
      <vt:variant>
        <vt:i4>7340107</vt:i4>
      </vt:variant>
      <vt:variant>
        <vt:i4>0</vt:i4>
      </vt:variant>
      <vt:variant>
        <vt:i4>0</vt:i4>
      </vt:variant>
      <vt:variant>
        <vt:i4>5</vt:i4>
      </vt:variant>
      <vt:variant>
        <vt:lpwstr>mailto:Melanie.Vail@energy.ca.gov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GFO-23-606 Questions and Answers</dc:title>
  <dc:subject/>
  <dc:creator>Jarvis, Madison@Energy</dc:creator>
  <cp:keywords/>
  <dc:description/>
  <cp:lastModifiedBy>Cary, Eilene@Energy</cp:lastModifiedBy>
  <cp:revision>1167</cp:revision>
  <dcterms:created xsi:type="dcterms:W3CDTF">2024-01-11T19:13:00Z</dcterms:created>
  <dcterms:modified xsi:type="dcterms:W3CDTF">2024-03-26T00:54:00Z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