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716113FC" w14:textId="77777777" w:rsidR="008B4D47" w:rsidRPr="008B4D47" w:rsidRDefault="008B4D47" w:rsidP="008B4D47"/>
    <w:p w14:paraId="34488C1B" w14:textId="77777777" w:rsidR="00B07986" w:rsidRPr="002A1E32" w:rsidRDefault="008B4D47" w:rsidP="008B4D47">
      <w:pPr>
        <w:rPr>
          <w:b/>
          <w:sz w:val="20"/>
        </w:rPr>
      </w:pPr>
      <w:r w:rsidRPr="002A1E32">
        <w:t>Solicitation Managers should select the sub-criteria below which are relevant most relevant to the solicitation. The sub-criteria have been categorized by solicitation type – Applied Research and Development, Technology Demonstration and Deployment, and Non-Technology Development. Solicitation managers should also ensure the sub-criteria here, including any changes to the sub-criteria, match the scoring criteria in the solicitation manual.</w:t>
      </w:r>
    </w:p>
    <w:p w14:paraId="5E33AE77" w14:textId="77777777" w:rsidR="00E45742" w:rsidRPr="008B4D47" w:rsidRDefault="00E45742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026112D2" w14:textId="44FE7765" w:rsidR="00457B34" w:rsidRPr="00457B34" w:rsidRDefault="00457B34" w:rsidP="00C15C8E">
      <w:pPr>
        <w:pStyle w:val="ListParagraph"/>
        <w:numPr>
          <w:ilvl w:val="0"/>
          <w:numId w:val="21"/>
        </w:numPr>
      </w:pPr>
      <w:r w:rsidRPr="000C69DC">
        <w:t xml:space="preserve">The proposed project provides a clear and concise description of the technological, scientific knowledge advancement, and/or innovation that </w:t>
      </w:r>
      <w:r w:rsidRPr="00457B34">
        <w:t xml:space="preserve">will overcome barriers to achieving the State’s statutory energy goals. </w:t>
      </w:r>
    </w:p>
    <w:p w14:paraId="7E5E1A48" w14:textId="447F36FC" w:rsidR="00457B34" w:rsidRPr="00457B34" w:rsidRDefault="00457B34" w:rsidP="00C15C8E">
      <w:pPr>
        <w:pStyle w:val="ListParagraph"/>
        <w:numPr>
          <w:ilvl w:val="0"/>
          <w:numId w:val="21"/>
        </w:numPr>
      </w:pPr>
      <w:r w:rsidRPr="00457B34">
        <w:t>Provides the proposed technical specifications and describe how the project will meet or exceed the technical specifications by the end of the project.</w:t>
      </w:r>
    </w:p>
    <w:p w14:paraId="0F5703A0" w14:textId="6B625A10" w:rsidR="00457B34" w:rsidRPr="00457B34" w:rsidRDefault="00457B34" w:rsidP="00C15C8E">
      <w:pPr>
        <w:pStyle w:val="ListParagraph"/>
        <w:numPr>
          <w:ilvl w:val="0"/>
          <w:numId w:val="21"/>
        </w:numPr>
      </w:pPr>
      <w:r w:rsidRPr="00457B34">
        <w:t>Describe how the proposed field experiments or pilot testing will be used by key stakeholders (</w:t>
      </w:r>
      <w:proofErr w:type="gramStart"/>
      <w:r w:rsidRPr="00457B34">
        <w:t>e.g.</w:t>
      </w:r>
      <w:proofErr w:type="gramEnd"/>
      <w:r w:rsidRPr="00457B34">
        <w:t xml:space="preserve"> policy-makers, project developers, other researchers, etc.).</w:t>
      </w:r>
    </w:p>
    <w:p w14:paraId="6D8DA68C" w14:textId="49B4131C" w:rsidR="00457B34" w:rsidRPr="00457B34" w:rsidRDefault="00457B34" w:rsidP="00C15C8E">
      <w:pPr>
        <w:pStyle w:val="ListParagraph"/>
        <w:numPr>
          <w:ilvl w:val="0"/>
          <w:numId w:val="21"/>
        </w:numPr>
      </w:pPr>
      <w:r w:rsidRPr="00457B34">
        <w:t>Describes the advantage of the proposed study over that currently being used by key stakeholders.</w:t>
      </w:r>
    </w:p>
    <w:p w14:paraId="1BAE4674" w14:textId="37A10020" w:rsidR="00BE0F7E" w:rsidRPr="00C15C8E" w:rsidRDefault="00BE0F7E" w:rsidP="008B4D47">
      <w:pPr>
        <w:rPr>
          <w:color w:val="0070C0"/>
        </w:rPr>
      </w:pPr>
    </w:p>
    <w:p w14:paraId="24C938A6" w14:textId="77777777" w:rsidR="00E45742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098F6C3" w14:textId="77777777" w:rsidR="0029581B" w:rsidRPr="00FD4970" w:rsidRDefault="0029581B" w:rsidP="00C508A6">
      <w:pPr>
        <w:rPr>
          <w:b/>
        </w:rPr>
      </w:pPr>
    </w:p>
    <w:p w14:paraId="09AFDEA9" w14:textId="553CAA7B" w:rsidR="0029581B" w:rsidRDefault="0029581B" w:rsidP="00C15C8E">
      <w:pPr>
        <w:pStyle w:val="ListParagraph"/>
        <w:numPr>
          <w:ilvl w:val="0"/>
          <w:numId w:val="22"/>
        </w:numPr>
      </w:pPr>
      <w:r>
        <w:t xml:space="preserve">Proposal describes the technique, approach, and methods to be used in performing the work described in the Scope of Work. </w:t>
      </w:r>
    </w:p>
    <w:p w14:paraId="3AFDBD81" w14:textId="7C862BD8" w:rsidR="0029581B" w:rsidRDefault="0029581B" w:rsidP="00C15C8E">
      <w:pPr>
        <w:pStyle w:val="ListParagraph"/>
        <w:numPr>
          <w:ilvl w:val="0"/>
          <w:numId w:val="22"/>
        </w:numPr>
      </w:pPr>
      <w:r>
        <w:t>The Scope of Work identifies goals, objectives, and deliverables, details the work to be performed, and aligns with the information presented in Project Narrative.</w:t>
      </w:r>
    </w:p>
    <w:p w14:paraId="335BDBF9" w14:textId="6EB5BD9E" w:rsidR="0029581B" w:rsidRDefault="0029581B" w:rsidP="00C15C8E">
      <w:pPr>
        <w:pStyle w:val="ListParagraph"/>
        <w:numPr>
          <w:ilvl w:val="0"/>
          <w:numId w:val="22"/>
        </w:numPr>
      </w:pPr>
      <w:r>
        <w:t>Proposal identifies the reliability that the project and site recommendations as described will be carried out if funds are awarded.</w:t>
      </w:r>
    </w:p>
    <w:p w14:paraId="6612BEB0" w14:textId="14678F89" w:rsidR="0029581B" w:rsidRDefault="0029581B" w:rsidP="00C15C8E">
      <w:pPr>
        <w:pStyle w:val="ListParagraph"/>
        <w:numPr>
          <w:ilvl w:val="0"/>
          <w:numId w:val="22"/>
        </w:numPr>
      </w:pPr>
      <w:r>
        <w:t>Identifies and discusses factors critical for success, in addition to risks, barriers, and limitations (</w:t>
      </w:r>
      <w:proofErr w:type="gramStart"/>
      <w:r>
        <w:t>e.g.</w:t>
      </w:r>
      <w:proofErr w:type="gramEnd"/>
      <w:r>
        <w:t xml:space="preserve"> loss of demonstration site, key subrecipients).  Provides a plan to address them. </w:t>
      </w:r>
    </w:p>
    <w:p w14:paraId="782A60F7" w14:textId="47A41FAE" w:rsidR="0029581B" w:rsidRDefault="0029581B" w:rsidP="00C15C8E">
      <w:pPr>
        <w:pStyle w:val="ListParagraph"/>
        <w:numPr>
          <w:ilvl w:val="0"/>
          <w:numId w:val="22"/>
        </w:numPr>
      </w:pPr>
      <w:r>
        <w:t>Discusses the degree to which the proposed work is technically feasible and achievable within the proposed Project Schedule and the key activities schedule in Section I.E.</w:t>
      </w:r>
    </w:p>
    <w:p w14:paraId="0CD6EDAD" w14:textId="6981425C" w:rsidR="0029581B" w:rsidRDefault="0029581B" w:rsidP="00C15C8E">
      <w:pPr>
        <w:pStyle w:val="ListParagraph"/>
        <w:numPr>
          <w:ilvl w:val="0"/>
          <w:numId w:val="22"/>
        </w:numPr>
      </w:pPr>
      <w:r>
        <w:t>Describes the knowledge transfer plan, including how key stakeholders and potential users will be engaged, and the plan to disseminate knowledge of the project’s results to those stakeholders and users.</w:t>
      </w:r>
    </w:p>
    <w:p w14:paraId="2C68C8C3" w14:textId="2549A665" w:rsidR="0029581B" w:rsidRDefault="0029581B" w:rsidP="00C15C8E">
      <w:pPr>
        <w:pStyle w:val="ListParagraph"/>
        <w:numPr>
          <w:ilvl w:val="0"/>
          <w:numId w:val="22"/>
        </w:numPr>
      </w:pPr>
      <w:r>
        <w:t>Provides information documenting progress towards achieving compliance with the California Environmental Quality Act (CEQA) by addressing the areas in Section I.I and Section III.D.3., and Section III.D.8</w:t>
      </w:r>
    </w:p>
    <w:p w14:paraId="4AEA9C2F" w14:textId="6F143E82" w:rsidR="0029581B" w:rsidRDefault="0029581B" w:rsidP="00C15C8E">
      <w:pPr>
        <w:pStyle w:val="ListParagraph"/>
        <w:numPr>
          <w:ilvl w:val="0"/>
          <w:numId w:val="22"/>
        </w:numPr>
      </w:pPr>
      <w:r>
        <w:t>Provides information described in Section I.C.</w:t>
      </w:r>
    </w:p>
    <w:p w14:paraId="5D08570A" w14:textId="77777777" w:rsidR="008B4D47" w:rsidRDefault="008B4D47" w:rsidP="00C9548D"/>
    <w:p w14:paraId="69552B8A" w14:textId="77777777" w:rsidR="00FE7138" w:rsidRDefault="00FE7138" w:rsidP="00C9548D"/>
    <w:p w14:paraId="6A9E1EE0" w14:textId="77777777" w:rsidR="00FE7138" w:rsidRDefault="00FE7138" w:rsidP="00C9548D"/>
    <w:p w14:paraId="06E8A4D0" w14:textId="1D6FDAC3" w:rsidR="00FE7138" w:rsidRDefault="00FE7138" w:rsidP="00C9548D">
      <w:r>
        <w:lastRenderedPageBreak/>
        <w:br/>
      </w:r>
    </w:p>
    <w:p w14:paraId="20EE815E" w14:textId="77777777" w:rsidR="00FE7138" w:rsidRPr="008B4D47" w:rsidRDefault="00FE7138" w:rsidP="00C9548D"/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2EFEE45C" w14:textId="77777777" w:rsidR="00E45742" w:rsidRPr="00E45742" w:rsidRDefault="00E45742" w:rsidP="008B4D47"/>
    <w:p w14:paraId="798FBF4D" w14:textId="77777777" w:rsidR="005866D1" w:rsidRPr="005866D1" w:rsidRDefault="005866D1" w:rsidP="00C15C8E">
      <w:pPr>
        <w:numPr>
          <w:ilvl w:val="0"/>
          <w:numId w:val="5"/>
        </w:numPr>
        <w:spacing w:after="60"/>
        <w:ind w:left="660"/>
        <w:jc w:val="left"/>
        <w:rPr>
          <w:szCs w:val="20"/>
        </w:rPr>
      </w:pPr>
      <w:r w:rsidRPr="005866D1">
        <w:rPr>
          <w:szCs w:val="20"/>
        </w:rPr>
        <w:t xml:space="preserve">Explains how the proposed project will benefit California Gas Investor-Owned Utility (Gas IOU) ratepayers and provides clear, plausible, and justifiable (quantitative preferred) potential benefits. Estimates the energy benefits including: </w:t>
      </w:r>
    </w:p>
    <w:p w14:paraId="1AAAE04A" w14:textId="77777777" w:rsidR="005866D1" w:rsidRPr="002A1E32" w:rsidRDefault="005866D1" w:rsidP="00C15C8E">
      <w:pPr>
        <w:numPr>
          <w:ilvl w:val="1"/>
          <w:numId w:val="7"/>
        </w:numPr>
        <w:spacing w:after="60"/>
        <w:ind w:left="960"/>
        <w:jc w:val="left"/>
        <w:rPr>
          <w:szCs w:val="20"/>
        </w:rPr>
      </w:pPr>
      <w:r w:rsidRPr="002A1E32">
        <w:rPr>
          <w:szCs w:val="20"/>
        </w:rPr>
        <w:t>energy affordability and reliability during periods of peak winter demand.</w:t>
      </w:r>
    </w:p>
    <w:p w14:paraId="286B3F57" w14:textId="77777777" w:rsidR="005866D1" w:rsidRPr="002A1E32" w:rsidRDefault="005866D1" w:rsidP="00C15C8E">
      <w:pPr>
        <w:numPr>
          <w:ilvl w:val="1"/>
          <w:numId w:val="7"/>
        </w:numPr>
        <w:spacing w:after="60"/>
        <w:ind w:left="960"/>
        <w:jc w:val="left"/>
        <w:rPr>
          <w:szCs w:val="20"/>
        </w:rPr>
      </w:pPr>
      <w:r w:rsidRPr="002A1E32">
        <w:rPr>
          <w:szCs w:val="20"/>
        </w:rPr>
        <w:t>hydrogen price stability during fluctuating production and use.</w:t>
      </w:r>
    </w:p>
    <w:p w14:paraId="3569B8E2" w14:textId="20BC626F" w:rsidR="005866D1" w:rsidRPr="002A1E32" w:rsidRDefault="005866D1" w:rsidP="00C15C8E">
      <w:pPr>
        <w:numPr>
          <w:ilvl w:val="1"/>
          <w:numId w:val="7"/>
        </w:numPr>
        <w:spacing w:after="60"/>
        <w:ind w:left="960"/>
        <w:jc w:val="left"/>
        <w:rPr>
          <w:szCs w:val="20"/>
        </w:rPr>
      </w:pPr>
      <w:r w:rsidRPr="002A1E32">
        <w:rPr>
          <w:szCs w:val="20"/>
        </w:rPr>
        <w:t>enabling decarbonization of hard-to-decarbonize end uses.</w:t>
      </w:r>
      <w:r w:rsidR="005E3ABB" w:rsidRPr="002A1E32">
        <w:rPr>
          <w:szCs w:val="20"/>
        </w:rPr>
        <w:tab/>
      </w:r>
    </w:p>
    <w:p w14:paraId="33E68C7F" w14:textId="65757032" w:rsidR="005866D1" w:rsidRPr="002A1E32" w:rsidRDefault="005E3ABB" w:rsidP="00C15C8E">
      <w:pPr>
        <w:spacing w:after="60"/>
        <w:ind w:left="300"/>
        <w:rPr>
          <w:b/>
          <w:szCs w:val="20"/>
        </w:rPr>
      </w:pPr>
      <w:r w:rsidRPr="002A1E32">
        <w:rPr>
          <w:b/>
          <w:szCs w:val="20"/>
        </w:rPr>
        <w:tab/>
      </w:r>
      <w:r w:rsidR="005866D1" w:rsidRPr="002A1E32">
        <w:rPr>
          <w:b/>
          <w:szCs w:val="20"/>
        </w:rPr>
        <w:t xml:space="preserve">In addition, estimates the non-energy benefits including: </w:t>
      </w:r>
    </w:p>
    <w:p w14:paraId="2EA8A82C" w14:textId="77777777" w:rsidR="005866D1" w:rsidRPr="002A1E32" w:rsidRDefault="005866D1" w:rsidP="00C15C8E">
      <w:pPr>
        <w:numPr>
          <w:ilvl w:val="0"/>
          <w:numId w:val="6"/>
        </w:numPr>
        <w:spacing w:after="120"/>
        <w:ind w:left="960"/>
        <w:jc w:val="left"/>
        <w:rPr>
          <w:szCs w:val="20"/>
        </w:rPr>
      </w:pPr>
      <w:r w:rsidRPr="002A1E32">
        <w:rPr>
          <w:szCs w:val="20"/>
        </w:rPr>
        <w:t>greenhouse gas emission reductions, air emission reductions (</w:t>
      </w:r>
      <w:proofErr w:type="gramStart"/>
      <w:r w:rsidRPr="002A1E32">
        <w:rPr>
          <w:szCs w:val="20"/>
        </w:rPr>
        <w:t>e.g.</w:t>
      </w:r>
      <w:proofErr w:type="gramEnd"/>
      <w:r w:rsidRPr="002A1E32">
        <w:rPr>
          <w:szCs w:val="20"/>
        </w:rPr>
        <w:t xml:space="preserve"> NOx), and/or increased safety.</w:t>
      </w:r>
    </w:p>
    <w:p w14:paraId="17487721" w14:textId="2AA90D9B" w:rsidR="005866D1" w:rsidRDefault="005866D1" w:rsidP="00C15C8E">
      <w:pPr>
        <w:numPr>
          <w:ilvl w:val="0"/>
          <w:numId w:val="5"/>
        </w:numPr>
        <w:spacing w:after="60"/>
        <w:ind w:left="660"/>
        <w:jc w:val="left"/>
        <w:rPr>
          <w:szCs w:val="20"/>
        </w:rPr>
      </w:pPr>
      <w:r w:rsidRPr="005866D1">
        <w:rPr>
          <w:szCs w:val="20"/>
        </w:rPr>
        <w:t>States the timeframe, assumptions with sources, and calculations for the estimated benefits, and explains their reasonableness. Include baseline or “business as usual” over timeframe.</w:t>
      </w:r>
    </w:p>
    <w:p w14:paraId="720AE76E" w14:textId="7D180127" w:rsidR="005866D1" w:rsidRPr="005866D1" w:rsidRDefault="005866D1" w:rsidP="00C15C8E">
      <w:pPr>
        <w:numPr>
          <w:ilvl w:val="0"/>
          <w:numId w:val="5"/>
        </w:numPr>
        <w:spacing w:after="60"/>
        <w:ind w:left="660"/>
        <w:jc w:val="left"/>
        <w:rPr>
          <w:szCs w:val="20"/>
        </w:rPr>
      </w:pPr>
      <w:r w:rsidRPr="005866D1">
        <w:rPr>
          <w:szCs w:val="20"/>
        </w:rPr>
        <w:t>Identifies how outputs of the study will benefit key stakeholders (e.g., streamline planning, help eliminate barriers, stimulate growth of applicable market sectors).</w:t>
      </w:r>
    </w:p>
    <w:p w14:paraId="5B7449E6" w14:textId="77777777" w:rsidR="00AF4B12" w:rsidRDefault="00AF4B12" w:rsidP="00C508A6">
      <w:pPr>
        <w:rPr>
          <w:b/>
        </w:rPr>
      </w:pPr>
    </w:p>
    <w:p w14:paraId="18FF9ED1" w14:textId="594587B6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71D04BD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>
        <w:t xml:space="preserve">Identifies credentials of prime and any subcontractor core personnel, including the project manager and principal investigator </w:t>
      </w:r>
      <w:r w:rsidRPr="789047DA">
        <w:rPr>
          <w:i/>
          <w:iCs/>
        </w:rPr>
        <w:t>(include this information in Project Team Form).</w:t>
      </w:r>
    </w:p>
    <w:p w14:paraId="37F810F1" w14:textId="2B8E9993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>Demonstrates that the project team has appropriate qualifications</w:t>
      </w:r>
      <w:r w:rsidRPr="00941FBA">
        <w:t xml:space="preserve">, experience, financial </w:t>
      </w:r>
      <w:proofErr w:type="gramStart"/>
      <w:r w:rsidRPr="00941FBA">
        <w:t>stability</w:t>
      </w:r>
      <w:proofErr w:type="gramEnd"/>
      <w:r w:rsidRPr="00941FBA">
        <w:t xml:space="preserve">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 xml:space="preserve">an organization chart </w:t>
      </w:r>
      <w:proofErr w:type="gramStart"/>
      <w:r w:rsidRPr="00FD4970">
        <w:rPr>
          <w:i/>
        </w:rPr>
        <w:t>similar to</w:t>
      </w:r>
      <w:proofErr w:type="gramEnd"/>
      <w:r w:rsidRPr="00FD4970">
        <w:rPr>
          <w:i/>
        </w:rPr>
        <w:t xml:space="preserve">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2D228C06">
            <wp:extent cx="3574473" cy="2085109"/>
            <wp:effectExtent l="0" t="0" r="698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lastRenderedPageBreak/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0A90478F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subcontractors</w:t>
      </w:r>
      <w:r w:rsidR="00EF1FB5">
        <w:t>, as instructed in Budget 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si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701F98">
        <w:trPr>
          <w:jc w:val="center"/>
        </w:trPr>
        <w:tc>
          <w:tcPr>
            <w:tcW w:w="2695" w:type="dxa"/>
          </w:tcPr>
          <w:p w14:paraId="4862F76D" w14:textId="77777777" w:rsidR="00A56963" w:rsidRDefault="00A56963" w:rsidP="007628A9">
            <w:pPr>
              <w:spacing w:after="120"/>
              <w:jc w:val="left"/>
            </w:pPr>
            <w:r>
              <w:t>Task 1: General Project Tasks</w:t>
            </w:r>
          </w:p>
        </w:tc>
        <w:tc>
          <w:tcPr>
            <w:tcW w:w="2250" w:type="dxa"/>
          </w:tcPr>
          <w:p w14:paraId="17BAF454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7A3C0B49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C89E860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F7CCAA2" w14:textId="77777777" w:rsidTr="00701F98">
        <w:trPr>
          <w:jc w:val="center"/>
        </w:trPr>
        <w:tc>
          <w:tcPr>
            <w:tcW w:w="2695" w:type="dxa"/>
          </w:tcPr>
          <w:p w14:paraId="2532B0CA" w14:textId="77777777" w:rsidR="00A56963" w:rsidRDefault="00A56963" w:rsidP="007628A9">
            <w:pPr>
              <w:spacing w:after="120"/>
              <w:jc w:val="left"/>
            </w:pPr>
            <w:r>
              <w:t>Task 2:</w:t>
            </w:r>
          </w:p>
        </w:tc>
        <w:tc>
          <w:tcPr>
            <w:tcW w:w="2250" w:type="dxa"/>
          </w:tcPr>
          <w:p w14:paraId="24B5081B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5004C72A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259862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0DCC36BA" w14:textId="77777777" w:rsidTr="00701F98">
        <w:trPr>
          <w:jc w:val="center"/>
        </w:trPr>
        <w:tc>
          <w:tcPr>
            <w:tcW w:w="2695" w:type="dxa"/>
          </w:tcPr>
          <w:p w14:paraId="1176665F" w14:textId="77777777" w:rsidR="00A56963" w:rsidRDefault="00A56963" w:rsidP="007628A9">
            <w:pPr>
              <w:spacing w:after="120"/>
              <w:jc w:val="left"/>
            </w:pPr>
            <w:r>
              <w:t>Task [TBD-1]: Evaluation of Project Benefits</w:t>
            </w:r>
          </w:p>
        </w:tc>
        <w:tc>
          <w:tcPr>
            <w:tcW w:w="2250" w:type="dxa"/>
          </w:tcPr>
          <w:p w14:paraId="064202D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2D747C2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8CCA46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9AABB4A" w14:textId="77777777" w:rsidTr="00701F98">
        <w:trPr>
          <w:jc w:val="center"/>
        </w:trPr>
        <w:tc>
          <w:tcPr>
            <w:tcW w:w="2695" w:type="dxa"/>
          </w:tcPr>
          <w:p w14:paraId="6E5C243B" w14:textId="77777777" w:rsidR="00A56963" w:rsidRDefault="00A56963" w:rsidP="007628A9">
            <w:pPr>
              <w:spacing w:after="120"/>
              <w:jc w:val="left"/>
            </w:pPr>
            <w:r>
              <w:t>Task [TBD-2]: Technology/ Knowledge Transfer Activities *</w:t>
            </w:r>
          </w:p>
        </w:tc>
        <w:tc>
          <w:tcPr>
            <w:tcW w:w="2250" w:type="dxa"/>
          </w:tcPr>
          <w:p w14:paraId="5FE6E125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37583011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4D38DE08" w14:textId="77777777" w:rsidR="00A56963" w:rsidRDefault="00A56963" w:rsidP="007628A9">
            <w:pPr>
              <w:spacing w:after="120"/>
              <w:jc w:val="left"/>
            </w:pPr>
          </w:p>
        </w:tc>
      </w:tr>
    </w:tbl>
    <w:p w14:paraId="220E95C8" w14:textId="5EDC3E8F" w:rsidR="00A56963" w:rsidRPr="00964872" w:rsidRDefault="00A56963" w:rsidP="5DA98349">
      <w:pPr>
        <w:spacing w:before="120"/>
        <w:ind w:firstLine="720"/>
        <w:rPr>
          <w:b/>
          <w:bCs/>
        </w:rPr>
      </w:pPr>
      <w:r>
        <w:t xml:space="preserve">* </w:t>
      </w:r>
      <w:r w:rsidRPr="5DA98349">
        <w:rPr>
          <w:b/>
          <w:bCs/>
        </w:rPr>
        <w:t>Requires</w:t>
      </w:r>
      <w:r w:rsidR="6EF83A83" w:rsidRPr="5DA98349">
        <w:rPr>
          <w:b/>
          <w:bCs/>
        </w:rPr>
        <w:t xml:space="preserve"> at least</w:t>
      </w:r>
      <w:r w:rsidRPr="5DA98349">
        <w:rPr>
          <w:b/>
          <w:bCs/>
        </w:rPr>
        <w:t xml:space="preserve"> 5% of total </w:t>
      </w:r>
      <w:r w:rsidR="00964872" w:rsidRPr="5DA98349">
        <w:rPr>
          <w:b/>
          <w:bCs/>
        </w:rPr>
        <w:t xml:space="preserve">CEC </w:t>
      </w:r>
      <w:r w:rsidRPr="5DA98349">
        <w:rPr>
          <w:b/>
          <w:bCs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2753BE10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subcontractors).</w:t>
      </w:r>
    </w:p>
    <w:p w14:paraId="7283BC98" w14:textId="0BB80801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subcontractor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4C056F1" w:rsidR="00FD4970" w:rsidRDefault="00854291" w:rsidP="00C508A6">
      <w:pPr>
        <w:rPr>
          <w:b/>
        </w:rPr>
      </w:pPr>
      <w:r>
        <w:rPr>
          <w:b/>
        </w:rPr>
        <w:t xml:space="preserve">CEC </w:t>
      </w:r>
      <w:r w:rsidR="00F2487B"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C508A6">
        <w:rPr>
          <w:u w:val="single"/>
        </w:rPr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40656151" w14:textId="01B41EB3" w:rsidR="00E42C1D" w:rsidRPr="00CF137E" w:rsidRDefault="2298A7DE" w:rsidP="00C508A6">
      <w:r w:rsidRPr="23B14F1A">
        <w:rPr>
          <w:rFonts w:eastAsia="Arial"/>
          <w:b/>
          <w:bCs/>
        </w:rPr>
        <w:t>Funds Spent on California Based Entities</w:t>
      </w:r>
    </w:p>
    <w:p w14:paraId="2DB5FD73" w14:textId="5DE4E9F0" w:rsidR="00E42C1D" w:rsidRPr="00CF137E" w:rsidRDefault="2298A7DE" w:rsidP="00C508A6">
      <w:r w:rsidRPr="23B14F1A">
        <w:rPr>
          <w:rFonts w:eastAsia="Arial"/>
          <w:b/>
          <w:bCs/>
        </w:rPr>
        <w:t xml:space="preserve"> </w:t>
      </w:r>
    </w:p>
    <w:p w14:paraId="2E6FEA2F" w14:textId="311D9711" w:rsidR="00E42C1D" w:rsidRPr="00CF137E" w:rsidRDefault="2298A7DE" w:rsidP="23B14F1A">
      <w:pPr>
        <w:spacing w:line="259" w:lineRule="auto"/>
        <w:ind w:left="360"/>
      </w:pPr>
      <w:r w:rsidRPr="23B14F1A">
        <w:rPr>
          <w:rFonts w:eastAsia="Arial"/>
        </w:rPr>
        <w:t xml:space="preserve">This project proposes to spend </w:t>
      </w:r>
      <w:r w:rsidRPr="23B14F1A">
        <w:rPr>
          <w:rFonts w:eastAsia="Arial"/>
          <w:u w:val="single"/>
        </w:rPr>
        <w:t>$</w:t>
      </w:r>
      <w:r w:rsidRPr="23B14F1A">
        <w:rPr>
          <w:rFonts w:eastAsia="Arial"/>
        </w:rPr>
        <w:t>_________ of Energy Commission funds on California Based Entities.</w:t>
      </w:r>
      <w:r w:rsidRPr="23B14F1A">
        <w:rPr>
          <w:color w:val="0070C0"/>
        </w:rPr>
        <w:t xml:space="preserve"> </w:t>
      </w:r>
    </w:p>
    <w:p w14:paraId="54C73936" w14:textId="724A225C" w:rsidR="00E42C1D" w:rsidRPr="00CF137E" w:rsidRDefault="00E42C1D" w:rsidP="23B14F1A">
      <w:pPr>
        <w:rPr>
          <w:color w:val="0070C0"/>
        </w:rPr>
      </w:pPr>
    </w:p>
    <w:p w14:paraId="1D045E25" w14:textId="0E985D66" w:rsidR="00E42C1D" w:rsidRPr="00CF137E" w:rsidRDefault="00CF137E" w:rsidP="00C508A6">
      <w:r w:rsidRPr="23B14F1A">
        <w:rPr>
          <w:b/>
          <w:bCs/>
        </w:rPr>
        <w:t>Disadvantaged Communities</w:t>
      </w:r>
      <w:r w:rsidR="00E42C1D">
        <w:t xml:space="preserve"> </w:t>
      </w:r>
    </w:p>
    <w:p w14:paraId="4E47C9F5" w14:textId="77777777" w:rsidR="00CF137E" w:rsidRPr="002858B3" w:rsidRDefault="00CF137E" w:rsidP="00701F98">
      <w:pPr>
        <w:pStyle w:val="ListParagraph"/>
        <w:numPr>
          <w:ilvl w:val="0"/>
          <w:numId w:val="16"/>
        </w:numPr>
      </w:pPr>
      <w:r w:rsidRPr="002858B3">
        <w:lastRenderedPageBreak/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701F98">
      <w:pPr>
        <w:pStyle w:val="ListParagraph"/>
        <w:numPr>
          <w:ilvl w:val="0"/>
          <w:numId w:val="16"/>
        </w:numPr>
      </w:pPr>
      <w:r w:rsidRPr="002858B3"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77777777" w:rsidR="009C0C1C" w:rsidRPr="00CF137E" w:rsidRDefault="00CF137E" w:rsidP="00701F98">
      <w:pPr>
        <w:pStyle w:val="ListParagraph"/>
        <w:numPr>
          <w:ilvl w:val="0"/>
          <w:numId w:val="16"/>
        </w:numPr>
      </w:pPr>
      <w:r w:rsidRPr="002858B3">
        <w:t xml:space="preserve">Applicants have letters of support from technology partners, </w:t>
      </w:r>
      <w:proofErr w:type="gramStart"/>
      <w:r w:rsidRPr="002858B3">
        <w:t>community based</w:t>
      </w:r>
      <w:proofErr w:type="gramEnd"/>
      <w:r w:rsidRPr="002858B3">
        <w:t xml:space="preserve"> organizations, environmental justice organizations, or other partners that demonstrate equity, feasibility, and commercial viability in low-income and disadvantaged communities.</w:t>
      </w:r>
    </w:p>
    <w:sectPr w:rsidR="009C0C1C" w:rsidRPr="00CF137E" w:rsidSect="00E457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4679" w14:textId="77777777" w:rsidR="0076788D" w:rsidRDefault="0076788D" w:rsidP="008B4D47">
      <w:r>
        <w:separator/>
      </w:r>
    </w:p>
    <w:p w14:paraId="12C47F01" w14:textId="77777777" w:rsidR="0076788D" w:rsidRDefault="0076788D" w:rsidP="008B4D47"/>
  </w:endnote>
  <w:endnote w:type="continuationSeparator" w:id="0">
    <w:p w14:paraId="673808D8" w14:textId="77777777" w:rsidR="0076788D" w:rsidRDefault="0076788D" w:rsidP="008B4D47">
      <w:r>
        <w:continuationSeparator/>
      </w:r>
    </w:p>
    <w:p w14:paraId="6BB829BF" w14:textId="77777777" w:rsidR="0076788D" w:rsidRDefault="0076788D" w:rsidP="008B4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2505" w14:textId="77777777" w:rsidR="00D70C36" w:rsidRDefault="00D70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9EDD" w14:textId="1CBEEDD3" w:rsidR="00680E7F" w:rsidRPr="00C15C8E" w:rsidRDefault="00D70C36" w:rsidP="00701F98">
    <w:pPr>
      <w:pStyle w:val="Footer"/>
      <w:tabs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>April 2024</w:t>
    </w:r>
    <w:r w:rsidR="00390361" w:rsidRPr="00C15C8E">
      <w:rPr>
        <w:sz w:val="20"/>
        <w:szCs w:val="20"/>
      </w:rPr>
      <w:tab/>
    </w:r>
    <w:r w:rsidR="00C10EB7" w:rsidRPr="00C15C8E">
      <w:rPr>
        <w:sz w:val="20"/>
        <w:szCs w:val="20"/>
      </w:rPr>
      <w:t xml:space="preserve">Page </w:t>
    </w:r>
    <w:r w:rsidR="00AC5E7A" w:rsidRPr="00C15C8E">
      <w:rPr>
        <w:sz w:val="20"/>
        <w:szCs w:val="20"/>
      </w:rPr>
      <w:fldChar w:fldCharType="begin"/>
    </w:r>
    <w:r w:rsidR="00C10EB7" w:rsidRPr="00C15C8E">
      <w:rPr>
        <w:sz w:val="20"/>
        <w:szCs w:val="20"/>
      </w:rPr>
      <w:instrText xml:space="preserve"> PAGE </w:instrText>
    </w:r>
    <w:r w:rsidR="00AC5E7A" w:rsidRPr="00C15C8E">
      <w:rPr>
        <w:sz w:val="20"/>
        <w:szCs w:val="20"/>
      </w:rPr>
      <w:fldChar w:fldCharType="separate"/>
    </w:r>
    <w:r w:rsidR="0059624D" w:rsidRPr="00C15C8E">
      <w:rPr>
        <w:noProof/>
        <w:sz w:val="20"/>
        <w:szCs w:val="20"/>
      </w:rPr>
      <w:t>1</w:t>
    </w:r>
    <w:r w:rsidR="00AC5E7A" w:rsidRPr="00C15C8E">
      <w:rPr>
        <w:sz w:val="20"/>
        <w:szCs w:val="20"/>
      </w:rPr>
      <w:fldChar w:fldCharType="end"/>
    </w:r>
    <w:r w:rsidR="00C10EB7" w:rsidRPr="00C15C8E">
      <w:rPr>
        <w:sz w:val="20"/>
        <w:szCs w:val="20"/>
      </w:rPr>
      <w:t xml:space="preserve"> of </w:t>
    </w:r>
    <w:r w:rsidR="00AC5E7A" w:rsidRPr="00C15C8E">
      <w:rPr>
        <w:sz w:val="20"/>
        <w:szCs w:val="20"/>
      </w:rPr>
      <w:fldChar w:fldCharType="begin"/>
    </w:r>
    <w:r w:rsidR="00C10EB7" w:rsidRPr="00C15C8E">
      <w:rPr>
        <w:sz w:val="20"/>
        <w:szCs w:val="20"/>
      </w:rPr>
      <w:instrText xml:space="preserve"> NUMPAGES  </w:instrText>
    </w:r>
    <w:r w:rsidR="00AC5E7A" w:rsidRPr="00C15C8E">
      <w:rPr>
        <w:sz w:val="20"/>
        <w:szCs w:val="20"/>
      </w:rPr>
      <w:fldChar w:fldCharType="separate"/>
    </w:r>
    <w:r w:rsidR="0059624D" w:rsidRPr="00C15C8E">
      <w:rPr>
        <w:noProof/>
        <w:sz w:val="20"/>
        <w:szCs w:val="20"/>
      </w:rPr>
      <w:t>5</w:t>
    </w:r>
    <w:r w:rsidR="00AC5E7A" w:rsidRPr="00C15C8E">
      <w:rPr>
        <w:sz w:val="20"/>
        <w:szCs w:val="20"/>
      </w:rPr>
      <w:fldChar w:fldCharType="end"/>
    </w:r>
    <w:r w:rsidR="00FF743A" w:rsidRPr="00C15C8E">
      <w:rPr>
        <w:sz w:val="20"/>
        <w:szCs w:val="20"/>
      </w:rPr>
      <w:tab/>
    </w:r>
    <w:r w:rsidR="00C87178" w:rsidRPr="00C15C8E">
      <w:rPr>
        <w:sz w:val="20"/>
        <w:szCs w:val="20"/>
      </w:rPr>
      <w:t>GFO-23-503</w:t>
    </w:r>
  </w:p>
  <w:p w14:paraId="4BAE0534" w14:textId="77777777" w:rsidR="00394101" w:rsidRDefault="00FA2BB2" w:rsidP="00FA2BB2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B27597">
      <w:rPr>
        <w:sz w:val="20"/>
        <w:szCs w:val="20"/>
      </w:rPr>
      <w:t>Rev. 01/2021</w:t>
    </w:r>
    <w:r w:rsidRPr="00B27597">
      <w:rPr>
        <w:sz w:val="20"/>
        <w:szCs w:val="20"/>
      </w:rPr>
      <w:tab/>
    </w:r>
    <w:r w:rsidR="001B7187">
      <w:rPr>
        <w:sz w:val="20"/>
        <w:szCs w:val="20"/>
      </w:rPr>
      <w:t xml:space="preserve">Feasibility </w:t>
    </w:r>
    <w:r w:rsidR="00394101">
      <w:rPr>
        <w:sz w:val="20"/>
        <w:szCs w:val="20"/>
      </w:rPr>
      <w:t>of Underground Hydrogen</w:t>
    </w:r>
  </w:p>
  <w:p w14:paraId="78F1F7C0" w14:textId="2A29E87B" w:rsidR="00A84C13" w:rsidRPr="00B27597" w:rsidRDefault="00394101" w:rsidP="00FA2BB2">
    <w:pPr>
      <w:pStyle w:val="Footer"/>
      <w:tabs>
        <w:tab w:val="clear" w:pos="4320"/>
        <w:tab w:val="clear" w:pos="8640"/>
        <w:tab w:val="right" w:pos="9360"/>
      </w:tabs>
      <w:rPr>
        <w:color w:val="0070C0"/>
        <w:sz w:val="20"/>
        <w:szCs w:val="20"/>
      </w:rPr>
    </w:pPr>
    <w:r>
      <w:rPr>
        <w:sz w:val="20"/>
        <w:szCs w:val="20"/>
      </w:rPr>
      <w:tab/>
      <w:t>Storage in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8F7F" w14:textId="77777777" w:rsidR="00D70C36" w:rsidRDefault="00D70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4342" w14:textId="77777777" w:rsidR="0076788D" w:rsidRDefault="0076788D" w:rsidP="008B4D47">
      <w:r>
        <w:separator/>
      </w:r>
    </w:p>
    <w:p w14:paraId="633E412C" w14:textId="77777777" w:rsidR="0076788D" w:rsidRDefault="0076788D" w:rsidP="008B4D47"/>
  </w:footnote>
  <w:footnote w:type="continuationSeparator" w:id="0">
    <w:p w14:paraId="36B7F11E" w14:textId="77777777" w:rsidR="0076788D" w:rsidRDefault="0076788D" w:rsidP="008B4D47">
      <w:r>
        <w:continuationSeparator/>
      </w:r>
    </w:p>
    <w:p w14:paraId="49A9CD9C" w14:textId="77777777" w:rsidR="0076788D" w:rsidRDefault="0076788D" w:rsidP="008B4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5829" w14:textId="77777777" w:rsidR="00D70C36" w:rsidRDefault="00D70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1F6A18AB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7E54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FF28" w14:textId="77777777" w:rsidR="00D70C36" w:rsidRDefault="00D7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B5E"/>
    <w:multiLevelType w:val="hybridMultilevel"/>
    <w:tmpl w:val="C88ACDCA"/>
    <w:lvl w:ilvl="0" w:tplc="4470ECA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9E6037"/>
    <w:multiLevelType w:val="hybridMultilevel"/>
    <w:tmpl w:val="E1C4A3B4"/>
    <w:lvl w:ilvl="0" w:tplc="65B2C1A6">
      <w:start w:val="1"/>
      <w:numFmt w:val="lowerLetter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B4BBA"/>
    <w:multiLevelType w:val="hybridMultilevel"/>
    <w:tmpl w:val="A6E662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D07E4"/>
    <w:multiLevelType w:val="hybridMultilevel"/>
    <w:tmpl w:val="B9D8346A"/>
    <w:lvl w:ilvl="0" w:tplc="65B2C1A6">
      <w:start w:val="1"/>
      <w:numFmt w:val="lowerLetter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24F12"/>
    <w:multiLevelType w:val="hybridMultilevel"/>
    <w:tmpl w:val="4C64F7F2"/>
    <w:lvl w:ilvl="0" w:tplc="65B2C1A6">
      <w:start w:val="1"/>
      <w:numFmt w:val="lowerLetter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CC4E47"/>
    <w:multiLevelType w:val="hybridMultilevel"/>
    <w:tmpl w:val="FD6A8F1C"/>
    <w:lvl w:ilvl="0" w:tplc="888ABEC2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471BB"/>
    <w:multiLevelType w:val="hybridMultilevel"/>
    <w:tmpl w:val="D03AB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B4784"/>
    <w:multiLevelType w:val="hybridMultilevel"/>
    <w:tmpl w:val="BF9A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447599">
    <w:abstractNumId w:val="10"/>
  </w:num>
  <w:num w:numId="2" w16cid:durableId="102194999">
    <w:abstractNumId w:val="14"/>
  </w:num>
  <w:num w:numId="3" w16cid:durableId="2120683007">
    <w:abstractNumId w:val="17"/>
  </w:num>
  <w:num w:numId="4" w16cid:durableId="43136997">
    <w:abstractNumId w:val="6"/>
  </w:num>
  <w:num w:numId="5" w16cid:durableId="237323870">
    <w:abstractNumId w:val="20"/>
  </w:num>
  <w:num w:numId="6" w16cid:durableId="924189275">
    <w:abstractNumId w:val="3"/>
  </w:num>
  <w:num w:numId="7" w16cid:durableId="485823874">
    <w:abstractNumId w:val="1"/>
  </w:num>
  <w:num w:numId="8" w16cid:durableId="620956368">
    <w:abstractNumId w:val="15"/>
  </w:num>
  <w:num w:numId="9" w16cid:durableId="220098945">
    <w:abstractNumId w:val="12"/>
  </w:num>
  <w:num w:numId="10" w16cid:durableId="1598438243">
    <w:abstractNumId w:val="18"/>
  </w:num>
  <w:num w:numId="11" w16cid:durableId="805854937">
    <w:abstractNumId w:val="0"/>
  </w:num>
  <w:num w:numId="12" w16cid:durableId="1893997837">
    <w:abstractNumId w:val="22"/>
  </w:num>
  <w:num w:numId="13" w16cid:durableId="1223172093">
    <w:abstractNumId w:val="13"/>
  </w:num>
  <w:num w:numId="14" w16cid:durableId="2069306474">
    <w:abstractNumId w:val="8"/>
  </w:num>
  <w:num w:numId="15" w16cid:durableId="1921479727">
    <w:abstractNumId w:val="11"/>
  </w:num>
  <w:num w:numId="16" w16cid:durableId="1317609893">
    <w:abstractNumId w:val="19"/>
  </w:num>
  <w:num w:numId="17" w16cid:durableId="1480420263">
    <w:abstractNumId w:val="16"/>
  </w:num>
  <w:num w:numId="18" w16cid:durableId="647440854">
    <w:abstractNumId w:val="5"/>
  </w:num>
  <w:num w:numId="19" w16cid:durableId="1397822015">
    <w:abstractNumId w:val="4"/>
  </w:num>
  <w:num w:numId="20" w16cid:durableId="256905606">
    <w:abstractNumId w:val="21"/>
  </w:num>
  <w:num w:numId="21" w16cid:durableId="872156421">
    <w:abstractNumId w:val="7"/>
  </w:num>
  <w:num w:numId="22" w16cid:durableId="1814175616">
    <w:abstractNumId w:val="9"/>
  </w:num>
  <w:num w:numId="23" w16cid:durableId="69923494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E01"/>
    <w:rsid w:val="00015FC3"/>
    <w:rsid w:val="0002180D"/>
    <w:rsid w:val="000221F1"/>
    <w:rsid w:val="000224B2"/>
    <w:rsid w:val="00026255"/>
    <w:rsid w:val="00026C30"/>
    <w:rsid w:val="000454A8"/>
    <w:rsid w:val="00054793"/>
    <w:rsid w:val="00056E94"/>
    <w:rsid w:val="00060796"/>
    <w:rsid w:val="000607CF"/>
    <w:rsid w:val="000623A2"/>
    <w:rsid w:val="00065E8D"/>
    <w:rsid w:val="00072C9D"/>
    <w:rsid w:val="0007601D"/>
    <w:rsid w:val="00085FF7"/>
    <w:rsid w:val="0008677D"/>
    <w:rsid w:val="00095DB4"/>
    <w:rsid w:val="000977B6"/>
    <w:rsid w:val="000A612A"/>
    <w:rsid w:val="000A64E1"/>
    <w:rsid w:val="000A6F8F"/>
    <w:rsid w:val="000A7B94"/>
    <w:rsid w:val="000B3E1D"/>
    <w:rsid w:val="000B63D7"/>
    <w:rsid w:val="000C0271"/>
    <w:rsid w:val="000C32EE"/>
    <w:rsid w:val="000C56C2"/>
    <w:rsid w:val="000C7E71"/>
    <w:rsid w:val="000D0DAA"/>
    <w:rsid w:val="000D302C"/>
    <w:rsid w:val="000D7152"/>
    <w:rsid w:val="000E089F"/>
    <w:rsid w:val="000F1368"/>
    <w:rsid w:val="000F1EC4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7E11"/>
    <w:rsid w:val="00130497"/>
    <w:rsid w:val="001321FC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845A0"/>
    <w:rsid w:val="001851F1"/>
    <w:rsid w:val="00185366"/>
    <w:rsid w:val="00193FB4"/>
    <w:rsid w:val="0019554D"/>
    <w:rsid w:val="001B1AB5"/>
    <w:rsid w:val="001B1D71"/>
    <w:rsid w:val="001B2D80"/>
    <w:rsid w:val="001B4EAF"/>
    <w:rsid w:val="001B53A2"/>
    <w:rsid w:val="001B7187"/>
    <w:rsid w:val="001C0C28"/>
    <w:rsid w:val="001C119F"/>
    <w:rsid w:val="001C6351"/>
    <w:rsid w:val="001D7089"/>
    <w:rsid w:val="001E375F"/>
    <w:rsid w:val="001E5E07"/>
    <w:rsid w:val="001E614D"/>
    <w:rsid w:val="001F08A3"/>
    <w:rsid w:val="001F7F01"/>
    <w:rsid w:val="00204CBE"/>
    <w:rsid w:val="00215BB4"/>
    <w:rsid w:val="00224E73"/>
    <w:rsid w:val="00227BDA"/>
    <w:rsid w:val="0024459C"/>
    <w:rsid w:val="00246C50"/>
    <w:rsid w:val="00247C30"/>
    <w:rsid w:val="0025061E"/>
    <w:rsid w:val="002545B1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9581B"/>
    <w:rsid w:val="002A1E32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42B2"/>
    <w:rsid w:val="00314F22"/>
    <w:rsid w:val="0032443F"/>
    <w:rsid w:val="00331547"/>
    <w:rsid w:val="003346FE"/>
    <w:rsid w:val="00341D4F"/>
    <w:rsid w:val="0034404B"/>
    <w:rsid w:val="00347785"/>
    <w:rsid w:val="0034784D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4101"/>
    <w:rsid w:val="00395DDE"/>
    <w:rsid w:val="0039699B"/>
    <w:rsid w:val="003A216E"/>
    <w:rsid w:val="003A3AE5"/>
    <w:rsid w:val="003A7678"/>
    <w:rsid w:val="003B5117"/>
    <w:rsid w:val="003C014C"/>
    <w:rsid w:val="003C7D9E"/>
    <w:rsid w:val="003D6289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1756"/>
    <w:rsid w:val="00441BB8"/>
    <w:rsid w:val="0044221E"/>
    <w:rsid w:val="00442588"/>
    <w:rsid w:val="0044373F"/>
    <w:rsid w:val="0044621B"/>
    <w:rsid w:val="00457861"/>
    <w:rsid w:val="00457B34"/>
    <w:rsid w:val="004631FF"/>
    <w:rsid w:val="0047049D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6DBA"/>
    <w:rsid w:val="004D2B8C"/>
    <w:rsid w:val="004D35B8"/>
    <w:rsid w:val="004D59CA"/>
    <w:rsid w:val="004D6E92"/>
    <w:rsid w:val="004D77AB"/>
    <w:rsid w:val="004E16A7"/>
    <w:rsid w:val="004E2549"/>
    <w:rsid w:val="004E75FD"/>
    <w:rsid w:val="004E798D"/>
    <w:rsid w:val="004F2A23"/>
    <w:rsid w:val="004F35F9"/>
    <w:rsid w:val="004F3A32"/>
    <w:rsid w:val="004F70BB"/>
    <w:rsid w:val="004F7AB0"/>
    <w:rsid w:val="00522799"/>
    <w:rsid w:val="005263CC"/>
    <w:rsid w:val="005414C4"/>
    <w:rsid w:val="00542F64"/>
    <w:rsid w:val="0055392C"/>
    <w:rsid w:val="00556B62"/>
    <w:rsid w:val="00557105"/>
    <w:rsid w:val="00561D29"/>
    <w:rsid w:val="00565391"/>
    <w:rsid w:val="00572153"/>
    <w:rsid w:val="0057450F"/>
    <w:rsid w:val="0057592B"/>
    <w:rsid w:val="005826A7"/>
    <w:rsid w:val="005866D1"/>
    <w:rsid w:val="00593EC1"/>
    <w:rsid w:val="0059624D"/>
    <w:rsid w:val="005A10E6"/>
    <w:rsid w:val="005A6041"/>
    <w:rsid w:val="005B5BD1"/>
    <w:rsid w:val="005C5CA2"/>
    <w:rsid w:val="005D058A"/>
    <w:rsid w:val="005D4061"/>
    <w:rsid w:val="005D6685"/>
    <w:rsid w:val="005E0529"/>
    <w:rsid w:val="005E0B16"/>
    <w:rsid w:val="005E3ABB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80E7F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D202F"/>
    <w:rsid w:val="006D70BB"/>
    <w:rsid w:val="006D8936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095C"/>
    <w:rsid w:val="00731477"/>
    <w:rsid w:val="00731F72"/>
    <w:rsid w:val="00734F98"/>
    <w:rsid w:val="00735A7C"/>
    <w:rsid w:val="007428F8"/>
    <w:rsid w:val="007442F2"/>
    <w:rsid w:val="00760F10"/>
    <w:rsid w:val="00761DEB"/>
    <w:rsid w:val="00763039"/>
    <w:rsid w:val="0076788D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B6700"/>
    <w:rsid w:val="007C1BC0"/>
    <w:rsid w:val="007C35CB"/>
    <w:rsid w:val="007C43B2"/>
    <w:rsid w:val="007E5173"/>
    <w:rsid w:val="007E5476"/>
    <w:rsid w:val="007E579D"/>
    <w:rsid w:val="007F07E9"/>
    <w:rsid w:val="007F6CD4"/>
    <w:rsid w:val="008040BC"/>
    <w:rsid w:val="00806C34"/>
    <w:rsid w:val="0081112F"/>
    <w:rsid w:val="00812D61"/>
    <w:rsid w:val="008150A3"/>
    <w:rsid w:val="00815EB9"/>
    <w:rsid w:val="00816C7C"/>
    <w:rsid w:val="00820A7E"/>
    <w:rsid w:val="00821490"/>
    <w:rsid w:val="0082261B"/>
    <w:rsid w:val="00840916"/>
    <w:rsid w:val="00842BCE"/>
    <w:rsid w:val="00843427"/>
    <w:rsid w:val="00844B7C"/>
    <w:rsid w:val="0084523A"/>
    <w:rsid w:val="00851A54"/>
    <w:rsid w:val="00854291"/>
    <w:rsid w:val="00855286"/>
    <w:rsid w:val="00856EC6"/>
    <w:rsid w:val="008629FB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A48F1"/>
    <w:rsid w:val="008B27BE"/>
    <w:rsid w:val="008B28F3"/>
    <w:rsid w:val="008B4D47"/>
    <w:rsid w:val="008B4E29"/>
    <w:rsid w:val="008C1A9A"/>
    <w:rsid w:val="008C7C7F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36CE"/>
    <w:rsid w:val="0090670D"/>
    <w:rsid w:val="00911479"/>
    <w:rsid w:val="00915C43"/>
    <w:rsid w:val="00921664"/>
    <w:rsid w:val="0092268F"/>
    <w:rsid w:val="00923005"/>
    <w:rsid w:val="0092501E"/>
    <w:rsid w:val="009316C2"/>
    <w:rsid w:val="0093231E"/>
    <w:rsid w:val="0094278C"/>
    <w:rsid w:val="00950DDD"/>
    <w:rsid w:val="00956EB4"/>
    <w:rsid w:val="00960FC0"/>
    <w:rsid w:val="009613AB"/>
    <w:rsid w:val="00964872"/>
    <w:rsid w:val="0096498A"/>
    <w:rsid w:val="00973440"/>
    <w:rsid w:val="0097432A"/>
    <w:rsid w:val="0097518A"/>
    <w:rsid w:val="00982083"/>
    <w:rsid w:val="009842F8"/>
    <w:rsid w:val="009A21C3"/>
    <w:rsid w:val="009A236F"/>
    <w:rsid w:val="009A3A19"/>
    <w:rsid w:val="009A678C"/>
    <w:rsid w:val="009A681A"/>
    <w:rsid w:val="009B6F3E"/>
    <w:rsid w:val="009B74D4"/>
    <w:rsid w:val="009C0C10"/>
    <w:rsid w:val="009C0C1C"/>
    <w:rsid w:val="009E717D"/>
    <w:rsid w:val="009E7E53"/>
    <w:rsid w:val="009F222C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B00C9"/>
    <w:rsid w:val="00AC1EA2"/>
    <w:rsid w:val="00AC5E7A"/>
    <w:rsid w:val="00AD053C"/>
    <w:rsid w:val="00AD29E1"/>
    <w:rsid w:val="00AD6239"/>
    <w:rsid w:val="00AE1FE4"/>
    <w:rsid w:val="00AE2917"/>
    <w:rsid w:val="00AE69EE"/>
    <w:rsid w:val="00AF23C0"/>
    <w:rsid w:val="00AF31D3"/>
    <w:rsid w:val="00AF4941"/>
    <w:rsid w:val="00AF4B12"/>
    <w:rsid w:val="00AF5961"/>
    <w:rsid w:val="00B034E1"/>
    <w:rsid w:val="00B071D7"/>
    <w:rsid w:val="00B07986"/>
    <w:rsid w:val="00B07D42"/>
    <w:rsid w:val="00B111A7"/>
    <w:rsid w:val="00B12510"/>
    <w:rsid w:val="00B128EC"/>
    <w:rsid w:val="00B17001"/>
    <w:rsid w:val="00B17A5E"/>
    <w:rsid w:val="00B20A2D"/>
    <w:rsid w:val="00B27597"/>
    <w:rsid w:val="00B34B75"/>
    <w:rsid w:val="00B4504A"/>
    <w:rsid w:val="00B45351"/>
    <w:rsid w:val="00B458BE"/>
    <w:rsid w:val="00B47AED"/>
    <w:rsid w:val="00B50205"/>
    <w:rsid w:val="00B62A6D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0F7E"/>
    <w:rsid w:val="00BE7CD6"/>
    <w:rsid w:val="00BF0036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5C8E"/>
    <w:rsid w:val="00C16998"/>
    <w:rsid w:val="00C25361"/>
    <w:rsid w:val="00C2537C"/>
    <w:rsid w:val="00C26D0A"/>
    <w:rsid w:val="00C41B50"/>
    <w:rsid w:val="00C4363A"/>
    <w:rsid w:val="00C46A48"/>
    <w:rsid w:val="00C508A6"/>
    <w:rsid w:val="00C569FF"/>
    <w:rsid w:val="00C655BE"/>
    <w:rsid w:val="00C666A8"/>
    <w:rsid w:val="00C70AB5"/>
    <w:rsid w:val="00C82178"/>
    <w:rsid w:val="00C87178"/>
    <w:rsid w:val="00C900CF"/>
    <w:rsid w:val="00C9304A"/>
    <w:rsid w:val="00C93A20"/>
    <w:rsid w:val="00C9548D"/>
    <w:rsid w:val="00C95A01"/>
    <w:rsid w:val="00CA3965"/>
    <w:rsid w:val="00CA4C12"/>
    <w:rsid w:val="00CB35B7"/>
    <w:rsid w:val="00CB634C"/>
    <w:rsid w:val="00CB67F9"/>
    <w:rsid w:val="00CD16AA"/>
    <w:rsid w:val="00CD3171"/>
    <w:rsid w:val="00CE2B54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928"/>
    <w:rsid w:val="00D50DFF"/>
    <w:rsid w:val="00D5117E"/>
    <w:rsid w:val="00D61E61"/>
    <w:rsid w:val="00D631E2"/>
    <w:rsid w:val="00D63255"/>
    <w:rsid w:val="00D70641"/>
    <w:rsid w:val="00D70C36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210F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DFF306"/>
    <w:rsid w:val="00E00BD7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362D3"/>
    <w:rsid w:val="00E41F0A"/>
    <w:rsid w:val="00E42C1D"/>
    <w:rsid w:val="00E454CD"/>
    <w:rsid w:val="00E45742"/>
    <w:rsid w:val="00E527FD"/>
    <w:rsid w:val="00E72D53"/>
    <w:rsid w:val="00E736F8"/>
    <w:rsid w:val="00E760A3"/>
    <w:rsid w:val="00E85119"/>
    <w:rsid w:val="00E875A8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1FB5"/>
    <w:rsid w:val="00EF56E2"/>
    <w:rsid w:val="00F04F5E"/>
    <w:rsid w:val="00F0519A"/>
    <w:rsid w:val="00F11BED"/>
    <w:rsid w:val="00F1414D"/>
    <w:rsid w:val="00F15EE2"/>
    <w:rsid w:val="00F2487B"/>
    <w:rsid w:val="00F2733F"/>
    <w:rsid w:val="00F303D9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434A"/>
    <w:rsid w:val="00F678FA"/>
    <w:rsid w:val="00F7078F"/>
    <w:rsid w:val="00F724DE"/>
    <w:rsid w:val="00F75DAB"/>
    <w:rsid w:val="00F814E2"/>
    <w:rsid w:val="00F83E3E"/>
    <w:rsid w:val="00F90600"/>
    <w:rsid w:val="00F9309F"/>
    <w:rsid w:val="00FA2BB2"/>
    <w:rsid w:val="00FA2DAC"/>
    <w:rsid w:val="00FB400E"/>
    <w:rsid w:val="00FB6A62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7138"/>
    <w:rsid w:val="00FF3748"/>
    <w:rsid w:val="00FF5FA4"/>
    <w:rsid w:val="00FF743A"/>
    <w:rsid w:val="1620FEA5"/>
    <w:rsid w:val="2298A7DE"/>
    <w:rsid w:val="231CD2D6"/>
    <w:rsid w:val="23B14F1A"/>
    <w:rsid w:val="3CA42450"/>
    <w:rsid w:val="50FBD7D3"/>
    <w:rsid w:val="577657FE"/>
    <w:rsid w:val="5BB2CD46"/>
    <w:rsid w:val="5DA98349"/>
    <w:rsid w:val="66006F0D"/>
    <w:rsid w:val="6944A05A"/>
    <w:rsid w:val="6EF83A83"/>
    <w:rsid w:val="745AF40C"/>
    <w:rsid w:val="7701F9B2"/>
    <w:rsid w:val="7789568B"/>
    <w:rsid w:val="789047DA"/>
    <w:rsid w:val="7CAB68A1"/>
    <w:rsid w:val="7CC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66992E2F-E21C-443E-B3A4-F1C623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Prime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Prime Recipient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Prime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Prime Recipient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Lasam, Baldomero@Energy</DisplayName>
        <AccountId>41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B833-D838-4891-A036-4CF35E8FE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82C4C-6109-425B-BDAA-062CCC128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5C643-E74E-43B0-BB44-4595EB513CEF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5067c814-4b34-462c-a21d-c185ff6548d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717D44AB-658B-4CCC-91D7-36BCFB9D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15</TotalTime>
  <Pages>4</Pages>
  <Words>838</Words>
  <Characters>5220</Characters>
  <Application>Microsoft Office Word</Application>
  <DocSecurity>0</DocSecurity>
  <Lines>43</Lines>
  <Paragraphs>12</Paragraphs>
  <ScaleCrop>false</ScaleCrop>
  <Company>California Energy Commission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rgrant</dc:creator>
  <cp:lastModifiedBy>Willis, Crystal@Energy</cp:lastModifiedBy>
  <cp:revision>61</cp:revision>
  <cp:lastPrinted>2014-04-11T22:56:00Z</cp:lastPrinted>
  <dcterms:created xsi:type="dcterms:W3CDTF">2020-07-25T00:01:00Z</dcterms:created>
  <dcterms:modified xsi:type="dcterms:W3CDTF">2024-04-02T16:01:00Z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953800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