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3EB8" w14:textId="764DDF23" w:rsidR="6CB917CD" w:rsidRPr="00CB31B6" w:rsidRDefault="002E1BCB" w:rsidP="00CB31B6">
      <w:pPr>
        <w:pStyle w:val="Heading1"/>
        <w:jc w:val="center"/>
        <w:rPr>
          <w:rFonts w:asciiTheme="minorHAnsi" w:hAnsiTheme="minorHAnsi" w:cstheme="minorHAnsi"/>
          <w:color w:val="000000" w:themeColor="text1"/>
          <w:sz w:val="28"/>
          <w:szCs w:val="28"/>
        </w:rPr>
      </w:pPr>
      <w:r w:rsidRPr="00CB31B6">
        <w:rPr>
          <w:rFonts w:asciiTheme="minorHAnsi" w:hAnsiTheme="minorHAnsi" w:cstheme="minorHAnsi"/>
          <w:color w:val="000000" w:themeColor="text1"/>
          <w:sz w:val="28"/>
          <w:szCs w:val="28"/>
        </w:rPr>
        <w:t>California Clean Energy Planning Program</w:t>
      </w:r>
      <w:r w:rsidR="00CB31B6">
        <w:rPr>
          <w:rFonts w:asciiTheme="minorHAnsi" w:hAnsiTheme="minorHAnsi" w:cstheme="minorHAnsi"/>
          <w:color w:val="000000" w:themeColor="text1"/>
          <w:sz w:val="28"/>
          <w:szCs w:val="28"/>
        </w:rPr>
        <w:br/>
      </w:r>
      <w:r w:rsidR="6CB917CD" w:rsidRPr="00CB31B6">
        <w:rPr>
          <w:rFonts w:asciiTheme="minorHAnsi" w:hAnsiTheme="minorHAnsi" w:cstheme="minorHAnsi"/>
          <w:color w:val="000000" w:themeColor="text1"/>
          <w:sz w:val="28"/>
          <w:szCs w:val="28"/>
        </w:rPr>
        <w:t>A</w:t>
      </w:r>
      <w:r w:rsidR="004F3DA2" w:rsidRPr="00CB31B6">
        <w:rPr>
          <w:rFonts w:asciiTheme="minorHAnsi" w:hAnsiTheme="minorHAnsi" w:cstheme="minorHAnsi"/>
          <w:color w:val="000000" w:themeColor="text1"/>
          <w:sz w:val="28"/>
          <w:szCs w:val="28"/>
        </w:rPr>
        <w:t>TTACHMENT</w:t>
      </w:r>
      <w:r w:rsidR="6CB917CD" w:rsidRPr="00CB31B6">
        <w:rPr>
          <w:rFonts w:asciiTheme="minorHAnsi" w:hAnsiTheme="minorHAnsi" w:cstheme="minorHAnsi"/>
          <w:color w:val="000000" w:themeColor="text1"/>
          <w:sz w:val="28"/>
          <w:szCs w:val="28"/>
        </w:rPr>
        <w:t xml:space="preserve"> 2</w:t>
      </w:r>
      <w:r w:rsidR="00C07AD4" w:rsidRPr="00CB31B6">
        <w:rPr>
          <w:rFonts w:asciiTheme="minorHAnsi" w:hAnsiTheme="minorHAnsi" w:cstheme="minorHAnsi"/>
          <w:color w:val="000000" w:themeColor="text1"/>
          <w:sz w:val="28"/>
          <w:szCs w:val="28"/>
        </w:rPr>
        <w:t xml:space="preserve"> – Terms and Conditions</w:t>
      </w:r>
    </w:p>
    <w:p w14:paraId="5F2FED9E" w14:textId="77777777" w:rsidR="002D1616" w:rsidRPr="002D1616" w:rsidRDefault="002D1616" w:rsidP="6CB917CD">
      <w:pPr>
        <w:spacing w:after="0" w:line="240" w:lineRule="auto"/>
        <w:jc w:val="center"/>
        <w:rPr>
          <w:b/>
          <w:bCs/>
        </w:rPr>
      </w:pPr>
    </w:p>
    <w:p w14:paraId="730FB081" w14:textId="3BF344B1" w:rsidR="006716E0" w:rsidRDefault="006716E0" w:rsidP="00D6548C">
      <w:pPr>
        <w:spacing w:after="0" w:line="240" w:lineRule="auto"/>
      </w:pPr>
    </w:p>
    <w:p w14:paraId="5364B9CC" w14:textId="6738A076" w:rsidR="00D6548C" w:rsidRPr="00CA6AA9" w:rsidRDefault="00CA6AA9" w:rsidP="00CA6AA9">
      <w:pPr>
        <w:pStyle w:val="ListParagraph"/>
        <w:numPr>
          <w:ilvl w:val="0"/>
          <w:numId w:val="1"/>
        </w:numPr>
        <w:spacing w:after="0" w:line="240" w:lineRule="auto"/>
        <w:rPr>
          <w:b/>
          <w:bCs/>
          <w:u w:val="single"/>
        </w:rPr>
      </w:pPr>
      <w:r w:rsidRPr="00CA6AA9">
        <w:rPr>
          <w:b/>
          <w:bCs/>
          <w:u w:val="single"/>
        </w:rPr>
        <w:t>Documents Incorporated by Reference</w:t>
      </w:r>
      <w:r>
        <w:rPr>
          <w:b/>
          <w:bCs/>
          <w:u w:val="single"/>
        </w:rPr>
        <w:t xml:space="preserve"> and Priority</w:t>
      </w:r>
    </w:p>
    <w:p w14:paraId="642DE569" w14:textId="4FC6EC5F" w:rsidR="00CA6AA9" w:rsidRDefault="00CA6AA9" w:rsidP="00D6548C">
      <w:pPr>
        <w:spacing w:after="0" w:line="240" w:lineRule="auto"/>
      </w:pPr>
    </w:p>
    <w:p w14:paraId="1D66E2B0" w14:textId="1CA64F03" w:rsidR="00CA6AA9" w:rsidRDefault="00CA6AA9" w:rsidP="00D6548C">
      <w:pPr>
        <w:spacing w:after="0" w:line="240" w:lineRule="auto"/>
      </w:pPr>
      <w:r>
        <w:t xml:space="preserve">Incorporated by reference into this agreement are the following documents: </w:t>
      </w:r>
    </w:p>
    <w:p w14:paraId="748719A3" w14:textId="77777777" w:rsidR="00CA6AA9" w:rsidRDefault="00CA6AA9" w:rsidP="00D6548C">
      <w:pPr>
        <w:spacing w:after="0" w:line="240" w:lineRule="auto"/>
      </w:pPr>
    </w:p>
    <w:p w14:paraId="7FB3BF4F" w14:textId="2C55D38F" w:rsidR="00CA6AA9" w:rsidRDefault="30A77950" w:rsidP="00CA6AA9">
      <w:pPr>
        <w:pStyle w:val="ListParagraph"/>
        <w:numPr>
          <w:ilvl w:val="0"/>
          <w:numId w:val="7"/>
        </w:numPr>
        <w:spacing w:after="0" w:line="240" w:lineRule="auto"/>
      </w:pPr>
      <w:r>
        <w:t xml:space="preserve">Grant Funding Opportunity (GFO) </w:t>
      </w:r>
      <w:r w:rsidR="598C5362">
        <w:t>23-702</w:t>
      </w:r>
      <w:r w:rsidR="4265B9C7">
        <w:t>, the California Clean Energy Planning Program solicitation</w:t>
      </w:r>
      <w:r>
        <w:t xml:space="preserve">. </w:t>
      </w:r>
    </w:p>
    <w:p w14:paraId="56301899" w14:textId="6FFB41EB" w:rsidR="00CA6AA9" w:rsidRDefault="00CA6AA9" w:rsidP="00CA6AA9">
      <w:pPr>
        <w:pStyle w:val="ListParagraph"/>
        <w:numPr>
          <w:ilvl w:val="0"/>
          <w:numId w:val="7"/>
        </w:numPr>
        <w:spacing w:after="0" w:line="240" w:lineRule="auto"/>
      </w:pPr>
      <w:r>
        <w:t xml:space="preserve">Recipient’s application to </w:t>
      </w:r>
      <w:r w:rsidR="00061FF9">
        <w:t>GFO-</w:t>
      </w:r>
      <w:r w:rsidR="006E4AD9">
        <w:t>23-702</w:t>
      </w:r>
      <w:r>
        <w:t xml:space="preserve">. </w:t>
      </w:r>
    </w:p>
    <w:p w14:paraId="61261C20" w14:textId="1580526B" w:rsidR="00CA6AA9" w:rsidRDefault="00CA6AA9" w:rsidP="00CA6AA9">
      <w:pPr>
        <w:spacing w:after="0" w:line="240" w:lineRule="auto"/>
      </w:pPr>
    </w:p>
    <w:p w14:paraId="76E67EA0" w14:textId="385BCF87" w:rsidR="00CA6AA9" w:rsidRDefault="007049C2" w:rsidP="00CA6AA9">
      <w:pPr>
        <w:spacing w:after="0" w:line="240" w:lineRule="auto"/>
      </w:pPr>
      <w:r>
        <w:t>In case of a conflict between</w:t>
      </w:r>
      <w:r w:rsidR="00CA6AA9" w:rsidRPr="005C29C0">
        <w:t xml:space="preserve"> the incorporated documents</w:t>
      </w:r>
      <w:r w:rsidR="005C29C0" w:rsidRPr="005C29C0">
        <w:t xml:space="preserve"> and</w:t>
      </w:r>
      <w:r w:rsidR="005C29C0">
        <w:t xml:space="preserve"> the remainder of this Agreement, the rest of t</w:t>
      </w:r>
      <w:r>
        <w:t xml:space="preserve">he </w:t>
      </w:r>
      <w:r w:rsidR="005C29C0">
        <w:t xml:space="preserve">Agreement takes priority.  </w:t>
      </w:r>
      <w:r w:rsidR="00CA6AA9">
        <w:t xml:space="preserve"> </w:t>
      </w:r>
    </w:p>
    <w:p w14:paraId="68BC25C5" w14:textId="1501E0D1" w:rsidR="00D6548C" w:rsidRDefault="00D6548C" w:rsidP="00B12452">
      <w:pPr>
        <w:spacing w:after="0" w:line="240" w:lineRule="auto"/>
      </w:pPr>
    </w:p>
    <w:p w14:paraId="1C05BDAE" w14:textId="41EC9803" w:rsidR="00D6548C" w:rsidRPr="00D6548C" w:rsidRDefault="00D6548C" w:rsidP="00D6548C">
      <w:pPr>
        <w:pStyle w:val="ListParagraph"/>
        <w:numPr>
          <w:ilvl w:val="0"/>
          <w:numId w:val="1"/>
        </w:numPr>
        <w:spacing w:after="0" w:line="240" w:lineRule="auto"/>
        <w:rPr>
          <w:b/>
          <w:bCs/>
          <w:u w:val="single"/>
        </w:rPr>
      </w:pPr>
      <w:r w:rsidRPr="00D6548C">
        <w:rPr>
          <w:b/>
          <w:bCs/>
          <w:u w:val="single"/>
        </w:rPr>
        <w:t>Budget</w:t>
      </w:r>
      <w:r>
        <w:rPr>
          <w:b/>
          <w:bCs/>
          <w:u w:val="single"/>
        </w:rPr>
        <w:t>, Invoices, and Payment</w:t>
      </w:r>
      <w:r w:rsidR="005F0C4D">
        <w:rPr>
          <w:b/>
          <w:bCs/>
          <w:u w:val="single"/>
        </w:rPr>
        <w:t>s</w:t>
      </w:r>
    </w:p>
    <w:p w14:paraId="20D4AA24" w14:textId="65AA0496" w:rsidR="00D6548C" w:rsidRDefault="00D6548C" w:rsidP="00D6548C">
      <w:pPr>
        <w:spacing w:after="0" w:line="240" w:lineRule="auto"/>
      </w:pPr>
    </w:p>
    <w:p w14:paraId="467EE853" w14:textId="485E1EEA" w:rsidR="001034FF" w:rsidRDefault="001034FF" w:rsidP="001E55FA">
      <w:pPr>
        <w:pStyle w:val="ListParagraph"/>
        <w:numPr>
          <w:ilvl w:val="0"/>
          <w:numId w:val="11"/>
        </w:numPr>
        <w:spacing w:after="0" w:line="240" w:lineRule="auto"/>
      </w:pPr>
      <w:r>
        <w:t>The</w:t>
      </w:r>
      <w:r w:rsidR="00471BDF">
        <w:t xml:space="preserve"> Energy Commission</w:t>
      </w:r>
      <w:r>
        <w:t xml:space="preserve"> </w:t>
      </w:r>
      <w:r w:rsidR="00471BDF">
        <w:t>(</w:t>
      </w:r>
      <w:r>
        <w:t>CEC</w:t>
      </w:r>
      <w:r w:rsidR="00471BDF">
        <w:t>)</w:t>
      </w:r>
      <w:r>
        <w:t xml:space="preserve"> </w:t>
      </w:r>
      <w:r w:rsidRPr="001034FF">
        <w:t xml:space="preserve">is only obligated to reimburse the Recipient for </w:t>
      </w:r>
      <w:r>
        <w:t>p</w:t>
      </w:r>
      <w:r w:rsidRPr="001034FF">
        <w:t xml:space="preserve">aid </w:t>
      </w:r>
      <w:r w:rsidR="00B07328">
        <w:t xml:space="preserve">direct labor </w:t>
      </w:r>
      <w:r w:rsidR="00FC230F">
        <w:t>and</w:t>
      </w:r>
      <w:r w:rsidR="00B07328">
        <w:t xml:space="preserve"> fringe benefits costs</w:t>
      </w:r>
      <w:r w:rsidR="00B0604F">
        <w:t xml:space="preserve"> </w:t>
      </w:r>
      <w:r w:rsidRPr="001034FF">
        <w:t>that are (</w:t>
      </w:r>
      <w:r w:rsidR="00101876">
        <w:t>1</w:t>
      </w:r>
      <w:r w:rsidR="00363F06">
        <w:t xml:space="preserve">) </w:t>
      </w:r>
      <w:r w:rsidRPr="001034FF">
        <w:t>incurred during the Agreement Term; (</w:t>
      </w:r>
      <w:r w:rsidR="00101876">
        <w:t>2</w:t>
      </w:r>
      <w:r w:rsidRPr="001034FF">
        <w:t>) invoiced within the required timeframes of this Agreement; (</w:t>
      </w:r>
      <w:r w:rsidR="00101876">
        <w:t>3</w:t>
      </w:r>
      <w:r w:rsidRPr="001034FF">
        <w:t xml:space="preserve">) </w:t>
      </w:r>
      <w:r>
        <w:t>not more than this Agreement’s budget</w:t>
      </w:r>
      <w:r w:rsidR="00A64A4B">
        <w:t xml:space="preserve">; </w:t>
      </w:r>
      <w:r w:rsidRPr="001034FF">
        <w:t>and (</w:t>
      </w:r>
      <w:r w:rsidR="00101876">
        <w:t>4</w:t>
      </w:r>
      <w:r w:rsidRPr="001034FF">
        <w:t xml:space="preserve">) </w:t>
      </w:r>
      <w:r>
        <w:t xml:space="preserve">reasonable, </w:t>
      </w:r>
      <w:r w:rsidRPr="001034FF">
        <w:t>actual</w:t>
      </w:r>
      <w:r>
        <w:t>,</w:t>
      </w:r>
      <w:r w:rsidRPr="001034FF">
        <w:t xml:space="preserve"> and allowable expenses under this Agreement.</w:t>
      </w:r>
    </w:p>
    <w:p w14:paraId="5B69C841" w14:textId="77777777" w:rsidR="00706E5C" w:rsidRDefault="00706E5C" w:rsidP="00706E5C">
      <w:pPr>
        <w:pStyle w:val="ListParagraph"/>
        <w:spacing w:after="0" w:line="240" w:lineRule="auto"/>
      </w:pPr>
    </w:p>
    <w:p w14:paraId="6A826D95" w14:textId="5F4AF825" w:rsidR="001034FF" w:rsidRDefault="001034FF" w:rsidP="001E55FA">
      <w:pPr>
        <w:pStyle w:val="ListParagraph"/>
        <w:numPr>
          <w:ilvl w:val="0"/>
          <w:numId w:val="11"/>
        </w:numPr>
        <w:spacing w:after="0" w:line="240" w:lineRule="auto"/>
      </w:pPr>
      <w:r>
        <w:t>Recipient acknowledges that the funds under this Agreement have a liquidation date of June 30, 202</w:t>
      </w:r>
      <w:r w:rsidR="00B46336">
        <w:t>6</w:t>
      </w:r>
      <w:r>
        <w:t xml:space="preserve">, </w:t>
      </w:r>
      <w:r w:rsidR="0073673A">
        <w:t xml:space="preserve">a </w:t>
      </w:r>
      <w:r>
        <w:t xml:space="preserve">legal timeframe after which the CEC has no authority to pay the funds.  In addition, it takes the CEC administrative time </w:t>
      </w:r>
      <w:r w:rsidR="0073673A">
        <w:t xml:space="preserve">to </w:t>
      </w:r>
      <w:r>
        <w:t>review, approve, work with the Recipient to correct any errors</w:t>
      </w:r>
      <w:r w:rsidR="0073673A">
        <w:t xml:space="preserve"> </w:t>
      </w:r>
      <w:r>
        <w:t>in</w:t>
      </w:r>
      <w:r w:rsidR="0073673A">
        <w:t>,</w:t>
      </w:r>
      <w:r>
        <w:t xml:space="preserve"> and </w:t>
      </w:r>
      <w:r w:rsidR="0073673A">
        <w:t xml:space="preserve">request the State Controller’s Office to </w:t>
      </w:r>
      <w:r>
        <w:t>pay invoices. Accordingly, Recipient acknowledges that if it does not submit accurate invoices by March 30, 202</w:t>
      </w:r>
      <w:r w:rsidR="00B46336">
        <w:t>6</w:t>
      </w:r>
      <w:r>
        <w:t>, for all amounts due under the Agreement, it risks not receiving payment, and relinquishes all rights to such payments should the CEC not pay it by the liquidation date.  Recipient acknowledges that time is of the essence in invoicing by March 30, 202</w:t>
      </w:r>
      <w:r w:rsidR="00B46336">
        <w:t>6</w:t>
      </w:r>
      <w:r>
        <w:t>, for all amounts due under th</w:t>
      </w:r>
      <w:r w:rsidR="0073673A">
        <w:t>is</w:t>
      </w:r>
      <w:r>
        <w:t xml:space="preserve"> Agreement. </w:t>
      </w:r>
    </w:p>
    <w:p w14:paraId="65DB991D" w14:textId="348DD53D" w:rsidR="001034FF" w:rsidRDefault="001034FF" w:rsidP="00D6548C">
      <w:pPr>
        <w:spacing w:after="0" w:line="240" w:lineRule="auto"/>
      </w:pPr>
    </w:p>
    <w:p w14:paraId="403A479F" w14:textId="7154BFFB" w:rsidR="001034FF" w:rsidRPr="001034FF" w:rsidRDefault="001034FF" w:rsidP="00706E5C">
      <w:pPr>
        <w:pStyle w:val="ListParagraph"/>
        <w:numPr>
          <w:ilvl w:val="0"/>
          <w:numId w:val="11"/>
        </w:numPr>
        <w:spacing w:after="0" w:line="240" w:lineRule="auto"/>
      </w:pPr>
      <w:r w:rsidRPr="001034FF">
        <w:t xml:space="preserve">The Recipient may request payment from the </w:t>
      </w:r>
      <w:r w:rsidR="00471BDF">
        <w:t>CEC</w:t>
      </w:r>
      <w:r w:rsidRPr="001034FF">
        <w:t xml:space="preserve"> at any time during the term of this Agreement </w:t>
      </w:r>
      <w:r w:rsidR="00D1531F">
        <w:t xml:space="preserve">for </w:t>
      </w:r>
      <w:r w:rsidR="00557222">
        <w:t xml:space="preserve">completed </w:t>
      </w:r>
      <w:r w:rsidR="00D1531F">
        <w:t>project work</w:t>
      </w:r>
      <w:r w:rsidR="00DE1A57">
        <w:t xml:space="preserve">, </w:t>
      </w:r>
      <w:r w:rsidRPr="001034FF">
        <w:t xml:space="preserve">but no more frequently than </w:t>
      </w:r>
      <w:r w:rsidR="009333D0">
        <w:t>monthly</w:t>
      </w:r>
      <w:r w:rsidRPr="001034FF">
        <w:t xml:space="preserve">. </w:t>
      </w:r>
      <w:r w:rsidR="009118F2">
        <w:t xml:space="preserve">Recipient </w:t>
      </w:r>
      <w:r w:rsidR="000656AA">
        <w:t>must use the CAM provided template invoice spreadsheet.</w:t>
      </w:r>
    </w:p>
    <w:p w14:paraId="3D3B028B" w14:textId="77777777" w:rsidR="006C6436" w:rsidRDefault="006C6436" w:rsidP="00101876">
      <w:pPr>
        <w:spacing w:after="0" w:line="240" w:lineRule="auto"/>
      </w:pPr>
    </w:p>
    <w:p w14:paraId="5C556B1C" w14:textId="1D37D059" w:rsidR="00C57972" w:rsidRDefault="00706E5C" w:rsidP="001E55FA">
      <w:pPr>
        <w:pStyle w:val="ListParagraph"/>
        <w:numPr>
          <w:ilvl w:val="0"/>
          <w:numId w:val="11"/>
        </w:numPr>
        <w:spacing w:after="0" w:line="240" w:lineRule="auto"/>
      </w:pPr>
      <w:r>
        <w:t>T</w:t>
      </w:r>
      <w:r w:rsidR="00920312" w:rsidRPr="00920312">
        <w:t xml:space="preserve">he template invoice spreadsheet must identify the employee’s name, </w:t>
      </w:r>
      <w:r w:rsidR="00DB23A1">
        <w:t>direct labor and fringe benefits</w:t>
      </w:r>
      <w:r w:rsidR="00920312" w:rsidRPr="00920312">
        <w:t xml:space="preserve"> rate</w:t>
      </w:r>
      <w:r w:rsidR="00DB23A1">
        <w:t>s</w:t>
      </w:r>
      <w:r w:rsidR="00F002C5">
        <w:t>,</w:t>
      </w:r>
      <w:r w:rsidR="00920312" w:rsidRPr="00920312">
        <w:t xml:space="preserve"> </w:t>
      </w:r>
      <w:r w:rsidR="00F002C5">
        <w:t xml:space="preserve">and hours worked </w:t>
      </w:r>
      <w:r w:rsidR="00920312" w:rsidRPr="00920312">
        <w:t>to be included as a reimbursable expense.</w:t>
      </w:r>
      <w:r w:rsidR="006B4E8D">
        <w:t xml:space="preserve"> For Category 1 projects, </w:t>
      </w:r>
      <w:r w:rsidR="00D72E76">
        <w:t xml:space="preserve">tribal </w:t>
      </w:r>
      <w:r w:rsidR="001D6FC9">
        <w:t>member</w:t>
      </w:r>
      <w:r w:rsidR="00D72E76">
        <w:t>(s)</w:t>
      </w:r>
      <w:r w:rsidR="00A61AE4">
        <w:t xml:space="preserve"> will only be </w:t>
      </w:r>
      <w:r w:rsidR="00CD5B33">
        <w:t>reimbursed at a maximum rate of $50 per hour</w:t>
      </w:r>
      <w:r w:rsidR="00C94CC8">
        <w:t xml:space="preserve">. </w:t>
      </w:r>
    </w:p>
    <w:p w14:paraId="3E966696" w14:textId="77777777" w:rsidR="000E4E32" w:rsidRDefault="000E4E32" w:rsidP="000E4E32">
      <w:pPr>
        <w:pStyle w:val="ListParagraph"/>
      </w:pPr>
    </w:p>
    <w:p w14:paraId="4D601CC5" w14:textId="62D1A355" w:rsidR="00C57972" w:rsidRDefault="000E4E32" w:rsidP="0030272F">
      <w:pPr>
        <w:pStyle w:val="ListParagraph"/>
        <w:numPr>
          <w:ilvl w:val="0"/>
          <w:numId w:val="11"/>
        </w:numPr>
        <w:spacing w:after="0"/>
      </w:pPr>
      <w:r w:rsidRPr="000E4E32">
        <w:t xml:space="preserve">The </w:t>
      </w:r>
      <w:r>
        <w:t>CEC</w:t>
      </w:r>
      <w:r w:rsidRPr="000E4E32">
        <w:t xml:space="preserve"> shall retain 10 percent of any payment request. The Recipient must submit a completed payment request requesting release of the retention </w:t>
      </w:r>
      <w:r w:rsidR="0030272F">
        <w:t>by March 30, 2026</w:t>
      </w:r>
      <w:r w:rsidRPr="000E4E32">
        <w:t>. The C</w:t>
      </w:r>
      <w:r w:rsidR="0030272F">
        <w:t>AM</w:t>
      </w:r>
      <w:r w:rsidRPr="000E4E32">
        <w:t xml:space="preserve"> will review the project and, when satisfied that the terms of the Agreement have been fulfilled, will authorize release of the retention.</w:t>
      </w:r>
    </w:p>
    <w:p w14:paraId="3A48E0C0" w14:textId="4E189408" w:rsidR="005F0C4D" w:rsidRDefault="005F0C4D" w:rsidP="00D6548C">
      <w:pPr>
        <w:spacing w:after="0" w:line="240" w:lineRule="auto"/>
      </w:pPr>
    </w:p>
    <w:p w14:paraId="1E952161" w14:textId="33E57B01" w:rsidR="005F0C4D" w:rsidRPr="002A77EA" w:rsidRDefault="002A77EA" w:rsidP="002A77EA">
      <w:pPr>
        <w:pStyle w:val="ListParagraph"/>
        <w:numPr>
          <w:ilvl w:val="0"/>
          <w:numId w:val="1"/>
        </w:numPr>
        <w:spacing w:after="0" w:line="240" w:lineRule="auto"/>
        <w:rPr>
          <w:b/>
          <w:bCs/>
          <w:u w:val="single"/>
        </w:rPr>
      </w:pPr>
      <w:r w:rsidRPr="002A77EA">
        <w:rPr>
          <w:b/>
          <w:bCs/>
          <w:u w:val="single"/>
        </w:rPr>
        <w:t xml:space="preserve">Certification </w:t>
      </w:r>
    </w:p>
    <w:p w14:paraId="05AC9B20" w14:textId="24553AEE" w:rsidR="002A77EA" w:rsidRDefault="002A77EA" w:rsidP="002A77EA">
      <w:pPr>
        <w:spacing w:after="0" w:line="240" w:lineRule="auto"/>
      </w:pPr>
    </w:p>
    <w:p w14:paraId="430214D2" w14:textId="48EAC8A6" w:rsidR="002A77EA" w:rsidRDefault="002A77EA" w:rsidP="002A77EA">
      <w:pPr>
        <w:spacing w:after="0" w:line="240" w:lineRule="auto"/>
      </w:pPr>
      <w:r>
        <w:lastRenderedPageBreak/>
        <w:t xml:space="preserve">By signing this Agreement, </w:t>
      </w:r>
      <w:r w:rsidR="005C29C0">
        <w:t>Recipient</w:t>
      </w:r>
      <w:r>
        <w:t xml:space="preserve"> hereby certifies </w:t>
      </w:r>
      <w:r w:rsidRPr="002A77EA">
        <w:t xml:space="preserve">that all funds received pursuant to this </w:t>
      </w:r>
      <w:r w:rsidR="005C29C0">
        <w:t>A</w:t>
      </w:r>
      <w:r w:rsidRPr="002A77EA">
        <w:t xml:space="preserve">greement </w:t>
      </w:r>
      <w:r>
        <w:t>shall</w:t>
      </w:r>
      <w:r w:rsidRPr="002A77EA">
        <w:t xml:space="preserve"> be spent</w:t>
      </w:r>
      <w:r>
        <w:t xml:space="preserve"> </w:t>
      </w:r>
      <w:r w:rsidRPr="002A77EA">
        <w:t xml:space="preserve">exclusively </w:t>
      </w:r>
      <w:r>
        <w:t>for its</w:t>
      </w:r>
      <w:r w:rsidR="005C29C0">
        <w:t xml:space="preserve"> </w:t>
      </w:r>
      <w:r w:rsidR="00E52069">
        <w:t xml:space="preserve">California </w:t>
      </w:r>
      <w:r w:rsidR="00A2357F">
        <w:t xml:space="preserve">Clean Energy Planning </w:t>
      </w:r>
      <w:r w:rsidR="00F64105">
        <w:t>Program</w:t>
      </w:r>
      <w:r w:rsidR="005C29C0">
        <w:t xml:space="preserve"> project in compliance with this Agreement</w:t>
      </w:r>
      <w:r>
        <w:t xml:space="preserve">. The </w:t>
      </w:r>
      <w:r w:rsidR="005C29C0">
        <w:t>Recipient</w:t>
      </w:r>
      <w:r>
        <w:t xml:space="preserve"> further certifies that it shall comply with all applicable laws in performing this Agreement. </w:t>
      </w:r>
    </w:p>
    <w:p w14:paraId="15FB67D0" w14:textId="39D14F9A" w:rsidR="0086728F" w:rsidRDefault="0086728F" w:rsidP="0086728F">
      <w:pPr>
        <w:spacing w:after="0" w:line="240" w:lineRule="auto"/>
      </w:pPr>
    </w:p>
    <w:p w14:paraId="4480711A" w14:textId="755C79A7" w:rsidR="00AC2061" w:rsidRDefault="00F0274E" w:rsidP="005C29C0">
      <w:pPr>
        <w:pStyle w:val="ListParagraph"/>
        <w:numPr>
          <w:ilvl w:val="0"/>
          <w:numId w:val="1"/>
        </w:numPr>
        <w:spacing w:after="0" w:line="240" w:lineRule="auto"/>
        <w:rPr>
          <w:b/>
          <w:bCs/>
          <w:u w:val="single"/>
        </w:rPr>
      </w:pPr>
      <w:r>
        <w:rPr>
          <w:b/>
          <w:bCs/>
          <w:u w:val="single"/>
        </w:rPr>
        <w:t>Deliverables</w:t>
      </w:r>
    </w:p>
    <w:p w14:paraId="7CD14329" w14:textId="77777777" w:rsidR="000A3F0F" w:rsidRDefault="000A3F0F" w:rsidP="00F0274E">
      <w:pPr>
        <w:spacing w:after="0" w:line="240" w:lineRule="auto"/>
      </w:pPr>
    </w:p>
    <w:p w14:paraId="4C516886" w14:textId="5F6CDF3B" w:rsidR="00F0274E" w:rsidRDefault="00F0274E" w:rsidP="00F0274E">
      <w:pPr>
        <w:spacing w:after="0" w:line="240" w:lineRule="auto"/>
      </w:pPr>
      <w:r w:rsidRPr="009D0813">
        <w:t xml:space="preserve">“Deliverables” are any tangible item specified for delivery to the </w:t>
      </w:r>
      <w:r w:rsidR="00471BDF">
        <w:t>CEC</w:t>
      </w:r>
      <w:r w:rsidRPr="009D0813">
        <w:t xml:space="preserve"> in Attachment 1</w:t>
      </w:r>
      <w:r w:rsidR="009D0813" w:rsidRPr="009D0813">
        <w:t xml:space="preserve"> of this Agreement</w:t>
      </w:r>
      <w:r w:rsidRPr="009D0813">
        <w:t xml:space="preserve">, such as reports and summaries. The Recipient will submit all </w:t>
      </w:r>
      <w:r w:rsidR="009D0813">
        <w:t>deliverables</w:t>
      </w:r>
      <w:r w:rsidRPr="009D0813">
        <w:t xml:space="preserve"> identified in </w:t>
      </w:r>
      <w:r w:rsidR="009D0813">
        <w:t>Attachment 1</w:t>
      </w:r>
      <w:r w:rsidRPr="009D0813">
        <w:t xml:space="preserve"> to the Commission Agreement Manager</w:t>
      </w:r>
      <w:r w:rsidR="0011768C">
        <w:t xml:space="preserve"> (CAM)</w:t>
      </w:r>
      <w:r w:rsidRPr="009D0813">
        <w:t xml:space="preserve">, in the manner and form specified in </w:t>
      </w:r>
      <w:r w:rsidR="001137AA">
        <w:t>Attachment 1</w:t>
      </w:r>
      <w:r w:rsidRPr="009D0813">
        <w:t xml:space="preserve">. The </w:t>
      </w:r>
      <w:r w:rsidR="0075053B">
        <w:t>CEC</w:t>
      </w:r>
      <w:r w:rsidRPr="009D0813">
        <w:t xml:space="preserve"> owns all </w:t>
      </w:r>
      <w:r w:rsidR="001137AA">
        <w:t>deliverables</w:t>
      </w:r>
      <w:r w:rsidRPr="009D0813">
        <w:t xml:space="preserve"> identified in the Scope of Work</w:t>
      </w:r>
      <w:r w:rsidR="001137AA">
        <w:t>.</w:t>
      </w:r>
    </w:p>
    <w:p w14:paraId="0E6D418A" w14:textId="77777777" w:rsidR="0011768C" w:rsidRDefault="0011768C" w:rsidP="00F0274E">
      <w:pPr>
        <w:spacing w:after="0" w:line="240" w:lineRule="auto"/>
      </w:pPr>
    </w:p>
    <w:p w14:paraId="749DFEB5" w14:textId="7E716A3B" w:rsidR="00F0274E" w:rsidRDefault="00007E04" w:rsidP="00F0274E">
      <w:pPr>
        <w:spacing w:after="0" w:line="240" w:lineRule="auto"/>
      </w:pPr>
      <w:r w:rsidRPr="00007E04">
        <w:t>If the C</w:t>
      </w:r>
      <w:r>
        <w:t>AM</w:t>
      </w:r>
      <w:r w:rsidRPr="00007E04">
        <w:t xml:space="preserve"> reasonably determines that a </w:t>
      </w:r>
      <w:r>
        <w:t>deliverable</w:t>
      </w:r>
      <w:r w:rsidRPr="00007E04">
        <w:t xml:space="preserve"> is incomplete or inadequate given its description and intended use as described in this Agreement, the C</w:t>
      </w:r>
      <w:r>
        <w:t>AM</w:t>
      </w:r>
      <w:r w:rsidRPr="00007E04">
        <w:t xml:space="preserve"> may work with the Recipient to cure any deficiency. Until the C</w:t>
      </w:r>
      <w:r>
        <w:t>AM</w:t>
      </w:r>
      <w:r w:rsidRPr="00007E04">
        <w:t xml:space="preserve"> reasonably determines that the </w:t>
      </w:r>
      <w:r>
        <w:t>deliverable</w:t>
      </w:r>
      <w:r w:rsidRPr="00007E04">
        <w:t xml:space="preserve"> is adequate, and without prejudice to any of the C</w:t>
      </w:r>
      <w:r w:rsidR="00471BDF">
        <w:t>EC</w:t>
      </w:r>
      <w:r w:rsidRPr="00007E04">
        <w:t>’s other remedies, the C</w:t>
      </w:r>
      <w:r>
        <w:t>AM</w:t>
      </w:r>
      <w:r w:rsidRPr="00007E04">
        <w:t xml:space="preserve"> may refuse to authorize payment for the </w:t>
      </w:r>
      <w:r>
        <w:t>deliverable</w:t>
      </w:r>
      <w:r w:rsidRPr="00007E04">
        <w:t xml:space="preserve"> and any subsequent</w:t>
      </w:r>
      <w:r>
        <w:t xml:space="preserve"> deliverable</w:t>
      </w:r>
      <w:r w:rsidRPr="00007E04">
        <w:t xml:space="preserve">s that rely on or are based upon the </w:t>
      </w:r>
      <w:r>
        <w:t>deliverable</w:t>
      </w:r>
      <w:r w:rsidRPr="00007E04">
        <w:t>.</w:t>
      </w:r>
    </w:p>
    <w:p w14:paraId="1336CF27" w14:textId="77777777" w:rsidR="00007E04" w:rsidRPr="00F0274E" w:rsidRDefault="00007E04" w:rsidP="00F0274E">
      <w:pPr>
        <w:spacing w:after="0" w:line="240" w:lineRule="auto"/>
        <w:rPr>
          <w:b/>
          <w:bCs/>
          <w:u w:val="single"/>
        </w:rPr>
      </w:pPr>
    </w:p>
    <w:p w14:paraId="791CA958" w14:textId="771B4B02" w:rsidR="000B661D" w:rsidRDefault="000B661D" w:rsidP="005C29C0">
      <w:pPr>
        <w:pStyle w:val="ListParagraph"/>
        <w:numPr>
          <w:ilvl w:val="0"/>
          <w:numId w:val="1"/>
        </w:numPr>
        <w:spacing w:after="0" w:line="240" w:lineRule="auto"/>
        <w:rPr>
          <w:b/>
          <w:bCs/>
          <w:u w:val="single"/>
        </w:rPr>
      </w:pPr>
      <w:r>
        <w:rPr>
          <w:b/>
          <w:bCs/>
          <w:u w:val="single"/>
        </w:rPr>
        <w:t>Stop Work</w:t>
      </w:r>
    </w:p>
    <w:p w14:paraId="0642906C" w14:textId="77777777" w:rsidR="000B661D" w:rsidRDefault="000B661D" w:rsidP="000B661D">
      <w:pPr>
        <w:spacing w:after="0" w:line="240" w:lineRule="auto"/>
        <w:rPr>
          <w:b/>
          <w:bCs/>
          <w:u w:val="single"/>
        </w:rPr>
      </w:pPr>
    </w:p>
    <w:p w14:paraId="6BB04E16" w14:textId="753B11EF" w:rsidR="000B661D" w:rsidRDefault="00471BDF" w:rsidP="000B661D">
      <w:pPr>
        <w:spacing w:after="0" w:line="240" w:lineRule="auto"/>
      </w:pPr>
      <w:r>
        <w:t>CEC</w:t>
      </w:r>
      <w:r w:rsidR="000B661D" w:rsidRPr="000B661D">
        <w:t xml:space="preserve"> staff may, at any time by written notice to the Recipient, require the Recipient to stop all or any part of the work tasks in this Agreement. Stop work orders may be issued for reasons such as a project exceeding budget, out of scope work, project delays, and misrepresentations.</w:t>
      </w:r>
    </w:p>
    <w:p w14:paraId="0A00BF2E" w14:textId="77777777" w:rsidR="00F61C4C" w:rsidRDefault="00F61C4C" w:rsidP="000B661D">
      <w:pPr>
        <w:spacing w:after="0" w:line="240" w:lineRule="auto"/>
      </w:pPr>
    </w:p>
    <w:p w14:paraId="42699176" w14:textId="2D4241CC" w:rsidR="00F61C4C" w:rsidRPr="000B661D" w:rsidRDefault="00F61C4C" w:rsidP="000B661D">
      <w:pPr>
        <w:spacing w:after="0" w:line="240" w:lineRule="auto"/>
      </w:pPr>
      <w:r w:rsidRPr="00F61C4C">
        <w:t xml:space="preserve">Upon receipt of a stop work order, the Recipient must immediately take all necessary steps to comply with the order and to stop the incurrence of costs allocable to the </w:t>
      </w:r>
      <w:r w:rsidR="00471BDF">
        <w:t>CEC</w:t>
      </w:r>
      <w:r w:rsidRPr="00F61C4C">
        <w:t>.</w:t>
      </w:r>
      <w:r w:rsidR="00F3317F">
        <w:t xml:space="preserve"> </w:t>
      </w:r>
      <w:r w:rsidRPr="00F61C4C">
        <w:t xml:space="preserve">The Recipient may resume the work only upon receipt of written instructions from </w:t>
      </w:r>
      <w:r w:rsidR="00471BDF">
        <w:t>CEC</w:t>
      </w:r>
      <w:r w:rsidRPr="00F61C4C">
        <w:t xml:space="preserve"> staff.</w:t>
      </w:r>
    </w:p>
    <w:p w14:paraId="3B8ECFC2" w14:textId="77777777" w:rsidR="000B661D" w:rsidRDefault="000B661D" w:rsidP="000B661D">
      <w:pPr>
        <w:pStyle w:val="ListParagraph"/>
        <w:spacing w:after="0" w:line="240" w:lineRule="auto"/>
        <w:ind w:left="360"/>
        <w:rPr>
          <w:b/>
          <w:bCs/>
          <w:u w:val="single"/>
        </w:rPr>
      </w:pPr>
    </w:p>
    <w:p w14:paraId="62F33612" w14:textId="441A03F0" w:rsidR="00E121C2" w:rsidRDefault="00E121C2" w:rsidP="005C29C0">
      <w:pPr>
        <w:pStyle w:val="ListParagraph"/>
        <w:numPr>
          <w:ilvl w:val="0"/>
          <w:numId w:val="1"/>
        </w:numPr>
        <w:spacing w:after="0" w:line="240" w:lineRule="auto"/>
        <w:rPr>
          <w:b/>
          <w:bCs/>
          <w:u w:val="single"/>
        </w:rPr>
      </w:pPr>
      <w:r>
        <w:rPr>
          <w:b/>
          <w:bCs/>
          <w:u w:val="single"/>
        </w:rPr>
        <w:t>Subcontracting</w:t>
      </w:r>
    </w:p>
    <w:p w14:paraId="24116A9D" w14:textId="77777777" w:rsidR="00E121C2" w:rsidRDefault="00E121C2" w:rsidP="00E121C2">
      <w:pPr>
        <w:spacing w:after="0" w:line="240" w:lineRule="auto"/>
        <w:rPr>
          <w:b/>
          <w:bCs/>
          <w:u w:val="single"/>
        </w:rPr>
      </w:pPr>
    </w:p>
    <w:p w14:paraId="61DACF5F" w14:textId="61E3037A" w:rsidR="003C01FD" w:rsidRPr="005D095C" w:rsidRDefault="00A4236F" w:rsidP="00E121C2">
      <w:pPr>
        <w:spacing w:after="0" w:line="240" w:lineRule="auto"/>
      </w:pPr>
      <w:r w:rsidRPr="005D095C">
        <w:t>The Recipient is responsible for handling all contractual and administrative issues arising out of or related to any subcontracts it enters into for the performance of this Agreement.</w:t>
      </w:r>
      <w:r w:rsidR="005D095C">
        <w:t xml:space="preserve"> </w:t>
      </w:r>
      <w:r w:rsidR="007C22C6" w:rsidRPr="005D095C">
        <w:t>Nothing contained in this Agreement or otherwise creates any contractual relation between the C</w:t>
      </w:r>
      <w:r w:rsidR="002F343B">
        <w:t>EC</w:t>
      </w:r>
      <w:r w:rsidR="007C22C6" w:rsidRPr="005D095C">
        <w:t xml:space="preserve"> and any subcontractors, and no subcontract may relieve the Recipient of its responsibilities under this Agreement.</w:t>
      </w:r>
      <w:r w:rsidR="005D095C">
        <w:t xml:space="preserve"> </w:t>
      </w:r>
      <w:r w:rsidR="003C01FD" w:rsidRPr="005D095C">
        <w:t>The Recipient’s obligation to pay its subcontractors is an independent obligation from the C</w:t>
      </w:r>
      <w:r w:rsidR="00471BDF">
        <w:t>EC</w:t>
      </w:r>
      <w:r w:rsidR="003C01FD" w:rsidRPr="005D095C">
        <w:t>’s obligation to make payments to the Recipient.</w:t>
      </w:r>
    </w:p>
    <w:p w14:paraId="17712467" w14:textId="77777777" w:rsidR="003C01FD" w:rsidRPr="005D095C" w:rsidRDefault="003C01FD" w:rsidP="00E121C2">
      <w:pPr>
        <w:spacing w:after="0" w:line="240" w:lineRule="auto"/>
      </w:pPr>
    </w:p>
    <w:p w14:paraId="57B80FB9" w14:textId="15EECC62" w:rsidR="005D095C" w:rsidRDefault="005D095C" w:rsidP="00E121C2">
      <w:pPr>
        <w:spacing w:after="0" w:line="240" w:lineRule="auto"/>
      </w:pPr>
      <w:r w:rsidRPr="005D095C">
        <w:t>Subcontracts funded in whole or in part by this Agreement must include language conforming to the following provisions:</w:t>
      </w:r>
    </w:p>
    <w:p w14:paraId="4705C272" w14:textId="36EF40E0" w:rsidR="009F6A16" w:rsidRDefault="009F6A16" w:rsidP="000E4680">
      <w:pPr>
        <w:numPr>
          <w:ilvl w:val="0"/>
          <w:numId w:val="5"/>
        </w:numPr>
        <w:spacing w:after="0" w:line="240" w:lineRule="auto"/>
      </w:pPr>
      <w:r>
        <w:t>7.</w:t>
      </w:r>
      <w:r w:rsidR="006303E3">
        <w:t xml:space="preserve"> Nondiscrimination Statement of Compliance</w:t>
      </w:r>
      <w:r>
        <w:t xml:space="preserve"> </w:t>
      </w:r>
    </w:p>
    <w:p w14:paraId="1CD8BF95" w14:textId="77777777" w:rsidR="006303E3" w:rsidRDefault="009F6A16" w:rsidP="000E4680">
      <w:pPr>
        <w:numPr>
          <w:ilvl w:val="0"/>
          <w:numId w:val="5"/>
        </w:numPr>
        <w:spacing w:after="0" w:line="240" w:lineRule="auto"/>
      </w:pPr>
      <w:r>
        <w:t>8</w:t>
      </w:r>
      <w:r w:rsidR="000E4680" w:rsidRPr="000E4680">
        <w:t xml:space="preserve">. </w:t>
      </w:r>
      <w:r w:rsidR="006303E3">
        <w:t>Drug Free Workplace Certification</w:t>
      </w:r>
    </w:p>
    <w:p w14:paraId="2C9C79C7" w14:textId="736170C6" w:rsidR="000E4680" w:rsidRPr="000E4680" w:rsidRDefault="006303E3" w:rsidP="000E4680">
      <w:pPr>
        <w:numPr>
          <w:ilvl w:val="0"/>
          <w:numId w:val="5"/>
        </w:numPr>
        <w:spacing w:after="0" w:line="240" w:lineRule="auto"/>
      </w:pPr>
      <w:r>
        <w:t xml:space="preserve">10. </w:t>
      </w:r>
      <w:r w:rsidR="000E4680" w:rsidRPr="000E4680">
        <w:t xml:space="preserve">Accounting and Audit </w:t>
      </w:r>
    </w:p>
    <w:p w14:paraId="226165FE" w14:textId="6681B7D0" w:rsidR="000E4680" w:rsidRDefault="006303E3" w:rsidP="00DE1193">
      <w:pPr>
        <w:numPr>
          <w:ilvl w:val="0"/>
          <w:numId w:val="5"/>
        </w:numPr>
        <w:spacing w:after="0" w:line="240" w:lineRule="auto"/>
      </w:pPr>
      <w:r>
        <w:t>11</w:t>
      </w:r>
      <w:r w:rsidR="000E4680" w:rsidRPr="000E4680">
        <w:t xml:space="preserve">. Public Works </w:t>
      </w:r>
    </w:p>
    <w:p w14:paraId="2674F4A1" w14:textId="0F3BF5C6" w:rsidR="00DC0CE9" w:rsidRPr="000E4680" w:rsidRDefault="00DC0CE9" w:rsidP="00DE1193">
      <w:pPr>
        <w:numPr>
          <w:ilvl w:val="0"/>
          <w:numId w:val="5"/>
        </w:numPr>
        <w:spacing w:after="0" w:line="240" w:lineRule="auto"/>
      </w:pPr>
      <w:r>
        <w:t>13. Indemnification</w:t>
      </w:r>
    </w:p>
    <w:p w14:paraId="676B4468" w14:textId="2D101D87" w:rsidR="000E4680" w:rsidRDefault="000E4680" w:rsidP="000E4680">
      <w:pPr>
        <w:numPr>
          <w:ilvl w:val="0"/>
          <w:numId w:val="5"/>
        </w:numPr>
        <w:spacing w:after="0" w:line="240" w:lineRule="auto"/>
      </w:pPr>
      <w:r w:rsidRPr="000E4680">
        <w:t>1</w:t>
      </w:r>
      <w:r w:rsidR="00DC0CE9">
        <w:t>8</w:t>
      </w:r>
      <w:r w:rsidRPr="000E4680">
        <w:t>. Access to Sites and Records</w:t>
      </w:r>
    </w:p>
    <w:p w14:paraId="5C26B63E" w14:textId="063543C8" w:rsidR="00DE1193" w:rsidRDefault="00DE1193" w:rsidP="000E4680">
      <w:pPr>
        <w:numPr>
          <w:ilvl w:val="0"/>
          <w:numId w:val="5"/>
        </w:numPr>
        <w:spacing w:after="0" w:line="240" w:lineRule="auto"/>
      </w:pPr>
      <w:r>
        <w:t>1</w:t>
      </w:r>
      <w:r w:rsidR="00DC0CE9">
        <w:t>9</w:t>
      </w:r>
      <w:r>
        <w:t>. Due Diligence</w:t>
      </w:r>
    </w:p>
    <w:p w14:paraId="76DF67BB" w14:textId="3CE36BCE" w:rsidR="00E510A6" w:rsidRDefault="00E510A6" w:rsidP="000E4680">
      <w:pPr>
        <w:numPr>
          <w:ilvl w:val="0"/>
          <w:numId w:val="5"/>
        </w:numPr>
        <w:spacing w:after="0" w:line="240" w:lineRule="auto"/>
      </w:pPr>
      <w:r>
        <w:t>Survival of the following provisions:</w:t>
      </w:r>
    </w:p>
    <w:p w14:paraId="7FA787DF" w14:textId="5DB7AD02" w:rsidR="00E510A6" w:rsidRDefault="00142123" w:rsidP="00E510A6">
      <w:pPr>
        <w:numPr>
          <w:ilvl w:val="1"/>
          <w:numId w:val="5"/>
        </w:numPr>
        <w:spacing w:after="0" w:line="240" w:lineRule="auto"/>
      </w:pPr>
      <w:r>
        <w:lastRenderedPageBreak/>
        <w:t>10. Accounting and Audit</w:t>
      </w:r>
    </w:p>
    <w:p w14:paraId="3F991ACE" w14:textId="79D0C196" w:rsidR="00BD2ADB" w:rsidRDefault="00BD2ADB" w:rsidP="00E510A6">
      <w:pPr>
        <w:numPr>
          <w:ilvl w:val="1"/>
          <w:numId w:val="5"/>
        </w:numPr>
        <w:spacing w:after="0" w:line="240" w:lineRule="auto"/>
      </w:pPr>
      <w:r>
        <w:t>13. Indemnification</w:t>
      </w:r>
    </w:p>
    <w:p w14:paraId="280C91DD" w14:textId="45D69FD4" w:rsidR="00142123" w:rsidRDefault="00142123" w:rsidP="00E510A6">
      <w:pPr>
        <w:numPr>
          <w:ilvl w:val="1"/>
          <w:numId w:val="5"/>
        </w:numPr>
        <w:spacing w:after="0" w:line="240" w:lineRule="auto"/>
      </w:pPr>
      <w:r>
        <w:t>1</w:t>
      </w:r>
      <w:r w:rsidR="00DC0CE9">
        <w:t>8</w:t>
      </w:r>
      <w:r>
        <w:t>. Access to Sites and Records</w:t>
      </w:r>
    </w:p>
    <w:p w14:paraId="7553D14A" w14:textId="77777777" w:rsidR="00D31DB4" w:rsidRDefault="00D31DB4" w:rsidP="00D31DB4">
      <w:pPr>
        <w:spacing w:after="0" w:line="240" w:lineRule="auto"/>
        <w:ind w:left="1440"/>
      </w:pPr>
    </w:p>
    <w:p w14:paraId="0922B5A4" w14:textId="77777777" w:rsidR="00D31DB4" w:rsidRDefault="00D31DB4" w:rsidP="00312939">
      <w:pPr>
        <w:spacing w:after="0"/>
        <w:jc w:val="both"/>
      </w:pPr>
      <w:r>
        <w:rPr>
          <w:rFonts w:eastAsia="Arial"/>
        </w:rPr>
        <w:t>Subcontracts funded in whole or in part by this Agreement must also include the following:</w:t>
      </w:r>
    </w:p>
    <w:p w14:paraId="139F1804" w14:textId="4F9FB0D7" w:rsidR="00D31DB4" w:rsidRDefault="00D31DB4" w:rsidP="00D31DB4">
      <w:pPr>
        <w:numPr>
          <w:ilvl w:val="0"/>
          <w:numId w:val="14"/>
        </w:numPr>
        <w:spacing w:after="0" w:line="240" w:lineRule="auto"/>
      </w:pPr>
      <w:r>
        <w:rPr>
          <w:rFonts w:eastAsia="Arial"/>
        </w:rPr>
        <w:t>A clear description of the products or services to be procured or performed</w:t>
      </w:r>
      <w:r w:rsidR="00312939">
        <w:rPr>
          <w:rFonts w:eastAsia="Arial"/>
        </w:rPr>
        <w:t>.</w:t>
      </w:r>
    </w:p>
    <w:p w14:paraId="59691736" w14:textId="6E8D4F75" w:rsidR="00D31DB4" w:rsidRDefault="00D31DB4" w:rsidP="00D31DB4">
      <w:pPr>
        <w:numPr>
          <w:ilvl w:val="0"/>
          <w:numId w:val="14"/>
        </w:numPr>
        <w:spacing w:after="0" w:line="240" w:lineRule="auto"/>
        <w:rPr>
          <w:rFonts w:eastAsia="Arial"/>
        </w:rPr>
      </w:pPr>
      <w:r>
        <w:rPr>
          <w:rFonts w:eastAsia="Arial"/>
        </w:rPr>
        <w:t>A budget and timeline.</w:t>
      </w:r>
    </w:p>
    <w:p w14:paraId="2FAC5094" w14:textId="0C14BEC4" w:rsidR="00D31DB4" w:rsidRDefault="00D31DB4" w:rsidP="00D31DB4">
      <w:pPr>
        <w:numPr>
          <w:ilvl w:val="0"/>
          <w:numId w:val="14"/>
        </w:numPr>
        <w:spacing w:after="0" w:line="240" w:lineRule="auto"/>
        <w:rPr>
          <w:rFonts w:eastAsia="Arial"/>
        </w:rPr>
      </w:pPr>
      <w:r>
        <w:rPr>
          <w:rFonts w:eastAsia="Arial"/>
        </w:rPr>
        <w:t>Provisions that allow for administrative, contractual, or legal remedies in instances where subcontractors breach contract terms.</w:t>
      </w:r>
    </w:p>
    <w:p w14:paraId="009C0F11" w14:textId="452FD6D5" w:rsidR="00D31DB4" w:rsidRDefault="00D31DB4" w:rsidP="00D31DB4">
      <w:pPr>
        <w:numPr>
          <w:ilvl w:val="0"/>
          <w:numId w:val="14"/>
        </w:numPr>
        <w:spacing w:after="0" w:line="240" w:lineRule="auto"/>
        <w:rPr>
          <w:rFonts w:eastAsia="Arial"/>
        </w:rPr>
      </w:pPr>
      <w:r>
        <w:rPr>
          <w:rFonts w:eastAsia="Arial"/>
        </w:rPr>
        <w:t>Provisions for termination by the Recipient.</w:t>
      </w:r>
    </w:p>
    <w:p w14:paraId="7DFAB5B8" w14:textId="4E6377AB" w:rsidR="00D31DB4" w:rsidRDefault="00D31DB4" w:rsidP="00D31DB4">
      <w:pPr>
        <w:numPr>
          <w:ilvl w:val="0"/>
          <w:numId w:val="14"/>
        </w:numPr>
        <w:spacing w:after="0" w:line="240" w:lineRule="auto"/>
        <w:rPr>
          <w:rFonts w:eastAsia="Times New Roman"/>
          <w:szCs w:val="20"/>
        </w:rPr>
      </w:pPr>
      <w:r>
        <w:rPr>
          <w:rFonts w:eastAsia="Arial"/>
        </w:rPr>
        <w:t>A statement that further assignments will not be made to any third or subsequent tier subcontractor.</w:t>
      </w:r>
    </w:p>
    <w:p w14:paraId="3F44A320" w14:textId="77777777" w:rsidR="005D095C" w:rsidRPr="00E121C2" w:rsidRDefault="005D095C" w:rsidP="00E121C2">
      <w:pPr>
        <w:spacing w:after="0" w:line="240" w:lineRule="auto"/>
        <w:rPr>
          <w:b/>
          <w:bCs/>
          <w:u w:val="single"/>
        </w:rPr>
      </w:pPr>
    </w:p>
    <w:p w14:paraId="49609C15" w14:textId="565701F7" w:rsidR="002359B6" w:rsidRPr="005C29C0" w:rsidRDefault="002359B6" w:rsidP="005C29C0">
      <w:pPr>
        <w:pStyle w:val="ListParagraph"/>
        <w:numPr>
          <w:ilvl w:val="0"/>
          <w:numId w:val="1"/>
        </w:numPr>
        <w:spacing w:after="0" w:line="240" w:lineRule="auto"/>
        <w:rPr>
          <w:b/>
          <w:bCs/>
          <w:u w:val="single"/>
        </w:rPr>
      </w:pPr>
      <w:r w:rsidRPr="005C29C0">
        <w:rPr>
          <w:b/>
          <w:bCs/>
          <w:u w:val="single"/>
        </w:rPr>
        <w:t xml:space="preserve">Nondiscrimination Statement of Compliance </w:t>
      </w:r>
    </w:p>
    <w:p w14:paraId="58B5E00F" w14:textId="77777777" w:rsidR="006D799B" w:rsidRDefault="006D799B" w:rsidP="002359B6">
      <w:pPr>
        <w:autoSpaceDE w:val="0"/>
        <w:autoSpaceDN w:val="0"/>
        <w:adjustRightInd w:val="0"/>
        <w:spacing w:after="0" w:line="240" w:lineRule="auto"/>
      </w:pPr>
    </w:p>
    <w:p w14:paraId="21C9838C" w14:textId="168DCE98" w:rsidR="002359B6" w:rsidRDefault="002359B6" w:rsidP="002359B6">
      <w:pPr>
        <w:autoSpaceDE w:val="0"/>
        <w:autoSpaceDN w:val="0"/>
        <w:adjustRightInd w:val="0"/>
        <w:spacing w:after="0" w:line="240" w:lineRule="auto"/>
      </w:pPr>
      <w:r w:rsidRPr="00A75314">
        <w:t xml:space="preserve">During the performance of this Agreement, the </w:t>
      </w:r>
      <w:r w:rsidR="005C29C0">
        <w:t>Recipient</w:t>
      </w:r>
      <w:r w:rsidRPr="00A75314">
        <w:t xml:space="preserve"> and its subcontractors will not unlawfully discriminate, harass, or allow harassment against any employee or applicant for employment because of sex, sexual orientation, race, color, ancestry, religious creed, national origin, physical disability (including HIV and AIDS), mental disability, medical condition, age, marital status, or denial of family care leave. The </w:t>
      </w:r>
      <w:r w:rsidR="003A650C">
        <w:t>Recipient</w:t>
      </w:r>
      <w:r w:rsidRPr="00A75314">
        <w:t xml:space="preserve"> and its subcontractors will ensure that the evaluation and treatment of their employees and applicants for employment are free from such discrimination and harassment. </w:t>
      </w:r>
    </w:p>
    <w:p w14:paraId="4AC851C6" w14:textId="77777777" w:rsidR="002359B6" w:rsidRPr="00A75314" w:rsidRDefault="002359B6" w:rsidP="002359B6">
      <w:pPr>
        <w:autoSpaceDE w:val="0"/>
        <w:autoSpaceDN w:val="0"/>
        <w:adjustRightInd w:val="0"/>
        <w:spacing w:after="0" w:line="240" w:lineRule="auto"/>
      </w:pPr>
    </w:p>
    <w:p w14:paraId="01F5F073" w14:textId="5E9DE439" w:rsidR="002359B6" w:rsidRDefault="002359B6" w:rsidP="002359B6">
      <w:pPr>
        <w:autoSpaceDE w:val="0"/>
        <w:autoSpaceDN w:val="0"/>
        <w:adjustRightInd w:val="0"/>
        <w:spacing w:after="0" w:line="240" w:lineRule="auto"/>
      </w:pPr>
      <w:r w:rsidRPr="00A75314">
        <w:t xml:space="preserve">The </w:t>
      </w:r>
      <w:r w:rsidR="005C29C0">
        <w:t>Recipient</w:t>
      </w:r>
      <w:r w:rsidRPr="00A75314">
        <w:t xml:space="preserve"> and its subcontractors </w:t>
      </w:r>
      <w:r w:rsidR="0003290F">
        <w:t>shall</w:t>
      </w:r>
      <w:r w:rsidRPr="00A75314">
        <w:t xml:space="preserve"> comply with the provisions of the Fair Employment and Housing Act (Government Code Sections 12990 et seq.) and the applicable regulations promulgated thereunder (California Code of Regulations, Title 2, Section 11000 et seq.). The applicable regulations of the Fair Employment and Housing Commission implementing Government Code Section 12990 (a-f), set forth in Chapter 5 of Division 4.1 of Title 2 of the California Code of Regulations, are incorporated into this Agreement by reference and made a part of it as if set forth in full. The </w:t>
      </w:r>
      <w:r w:rsidR="005C29C0">
        <w:t>Recipient</w:t>
      </w:r>
      <w:r w:rsidRPr="00A75314">
        <w:t xml:space="preserve"> and its subcontractors will give written notice of their obligations under this section to labor organizations with which they have a collective bargaining or other Agreement. </w:t>
      </w:r>
    </w:p>
    <w:p w14:paraId="5316253F" w14:textId="77777777" w:rsidR="002359B6" w:rsidRDefault="002359B6" w:rsidP="002359B6">
      <w:pPr>
        <w:autoSpaceDE w:val="0"/>
        <w:autoSpaceDN w:val="0"/>
        <w:adjustRightInd w:val="0"/>
        <w:spacing w:after="0" w:line="240" w:lineRule="auto"/>
      </w:pPr>
    </w:p>
    <w:p w14:paraId="139FC7F2" w14:textId="532A6A3D" w:rsidR="002359B6" w:rsidRDefault="002359B6" w:rsidP="002359B6">
      <w:pPr>
        <w:autoSpaceDE w:val="0"/>
        <w:autoSpaceDN w:val="0"/>
        <w:adjustRightInd w:val="0"/>
        <w:spacing w:after="0" w:line="240" w:lineRule="auto"/>
      </w:pPr>
      <w:r w:rsidRPr="00A75314">
        <w:t xml:space="preserve">The </w:t>
      </w:r>
      <w:r w:rsidR="00C915CD">
        <w:t xml:space="preserve">Recipient </w:t>
      </w:r>
      <w:r w:rsidR="0003290F">
        <w:t>shall</w:t>
      </w:r>
      <w:r w:rsidRPr="00A75314">
        <w:t xml:space="preserve"> include the nondiscrimination and compliance provisions of this section in all subcontracts to perform work under this Agreement.</w:t>
      </w:r>
    </w:p>
    <w:p w14:paraId="79D59E2C" w14:textId="132209BB" w:rsidR="00E45C14" w:rsidRDefault="00E45C14" w:rsidP="002359B6">
      <w:pPr>
        <w:autoSpaceDE w:val="0"/>
        <w:autoSpaceDN w:val="0"/>
        <w:adjustRightInd w:val="0"/>
        <w:spacing w:after="0" w:line="240" w:lineRule="auto"/>
      </w:pPr>
    </w:p>
    <w:p w14:paraId="605D2398" w14:textId="639924FB" w:rsidR="00E45C14" w:rsidRPr="00131286" w:rsidRDefault="00E45C14" w:rsidP="005C29C0">
      <w:pPr>
        <w:pStyle w:val="ListParagraph"/>
        <w:numPr>
          <w:ilvl w:val="0"/>
          <w:numId w:val="1"/>
        </w:numPr>
        <w:autoSpaceDE w:val="0"/>
        <w:autoSpaceDN w:val="0"/>
        <w:adjustRightInd w:val="0"/>
        <w:spacing w:after="0" w:line="240" w:lineRule="auto"/>
        <w:rPr>
          <w:rFonts w:cstheme="minorHAnsi"/>
          <w:b/>
          <w:bCs/>
          <w:color w:val="000000"/>
          <w:u w:val="single"/>
        </w:rPr>
      </w:pPr>
      <w:r w:rsidRPr="00131286">
        <w:rPr>
          <w:rFonts w:cstheme="minorHAnsi"/>
          <w:b/>
          <w:bCs/>
          <w:color w:val="000000"/>
          <w:u w:val="single"/>
        </w:rPr>
        <w:t xml:space="preserve">Drug-Free Workplace Certification </w:t>
      </w:r>
    </w:p>
    <w:p w14:paraId="39576A7D" w14:textId="77777777" w:rsidR="006D799B" w:rsidRPr="00C550D9" w:rsidRDefault="006D799B" w:rsidP="00E45C14">
      <w:pPr>
        <w:autoSpaceDE w:val="0"/>
        <w:autoSpaceDN w:val="0"/>
        <w:adjustRightInd w:val="0"/>
        <w:spacing w:after="0" w:line="240" w:lineRule="auto"/>
        <w:rPr>
          <w:rFonts w:cstheme="minorHAnsi"/>
          <w:color w:val="000000"/>
        </w:rPr>
      </w:pPr>
    </w:p>
    <w:p w14:paraId="55FE7799" w14:textId="1316A927" w:rsidR="00376D7B" w:rsidRPr="00C550D9" w:rsidRDefault="00376D7B" w:rsidP="00376D7B">
      <w:r w:rsidRPr="00C550D9">
        <w:rPr>
          <w:color w:val="000000"/>
        </w:rPr>
        <w:t xml:space="preserve">By signing this Agreement, the Recipient certifies under penalty of perjury under the laws of the State of California that it will comply and will ensure its subcontractors will comply with the requirements of the Drug-Free Workplace Act of 1990 (Government Code Section 8350 et seq.). In addition to any other rights and remedies available to the CEC, failure to comply with these requirements may result in suspension of payments under the Agreement or termination of the Agreement or both, and the Recipient may be ineligible for any future state awards if the CEC determines that any of the following has occurred: (1) the Recipient has made false certification, or (2) violates the certification by failing to carry out the requirements of the Act.  </w:t>
      </w:r>
    </w:p>
    <w:p w14:paraId="3C90A555" w14:textId="6FCCD8C1" w:rsidR="000D212C" w:rsidRPr="00C915CD" w:rsidRDefault="000D212C" w:rsidP="00143B88">
      <w:pPr>
        <w:pStyle w:val="Default"/>
        <w:keepNext/>
        <w:numPr>
          <w:ilvl w:val="0"/>
          <w:numId w:val="1"/>
        </w:numPr>
        <w:rPr>
          <w:rFonts w:asciiTheme="minorHAnsi" w:hAnsiTheme="minorHAnsi" w:cstheme="minorHAnsi"/>
          <w:b/>
          <w:bCs/>
          <w:sz w:val="22"/>
          <w:szCs w:val="22"/>
          <w:u w:val="single"/>
        </w:rPr>
      </w:pPr>
      <w:r w:rsidRPr="00C915CD">
        <w:rPr>
          <w:rFonts w:asciiTheme="minorHAnsi" w:hAnsiTheme="minorHAnsi" w:cstheme="minorHAnsi"/>
          <w:b/>
          <w:bCs/>
          <w:sz w:val="22"/>
          <w:szCs w:val="22"/>
          <w:u w:val="single"/>
        </w:rPr>
        <w:lastRenderedPageBreak/>
        <w:t xml:space="preserve">Americans With Disabilities Act </w:t>
      </w:r>
    </w:p>
    <w:p w14:paraId="490515C5" w14:textId="77777777" w:rsidR="006D799B" w:rsidRDefault="006D799B" w:rsidP="00143B88">
      <w:pPr>
        <w:keepNext/>
        <w:spacing w:after="0" w:line="240" w:lineRule="auto"/>
        <w:rPr>
          <w:rFonts w:cstheme="minorHAnsi"/>
        </w:rPr>
      </w:pPr>
    </w:p>
    <w:p w14:paraId="336DA042" w14:textId="7F2B725B" w:rsidR="000D212C" w:rsidRPr="0013485D" w:rsidRDefault="000D212C" w:rsidP="00143B88">
      <w:pPr>
        <w:keepNext/>
        <w:spacing w:after="0" w:line="240" w:lineRule="auto"/>
        <w:rPr>
          <w:rFonts w:cstheme="minorHAnsi"/>
        </w:rPr>
      </w:pPr>
      <w:r w:rsidRPr="0013485D">
        <w:rPr>
          <w:rFonts w:cstheme="minorHAnsi"/>
        </w:rPr>
        <w:t xml:space="preserve">By signing this Agreement, the </w:t>
      </w:r>
      <w:r w:rsidR="00C915CD">
        <w:rPr>
          <w:rFonts w:cstheme="minorHAnsi"/>
        </w:rPr>
        <w:t>Recipient</w:t>
      </w:r>
      <w:r w:rsidRPr="0013485D">
        <w:rPr>
          <w:rFonts w:cstheme="minorHAnsi"/>
        </w:rPr>
        <w:t xml:space="preserve"> assures the </w:t>
      </w:r>
      <w:r>
        <w:rPr>
          <w:rFonts w:cstheme="minorHAnsi"/>
        </w:rPr>
        <w:t>CEC</w:t>
      </w:r>
      <w:r w:rsidRPr="0013485D">
        <w:rPr>
          <w:rFonts w:cstheme="minorHAnsi"/>
        </w:rPr>
        <w:t xml:space="preserve"> that it complies with the Americans with Disabilities Act (ADA) of 1990 (42 U.S.C. Section 12101, et seq.), which prohibits discrimination on the basis of disability, as well as applicable regulations and guidelines issued pursuant to the ADA.</w:t>
      </w:r>
    </w:p>
    <w:p w14:paraId="162353C5" w14:textId="77777777" w:rsidR="0086728F" w:rsidRDefault="0086728F" w:rsidP="0086728F">
      <w:pPr>
        <w:spacing w:after="0" w:line="240" w:lineRule="auto"/>
      </w:pPr>
    </w:p>
    <w:p w14:paraId="70A7AE8A" w14:textId="3E1A54E3" w:rsidR="002A77EA" w:rsidRPr="00C915CD" w:rsidRDefault="00714F67" w:rsidP="005C29C0">
      <w:pPr>
        <w:pStyle w:val="ListParagraph"/>
        <w:numPr>
          <w:ilvl w:val="0"/>
          <w:numId w:val="1"/>
        </w:numPr>
        <w:spacing w:after="0" w:line="240" w:lineRule="auto"/>
        <w:rPr>
          <w:b/>
          <w:bCs/>
          <w:u w:val="single"/>
        </w:rPr>
      </w:pPr>
      <w:r>
        <w:rPr>
          <w:b/>
          <w:bCs/>
          <w:u w:val="single"/>
        </w:rPr>
        <w:t xml:space="preserve">Accounting and </w:t>
      </w:r>
      <w:r w:rsidR="00A44FD7" w:rsidRPr="00C915CD">
        <w:rPr>
          <w:b/>
          <w:bCs/>
          <w:u w:val="single"/>
        </w:rPr>
        <w:t>Audit</w:t>
      </w:r>
    </w:p>
    <w:p w14:paraId="030573DF" w14:textId="77777777" w:rsidR="006D799B" w:rsidRDefault="006D799B" w:rsidP="00A44FD7">
      <w:pPr>
        <w:spacing w:after="0" w:line="240" w:lineRule="auto"/>
        <w:rPr>
          <w:rFonts w:cstheme="minorHAnsi"/>
          <w:color w:val="000000"/>
        </w:rPr>
      </w:pPr>
    </w:p>
    <w:p w14:paraId="000D07BB" w14:textId="0C908AAA" w:rsidR="00A44FD7" w:rsidRPr="00B53DC3" w:rsidRDefault="00714F67" w:rsidP="00A44FD7">
      <w:pPr>
        <w:spacing w:after="0" w:line="240" w:lineRule="auto"/>
        <w:rPr>
          <w:rFonts w:cstheme="minorHAnsi"/>
          <w:color w:val="000000"/>
        </w:rPr>
      </w:pPr>
      <w:r w:rsidRPr="00714F67">
        <w:rPr>
          <w:rFonts w:cstheme="minorHAnsi"/>
          <w:color w:val="000000"/>
        </w:rPr>
        <w:t xml:space="preserve">The Recipient will keep separate, complete, and correct accounting of the costs involved in completing the </w:t>
      </w:r>
      <w:r>
        <w:rPr>
          <w:rFonts w:cstheme="minorHAnsi"/>
          <w:color w:val="000000"/>
        </w:rPr>
        <w:t xml:space="preserve">Agreement.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that the CEC, the Bureau of State Audits, or their designated representative shall have the right to review and to copy any records and supporting documentation pertaining to the performance of this Agreement.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maintain such records for possible audit for a minimum of three (3) years after </w:t>
      </w:r>
      <w:r w:rsidR="00B53DC3">
        <w:rPr>
          <w:rFonts w:cstheme="minorHAnsi"/>
          <w:color w:val="000000"/>
        </w:rPr>
        <w:t xml:space="preserve">the </w:t>
      </w:r>
      <w:r>
        <w:rPr>
          <w:rFonts w:cstheme="minorHAnsi"/>
          <w:color w:val="000000"/>
        </w:rPr>
        <w:t>A</w:t>
      </w:r>
      <w:r w:rsidR="00B53DC3">
        <w:rPr>
          <w:rFonts w:cstheme="minorHAnsi"/>
          <w:color w:val="000000"/>
        </w:rPr>
        <w:t>greement ends in any way</w:t>
      </w:r>
      <w:r w:rsidR="00A44FD7" w:rsidRPr="00B53DC3">
        <w:rPr>
          <w:rFonts w:cstheme="minorHAnsi"/>
          <w:color w:val="000000"/>
        </w:rPr>
        <w:t xml:space="preserve">.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allow the auditor(s) access to such records during normal business hours and to allow interviews of any employees who might reasonably have information related to such records. Further,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include a similar right of the CEC, the Bureau of State Audits, or their designated representative, to audit records and interview staff in any subcontract related to performance of this Agreement.</w:t>
      </w:r>
      <w:r w:rsidR="00611E7B">
        <w:rPr>
          <w:rFonts w:cstheme="minorHAnsi"/>
          <w:color w:val="000000"/>
        </w:rPr>
        <w:t xml:space="preserve"> These rights and responsibilities are in addition to and not restrictive of </w:t>
      </w:r>
      <w:r w:rsidR="0003290F">
        <w:rPr>
          <w:rFonts w:cstheme="minorHAnsi"/>
          <w:color w:val="000000"/>
        </w:rPr>
        <w:t xml:space="preserve">those in </w:t>
      </w:r>
      <w:r w:rsidR="00611E7B">
        <w:rPr>
          <w:rFonts w:cstheme="minorHAnsi"/>
          <w:color w:val="000000"/>
        </w:rPr>
        <w:t xml:space="preserve">Section </w:t>
      </w:r>
      <w:r w:rsidR="00C915CD">
        <w:rPr>
          <w:rFonts w:cstheme="minorHAnsi"/>
          <w:color w:val="000000"/>
        </w:rPr>
        <w:t>1</w:t>
      </w:r>
      <w:r w:rsidR="00D72E76">
        <w:rPr>
          <w:rFonts w:cstheme="minorHAnsi"/>
          <w:color w:val="000000"/>
        </w:rPr>
        <w:t>8</w:t>
      </w:r>
      <w:r w:rsidR="00611E7B">
        <w:rPr>
          <w:rFonts w:cstheme="minorHAnsi"/>
          <w:color w:val="000000"/>
        </w:rPr>
        <w:t xml:space="preserve">. Access to Sites and Records. </w:t>
      </w:r>
    </w:p>
    <w:p w14:paraId="1762BD60" w14:textId="77777777" w:rsidR="00AE5BF9" w:rsidRDefault="00AE5BF9" w:rsidP="00A44FD7">
      <w:pPr>
        <w:spacing w:after="0" w:line="240" w:lineRule="auto"/>
      </w:pPr>
    </w:p>
    <w:p w14:paraId="53E36F31" w14:textId="44179093" w:rsidR="00A44FD7" w:rsidRPr="00C915CD" w:rsidRDefault="0053273E" w:rsidP="005C29C0">
      <w:pPr>
        <w:pStyle w:val="ListParagraph"/>
        <w:numPr>
          <w:ilvl w:val="0"/>
          <w:numId w:val="1"/>
        </w:numPr>
        <w:spacing w:after="0" w:line="240" w:lineRule="auto"/>
        <w:rPr>
          <w:b/>
          <w:bCs/>
          <w:u w:val="single"/>
        </w:rPr>
      </w:pPr>
      <w:r w:rsidRPr="00C915CD">
        <w:rPr>
          <w:b/>
          <w:bCs/>
          <w:u w:val="single"/>
        </w:rPr>
        <w:t>Public Works</w:t>
      </w:r>
    </w:p>
    <w:p w14:paraId="073D6A2C" w14:textId="77777777" w:rsidR="006D799B" w:rsidRDefault="006D799B" w:rsidP="0053273E">
      <w:pPr>
        <w:pStyle w:val="xmsonormal"/>
        <w:rPr>
          <w:rFonts w:asciiTheme="minorHAnsi" w:hAnsiTheme="minorHAnsi" w:cstheme="minorBidi"/>
        </w:rPr>
      </w:pPr>
    </w:p>
    <w:p w14:paraId="4D45B87F" w14:textId="023608C1" w:rsidR="0053273E" w:rsidRDefault="00AB2C23" w:rsidP="0053273E">
      <w:pPr>
        <w:pStyle w:val="xmsonormal"/>
        <w:rPr>
          <w:rFonts w:asciiTheme="minorHAnsi" w:hAnsiTheme="minorHAnsi" w:cstheme="minorBidi"/>
        </w:rPr>
      </w:pPr>
      <w:r>
        <w:rPr>
          <w:rFonts w:asciiTheme="minorHAnsi" w:hAnsiTheme="minorHAnsi" w:cstheme="minorBidi"/>
        </w:rPr>
        <w:t xml:space="preserve">The </w:t>
      </w:r>
      <w:r w:rsidR="00C915CD">
        <w:rPr>
          <w:rFonts w:asciiTheme="minorHAnsi" w:hAnsiTheme="minorHAnsi" w:cstheme="minorBidi"/>
        </w:rPr>
        <w:t>Recipient</w:t>
      </w:r>
      <w:r w:rsidR="0053273E" w:rsidRPr="0053273E">
        <w:rPr>
          <w:rFonts w:asciiTheme="minorHAnsi" w:hAnsiTheme="minorHAnsi" w:cstheme="minorBidi"/>
        </w:rPr>
        <w:t xml:space="preserve"> </w:t>
      </w:r>
      <w:r w:rsidR="0053273E">
        <w:rPr>
          <w:rFonts w:asciiTheme="minorHAnsi" w:hAnsiTheme="minorHAnsi" w:cstheme="minorBidi"/>
        </w:rPr>
        <w:t xml:space="preserve">is </w:t>
      </w:r>
      <w:r w:rsidR="0053273E" w:rsidRPr="0053273E">
        <w:rPr>
          <w:rFonts w:asciiTheme="minorHAnsi" w:hAnsiTheme="minorHAnsi" w:cstheme="minorBidi"/>
        </w:rPr>
        <w:t>responsible for complying with all applicable laws, which can include public works requirements under the Labor Code.</w:t>
      </w:r>
      <w:r w:rsidR="0053273E">
        <w:rPr>
          <w:rFonts w:asciiTheme="minorHAnsi" w:hAnsiTheme="minorHAnsi" w:cstheme="minorBidi"/>
        </w:rPr>
        <w:t xml:space="preserve">  </w:t>
      </w:r>
      <w:r w:rsidR="00C915CD">
        <w:rPr>
          <w:rFonts w:asciiTheme="minorHAnsi" w:hAnsiTheme="minorHAnsi" w:cstheme="minorBidi"/>
        </w:rPr>
        <w:t>Recipient</w:t>
      </w:r>
      <w:r w:rsidR="0053273E" w:rsidRPr="0053273E">
        <w:rPr>
          <w:rFonts w:asciiTheme="minorHAnsi" w:hAnsiTheme="minorHAnsi" w:cstheme="minorBidi"/>
        </w:rPr>
        <w:t xml:space="preserve"> acknowledge</w:t>
      </w:r>
      <w:r w:rsidR="0053273E">
        <w:rPr>
          <w:rFonts w:asciiTheme="minorHAnsi" w:hAnsiTheme="minorHAnsi" w:cstheme="minorBidi"/>
        </w:rPr>
        <w:t>s</w:t>
      </w:r>
      <w:r w:rsidR="0053273E" w:rsidRPr="0053273E">
        <w:rPr>
          <w:rFonts w:asciiTheme="minorHAnsi" w:hAnsiTheme="minorHAnsi" w:cstheme="minorBidi"/>
        </w:rPr>
        <w:t xml:space="preserve"> acceptance </w:t>
      </w:r>
      <w:r w:rsidR="0053273E">
        <w:rPr>
          <w:rFonts w:asciiTheme="minorHAnsi" w:hAnsiTheme="minorHAnsi" w:cstheme="minorBidi"/>
        </w:rPr>
        <w:t xml:space="preserve">of Agreement funds </w:t>
      </w:r>
      <w:r w:rsidR="0053273E" w:rsidRPr="0053273E">
        <w:rPr>
          <w:rFonts w:asciiTheme="minorHAnsi" w:hAnsiTheme="minorHAnsi" w:cstheme="minorBidi"/>
        </w:rPr>
        <w:t xml:space="preserve">may trigger </w:t>
      </w:r>
      <w:r w:rsidR="007140D1">
        <w:rPr>
          <w:rFonts w:asciiTheme="minorHAnsi" w:hAnsiTheme="minorHAnsi" w:cstheme="minorBidi"/>
        </w:rPr>
        <w:t>P</w:t>
      </w:r>
      <w:r w:rsidR="0053273E" w:rsidRPr="0053273E">
        <w:rPr>
          <w:rFonts w:asciiTheme="minorHAnsi" w:hAnsiTheme="minorHAnsi" w:cstheme="minorBidi"/>
        </w:rPr>
        <w:t xml:space="preserve">ublic </w:t>
      </w:r>
      <w:r w:rsidR="007140D1">
        <w:rPr>
          <w:rFonts w:asciiTheme="minorHAnsi" w:hAnsiTheme="minorHAnsi" w:cstheme="minorBidi"/>
        </w:rPr>
        <w:t>W</w:t>
      </w:r>
      <w:r w:rsidR="0053273E" w:rsidRPr="0053273E">
        <w:rPr>
          <w:rFonts w:asciiTheme="minorHAnsi" w:hAnsiTheme="minorHAnsi" w:cstheme="minorBidi"/>
        </w:rPr>
        <w:t xml:space="preserve">orks laws (Labor Code Section 1720 et seq.), a requirement of which is to pay prevailing wages, applying to </w:t>
      </w:r>
      <w:r w:rsidR="0053273E">
        <w:rPr>
          <w:rFonts w:asciiTheme="minorHAnsi" w:hAnsiTheme="minorHAnsi" w:cstheme="minorBidi"/>
        </w:rPr>
        <w:t>its</w:t>
      </w:r>
      <w:r w:rsidR="0053273E" w:rsidRPr="0053273E">
        <w:rPr>
          <w:rFonts w:asciiTheme="minorHAnsi" w:hAnsiTheme="minorHAnsi" w:cstheme="minorBidi"/>
        </w:rPr>
        <w:t xml:space="preserve"> project. If the project is public </w:t>
      </w:r>
      <w:proofErr w:type="gramStart"/>
      <w:r w:rsidR="0053273E" w:rsidRPr="0053273E">
        <w:rPr>
          <w:rFonts w:asciiTheme="minorHAnsi" w:hAnsiTheme="minorHAnsi" w:cstheme="minorBidi"/>
        </w:rPr>
        <w:t>works</w:t>
      </w:r>
      <w:proofErr w:type="gramEnd"/>
      <w:r w:rsidR="0053273E" w:rsidRPr="0053273E">
        <w:rPr>
          <w:rFonts w:asciiTheme="minorHAnsi" w:hAnsiTheme="minorHAnsi" w:cstheme="minorBidi"/>
        </w:rPr>
        <w:t xml:space="preserve"> then it is subject to compliance monitoring and enforcement by the Department of Industrial Relations. </w:t>
      </w:r>
      <w:r w:rsidR="0053273E">
        <w:rPr>
          <w:rFonts w:asciiTheme="minorHAnsi" w:hAnsiTheme="minorHAnsi" w:cstheme="minorBidi"/>
        </w:rPr>
        <w:t xml:space="preserve">By signing this Agreement, </w:t>
      </w:r>
      <w:r w:rsidR="00C915CD">
        <w:rPr>
          <w:rFonts w:asciiTheme="minorHAnsi" w:hAnsiTheme="minorHAnsi" w:cstheme="minorBidi"/>
        </w:rPr>
        <w:t>Recipient</w:t>
      </w:r>
      <w:r w:rsidR="0053273E">
        <w:rPr>
          <w:rFonts w:asciiTheme="minorHAnsi" w:hAnsiTheme="minorHAnsi" w:cstheme="minorBidi"/>
        </w:rPr>
        <w:t xml:space="preserve"> certifies that it shall </w:t>
      </w:r>
      <w:r w:rsidR="0053273E" w:rsidRPr="0053273E">
        <w:rPr>
          <w:rFonts w:asciiTheme="minorHAnsi" w:hAnsiTheme="minorHAnsi" w:cstheme="minorBidi"/>
        </w:rPr>
        <w:t xml:space="preserve">comply with </w:t>
      </w:r>
      <w:r w:rsidR="00AE5BF9">
        <w:rPr>
          <w:rFonts w:asciiTheme="minorHAnsi" w:hAnsiTheme="minorHAnsi" w:cstheme="minorBidi"/>
        </w:rPr>
        <w:t>all</w:t>
      </w:r>
      <w:r w:rsidR="0053273E" w:rsidRPr="0053273E">
        <w:rPr>
          <w:rFonts w:asciiTheme="minorHAnsi" w:hAnsiTheme="minorHAnsi" w:cstheme="minorBidi"/>
        </w:rPr>
        <w:t xml:space="preserve"> applicable</w:t>
      </w:r>
      <w:r w:rsidR="0053273E">
        <w:rPr>
          <w:rFonts w:asciiTheme="minorHAnsi" w:hAnsiTheme="minorHAnsi" w:cstheme="minorBidi"/>
        </w:rPr>
        <w:t xml:space="preserve"> Public Works laws and requirements</w:t>
      </w:r>
      <w:r w:rsidR="0053273E" w:rsidRPr="0053273E">
        <w:rPr>
          <w:rFonts w:asciiTheme="minorHAnsi" w:hAnsiTheme="minorHAnsi" w:cstheme="minorBidi"/>
        </w:rPr>
        <w:t>.  </w:t>
      </w:r>
    </w:p>
    <w:p w14:paraId="25868C96" w14:textId="35CC0D74" w:rsidR="00AE5BF9" w:rsidRDefault="00AE5BF9" w:rsidP="00AE5BF9">
      <w:pPr>
        <w:pStyle w:val="xmsonormal"/>
        <w:rPr>
          <w:rFonts w:asciiTheme="minorHAnsi" w:hAnsiTheme="minorHAnsi" w:cstheme="minorBidi"/>
        </w:rPr>
      </w:pPr>
    </w:p>
    <w:p w14:paraId="702CEAC0" w14:textId="39EF6FAF" w:rsidR="00AE5BF9" w:rsidRPr="00C915CD" w:rsidRDefault="00AE5BF9"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Amendment</w:t>
      </w:r>
    </w:p>
    <w:p w14:paraId="74178D47" w14:textId="77777777" w:rsidR="006D799B" w:rsidRDefault="006D799B" w:rsidP="00AE5BF9">
      <w:pPr>
        <w:pStyle w:val="xmsonormal"/>
        <w:rPr>
          <w:rFonts w:asciiTheme="minorHAnsi" w:hAnsiTheme="minorHAnsi" w:cstheme="minorBidi"/>
        </w:rPr>
      </w:pPr>
    </w:p>
    <w:p w14:paraId="233C4BF4" w14:textId="5D4A1300" w:rsidR="00AE5BF9" w:rsidRDefault="00AE5BF9" w:rsidP="00AE5BF9">
      <w:pPr>
        <w:pStyle w:val="xmsonormal"/>
        <w:rPr>
          <w:rFonts w:asciiTheme="minorHAnsi" w:hAnsiTheme="minorHAnsi" w:cstheme="minorBidi"/>
        </w:rPr>
      </w:pPr>
      <w:r w:rsidRPr="00AE5BF9">
        <w:rPr>
          <w:rFonts w:asciiTheme="minorHAnsi" w:hAnsiTheme="minorHAnsi" w:cstheme="minorBidi"/>
        </w:rPr>
        <w:t xml:space="preserve">No amendment or variation of this Agreement shall be valid unless made in writing and signed by both the </w:t>
      </w:r>
      <w:r w:rsidR="003A650C">
        <w:rPr>
          <w:rFonts w:asciiTheme="minorHAnsi" w:hAnsiTheme="minorHAnsi" w:cstheme="minorBidi"/>
        </w:rPr>
        <w:t>Recipient</w:t>
      </w:r>
      <w:r>
        <w:rPr>
          <w:rFonts w:asciiTheme="minorHAnsi" w:hAnsiTheme="minorHAnsi" w:cstheme="minorBidi"/>
        </w:rPr>
        <w:t xml:space="preserve"> and CEC.  </w:t>
      </w:r>
    </w:p>
    <w:p w14:paraId="0FA80D31" w14:textId="77777777" w:rsidR="00B53DC3" w:rsidRDefault="00B53DC3" w:rsidP="00AE5BF9">
      <w:pPr>
        <w:pStyle w:val="xmsonormal"/>
        <w:rPr>
          <w:rFonts w:asciiTheme="minorHAnsi" w:hAnsiTheme="minorHAnsi" w:cstheme="minorBidi"/>
        </w:rPr>
      </w:pPr>
    </w:p>
    <w:p w14:paraId="6F247F9E" w14:textId="10AAF573" w:rsidR="001E3293" w:rsidRDefault="001E3293" w:rsidP="005C29C0">
      <w:pPr>
        <w:pStyle w:val="xmsonormal"/>
        <w:numPr>
          <w:ilvl w:val="0"/>
          <w:numId w:val="1"/>
        </w:numPr>
        <w:rPr>
          <w:rFonts w:asciiTheme="minorHAnsi" w:hAnsiTheme="minorHAnsi" w:cstheme="minorBidi"/>
          <w:b/>
          <w:bCs/>
          <w:u w:val="single"/>
        </w:rPr>
      </w:pPr>
      <w:r>
        <w:rPr>
          <w:rFonts w:asciiTheme="minorHAnsi" w:hAnsiTheme="minorHAnsi" w:cstheme="minorBidi"/>
          <w:b/>
          <w:bCs/>
          <w:u w:val="single"/>
        </w:rPr>
        <w:t>Indemnification</w:t>
      </w:r>
    </w:p>
    <w:p w14:paraId="7FDEF005" w14:textId="77777777" w:rsidR="001E3293" w:rsidRPr="00394354" w:rsidRDefault="001E3293" w:rsidP="001E3293">
      <w:pPr>
        <w:pStyle w:val="xmsonormal"/>
        <w:rPr>
          <w:rFonts w:asciiTheme="minorHAnsi" w:hAnsiTheme="minorHAnsi" w:cstheme="minorBidi"/>
        </w:rPr>
      </w:pPr>
    </w:p>
    <w:p w14:paraId="6721958A" w14:textId="4D226198" w:rsidR="00394354" w:rsidRPr="00394354" w:rsidRDefault="00394354" w:rsidP="00394354">
      <w:pPr>
        <w:pStyle w:val="xmsonormal"/>
      </w:pPr>
      <w:r w:rsidRPr="00394354">
        <w:t xml:space="preserve">To the extent allowed under California law, the Recipient will indemnify, defend, and hold harmless the state (including the </w:t>
      </w:r>
      <w:r>
        <w:t>CEC</w:t>
      </w:r>
      <w:r w:rsidRPr="00394354">
        <w:t>) and state officers, agents, and employees from any and all claims and losses in connection with the performance of this Agreement.</w:t>
      </w:r>
    </w:p>
    <w:p w14:paraId="0892ACE0" w14:textId="77777777" w:rsidR="001E3293" w:rsidRDefault="001E3293" w:rsidP="001E3293">
      <w:pPr>
        <w:pStyle w:val="xmsonormal"/>
        <w:rPr>
          <w:rFonts w:asciiTheme="minorHAnsi" w:hAnsiTheme="minorHAnsi" w:cstheme="minorBidi"/>
          <w:b/>
          <w:bCs/>
          <w:u w:val="single"/>
        </w:rPr>
      </w:pPr>
    </w:p>
    <w:p w14:paraId="2E73EF41" w14:textId="7CD41487" w:rsidR="00B53DC3" w:rsidRPr="00C915CD" w:rsidRDefault="00B53DC3"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Governing Law</w:t>
      </w:r>
    </w:p>
    <w:p w14:paraId="317DD537" w14:textId="77777777" w:rsidR="006D799B" w:rsidRDefault="006D799B" w:rsidP="00B53DC3">
      <w:pPr>
        <w:pStyle w:val="xmsonormal"/>
        <w:rPr>
          <w:rFonts w:asciiTheme="minorHAnsi" w:hAnsiTheme="minorHAnsi" w:cstheme="minorBidi"/>
        </w:rPr>
      </w:pPr>
    </w:p>
    <w:p w14:paraId="30AE6C1A" w14:textId="4693DC78" w:rsidR="00B53DC3" w:rsidRPr="00B53DC3" w:rsidRDefault="00B53DC3" w:rsidP="00B53DC3">
      <w:pPr>
        <w:pStyle w:val="xmsonormal"/>
        <w:rPr>
          <w:rFonts w:asciiTheme="minorHAnsi" w:hAnsiTheme="minorHAnsi" w:cstheme="minorBidi"/>
        </w:rPr>
      </w:pPr>
      <w:r w:rsidRPr="00B53DC3">
        <w:rPr>
          <w:rFonts w:asciiTheme="minorHAnsi" w:hAnsiTheme="minorHAnsi" w:cstheme="minorBidi"/>
        </w:rPr>
        <w:t>This Agreement is governed by the laws of the State of California as to interpretation and performance.</w:t>
      </w:r>
    </w:p>
    <w:p w14:paraId="7E2FFF8F" w14:textId="77777777" w:rsidR="00B53DC3" w:rsidRPr="0053273E" w:rsidRDefault="00B53DC3" w:rsidP="00AE5BF9">
      <w:pPr>
        <w:pStyle w:val="xmsonormal"/>
        <w:rPr>
          <w:rFonts w:asciiTheme="minorHAnsi" w:hAnsiTheme="minorHAnsi" w:cstheme="minorBidi"/>
        </w:rPr>
      </w:pPr>
    </w:p>
    <w:p w14:paraId="4FCDD22D" w14:textId="45E76FE4" w:rsidR="0053273E" w:rsidRPr="00C915CD" w:rsidRDefault="00B53DC3" w:rsidP="00143B88">
      <w:pPr>
        <w:pStyle w:val="xmsonormal"/>
        <w:keepNext/>
        <w:numPr>
          <w:ilvl w:val="0"/>
          <w:numId w:val="1"/>
        </w:numPr>
        <w:rPr>
          <w:rFonts w:asciiTheme="minorHAnsi" w:hAnsiTheme="minorHAnsi" w:cstheme="minorBidi"/>
          <w:b/>
          <w:bCs/>
          <w:u w:val="single"/>
        </w:rPr>
      </w:pPr>
      <w:r w:rsidRPr="00C915CD">
        <w:rPr>
          <w:rFonts w:asciiTheme="minorHAnsi" w:hAnsiTheme="minorHAnsi" w:cstheme="minorBidi"/>
          <w:b/>
          <w:bCs/>
          <w:u w:val="single"/>
        </w:rPr>
        <w:lastRenderedPageBreak/>
        <w:t>Independent Capacity</w:t>
      </w:r>
    </w:p>
    <w:p w14:paraId="3ECE9329" w14:textId="77777777" w:rsidR="006D799B" w:rsidRDefault="006D799B" w:rsidP="00143B88">
      <w:pPr>
        <w:pStyle w:val="xmsonormal"/>
        <w:keepNext/>
        <w:rPr>
          <w:rFonts w:asciiTheme="minorHAnsi" w:hAnsiTheme="minorHAnsi" w:cstheme="minorHAnsi"/>
          <w:color w:val="000000"/>
        </w:rPr>
      </w:pPr>
    </w:p>
    <w:p w14:paraId="21354D62" w14:textId="7BA2F62B" w:rsidR="00B53DC3" w:rsidRPr="00B53DC3" w:rsidRDefault="00B53DC3" w:rsidP="00143B88">
      <w:pPr>
        <w:pStyle w:val="xmsonormal"/>
        <w:keepNext/>
        <w:rPr>
          <w:rFonts w:asciiTheme="minorHAnsi" w:hAnsiTheme="minorHAnsi" w:cstheme="minorHAnsi"/>
          <w:color w:val="000000"/>
        </w:rPr>
      </w:pPr>
      <w:r w:rsidRPr="00B53DC3">
        <w:rPr>
          <w:rFonts w:asciiTheme="minorHAnsi" w:hAnsiTheme="minorHAnsi" w:cstheme="minorHAnsi"/>
          <w:color w:val="000000"/>
        </w:rPr>
        <w:t xml:space="preserve">In the performance of this Agreement, </w:t>
      </w:r>
      <w:r w:rsidR="00C915CD">
        <w:rPr>
          <w:rFonts w:asciiTheme="minorHAnsi" w:hAnsiTheme="minorHAnsi" w:cstheme="minorHAnsi"/>
          <w:color w:val="000000"/>
        </w:rPr>
        <w:t>Recipient</w:t>
      </w:r>
      <w:r>
        <w:rPr>
          <w:rFonts w:asciiTheme="minorHAnsi" w:hAnsiTheme="minorHAnsi" w:cstheme="minorHAnsi"/>
          <w:color w:val="000000"/>
        </w:rPr>
        <w:t xml:space="preserve"> </w:t>
      </w:r>
      <w:r w:rsidRPr="00B53DC3">
        <w:rPr>
          <w:rFonts w:asciiTheme="minorHAnsi" w:hAnsiTheme="minorHAnsi" w:cstheme="minorHAnsi"/>
          <w:color w:val="000000"/>
        </w:rPr>
        <w:t xml:space="preserve">and its agents, subcontractors, and employees will act in an independent capacity and not as officers, employees, or agents of the </w:t>
      </w:r>
      <w:r>
        <w:rPr>
          <w:rFonts w:asciiTheme="minorHAnsi" w:hAnsiTheme="minorHAnsi" w:cstheme="minorHAnsi"/>
          <w:color w:val="000000"/>
        </w:rPr>
        <w:t xml:space="preserve">CEC or </w:t>
      </w:r>
      <w:r w:rsidR="0003290F">
        <w:rPr>
          <w:rFonts w:asciiTheme="minorHAnsi" w:hAnsiTheme="minorHAnsi" w:cstheme="minorHAnsi"/>
          <w:color w:val="000000"/>
        </w:rPr>
        <w:t xml:space="preserve">the </w:t>
      </w:r>
      <w:r w:rsidRPr="00B53DC3">
        <w:rPr>
          <w:rFonts w:asciiTheme="minorHAnsi" w:hAnsiTheme="minorHAnsi" w:cstheme="minorHAnsi"/>
          <w:color w:val="000000"/>
        </w:rPr>
        <w:t>State of California.</w:t>
      </w:r>
    </w:p>
    <w:p w14:paraId="295D77C9" w14:textId="77777777" w:rsidR="00B53DC3" w:rsidRPr="00B53DC3" w:rsidRDefault="00B53DC3" w:rsidP="00A44FD7">
      <w:pPr>
        <w:spacing w:after="0" w:line="240" w:lineRule="auto"/>
        <w:rPr>
          <w:rFonts w:cstheme="minorHAnsi"/>
          <w:color w:val="000000"/>
        </w:rPr>
      </w:pPr>
    </w:p>
    <w:p w14:paraId="45E3DE64" w14:textId="26F979A6" w:rsidR="00B53DC3" w:rsidRPr="00C915CD" w:rsidRDefault="00B53DC3" w:rsidP="005C29C0">
      <w:pPr>
        <w:pStyle w:val="ListParagraph"/>
        <w:numPr>
          <w:ilvl w:val="0"/>
          <w:numId w:val="1"/>
        </w:numPr>
        <w:spacing w:after="0" w:line="240" w:lineRule="auto"/>
        <w:rPr>
          <w:rFonts w:cstheme="minorHAnsi"/>
          <w:b/>
          <w:bCs/>
          <w:color w:val="000000"/>
          <w:u w:val="single"/>
        </w:rPr>
      </w:pPr>
      <w:r w:rsidRPr="00C915CD">
        <w:rPr>
          <w:rFonts w:cstheme="minorHAnsi"/>
          <w:b/>
          <w:bCs/>
          <w:color w:val="000000"/>
          <w:u w:val="single"/>
        </w:rPr>
        <w:t>Severability</w:t>
      </w:r>
    </w:p>
    <w:p w14:paraId="4410FCBC" w14:textId="77777777" w:rsidR="006D799B" w:rsidRDefault="006D799B" w:rsidP="00B53DC3">
      <w:pPr>
        <w:pStyle w:val="xmsonormal"/>
        <w:rPr>
          <w:rFonts w:asciiTheme="minorHAnsi" w:hAnsiTheme="minorHAnsi" w:cstheme="minorHAnsi"/>
          <w:color w:val="000000"/>
        </w:rPr>
      </w:pPr>
    </w:p>
    <w:p w14:paraId="5244C14A" w14:textId="15F0704D" w:rsidR="00B53DC3" w:rsidRP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t>If any provision of this Agreement is unenforceable or held to be unenforceable, all other provisions of this Agreement will remain in full force and effect.</w:t>
      </w:r>
    </w:p>
    <w:p w14:paraId="1B0BBC4F" w14:textId="77777777" w:rsidR="00B53DC3" w:rsidRPr="00B53DC3" w:rsidRDefault="00B53DC3" w:rsidP="00B53DC3">
      <w:pPr>
        <w:pStyle w:val="xmsonormal"/>
        <w:rPr>
          <w:rFonts w:asciiTheme="minorHAnsi" w:hAnsiTheme="minorHAnsi" w:cstheme="minorHAnsi"/>
          <w:color w:val="000000"/>
        </w:rPr>
      </w:pPr>
    </w:p>
    <w:p w14:paraId="0CC7C768" w14:textId="209A4427" w:rsidR="00B53DC3" w:rsidRPr="00C915CD" w:rsidRDefault="00B53DC3" w:rsidP="005C29C0">
      <w:pPr>
        <w:pStyle w:val="xmsonormal"/>
        <w:numPr>
          <w:ilvl w:val="0"/>
          <w:numId w:val="1"/>
        </w:numPr>
        <w:rPr>
          <w:rFonts w:asciiTheme="minorHAnsi" w:hAnsiTheme="minorHAnsi" w:cstheme="minorHAnsi"/>
          <w:b/>
          <w:bCs/>
          <w:color w:val="000000"/>
          <w:u w:val="single"/>
        </w:rPr>
      </w:pPr>
      <w:r w:rsidRPr="00C915CD">
        <w:rPr>
          <w:rFonts w:asciiTheme="minorHAnsi" w:hAnsiTheme="minorHAnsi" w:cstheme="minorHAnsi"/>
          <w:b/>
          <w:bCs/>
          <w:color w:val="000000"/>
          <w:u w:val="single"/>
        </w:rPr>
        <w:t>Waiver</w:t>
      </w:r>
    </w:p>
    <w:p w14:paraId="0E5644DE" w14:textId="77777777" w:rsidR="006D799B" w:rsidRDefault="006D799B" w:rsidP="00B53DC3">
      <w:pPr>
        <w:pStyle w:val="xmsonormal"/>
        <w:rPr>
          <w:rFonts w:asciiTheme="minorHAnsi" w:hAnsiTheme="minorHAnsi" w:cstheme="minorHAnsi"/>
          <w:color w:val="000000"/>
        </w:rPr>
      </w:pPr>
    </w:p>
    <w:p w14:paraId="59355572" w14:textId="5ABC8C11" w:rsid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t>No waiver of any breach of this Agreement constitutes waiver of any other breach. All remedies in this Agreement will be taken and construed as cumulative, meaning in addition to every other remedy provided in the Agreement or by law.</w:t>
      </w:r>
    </w:p>
    <w:p w14:paraId="3FC5B49C" w14:textId="77777777" w:rsidR="00B53DC3" w:rsidRPr="00B53DC3" w:rsidRDefault="00B53DC3" w:rsidP="00B53DC3">
      <w:pPr>
        <w:pStyle w:val="xmsonormal"/>
        <w:rPr>
          <w:rFonts w:asciiTheme="minorHAnsi" w:hAnsiTheme="minorHAnsi" w:cstheme="minorHAnsi"/>
          <w:color w:val="000000"/>
        </w:rPr>
      </w:pPr>
    </w:p>
    <w:p w14:paraId="67DA6A8F" w14:textId="28FACAB7" w:rsidR="005F0C4D" w:rsidRPr="00C915CD" w:rsidRDefault="00B53DC3" w:rsidP="005C29C0">
      <w:pPr>
        <w:pStyle w:val="ListParagraph"/>
        <w:numPr>
          <w:ilvl w:val="0"/>
          <w:numId w:val="1"/>
        </w:numPr>
        <w:spacing w:after="0" w:line="240" w:lineRule="auto"/>
        <w:rPr>
          <w:b/>
          <w:bCs/>
          <w:u w:val="single"/>
        </w:rPr>
      </w:pPr>
      <w:r w:rsidRPr="00C915CD">
        <w:rPr>
          <w:b/>
          <w:bCs/>
          <w:u w:val="single"/>
        </w:rPr>
        <w:t xml:space="preserve">Access to Sites and Records </w:t>
      </w:r>
    </w:p>
    <w:p w14:paraId="79BB0DDB" w14:textId="77777777" w:rsidR="006D799B" w:rsidRDefault="006D799B" w:rsidP="00B53DC3">
      <w:pPr>
        <w:spacing w:after="0" w:line="240" w:lineRule="auto"/>
        <w:rPr>
          <w:rFonts w:cstheme="minorHAnsi"/>
          <w:color w:val="000000"/>
        </w:rPr>
      </w:pPr>
    </w:p>
    <w:p w14:paraId="0D2FF0D0" w14:textId="7BA87782" w:rsidR="00B53DC3" w:rsidRPr="00B53DC3" w:rsidRDefault="0003290F" w:rsidP="00B53DC3">
      <w:pPr>
        <w:spacing w:after="0" w:line="240" w:lineRule="auto"/>
        <w:rPr>
          <w:rFonts w:cstheme="minorHAnsi"/>
          <w:color w:val="000000"/>
        </w:rPr>
      </w:pPr>
      <w:r>
        <w:rPr>
          <w:rFonts w:cstheme="minorHAnsi"/>
          <w:color w:val="000000"/>
        </w:rPr>
        <w:t>T</w:t>
      </w:r>
      <w:r w:rsidR="00B53DC3" w:rsidRPr="00B53DC3">
        <w:rPr>
          <w:rFonts w:cstheme="minorHAnsi"/>
          <w:color w:val="000000"/>
        </w:rPr>
        <w:t xml:space="preserve">he </w:t>
      </w:r>
      <w:r w:rsidR="00C915CD">
        <w:rPr>
          <w:rFonts w:cstheme="minorHAnsi"/>
          <w:color w:val="000000"/>
        </w:rPr>
        <w:t>Recipient</w:t>
      </w:r>
      <w:r w:rsidR="00B53DC3">
        <w:rPr>
          <w:rFonts w:cstheme="minorHAnsi"/>
          <w:color w:val="000000"/>
        </w:rPr>
        <w:t xml:space="preserve"> shall provide during the Agreement and for at least 3 years after the Agreement ends in any way to the CEC or its representatives </w:t>
      </w:r>
      <w:r w:rsidR="00B53DC3" w:rsidRPr="00B53DC3">
        <w:rPr>
          <w:rFonts w:cstheme="minorHAnsi"/>
          <w:color w:val="000000"/>
        </w:rPr>
        <w:t>reasonable access to all project sites and to all records related to this Agreement.</w:t>
      </w:r>
      <w:r w:rsidR="00611E7B">
        <w:rPr>
          <w:rFonts w:cstheme="minorHAnsi"/>
          <w:color w:val="000000"/>
        </w:rPr>
        <w:t xml:space="preserve"> These rights and responsibilities are in addition to and not restrictive of </w:t>
      </w:r>
      <w:r>
        <w:rPr>
          <w:rFonts w:cstheme="minorHAnsi"/>
          <w:color w:val="000000"/>
        </w:rPr>
        <w:t xml:space="preserve">those in </w:t>
      </w:r>
      <w:r w:rsidR="00611E7B">
        <w:rPr>
          <w:rFonts w:cstheme="minorHAnsi"/>
          <w:color w:val="000000"/>
        </w:rPr>
        <w:t xml:space="preserve">Section </w:t>
      </w:r>
      <w:r w:rsidR="00D72E76">
        <w:rPr>
          <w:rFonts w:cstheme="minorHAnsi"/>
          <w:color w:val="000000"/>
        </w:rPr>
        <w:t>10</w:t>
      </w:r>
      <w:r w:rsidR="00611E7B">
        <w:rPr>
          <w:rFonts w:cstheme="minorHAnsi"/>
          <w:color w:val="000000"/>
        </w:rPr>
        <w:t xml:space="preserve"> </w:t>
      </w:r>
      <w:r w:rsidR="00EA6D9E">
        <w:rPr>
          <w:rFonts w:cstheme="minorHAnsi"/>
          <w:color w:val="000000"/>
        </w:rPr>
        <w:t xml:space="preserve">Accounting and </w:t>
      </w:r>
      <w:r w:rsidR="00611E7B">
        <w:rPr>
          <w:rFonts w:cstheme="minorHAnsi"/>
          <w:color w:val="000000"/>
        </w:rPr>
        <w:t xml:space="preserve">Audit. </w:t>
      </w:r>
    </w:p>
    <w:p w14:paraId="433150A5" w14:textId="3CF802C2" w:rsidR="00714F67" w:rsidRDefault="00714F67" w:rsidP="00D6548C">
      <w:pPr>
        <w:spacing w:after="0" w:line="240" w:lineRule="auto"/>
      </w:pPr>
    </w:p>
    <w:p w14:paraId="141B2C01" w14:textId="6053AB70" w:rsidR="002E5D7C" w:rsidRDefault="002E5D7C" w:rsidP="00714F67">
      <w:pPr>
        <w:pStyle w:val="ListParagraph"/>
        <w:numPr>
          <w:ilvl w:val="0"/>
          <w:numId w:val="1"/>
        </w:numPr>
        <w:spacing w:after="0" w:line="240" w:lineRule="auto"/>
        <w:rPr>
          <w:b/>
          <w:bCs/>
          <w:u w:val="single"/>
        </w:rPr>
      </w:pPr>
      <w:r>
        <w:rPr>
          <w:b/>
          <w:bCs/>
          <w:u w:val="single"/>
        </w:rPr>
        <w:t>Due Diligence</w:t>
      </w:r>
    </w:p>
    <w:p w14:paraId="248871A5" w14:textId="77777777" w:rsidR="002E5D7C" w:rsidRDefault="002E5D7C" w:rsidP="002E5D7C">
      <w:pPr>
        <w:spacing w:after="0" w:line="240" w:lineRule="auto"/>
        <w:rPr>
          <w:b/>
          <w:bCs/>
          <w:u w:val="single"/>
        </w:rPr>
      </w:pPr>
      <w:bookmarkStart w:id="0" w:name="_Hlk83968360"/>
    </w:p>
    <w:p w14:paraId="3F0E96A6" w14:textId="0C024BF0" w:rsidR="002E5D7C" w:rsidRPr="002E5D7C" w:rsidRDefault="002E5D7C" w:rsidP="002E5D7C">
      <w:pPr>
        <w:spacing w:after="0" w:line="240" w:lineRule="auto"/>
      </w:pPr>
      <w:r w:rsidRPr="002E5D7C">
        <w:t xml:space="preserve">The Recipient must take timely actions that, taken collectively, move this project to completion. The </w:t>
      </w:r>
      <w:r w:rsidR="00CE3AB3">
        <w:t>CAM</w:t>
      </w:r>
      <w:r w:rsidRPr="002E5D7C">
        <w:t xml:space="preserve"> will periodically evaluate the project schedule for completion of Scope of Work tasks. If the </w:t>
      </w:r>
      <w:r w:rsidR="00CE3AB3">
        <w:t>CAM</w:t>
      </w:r>
      <w:r w:rsidRPr="002E5D7C">
        <w:t xml:space="preserve"> determines that: (1) the Recipient is not diligently completing the tasks in the Scope of Work; or (2) the time remaining in this Agreement is insufficient to complete all project tasks by the Agreement end date, the </w:t>
      </w:r>
      <w:r w:rsidR="00CE3AB3">
        <w:t>CAM</w:t>
      </w:r>
      <w:r w:rsidRPr="002E5D7C">
        <w:t xml:space="preserve"> may recommend that this Agreement be amended or terminated, and the C</w:t>
      </w:r>
      <w:r w:rsidR="00BE02C8">
        <w:t>EC</w:t>
      </w:r>
      <w:r w:rsidRPr="002E5D7C">
        <w:t xml:space="preserve"> may amend or terminate this Agreement without prejudice to any of its other remedies.</w:t>
      </w:r>
      <w:bookmarkEnd w:id="0"/>
    </w:p>
    <w:p w14:paraId="3CF113DA" w14:textId="77777777" w:rsidR="002E5D7C" w:rsidRPr="002E5D7C" w:rsidRDefault="002E5D7C" w:rsidP="002E5D7C">
      <w:pPr>
        <w:spacing w:after="0" w:line="240" w:lineRule="auto"/>
        <w:rPr>
          <w:b/>
          <w:bCs/>
          <w:u w:val="single"/>
        </w:rPr>
      </w:pPr>
    </w:p>
    <w:p w14:paraId="118EAEB6" w14:textId="1F4423B9" w:rsidR="00714F67" w:rsidRPr="00714F67" w:rsidRDefault="00714F67" w:rsidP="00714F67">
      <w:pPr>
        <w:pStyle w:val="ListParagraph"/>
        <w:numPr>
          <w:ilvl w:val="0"/>
          <w:numId w:val="1"/>
        </w:numPr>
        <w:spacing w:after="0" w:line="240" w:lineRule="auto"/>
        <w:rPr>
          <w:b/>
          <w:bCs/>
          <w:u w:val="single"/>
        </w:rPr>
      </w:pPr>
      <w:r w:rsidRPr="00714F67">
        <w:rPr>
          <w:b/>
          <w:bCs/>
          <w:u w:val="single"/>
        </w:rPr>
        <w:t>Termination Without Cause</w:t>
      </w:r>
    </w:p>
    <w:p w14:paraId="2549B46D" w14:textId="684FDF71" w:rsidR="00714F67" w:rsidRDefault="00714F67" w:rsidP="00714F67">
      <w:pPr>
        <w:spacing w:after="0" w:line="240" w:lineRule="auto"/>
      </w:pPr>
    </w:p>
    <w:p w14:paraId="5B3BE0F1" w14:textId="716C2F2C" w:rsidR="00714F67" w:rsidRDefault="00714F67" w:rsidP="00714F67">
      <w:pPr>
        <w:spacing w:after="0" w:line="240" w:lineRule="auto"/>
        <w:rPr>
          <w:rFonts w:cstheme="minorHAnsi"/>
          <w:color w:val="000000"/>
        </w:rPr>
      </w:pPr>
      <w:r w:rsidRPr="00714F67">
        <w:rPr>
          <w:rFonts w:cstheme="minorHAnsi"/>
          <w:color w:val="000000"/>
        </w:rPr>
        <w:t xml:space="preserve">The </w:t>
      </w:r>
      <w:r w:rsidR="00EA6D9E">
        <w:rPr>
          <w:rFonts w:cstheme="minorHAnsi"/>
          <w:color w:val="000000"/>
        </w:rPr>
        <w:t>CEC</w:t>
      </w:r>
      <w:r w:rsidRPr="00714F67">
        <w:rPr>
          <w:rFonts w:cstheme="minorHAnsi"/>
          <w:color w:val="000000"/>
        </w:rPr>
        <w:t xml:space="preserve"> may terminate this Agreement without cause upon giving written notice to the Recipient. In this event, the Recipient will use all reasonable efforts to mitigate its expenses and obligations.</w:t>
      </w:r>
    </w:p>
    <w:p w14:paraId="7B210634" w14:textId="77777777" w:rsidR="00714F67" w:rsidRDefault="00714F67" w:rsidP="00D6548C">
      <w:pPr>
        <w:spacing w:after="0" w:line="240" w:lineRule="auto"/>
      </w:pPr>
    </w:p>
    <w:p w14:paraId="2B337B13" w14:textId="37E421FB" w:rsidR="005F0C4D" w:rsidRPr="00C915CD" w:rsidRDefault="00B53DC3" w:rsidP="005C29C0">
      <w:pPr>
        <w:pStyle w:val="ListParagraph"/>
        <w:numPr>
          <w:ilvl w:val="0"/>
          <w:numId w:val="1"/>
        </w:numPr>
        <w:spacing w:after="0" w:line="240" w:lineRule="auto"/>
        <w:rPr>
          <w:b/>
          <w:bCs/>
          <w:u w:val="single"/>
        </w:rPr>
      </w:pPr>
      <w:r w:rsidRPr="00C915CD">
        <w:rPr>
          <w:b/>
          <w:bCs/>
          <w:u w:val="single"/>
        </w:rPr>
        <w:t>Survival of Terms</w:t>
      </w:r>
    </w:p>
    <w:p w14:paraId="27AFC823" w14:textId="77777777" w:rsidR="006D799B" w:rsidRDefault="006D799B" w:rsidP="00D6548C">
      <w:pPr>
        <w:spacing w:after="0" w:line="240" w:lineRule="auto"/>
      </w:pPr>
    </w:p>
    <w:p w14:paraId="28D82039" w14:textId="180F8D63" w:rsidR="00B53DC3" w:rsidRDefault="00B53DC3" w:rsidP="00D6548C">
      <w:pPr>
        <w:spacing w:after="0" w:line="240" w:lineRule="auto"/>
      </w:pPr>
      <w:r>
        <w:t xml:space="preserve">The following terms survive this Agreement no matter how the agreement ends, such as by its own terms or via termination: </w:t>
      </w:r>
    </w:p>
    <w:p w14:paraId="30625D06" w14:textId="48976C8C" w:rsidR="00B53DC3" w:rsidRDefault="00B53DC3" w:rsidP="00D6548C">
      <w:pPr>
        <w:spacing w:after="0" w:line="240" w:lineRule="auto"/>
      </w:pPr>
    </w:p>
    <w:p w14:paraId="742C07A1" w14:textId="5B88B41D" w:rsidR="00B53DC3" w:rsidRDefault="00DC0CE9" w:rsidP="00B53DC3">
      <w:pPr>
        <w:pStyle w:val="ListParagraph"/>
        <w:numPr>
          <w:ilvl w:val="0"/>
          <w:numId w:val="5"/>
        </w:numPr>
        <w:spacing w:after="0" w:line="240" w:lineRule="auto"/>
      </w:pPr>
      <w:bookmarkStart w:id="1" w:name="_Hlk159419466"/>
      <w:r>
        <w:t>10</w:t>
      </w:r>
      <w:r w:rsidR="00B53DC3">
        <w:t xml:space="preserve">.  </w:t>
      </w:r>
      <w:r w:rsidR="00EA6D9E">
        <w:t xml:space="preserve">Accounting and </w:t>
      </w:r>
      <w:r w:rsidR="00B53DC3">
        <w:t xml:space="preserve">Audit </w:t>
      </w:r>
    </w:p>
    <w:p w14:paraId="25B4E42E" w14:textId="34202945" w:rsidR="00B53DC3" w:rsidRDefault="00DC0CE9" w:rsidP="00B53DC3">
      <w:pPr>
        <w:pStyle w:val="ListParagraph"/>
        <w:numPr>
          <w:ilvl w:val="0"/>
          <w:numId w:val="5"/>
        </w:numPr>
        <w:spacing w:after="0" w:line="240" w:lineRule="auto"/>
      </w:pPr>
      <w:r>
        <w:t>11</w:t>
      </w:r>
      <w:r w:rsidR="00B53DC3">
        <w:t>. Public Works</w:t>
      </w:r>
    </w:p>
    <w:p w14:paraId="7EF2A92B" w14:textId="67D49134" w:rsidR="00BD2ADB" w:rsidRDefault="00BD2ADB" w:rsidP="00B53DC3">
      <w:pPr>
        <w:pStyle w:val="ListParagraph"/>
        <w:numPr>
          <w:ilvl w:val="0"/>
          <w:numId w:val="5"/>
        </w:numPr>
        <w:spacing w:after="0" w:line="240" w:lineRule="auto"/>
      </w:pPr>
      <w:r>
        <w:t>13. Indemnification</w:t>
      </w:r>
    </w:p>
    <w:p w14:paraId="5C138425" w14:textId="2965BCE7" w:rsidR="00B53DC3" w:rsidRDefault="00EA6D9E" w:rsidP="00B53DC3">
      <w:pPr>
        <w:pStyle w:val="ListParagraph"/>
        <w:numPr>
          <w:ilvl w:val="0"/>
          <w:numId w:val="5"/>
        </w:numPr>
        <w:spacing w:after="0" w:line="240" w:lineRule="auto"/>
      </w:pPr>
      <w:r>
        <w:t>1</w:t>
      </w:r>
      <w:r w:rsidR="00BD2ADB">
        <w:t>4</w:t>
      </w:r>
      <w:r w:rsidR="00B53DC3">
        <w:t xml:space="preserve">. Governing Law </w:t>
      </w:r>
    </w:p>
    <w:p w14:paraId="77D36D40" w14:textId="67CD1A80" w:rsidR="00B53DC3" w:rsidRDefault="00EA6D9E" w:rsidP="00B53DC3">
      <w:pPr>
        <w:pStyle w:val="ListParagraph"/>
        <w:numPr>
          <w:ilvl w:val="0"/>
          <w:numId w:val="5"/>
        </w:numPr>
        <w:spacing w:after="0" w:line="240" w:lineRule="auto"/>
      </w:pPr>
      <w:r>
        <w:t>1</w:t>
      </w:r>
      <w:r w:rsidR="00BD2ADB">
        <w:t>6</w:t>
      </w:r>
      <w:r w:rsidR="00B53DC3">
        <w:t>. Severability</w:t>
      </w:r>
    </w:p>
    <w:p w14:paraId="3672269E" w14:textId="0BC02F68" w:rsidR="00B53DC3" w:rsidRDefault="00EA6D9E" w:rsidP="00B53DC3">
      <w:pPr>
        <w:pStyle w:val="ListParagraph"/>
        <w:numPr>
          <w:ilvl w:val="0"/>
          <w:numId w:val="5"/>
        </w:numPr>
        <w:spacing w:after="0" w:line="240" w:lineRule="auto"/>
      </w:pPr>
      <w:r>
        <w:lastRenderedPageBreak/>
        <w:t>1</w:t>
      </w:r>
      <w:r w:rsidR="00BD2ADB">
        <w:t>7</w:t>
      </w:r>
      <w:r w:rsidR="00B53DC3">
        <w:t>. Waiver</w:t>
      </w:r>
    </w:p>
    <w:bookmarkEnd w:id="1"/>
    <w:p w14:paraId="0A55E6EF" w14:textId="051A31CF" w:rsidR="006716E0" w:rsidRDefault="00EA6D9E" w:rsidP="003D7B85">
      <w:pPr>
        <w:pStyle w:val="ListParagraph"/>
        <w:numPr>
          <w:ilvl w:val="0"/>
          <w:numId w:val="5"/>
        </w:numPr>
        <w:spacing w:after="0" w:line="240" w:lineRule="auto"/>
      </w:pPr>
      <w:r>
        <w:t>1</w:t>
      </w:r>
      <w:r w:rsidR="00BD2ADB">
        <w:t>8</w:t>
      </w:r>
      <w:r w:rsidR="00B53DC3">
        <w:t>. Access to Sites and Records</w:t>
      </w:r>
    </w:p>
    <w:sectPr w:rsidR="006716E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46FF" w14:textId="77777777" w:rsidR="001767C2" w:rsidRDefault="001767C2" w:rsidP="005F0C4D">
      <w:pPr>
        <w:spacing w:after="0" w:line="240" w:lineRule="auto"/>
      </w:pPr>
      <w:r>
        <w:separator/>
      </w:r>
    </w:p>
  </w:endnote>
  <w:endnote w:type="continuationSeparator" w:id="0">
    <w:p w14:paraId="3D9F67B2" w14:textId="77777777" w:rsidR="001767C2" w:rsidRDefault="001767C2" w:rsidP="005F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BAE2" w14:textId="6E388189" w:rsidR="005F0C4D" w:rsidRPr="00D16D83" w:rsidRDefault="008D19A5" w:rsidP="00E46839">
    <w:pPr>
      <w:pStyle w:val="Footer"/>
    </w:pPr>
    <w:r w:rsidRPr="00D16D83">
      <w:t>C</w:t>
    </w:r>
    <w:r w:rsidR="00C21157" w:rsidRPr="00D16D83">
      <w:t>CEPP Program</w:t>
    </w:r>
    <w:r w:rsidR="00010546" w:rsidRPr="00D16D83">
      <w:tab/>
    </w:r>
    <w:sdt>
      <w:sdtPr>
        <w:id w:val="55981370"/>
        <w:docPartObj>
          <w:docPartGallery w:val="Page Numbers (Bottom of Page)"/>
          <w:docPartUnique/>
        </w:docPartObj>
      </w:sdtPr>
      <w:sdtContent>
        <w:sdt>
          <w:sdtPr>
            <w:id w:val="1728636285"/>
            <w:docPartObj>
              <w:docPartGallery w:val="Page Numbers (Top of Page)"/>
              <w:docPartUnique/>
            </w:docPartObj>
          </w:sdtPr>
          <w:sdtContent>
            <w:r w:rsidR="005F0C4D" w:rsidRPr="00D16D83">
              <w:t xml:space="preserve">Page </w:t>
            </w:r>
            <w:r w:rsidR="005F0C4D" w:rsidRPr="00D16D83">
              <w:fldChar w:fldCharType="begin"/>
            </w:r>
            <w:r w:rsidR="005F0C4D" w:rsidRPr="00D16D83">
              <w:instrText xml:space="preserve"> PAGE </w:instrText>
            </w:r>
            <w:r w:rsidR="005F0C4D" w:rsidRPr="00D16D83">
              <w:fldChar w:fldCharType="separate"/>
            </w:r>
            <w:r w:rsidR="005F0C4D" w:rsidRPr="00D16D83">
              <w:rPr>
                <w:noProof/>
              </w:rPr>
              <w:t>2</w:t>
            </w:r>
            <w:r w:rsidR="005F0C4D" w:rsidRPr="00D16D83">
              <w:fldChar w:fldCharType="end"/>
            </w:r>
            <w:r w:rsidR="005F0C4D" w:rsidRPr="00D16D83">
              <w:t xml:space="preserve"> of </w:t>
            </w:r>
            <w:r w:rsidR="00C21157" w:rsidRPr="00D16D83">
              <w:fldChar w:fldCharType="begin"/>
            </w:r>
            <w:r w:rsidR="00C21157" w:rsidRPr="00D16D83">
              <w:instrText>NUMPAGES</w:instrText>
            </w:r>
            <w:r w:rsidR="00C21157" w:rsidRPr="00D16D83">
              <w:fldChar w:fldCharType="separate"/>
            </w:r>
            <w:r w:rsidR="005F0C4D" w:rsidRPr="00D16D83">
              <w:rPr>
                <w:noProof/>
              </w:rPr>
              <w:t>2</w:t>
            </w:r>
            <w:r w:rsidR="00C21157" w:rsidRPr="00D16D83">
              <w:fldChar w:fldCharType="end"/>
            </w:r>
          </w:sdtContent>
        </w:sdt>
      </w:sdtContent>
    </w:sdt>
    <w:r w:rsidR="00010546" w:rsidRPr="00D16D83">
      <w:tab/>
      <w:t>GFO-</w:t>
    </w:r>
    <w:r w:rsidR="00026AB8" w:rsidRPr="00D16D83">
      <w:t>23-702</w:t>
    </w:r>
  </w:p>
  <w:p w14:paraId="0DE7E9AD" w14:textId="7E89D9B7" w:rsidR="005F0C4D" w:rsidRPr="00D16D83" w:rsidRDefault="00D16D83">
    <w:pPr>
      <w:pStyle w:val="Footer"/>
    </w:pPr>
    <w:r w:rsidRPr="00D16D83">
      <w:tab/>
    </w:r>
    <w:r w:rsidRPr="00D16D83">
      <w:tab/>
      <w:t>California Clean Energy Planning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C833" w14:textId="77777777" w:rsidR="001767C2" w:rsidRDefault="001767C2" w:rsidP="005F0C4D">
      <w:pPr>
        <w:spacing w:after="0" w:line="240" w:lineRule="auto"/>
      </w:pPr>
      <w:r>
        <w:separator/>
      </w:r>
    </w:p>
  </w:footnote>
  <w:footnote w:type="continuationSeparator" w:id="0">
    <w:p w14:paraId="5C9A8E73" w14:textId="77777777" w:rsidR="001767C2" w:rsidRDefault="001767C2" w:rsidP="005F0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hybridMultilevel"/>
    <w:tmpl w:val="5D9CB5F8"/>
    <w:lvl w:ilvl="0" w:tplc="D06EB5D0">
      <w:start w:val="1"/>
      <w:numFmt w:val="decimal"/>
      <w:lvlText w:val="%1."/>
      <w:legacy w:legacy="1" w:legacySpace="0" w:legacyIndent="0"/>
      <w:lvlJc w:val="left"/>
      <w:pPr>
        <w:ind w:left="0" w:firstLine="0"/>
      </w:pPr>
    </w:lvl>
    <w:lvl w:ilvl="1" w:tplc="74B6FA02">
      <w:start w:val="1"/>
      <w:numFmt w:val="lowerLetter"/>
      <w:lvlText w:val="%2."/>
      <w:legacy w:legacy="1" w:legacySpace="0" w:legacyIndent="0"/>
      <w:lvlJc w:val="left"/>
      <w:pPr>
        <w:ind w:left="0" w:firstLine="0"/>
      </w:pPr>
      <w:rPr>
        <w:rFonts w:ascii="Arial" w:hAnsi="Arial" w:cs="Times New Roman" w:hint="default"/>
        <w:b w:val="0"/>
        <w:sz w:val="22"/>
        <w:szCs w:val="22"/>
      </w:rPr>
    </w:lvl>
    <w:lvl w:ilvl="2" w:tplc="CCE4F3AA">
      <w:start w:val="1"/>
      <w:numFmt w:val="lowerRoman"/>
      <w:lvlText w:val="%3."/>
      <w:legacy w:legacy="1" w:legacySpace="0" w:legacyIndent="0"/>
      <w:lvlJc w:val="left"/>
      <w:pPr>
        <w:ind w:left="0" w:firstLine="0"/>
      </w:pPr>
    </w:lvl>
    <w:lvl w:ilvl="3" w:tplc="4162969C">
      <w:start w:val="1"/>
      <w:numFmt w:val="decimal"/>
      <w:lvlText w:val="(%4)"/>
      <w:legacy w:legacy="1" w:legacySpace="0" w:legacyIndent="0"/>
      <w:lvlJc w:val="left"/>
      <w:pPr>
        <w:ind w:left="0" w:firstLine="0"/>
      </w:pPr>
    </w:lvl>
    <w:lvl w:ilvl="4" w:tplc="897A7566">
      <w:start w:val="1"/>
      <w:numFmt w:val="lowerLetter"/>
      <w:lvlText w:val="(%5)"/>
      <w:legacy w:legacy="1" w:legacySpace="0" w:legacyIndent="0"/>
      <w:lvlJc w:val="left"/>
      <w:pPr>
        <w:ind w:left="0" w:firstLine="0"/>
      </w:pPr>
    </w:lvl>
    <w:lvl w:ilvl="5" w:tplc="35846324">
      <w:start w:val="1"/>
      <w:numFmt w:val="lowerRoman"/>
      <w:lvlText w:val="(%6)"/>
      <w:legacy w:legacy="1" w:legacySpace="0" w:legacyIndent="0"/>
      <w:lvlJc w:val="left"/>
      <w:pPr>
        <w:ind w:left="0" w:firstLine="0"/>
      </w:pPr>
    </w:lvl>
    <w:lvl w:ilvl="6" w:tplc="E8B6277A">
      <w:start w:val="1"/>
      <w:numFmt w:val="decimal"/>
      <w:lvlText w:val="%7)"/>
      <w:legacy w:legacy="1" w:legacySpace="0" w:legacyIndent="0"/>
      <w:lvlJc w:val="left"/>
      <w:pPr>
        <w:ind w:left="0" w:firstLine="0"/>
      </w:pPr>
      <w:rPr>
        <w:rFonts w:ascii="Arial" w:hAnsi="Arial" w:cs="Times New Roman" w:hint="default"/>
      </w:rPr>
    </w:lvl>
    <w:lvl w:ilvl="7" w:tplc="ECFE54A8">
      <w:start w:val="1"/>
      <w:numFmt w:val="lowerLetter"/>
      <w:lvlText w:val="%8)"/>
      <w:legacy w:legacy="1" w:legacySpace="0" w:legacyIndent="0"/>
      <w:lvlJc w:val="left"/>
      <w:pPr>
        <w:ind w:left="0" w:firstLine="0"/>
      </w:pPr>
    </w:lvl>
    <w:lvl w:ilvl="8" w:tplc="2A847C9C">
      <w:numFmt w:val="decimal"/>
      <w:lvlText w:val=""/>
      <w:lvlJc w:val="left"/>
      <w:pPr>
        <w:ind w:left="0" w:firstLine="0"/>
      </w:pPr>
    </w:lvl>
  </w:abstractNum>
  <w:abstractNum w:abstractNumId="1" w15:restartNumberingAfterBreak="0">
    <w:nsid w:val="03D06256"/>
    <w:multiLevelType w:val="hybridMultilevel"/>
    <w:tmpl w:val="8F342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6925FA"/>
    <w:multiLevelType w:val="hybridMultilevel"/>
    <w:tmpl w:val="5E9CE5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82B0C4A"/>
    <w:multiLevelType w:val="hybridMultilevel"/>
    <w:tmpl w:val="3514C7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36F50"/>
    <w:multiLevelType w:val="hybridMultilevel"/>
    <w:tmpl w:val="AB624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EF7BA2"/>
    <w:multiLevelType w:val="hybridMultilevel"/>
    <w:tmpl w:val="91145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E0F04"/>
    <w:multiLevelType w:val="hybridMultilevel"/>
    <w:tmpl w:val="73E6C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AB3F59"/>
    <w:multiLevelType w:val="hybridMultilevel"/>
    <w:tmpl w:val="274C0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624E7"/>
    <w:multiLevelType w:val="hybridMultilevel"/>
    <w:tmpl w:val="283839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6441BA"/>
    <w:multiLevelType w:val="hybridMultilevel"/>
    <w:tmpl w:val="60FC29A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60B0161C"/>
    <w:multiLevelType w:val="hybridMultilevel"/>
    <w:tmpl w:val="F850D1A0"/>
    <w:lvl w:ilvl="0" w:tplc="F574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4F9F2A"/>
    <w:multiLevelType w:val="hybridMultilevel"/>
    <w:tmpl w:val="FFFFFFFF"/>
    <w:lvl w:ilvl="0" w:tplc="AD9E332A">
      <w:start w:val="1"/>
      <w:numFmt w:val="bullet"/>
      <w:lvlText w:val="·"/>
      <w:lvlJc w:val="left"/>
      <w:pPr>
        <w:ind w:left="720" w:hanging="360"/>
      </w:pPr>
      <w:rPr>
        <w:rFonts w:ascii="Symbol" w:hAnsi="Symbol" w:hint="default"/>
      </w:rPr>
    </w:lvl>
    <w:lvl w:ilvl="1" w:tplc="32D8E604">
      <w:start w:val="1"/>
      <w:numFmt w:val="bullet"/>
      <w:lvlText w:val="o"/>
      <w:lvlJc w:val="left"/>
      <w:pPr>
        <w:ind w:left="1440" w:hanging="360"/>
      </w:pPr>
      <w:rPr>
        <w:rFonts w:ascii="Courier New" w:hAnsi="Courier New" w:cs="Times New Roman" w:hint="default"/>
      </w:rPr>
    </w:lvl>
    <w:lvl w:ilvl="2" w:tplc="C8063104">
      <w:start w:val="1"/>
      <w:numFmt w:val="bullet"/>
      <w:lvlText w:val=""/>
      <w:lvlJc w:val="left"/>
      <w:pPr>
        <w:ind w:left="2160" w:hanging="360"/>
      </w:pPr>
      <w:rPr>
        <w:rFonts w:ascii="Wingdings" w:hAnsi="Wingdings" w:hint="default"/>
      </w:rPr>
    </w:lvl>
    <w:lvl w:ilvl="3" w:tplc="D0889DB4">
      <w:start w:val="1"/>
      <w:numFmt w:val="bullet"/>
      <w:lvlText w:val=""/>
      <w:lvlJc w:val="left"/>
      <w:pPr>
        <w:ind w:left="2880" w:hanging="360"/>
      </w:pPr>
      <w:rPr>
        <w:rFonts w:ascii="Symbol" w:hAnsi="Symbol" w:hint="default"/>
      </w:rPr>
    </w:lvl>
    <w:lvl w:ilvl="4" w:tplc="87AA2DD4">
      <w:start w:val="1"/>
      <w:numFmt w:val="bullet"/>
      <w:lvlText w:val="o"/>
      <w:lvlJc w:val="left"/>
      <w:pPr>
        <w:ind w:left="3600" w:hanging="360"/>
      </w:pPr>
      <w:rPr>
        <w:rFonts w:ascii="Courier New" w:hAnsi="Courier New" w:cs="Times New Roman" w:hint="default"/>
      </w:rPr>
    </w:lvl>
    <w:lvl w:ilvl="5" w:tplc="8722908A">
      <w:start w:val="1"/>
      <w:numFmt w:val="bullet"/>
      <w:lvlText w:val=""/>
      <w:lvlJc w:val="left"/>
      <w:pPr>
        <w:ind w:left="4320" w:hanging="360"/>
      </w:pPr>
      <w:rPr>
        <w:rFonts w:ascii="Wingdings" w:hAnsi="Wingdings" w:hint="default"/>
      </w:rPr>
    </w:lvl>
    <w:lvl w:ilvl="6" w:tplc="9410BD0E">
      <w:start w:val="1"/>
      <w:numFmt w:val="bullet"/>
      <w:lvlText w:val=""/>
      <w:lvlJc w:val="left"/>
      <w:pPr>
        <w:ind w:left="5040" w:hanging="360"/>
      </w:pPr>
      <w:rPr>
        <w:rFonts w:ascii="Symbol" w:hAnsi="Symbol" w:hint="default"/>
      </w:rPr>
    </w:lvl>
    <w:lvl w:ilvl="7" w:tplc="382C417E">
      <w:start w:val="1"/>
      <w:numFmt w:val="bullet"/>
      <w:lvlText w:val="o"/>
      <w:lvlJc w:val="left"/>
      <w:pPr>
        <w:ind w:left="5760" w:hanging="360"/>
      </w:pPr>
      <w:rPr>
        <w:rFonts w:ascii="Courier New" w:hAnsi="Courier New" w:cs="Times New Roman" w:hint="default"/>
      </w:rPr>
    </w:lvl>
    <w:lvl w:ilvl="8" w:tplc="1270D2EE">
      <w:start w:val="1"/>
      <w:numFmt w:val="bullet"/>
      <w:lvlText w:val=""/>
      <w:lvlJc w:val="left"/>
      <w:pPr>
        <w:ind w:left="6480" w:hanging="360"/>
      </w:pPr>
      <w:rPr>
        <w:rFonts w:ascii="Wingdings" w:hAnsi="Wingdings" w:hint="default"/>
      </w:rPr>
    </w:lvl>
  </w:abstractNum>
  <w:abstractNum w:abstractNumId="13" w15:restartNumberingAfterBreak="0">
    <w:nsid w:val="7B497BEE"/>
    <w:multiLevelType w:val="hybridMultilevel"/>
    <w:tmpl w:val="5A20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8529548">
    <w:abstractNumId w:val="13"/>
  </w:num>
  <w:num w:numId="2" w16cid:durableId="614167729">
    <w:abstractNumId w:val="4"/>
  </w:num>
  <w:num w:numId="3" w16cid:durableId="563875830">
    <w:abstractNumId w:val="9"/>
  </w:num>
  <w:num w:numId="4" w16cid:durableId="205069380">
    <w:abstractNumId w:val="11"/>
  </w:num>
  <w:num w:numId="5" w16cid:durableId="1057515780">
    <w:abstractNumId w:val="6"/>
  </w:num>
  <w:num w:numId="6" w16cid:durableId="688145985">
    <w:abstractNumId w:val="8"/>
  </w:num>
  <w:num w:numId="7" w16cid:durableId="1896820536">
    <w:abstractNumId w:val="5"/>
  </w:num>
  <w:num w:numId="8" w16cid:durableId="1322612972">
    <w:abstractNumId w:val="10"/>
  </w:num>
  <w:num w:numId="9" w16cid:durableId="1822961212">
    <w:abstractNumId w:val="7"/>
  </w:num>
  <w:num w:numId="10" w16cid:durableId="970327814">
    <w:abstractNumId w:val="2"/>
  </w:num>
  <w:num w:numId="11" w16cid:durableId="2093551785">
    <w:abstractNumId w:val="1"/>
  </w:num>
  <w:num w:numId="12" w16cid:durableId="1508128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8927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1756970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6B"/>
    <w:rsid w:val="00002C39"/>
    <w:rsid w:val="00007E04"/>
    <w:rsid w:val="00010546"/>
    <w:rsid w:val="00020DAD"/>
    <w:rsid w:val="00026AB8"/>
    <w:rsid w:val="0003290F"/>
    <w:rsid w:val="00061FF9"/>
    <w:rsid w:val="000656AA"/>
    <w:rsid w:val="000A3F0F"/>
    <w:rsid w:val="000B661D"/>
    <w:rsid w:val="000C51DA"/>
    <w:rsid w:val="000D212C"/>
    <w:rsid w:val="000E4680"/>
    <w:rsid w:val="000E4E32"/>
    <w:rsid w:val="00101876"/>
    <w:rsid w:val="001034FF"/>
    <w:rsid w:val="001137AA"/>
    <w:rsid w:val="0011768C"/>
    <w:rsid w:val="00131286"/>
    <w:rsid w:val="00142123"/>
    <w:rsid w:val="00143B88"/>
    <w:rsid w:val="001767C2"/>
    <w:rsid w:val="00186F84"/>
    <w:rsid w:val="00196275"/>
    <w:rsid w:val="001D6FC9"/>
    <w:rsid w:val="001E3293"/>
    <w:rsid w:val="001E55FA"/>
    <w:rsid w:val="001E62D8"/>
    <w:rsid w:val="002169A8"/>
    <w:rsid w:val="002359B6"/>
    <w:rsid w:val="00284607"/>
    <w:rsid w:val="002869CA"/>
    <w:rsid w:val="00290E1A"/>
    <w:rsid w:val="00291771"/>
    <w:rsid w:val="002A2133"/>
    <w:rsid w:val="002A77EA"/>
    <w:rsid w:val="002C6233"/>
    <w:rsid w:val="002C7E9D"/>
    <w:rsid w:val="002D1616"/>
    <w:rsid w:val="002E1BCB"/>
    <w:rsid w:val="002E4876"/>
    <w:rsid w:val="002E5D7C"/>
    <w:rsid w:val="002F343B"/>
    <w:rsid w:val="002F727D"/>
    <w:rsid w:val="00302322"/>
    <w:rsid w:val="0030272F"/>
    <w:rsid w:val="00310EAB"/>
    <w:rsid w:val="00312537"/>
    <w:rsid w:val="00312939"/>
    <w:rsid w:val="00336C2B"/>
    <w:rsid w:val="0035087F"/>
    <w:rsid w:val="00352AD4"/>
    <w:rsid w:val="003633D2"/>
    <w:rsid w:val="00363F06"/>
    <w:rsid w:val="00376D7B"/>
    <w:rsid w:val="00394354"/>
    <w:rsid w:val="003A650C"/>
    <w:rsid w:val="003B3092"/>
    <w:rsid w:val="003C01FD"/>
    <w:rsid w:val="003D53A8"/>
    <w:rsid w:val="003F17D9"/>
    <w:rsid w:val="00443A70"/>
    <w:rsid w:val="004552ED"/>
    <w:rsid w:val="00471BDF"/>
    <w:rsid w:val="00482DDC"/>
    <w:rsid w:val="00491187"/>
    <w:rsid w:val="004A3884"/>
    <w:rsid w:val="004B590A"/>
    <w:rsid w:val="004F3DA2"/>
    <w:rsid w:val="005068AB"/>
    <w:rsid w:val="0053273E"/>
    <w:rsid w:val="0055011E"/>
    <w:rsid w:val="00557222"/>
    <w:rsid w:val="00564716"/>
    <w:rsid w:val="00584ED6"/>
    <w:rsid w:val="005C29C0"/>
    <w:rsid w:val="005D095C"/>
    <w:rsid w:val="005F0C4D"/>
    <w:rsid w:val="00611E7B"/>
    <w:rsid w:val="00615452"/>
    <w:rsid w:val="006303E3"/>
    <w:rsid w:val="00641BAC"/>
    <w:rsid w:val="006716E0"/>
    <w:rsid w:val="00674844"/>
    <w:rsid w:val="00695F6B"/>
    <w:rsid w:val="006A7A5A"/>
    <w:rsid w:val="006B4E8D"/>
    <w:rsid w:val="006C6436"/>
    <w:rsid w:val="006D799B"/>
    <w:rsid w:val="006E4AD9"/>
    <w:rsid w:val="006E5F01"/>
    <w:rsid w:val="007049C2"/>
    <w:rsid w:val="00706E5C"/>
    <w:rsid w:val="007140D1"/>
    <w:rsid w:val="00714F67"/>
    <w:rsid w:val="0071563A"/>
    <w:rsid w:val="0073673A"/>
    <w:rsid w:val="0075053B"/>
    <w:rsid w:val="00750EAC"/>
    <w:rsid w:val="00773117"/>
    <w:rsid w:val="007C0438"/>
    <w:rsid w:val="007C22C6"/>
    <w:rsid w:val="0086728F"/>
    <w:rsid w:val="008C31E0"/>
    <w:rsid w:val="008D19A5"/>
    <w:rsid w:val="00906047"/>
    <w:rsid w:val="009118F2"/>
    <w:rsid w:val="00920312"/>
    <w:rsid w:val="009333D0"/>
    <w:rsid w:val="009418C0"/>
    <w:rsid w:val="00956713"/>
    <w:rsid w:val="0098466D"/>
    <w:rsid w:val="009B3BCE"/>
    <w:rsid w:val="009C15E9"/>
    <w:rsid w:val="009D0813"/>
    <w:rsid w:val="009F6A16"/>
    <w:rsid w:val="00A047DB"/>
    <w:rsid w:val="00A16BB8"/>
    <w:rsid w:val="00A2128E"/>
    <w:rsid w:val="00A2357F"/>
    <w:rsid w:val="00A3043C"/>
    <w:rsid w:val="00A4236F"/>
    <w:rsid w:val="00A44FD7"/>
    <w:rsid w:val="00A52809"/>
    <w:rsid w:val="00A5461C"/>
    <w:rsid w:val="00A61AE4"/>
    <w:rsid w:val="00A64A4B"/>
    <w:rsid w:val="00AB2C23"/>
    <w:rsid w:val="00AC2061"/>
    <w:rsid w:val="00AD732D"/>
    <w:rsid w:val="00AE5BF9"/>
    <w:rsid w:val="00AF76C8"/>
    <w:rsid w:val="00B0604F"/>
    <w:rsid w:val="00B07328"/>
    <w:rsid w:val="00B12452"/>
    <w:rsid w:val="00B27A58"/>
    <w:rsid w:val="00B3080A"/>
    <w:rsid w:val="00B3280F"/>
    <w:rsid w:val="00B358F7"/>
    <w:rsid w:val="00B42862"/>
    <w:rsid w:val="00B44171"/>
    <w:rsid w:val="00B46336"/>
    <w:rsid w:val="00B47BFA"/>
    <w:rsid w:val="00B53DC3"/>
    <w:rsid w:val="00B7254C"/>
    <w:rsid w:val="00B90593"/>
    <w:rsid w:val="00B94BFF"/>
    <w:rsid w:val="00B97553"/>
    <w:rsid w:val="00BC17E1"/>
    <w:rsid w:val="00BC3829"/>
    <w:rsid w:val="00BD2091"/>
    <w:rsid w:val="00BD2ADB"/>
    <w:rsid w:val="00BE02C8"/>
    <w:rsid w:val="00BE2C80"/>
    <w:rsid w:val="00C07AD4"/>
    <w:rsid w:val="00C13BB5"/>
    <w:rsid w:val="00C21157"/>
    <w:rsid w:val="00C550D9"/>
    <w:rsid w:val="00C56299"/>
    <w:rsid w:val="00C57972"/>
    <w:rsid w:val="00C778BB"/>
    <w:rsid w:val="00C8088C"/>
    <w:rsid w:val="00C852BA"/>
    <w:rsid w:val="00C915CD"/>
    <w:rsid w:val="00C94178"/>
    <w:rsid w:val="00C94CC8"/>
    <w:rsid w:val="00CA41D6"/>
    <w:rsid w:val="00CA6AA9"/>
    <w:rsid w:val="00CB31B6"/>
    <w:rsid w:val="00CD5B33"/>
    <w:rsid w:val="00CE3AB3"/>
    <w:rsid w:val="00CE4634"/>
    <w:rsid w:val="00D0166C"/>
    <w:rsid w:val="00D04573"/>
    <w:rsid w:val="00D1531F"/>
    <w:rsid w:val="00D16D83"/>
    <w:rsid w:val="00D21E4D"/>
    <w:rsid w:val="00D232C6"/>
    <w:rsid w:val="00D31DB4"/>
    <w:rsid w:val="00D35499"/>
    <w:rsid w:val="00D571BD"/>
    <w:rsid w:val="00D6548C"/>
    <w:rsid w:val="00D72E76"/>
    <w:rsid w:val="00D7623A"/>
    <w:rsid w:val="00D775DA"/>
    <w:rsid w:val="00DA7654"/>
    <w:rsid w:val="00DB23A1"/>
    <w:rsid w:val="00DB2CCC"/>
    <w:rsid w:val="00DC0CE9"/>
    <w:rsid w:val="00DD02B0"/>
    <w:rsid w:val="00DE1193"/>
    <w:rsid w:val="00DE1A57"/>
    <w:rsid w:val="00DE4BD4"/>
    <w:rsid w:val="00DF0BD8"/>
    <w:rsid w:val="00DF3E05"/>
    <w:rsid w:val="00E0709A"/>
    <w:rsid w:val="00E121C2"/>
    <w:rsid w:val="00E2539E"/>
    <w:rsid w:val="00E45C14"/>
    <w:rsid w:val="00E46839"/>
    <w:rsid w:val="00E510A6"/>
    <w:rsid w:val="00E52069"/>
    <w:rsid w:val="00E84D0B"/>
    <w:rsid w:val="00EA1DAC"/>
    <w:rsid w:val="00EA6D9E"/>
    <w:rsid w:val="00EB4C93"/>
    <w:rsid w:val="00EB58D5"/>
    <w:rsid w:val="00EC338B"/>
    <w:rsid w:val="00ED13E3"/>
    <w:rsid w:val="00F002C5"/>
    <w:rsid w:val="00F0274E"/>
    <w:rsid w:val="00F11F20"/>
    <w:rsid w:val="00F3317F"/>
    <w:rsid w:val="00F3530D"/>
    <w:rsid w:val="00F61C4C"/>
    <w:rsid w:val="00F64105"/>
    <w:rsid w:val="00F8602A"/>
    <w:rsid w:val="00F94BBF"/>
    <w:rsid w:val="00FB08CC"/>
    <w:rsid w:val="00FB1C47"/>
    <w:rsid w:val="00FC230F"/>
    <w:rsid w:val="00FC48A4"/>
    <w:rsid w:val="00FE7850"/>
    <w:rsid w:val="2FAFD897"/>
    <w:rsid w:val="30A77950"/>
    <w:rsid w:val="4265B9C7"/>
    <w:rsid w:val="59589F3D"/>
    <w:rsid w:val="598C5362"/>
    <w:rsid w:val="6464C997"/>
    <w:rsid w:val="6CB917CD"/>
    <w:rsid w:val="7E16F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0BB4"/>
  <w15:chartTrackingRefBased/>
  <w15:docId w15:val="{57E2E456-9023-4E65-B3B9-113BAECB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DA"/>
  </w:style>
  <w:style w:type="paragraph" w:styleId="Heading1">
    <w:name w:val="heading 1"/>
    <w:basedOn w:val="Normal"/>
    <w:next w:val="Normal"/>
    <w:link w:val="Heading1Char"/>
    <w:uiPriority w:val="9"/>
    <w:qFormat/>
    <w:rsid w:val="006748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716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16E0"/>
    <w:pPr>
      <w:ind w:left="720"/>
      <w:contextualSpacing/>
    </w:pPr>
  </w:style>
  <w:style w:type="character" w:customStyle="1" w:styleId="Heading3Char">
    <w:name w:val="Heading 3 Char"/>
    <w:basedOn w:val="DefaultParagraphFont"/>
    <w:link w:val="Heading3"/>
    <w:uiPriority w:val="9"/>
    <w:rsid w:val="006716E0"/>
    <w:rPr>
      <w:rFonts w:ascii="Times New Roman" w:eastAsia="Times New Roman" w:hAnsi="Times New Roman" w:cs="Times New Roman"/>
      <w:b/>
      <w:bCs/>
      <w:sz w:val="27"/>
      <w:szCs w:val="27"/>
    </w:rPr>
  </w:style>
  <w:style w:type="table" w:styleId="TableGrid">
    <w:name w:val="Table Grid"/>
    <w:basedOn w:val="TableNormal"/>
    <w:uiPriority w:val="39"/>
    <w:rsid w:val="0018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C4D"/>
  </w:style>
  <w:style w:type="paragraph" w:styleId="Footer">
    <w:name w:val="footer"/>
    <w:basedOn w:val="Normal"/>
    <w:link w:val="FooterChar"/>
    <w:uiPriority w:val="99"/>
    <w:unhideWhenUsed/>
    <w:rsid w:val="005F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4D"/>
  </w:style>
  <w:style w:type="character" w:styleId="Hyperlink">
    <w:name w:val="Hyperlink"/>
    <w:rsid w:val="005F0C4D"/>
    <w:rPr>
      <w:color w:val="0000FF"/>
      <w:u w:val="single"/>
    </w:rPr>
  </w:style>
  <w:style w:type="paragraph" w:customStyle="1" w:styleId="Default">
    <w:name w:val="Default"/>
    <w:rsid w:val="000D212C"/>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53273E"/>
    <w:pPr>
      <w:spacing w:after="0" w:line="240" w:lineRule="auto"/>
    </w:pPr>
    <w:rPr>
      <w:rFonts w:ascii="Calibri" w:hAnsi="Calibri" w:cs="Calibri"/>
    </w:rPr>
  </w:style>
  <w:style w:type="paragraph" w:styleId="NormalWeb">
    <w:name w:val="Normal (Web)"/>
    <w:basedOn w:val="Normal"/>
    <w:uiPriority w:val="99"/>
    <w:semiHidden/>
    <w:unhideWhenUsed/>
    <w:rsid w:val="00B53D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915CD"/>
    <w:rPr>
      <w:sz w:val="16"/>
      <w:szCs w:val="16"/>
    </w:rPr>
  </w:style>
  <w:style w:type="paragraph" w:styleId="CommentText">
    <w:name w:val="annotation text"/>
    <w:basedOn w:val="Normal"/>
    <w:link w:val="CommentTextChar"/>
    <w:uiPriority w:val="99"/>
    <w:unhideWhenUsed/>
    <w:rsid w:val="00C915CD"/>
    <w:pPr>
      <w:spacing w:line="240" w:lineRule="auto"/>
    </w:pPr>
    <w:rPr>
      <w:sz w:val="20"/>
      <w:szCs w:val="20"/>
    </w:rPr>
  </w:style>
  <w:style w:type="character" w:customStyle="1" w:styleId="CommentTextChar">
    <w:name w:val="Comment Text Char"/>
    <w:basedOn w:val="DefaultParagraphFont"/>
    <w:link w:val="CommentText"/>
    <w:uiPriority w:val="99"/>
    <w:rsid w:val="00C915CD"/>
    <w:rPr>
      <w:sz w:val="20"/>
      <w:szCs w:val="20"/>
    </w:rPr>
  </w:style>
  <w:style w:type="paragraph" w:styleId="CommentSubject">
    <w:name w:val="annotation subject"/>
    <w:basedOn w:val="CommentText"/>
    <w:next w:val="CommentText"/>
    <w:link w:val="CommentSubjectChar"/>
    <w:uiPriority w:val="99"/>
    <w:semiHidden/>
    <w:unhideWhenUsed/>
    <w:rsid w:val="00C915CD"/>
    <w:rPr>
      <w:b/>
      <w:bCs/>
    </w:rPr>
  </w:style>
  <w:style w:type="character" w:customStyle="1" w:styleId="CommentSubjectChar">
    <w:name w:val="Comment Subject Char"/>
    <w:basedOn w:val="CommentTextChar"/>
    <w:link w:val="CommentSubject"/>
    <w:uiPriority w:val="99"/>
    <w:semiHidden/>
    <w:rsid w:val="00C915CD"/>
    <w:rPr>
      <w:b/>
      <w:bCs/>
      <w:sz w:val="20"/>
      <w:szCs w:val="20"/>
    </w:rPr>
  </w:style>
  <w:style w:type="character" w:customStyle="1" w:styleId="ListParagraphChar">
    <w:name w:val="List Paragraph Char"/>
    <w:basedOn w:val="DefaultParagraphFont"/>
    <w:link w:val="ListParagraph"/>
    <w:uiPriority w:val="34"/>
    <w:locked/>
    <w:rsid w:val="00C8088C"/>
  </w:style>
  <w:style w:type="character" w:customStyle="1" w:styleId="Heading1Char">
    <w:name w:val="Heading 1 Char"/>
    <w:basedOn w:val="DefaultParagraphFont"/>
    <w:link w:val="Heading1"/>
    <w:uiPriority w:val="99"/>
    <w:rsid w:val="0067484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E55FA"/>
    <w:pPr>
      <w:spacing w:after="0" w:line="240" w:lineRule="auto"/>
    </w:pPr>
  </w:style>
  <w:style w:type="character" w:styleId="UnresolvedMention">
    <w:name w:val="Unresolved Mention"/>
    <w:basedOn w:val="DefaultParagraphFont"/>
    <w:uiPriority w:val="99"/>
    <w:unhideWhenUsed/>
    <w:rsid w:val="0035087F"/>
    <w:rPr>
      <w:color w:val="605E5C"/>
      <w:shd w:val="clear" w:color="auto" w:fill="E1DFDD"/>
    </w:rPr>
  </w:style>
  <w:style w:type="character" w:styleId="Mention">
    <w:name w:val="Mention"/>
    <w:basedOn w:val="DefaultParagraphFont"/>
    <w:uiPriority w:val="99"/>
    <w:unhideWhenUsed/>
    <w:rsid w:val="00350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6807">
      <w:bodyDiv w:val="1"/>
      <w:marLeft w:val="0"/>
      <w:marRight w:val="0"/>
      <w:marTop w:val="0"/>
      <w:marBottom w:val="0"/>
      <w:divBdr>
        <w:top w:val="none" w:sz="0" w:space="0" w:color="auto"/>
        <w:left w:val="none" w:sz="0" w:space="0" w:color="auto"/>
        <w:bottom w:val="none" w:sz="0" w:space="0" w:color="auto"/>
        <w:right w:val="none" w:sz="0" w:space="0" w:color="auto"/>
      </w:divBdr>
    </w:div>
    <w:div w:id="311327276">
      <w:bodyDiv w:val="1"/>
      <w:marLeft w:val="0"/>
      <w:marRight w:val="0"/>
      <w:marTop w:val="0"/>
      <w:marBottom w:val="0"/>
      <w:divBdr>
        <w:top w:val="none" w:sz="0" w:space="0" w:color="auto"/>
        <w:left w:val="none" w:sz="0" w:space="0" w:color="auto"/>
        <w:bottom w:val="none" w:sz="0" w:space="0" w:color="auto"/>
        <w:right w:val="none" w:sz="0" w:space="0" w:color="auto"/>
      </w:divBdr>
    </w:div>
    <w:div w:id="400949315">
      <w:bodyDiv w:val="1"/>
      <w:marLeft w:val="0"/>
      <w:marRight w:val="0"/>
      <w:marTop w:val="0"/>
      <w:marBottom w:val="0"/>
      <w:divBdr>
        <w:top w:val="none" w:sz="0" w:space="0" w:color="auto"/>
        <w:left w:val="none" w:sz="0" w:space="0" w:color="auto"/>
        <w:bottom w:val="none" w:sz="0" w:space="0" w:color="auto"/>
        <w:right w:val="none" w:sz="0" w:space="0" w:color="auto"/>
      </w:divBdr>
    </w:div>
    <w:div w:id="472715253">
      <w:bodyDiv w:val="1"/>
      <w:marLeft w:val="0"/>
      <w:marRight w:val="0"/>
      <w:marTop w:val="0"/>
      <w:marBottom w:val="0"/>
      <w:divBdr>
        <w:top w:val="none" w:sz="0" w:space="0" w:color="auto"/>
        <w:left w:val="none" w:sz="0" w:space="0" w:color="auto"/>
        <w:bottom w:val="none" w:sz="0" w:space="0" w:color="auto"/>
        <w:right w:val="none" w:sz="0" w:space="0" w:color="auto"/>
      </w:divBdr>
    </w:div>
    <w:div w:id="662510207">
      <w:bodyDiv w:val="1"/>
      <w:marLeft w:val="0"/>
      <w:marRight w:val="0"/>
      <w:marTop w:val="0"/>
      <w:marBottom w:val="0"/>
      <w:divBdr>
        <w:top w:val="none" w:sz="0" w:space="0" w:color="auto"/>
        <w:left w:val="none" w:sz="0" w:space="0" w:color="auto"/>
        <w:bottom w:val="none" w:sz="0" w:space="0" w:color="auto"/>
        <w:right w:val="none" w:sz="0" w:space="0" w:color="auto"/>
      </w:divBdr>
    </w:div>
    <w:div w:id="1104763203">
      <w:bodyDiv w:val="1"/>
      <w:marLeft w:val="0"/>
      <w:marRight w:val="0"/>
      <w:marTop w:val="0"/>
      <w:marBottom w:val="0"/>
      <w:divBdr>
        <w:top w:val="none" w:sz="0" w:space="0" w:color="auto"/>
        <w:left w:val="none" w:sz="0" w:space="0" w:color="auto"/>
        <w:bottom w:val="none" w:sz="0" w:space="0" w:color="auto"/>
        <w:right w:val="none" w:sz="0" w:space="0" w:color="auto"/>
      </w:divBdr>
    </w:div>
    <w:div w:id="1148207238">
      <w:bodyDiv w:val="1"/>
      <w:marLeft w:val="0"/>
      <w:marRight w:val="0"/>
      <w:marTop w:val="0"/>
      <w:marBottom w:val="0"/>
      <w:divBdr>
        <w:top w:val="none" w:sz="0" w:space="0" w:color="auto"/>
        <w:left w:val="none" w:sz="0" w:space="0" w:color="auto"/>
        <w:bottom w:val="none" w:sz="0" w:space="0" w:color="auto"/>
        <w:right w:val="none" w:sz="0" w:space="0" w:color="auto"/>
      </w:divBdr>
    </w:div>
    <w:div w:id="1283728594">
      <w:bodyDiv w:val="1"/>
      <w:marLeft w:val="0"/>
      <w:marRight w:val="0"/>
      <w:marTop w:val="0"/>
      <w:marBottom w:val="0"/>
      <w:divBdr>
        <w:top w:val="none" w:sz="0" w:space="0" w:color="auto"/>
        <w:left w:val="none" w:sz="0" w:space="0" w:color="auto"/>
        <w:bottom w:val="none" w:sz="0" w:space="0" w:color="auto"/>
        <w:right w:val="none" w:sz="0" w:space="0" w:color="auto"/>
      </w:divBdr>
    </w:div>
    <w:div w:id="1412116219">
      <w:bodyDiv w:val="1"/>
      <w:marLeft w:val="0"/>
      <w:marRight w:val="0"/>
      <w:marTop w:val="0"/>
      <w:marBottom w:val="0"/>
      <w:divBdr>
        <w:top w:val="none" w:sz="0" w:space="0" w:color="auto"/>
        <w:left w:val="none" w:sz="0" w:space="0" w:color="auto"/>
        <w:bottom w:val="none" w:sz="0" w:space="0" w:color="auto"/>
        <w:right w:val="none" w:sz="0" w:space="0" w:color="auto"/>
      </w:divBdr>
    </w:div>
    <w:div w:id="1476482273">
      <w:bodyDiv w:val="1"/>
      <w:marLeft w:val="0"/>
      <w:marRight w:val="0"/>
      <w:marTop w:val="0"/>
      <w:marBottom w:val="0"/>
      <w:divBdr>
        <w:top w:val="none" w:sz="0" w:space="0" w:color="auto"/>
        <w:left w:val="none" w:sz="0" w:space="0" w:color="auto"/>
        <w:bottom w:val="none" w:sz="0" w:space="0" w:color="auto"/>
        <w:right w:val="none" w:sz="0" w:space="0" w:color="auto"/>
      </w:divBdr>
    </w:div>
    <w:div w:id="1651670458">
      <w:bodyDiv w:val="1"/>
      <w:marLeft w:val="0"/>
      <w:marRight w:val="0"/>
      <w:marTop w:val="0"/>
      <w:marBottom w:val="0"/>
      <w:divBdr>
        <w:top w:val="none" w:sz="0" w:space="0" w:color="auto"/>
        <w:left w:val="none" w:sz="0" w:space="0" w:color="auto"/>
        <w:bottom w:val="none" w:sz="0" w:space="0" w:color="auto"/>
        <w:right w:val="none" w:sz="0" w:space="0" w:color="auto"/>
      </w:divBdr>
      <w:divsChild>
        <w:div w:id="1187719168">
          <w:marLeft w:val="0"/>
          <w:marRight w:val="0"/>
          <w:marTop w:val="0"/>
          <w:marBottom w:val="240"/>
          <w:divBdr>
            <w:top w:val="none" w:sz="0" w:space="0" w:color="auto"/>
            <w:left w:val="none" w:sz="0" w:space="0" w:color="auto"/>
            <w:bottom w:val="none" w:sz="0" w:space="0" w:color="auto"/>
            <w:right w:val="none" w:sz="0" w:space="0" w:color="auto"/>
          </w:divBdr>
        </w:div>
        <w:div w:id="206258029">
          <w:marLeft w:val="0"/>
          <w:marRight w:val="0"/>
          <w:marTop w:val="0"/>
          <w:marBottom w:val="240"/>
          <w:divBdr>
            <w:top w:val="none" w:sz="0" w:space="0" w:color="auto"/>
            <w:left w:val="none" w:sz="0" w:space="0" w:color="auto"/>
            <w:bottom w:val="none" w:sz="0" w:space="0" w:color="auto"/>
            <w:right w:val="none" w:sz="0" w:space="0" w:color="auto"/>
          </w:divBdr>
        </w:div>
      </w:divsChild>
    </w:div>
    <w:div w:id="20556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Brand, Erica@Energy</DisplayName>
        <AccountId>40</AccountId>
        <AccountType/>
      </UserInfo>
      <UserInfo>
        <DisplayName>Irish, Cory@Energy</DisplayName>
        <AccountId>698</AccountId>
        <AccountType/>
      </UserInfo>
      <UserInfo>
        <DisplayName>Damiani, Raechel@Energy</DisplayName>
        <AccountId>484</AccountId>
        <AccountType/>
      </UserInfo>
      <UserInfo>
        <DisplayName>Huber, Elizabeth@Energy</DisplayName>
        <AccountId>120</AccountId>
        <AccountType/>
      </UserInfo>
      <UserInfo>
        <DisplayName>Simon, Sean@Energy</DisplayName>
        <AccountId>599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9639C-8F35-4491-89A2-29FC57D2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E4413-DEF6-4AEF-8F1D-33D87DCAA2CA}">
  <ds:schemaRefs>
    <ds:schemaRef ds:uri="http://schemas.openxmlformats.org/officeDocument/2006/bibliography"/>
  </ds:schemaRefs>
</ds:datastoreItem>
</file>

<file path=customXml/itemProps3.xml><?xml version="1.0" encoding="utf-8"?>
<ds:datastoreItem xmlns:ds="http://schemas.openxmlformats.org/officeDocument/2006/customXml" ds:itemID="{319F8503-2D3A-4C76-BA75-F04EF24ECBD3}">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9269662F-431F-45F3-9546-F11DCD5F7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Terms and Conditions</dc:title>
  <dc:subject/>
  <dc:creator>Ward, Allan@Energy</dc:creator>
  <cp:keywords/>
  <dc:description/>
  <cp:lastModifiedBy>Kidd, Kevin@Energy</cp:lastModifiedBy>
  <cp:revision>17</cp:revision>
  <dcterms:created xsi:type="dcterms:W3CDTF">2024-04-10T16:38:00Z</dcterms:created>
  <dcterms:modified xsi:type="dcterms:W3CDTF">2024-04-11T15:20:00Z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