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2C6733C9" w:rsidR="00537618" w:rsidRPr="00703F9C" w:rsidRDefault="0046620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512A4A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REVISED</w:t>
      </w:r>
      <w:r w:rsidR="00512A4A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537618" w:rsidRPr="00512A4A">
        <w:rPr>
          <w:rFonts w:ascii="Tahoma" w:hAnsi="Tahoma" w:cs="Tahoma"/>
          <w:b/>
          <w:bCs/>
          <w:color w:val="000000" w:themeColor="text1"/>
          <w:sz w:val="28"/>
          <w:szCs w:val="28"/>
        </w:rPr>
        <w:t>NOTICE</w:t>
      </w:r>
      <w:r w:rsidR="00537618" w:rsidRPr="00703F9C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OF PROPOSED AWARD (NOPA)</w:t>
      </w:r>
    </w:p>
    <w:p w14:paraId="0E92A8FF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14:paraId="7A1E3D35" w14:textId="5F1B110C" w:rsidR="00485213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380A0E6C">
        <w:rPr>
          <w:rFonts w:ascii="Tahoma" w:hAnsi="Tahoma" w:cs="Tahoma"/>
          <w:b/>
          <w:bCs/>
          <w:color w:val="000000" w:themeColor="text1"/>
        </w:rPr>
        <w:t>Advanced Pre</w:t>
      </w:r>
      <w:r w:rsidR="4E88F8A6" w:rsidRPr="380A0E6C">
        <w:rPr>
          <w:rFonts w:ascii="Tahoma" w:hAnsi="Tahoma" w:cs="Tahoma"/>
          <w:b/>
          <w:bCs/>
          <w:color w:val="000000" w:themeColor="text1"/>
        </w:rPr>
        <w:t>f</w:t>
      </w:r>
      <w:r w:rsidRPr="380A0E6C">
        <w:rPr>
          <w:rFonts w:ascii="Tahoma" w:hAnsi="Tahoma" w:cs="Tahoma"/>
          <w:b/>
          <w:bCs/>
          <w:color w:val="000000" w:themeColor="text1"/>
        </w:rPr>
        <w:t>abricated Zero Carbon Homes</w:t>
      </w:r>
    </w:p>
    <w:p w14:paraId="18BF6820" w14:textId="3860C84B" w:rsidR="00537618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703F9C">
        <w:rPr>
          <w:rFonts w:ascii="Tahoma" w:hAnsi="Tahoma" w:cs="Tahoma"/>
          <w:b/>
          <w:bCs/>
          <w:color w:val="000000" w:themeColor="text1"/>
        </w:rPr>
        <w:t>GFO-22-305</w:t>
      </w:r>
    </w:p>
    <w:p w14:paraId="2861A03E" w14:textId="695CFADC" w:rsidR="00884F8E" w:rsidRPr="001518B6" w:rsidRDefault="00884F8E" w:rsidP="00537618">
      <w:pPr>
        <w:pStyle w:val="Default"/>
        <w:jc w:val="center"/>
        <w:rPr>
          <w:rFonts w:ascii="Tahoma" w:hAnsi="Tahoma" w:cs="Tahoma"/>
          <w:b/>
          <w:bCs/>
          <w:strike/>
          <w:color w:val="000000" w:themeColor="text1"/>
        </w:rPr>
      </w:pPr>
      <w:r w:rsidRPr="001518B6">
        <w:rPr>
          <w:rFonts w:ascii="Tahoma" w:hAnsi="Tahoma" w:cs="Tahoma"/>
          <w:b/>
          <w:bCs/>
          <w:strike/>
          <w:color w:val="000000" w:themeColor="text1"/>
        </w:rPr>
        <w:t>2/</w:t>
      </w:r>
      <w:r w:rsidR="00941F16" w:rsidRPr="001518B6">
        <w:rPr>
          <w:rFonts w:ascii="Tahoma" w:hAnsi="Tahoma" w:cs="Tahoma"/>
          <w:b/>
          <w:bCs/>
          <w:strike/>
          <w:color w:val="000000" w:themeColor="text1"/>
        </w:rPr>
        <w:t>27</w:t>
      </w:r>
      <w:r w:rsidRPr="001518B6">
        <w:rPr>
          <w:rFonts w:ascii="Tahoma" w:hAnsi="Tahoma" w:cs="Tahoma"/>
          <w:b/>
          <w:bCs/>
          <w:strike/>
          <w:color w:val="000000" w:themeColor="text1"/>
        </w:rPr>
        <w:t>/2024</w:t>
      </w:r>
    </w:p>
    <w:p w14:paraId="10E3D846" w14:textId="5F1E201B" w:rsidR="001518B6" w:rsidRPr="001518B6" w:rsidRDefault="001518B6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1518B6">
        <w:rPr>
          <w:rFonts w:ascii="Tahoma" w:hAnsi="Tahoma" w:cs="Tahoma"/>
          <w:b/>
          <w:bCs/>
          <w:color w:val="000000" w:themeColor="text1"/>
          <w:u w:val="single"/>
        </w:rPr>
        <w:t>4/</w:t>
      </w:r>
      <w:r w:rsidR="00147D4D">
        <w:rPr>
          <w:rFonts w:ascii="Tahoma" w:hAnsi="Tahoma" w:cs="Tahoma"/>
          <w:b/>
          <w:bCs/>
          <w:color w:val="000000" w:themeColor="text1"/>
          <w:u w:val="single"/>
        </w:rPr>
        <w:t>3</w:t>
      </w:r>
      <w:r w:rsidRPr="001518B6">
        <w:rPr>
          <w:rFonts w:ascii="Tahoma" w:hAnsi="Tahoma" w:cs="Tahoma"/>
          <w:b/>
          <w:bCs/>
          <w:color w:val="000000" w:themeColor="text1"/>
          <w:u w:val="single"/>
        </w:rPr>
        <w:t>/2024</w:t>
      </w:r>
    </w:p>
    <w:p w14:paraId="62645EF0" w14:textId="77777777" w:rsidR="00537618" w:rsidRPr="00703F9C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14350EC0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On </w:t>
      </w:r>
      <w:r w:rsidR="2BA23766" w:rsidRPr="200E2D03">
        <w:rPr>
          <w:rFonts w:ascii="Tahoma" w:hAnsi="Tahoma" w:cs="Tahoma"/>
          <w:color w:val="000000" w:themeColor="text1"/>
        </w:rPr>
        <w:t xml:space="preserve">January 11, </w:t>
      </w:r>
      <w:r w:rsidR="002563C4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, the California Energy Commission (CEC) released a competitive solicitation to fund </w:t>
      </w:r>
      <w:r w:rsidR="00B22524" w:rsidRPr="200E2D03">
        <w:rPr>
          <w:rFonts w:ascii="Tahoma" w:hAnsi="Tahoma" w:cs="Tahoma"/>
          <w:color w:val="000000" w:themeColor="text1"/>
        </w:rPr>
        <w:t>Advanced Pre</w:t>
      </w:r>
      <w:r w:rsidR="44FEF36B" w:rsidRPr="200E2D03">
        <w:rPr>
          <w:rFonts w:ascii="Tahoma" w:hAnsi="Tahoma" w:cs="Tahoma"/>
          <w:color w:val="000000" w:themeColor="text1"/>
        </w:rPr>
        <w:t>f</w:t>
      </w:r>
      <w:r w:rsidR="00B22524" w:rsidRPr="200E2D03">
        <w:rPr>
          <w:rFonts w:ascii="Tahoma" w:hAnsi="Tahoma" w:cs="Tahoma"/>
          <w:color w:val="000000" w:themeColor="text1"/>
        </w:rPr>
        <w:t>abricated Zero Carbon Homes</w:t>
      </w:r>
      <w:r w:rsidRPr="200E2D03">
        <w:rPr>
          <w:rFonts w:ascii="Tahoma" w:hAnsi="Tahoma" w:cs="Tahoma"/>
          <w:color w:val="000000" w:themeColor="text1"/>
        </w:rPr>
        <w:t>. Up to $</w:t>
      </w:r>
      <w:r w:rsidR="00B22524" w:rsidRPr="200E2D03">
        <w:rPr>
          <w:rFonts w:ascii="Tahoma" w:hAnsi="Tahoma" w:cs="Tahoma"/>
          <w:color w:val="000000" w:themeColor="text1"/>
        </w:rPr>
        <w:t>15,000,000</w:t>
      </w:r>
      <w:r w:rsidRPr="200E2D03">
        <w:rPr>
          <w:rFonts w:ascii="Tahoma" w:hAnsi="Tahoma" w:cs="Tahoma"/>
          <w:color w:val="000000" w:themeColor="text1"/>
        </w:rPr>
        <w:t xml:space="preserve"> in Electric Program Investment Charge </w:t>
      </w:r>
      <w:r w:rsidR="7BF4CB55" w:rsidRPr="13CFE998">
        <w:rPr>
          <w:rFonts w:ascii="Tahoma" w:hAnsi="Tahoma" w:cs="Tahoma"/>
          <w:color w:val="000000" w:themeColor="text1"/>
        </w:rPr>
        <w:t>(EPIC)</w:t>
      </w:r>
      <w:r w:rsidRPr="13CFE998">
        <w:rPr>
          <w:rFonts w:ascii="Tahoma" w:hAnsi="Tahoma" w:cs="Tahoma"/>
          <w:color w:val="000000" w:themeColor="text1"/>
        </w:rPr>
        <w:t xml:space="preserve"> </w:t>
      </w:r>
      <w:r w:rsidRPr="200E2D03">
        <w:rPr>
          <w:rFonts w:ascii="Tahoma" w:hAnsi="Tahoma" w:cs="Tahoma"/>
          <w:color w:val="000000" w:themeColor="text1"/>
        </w:rPr>
        <w:t>funding is available to fund applications in:</w:t>
      </w:r>
    </w:p>
    <w:p w14:paraId="3B703D44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50D31FD" w14:textId="77777777" w:rsidR="00FE1735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 xml:space="preserve">Group 1: Develop, Test and Demonstrate Innovative Manufactured Homes </w:t>
      </w:r>
    </w:p>
    <w:p w14:paraId="65DAF30F" w14:textId="2C611EA4" w:rsidR="00537618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Group 2: Develop, Test and Demonstrate Innovative Modular Homes</w:t>
      </w:r>
    </w:p>
    <w:p w14:paraId="1B4309E8" w14:textId="77777777" w:rsidR="00537618" w:rsidRPr="00703F9C" w:rsidRDefault="00537618" w:rsidP="00537618">
      <w:pPr>
        <w:ind w:left="720"/>
        <w:rPr>
          <w:rFonts w:ascii="Tahoma" w:hAnsi="Tahoma" w:cs="Tahoma"/>
          <w:color w:val="000000" w:themeColor="text1"/>
        </w:rPr>
      </w:pPr>
    </w:p>
    <w:p w14:paraId="75DFD10F" w14:textId="75AD8313" w:rsidR="00537618" w:rsidRPr="00703F9C" w:rsidRDefault="08FC207E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The CEC received </w:t>
      </w:r>
      <w:r w:rsidR="6C0FBFFB" w:rsidRPr="200E2D03">
        <w:rPr>
          <w:rFonts w:ascii="Tahoma" w:hAnsi="Tahoma" w:cs="Tahoma"/>
          <w:color w:val="000000" w:themeColor="text1"/>
        </w:rPr>
        <w:t>twelve</w:t>
      </w:r>
      <w:r w:rsidRPr="200E2D03">
        <w:rPr>
          <w:rFonts w:ascii="Tahoma" w:hAnsi="Tahoma" w:cs="Tahoma"/>
          <w:color w:val="000000" w:themeColor="text1"/>
        </w:rPr>
        <w:t xml:space="preserve"> proposals by the due date,</w:t>
      </w:r>
      <w:r w:rsidR="76E5BB61" w:rsidRPr="200E2D03">
        <w:rPr>
          <w:rFonts w:ascii="Tahoma" w:hAnsi="Tahoma" w:cs="Tahoma"/>
          <w:color w:val="000000" w:themeColor="text1"/>
        </w:rPr>
        <w:t xml:space="preserve"> </w:t>
      </w:r>
      <w:r w:rsidR="29FCD927" w:rsidRPr="200E2D03">
        <w:rPr>
          <w:rFonts w:ascii="Tahoma" w:hAnsi="Tahoma" w:cs="Tahoma"/>
          <w:color w:val="000000" w:themeColor="text1"/>
        </w:rPr>
        <w:t xml:space="preserve">April 17, </w:t>
      </w:r>
      <w:r w:rsidR="76E5BB61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67989BB5" w:rsidRPr="200E2D03">
        <w:rPr>
          <w:rFonts w:ascii="Tahoma" w:hAnsi="Tahoma" w:cs="Tahoma"/>
          <w:color w:val="000000" w:themeColor="text1"/>
        </w:rPr>
        <w:t xml:space="preserve">Seven </w:t>
      </w:r>
      <w:r w:rsidRPr="200E2D03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6CA2F9B6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A113AC">
        <w:rPr>
          <w:rFonts w:ascii="Tahoma" w:hAnsi="Tahoma" w:cs="Tahoma"/>
          <w:strike/>
          <w:color w:val="000000" w:themeColor="text1"/>
        </w:rPr>
        <w:t>$</w:t>
      </w:r>
      <w:r w:rsidR="00AD19D9" w:rsidRPr="00A113AC">
        <w:rPr>
          <w:rFonts w:ascii="Tahoma" w:hAnsi="Tahoma" w:cs="Tahoma"/>
          <w:strike/>
          <w:color w:val="000000" w:themeColor="text1"/>
        </w:rPr>
        <w:t>14,303,558</w:t>
      </w:r>
      <w:r w:rsidR="00A113AC">
        <w:rPr>
          <w:rFonts w:ascii="Tahoma" w:hAnsi="Tahoma" w:cs="Tahoma"/>
          <w:color w:val="000000" w:themeColor="text1"/>
        </w:rPr>
        <w:t xml:space="preserve"> </w:t>
      </w:r>
      <w:r w:rsidR="007F4B24" w:rsidRPr="00595D03">
        <w:rPr>
          <w:rFonts w:ascii="Tahoma" w:hAnsi="Tahoma" w:cs="Tahoma"/>
          <w:strike/>
          <w:color w:val="000000" w:themeColor="text1"/>
        </w:rPr>
        <w:t>$14,474,648</w:t>
      </w:r>
      <w:r w:rsidR="00595D03">
        <w:rPr>
          <w:rFonts w:ascii="Tahoma" w:hAnsi="Tahoma" w:cs="Tahoma"/>
          <w:color w:val="000000" w:themeColor="text1"/>
        </w:rPr>
        <w:t xml:space="preserve"> </w:t>
      </w:r>
      <w:r w:rsidR="00595D03" w:rsidRPr="00595D03">
        <w:rPr>
          <w:rFonts w:ascii="Tahoma" w:hAnsi="Tahoma" w:cs="Tahoma"/>
          <w:b/>
          <w:bCs/>
          <w:color w:val="000000" w:themeColor="text1"/>
          <w:u w:val="single"/>
        </w:rPr>
        <w:t>$14,858,798</w:t>
      </w:r>
      <w:r w:rsidRPr="0D1DA307">
        <w:rPr>
          <w:rFonts w:ascii="Tahoma" w:hAnsi="Tahoma" w:cs="Tahoma"/>
          <w:b/>
          <w:color w:val="000000" w:themeColor="text1"/>
          <w:u w:val="single"/>
        </w:rPr>
        <w:t>.</w:t>
      </w:r>
      <w:r w:rsidR="58FE67CB" w:rsidRPr="0D1DA307">
        <w:rPr>
          <w:rFonts w:ascii="Tahoma" w:hAnsi="Tahoma" w:cs="Tahoma"/>
          <w:b/>
          <w:bCs/>
          <w:color w:val="000000" w:themeColor="text1"/>
          <w:u w:val="single"/>
        </w:rPr>
        <w:t xml:space="preserve"> The revised</w:t>
      </w:r>
      <w:r w:rsidR="58FE67CB" w:rsidRPr="0D1DA307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NOPA provides the modification of an applicant’s award in Group </w:t>
      </w:r>
      <w:r w:rsidR="00595D03">
        <w:rPr>
          <w:rFonts w:ascii="Tahoma" w:eastAsia="Tahoma" w:hAnsi="Tahoma" w:cs="Tahoma"/>
          <w:b/>
          <w:bCs/>
          <w:color w:val="000000" w:themeColor="text1"/>
          <w:u w:val="single"/>
        </w:rPr>
        <w:t>2</w:t>
      </w:r>
      <w:r w:rsidR="58FE67CB" w:rsidRPr="0D1DA307">
        <w:rPr>
          <w:rFonts w:ascii="Tahoma" w:eastAsia="Tahoma" w:hAnsi="Tahoma" w:cs="Tahoma"/>
          <w:b/>
          <w:bCs/>
          <w:color w:val="000000" w:themeColor="text1"/>
        </w:rPr>
        <w:t>.</w:t>
      </w:r>
    </w:p>
    <w:p w14:paraId="18B54236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0D61EC1D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33C0EA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In addition, the CEC reserves the right to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7621020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This notice and awardees for GFO-</w:t>
      </w:r>
      <w:r w:rsidR="00703F9C" w:rsidRPr="380A0E6C">
        <w:rPr>
          <w:rFonts w:ascii="Tahoma" w:hAnsi="Tahoma" w:cs="Tahoma"/>
          <w:color w:val="000000" w:themeColor="text1"/>
        </w:rPr>
        <w:t>22-305</w:t>
      </w:r>
      <w:r w:rsidRPr="380A0E6C">
        <w:rPr>
          <w:rFonts w:ascii="Tahoma" w:hAnsi="Tahoma" w:cs="Tahoma"/>
          <w:color w:val="000000" w:themeColor="text1"/>
        </w:rPr>
        <w:t xml:space="preserve"> are posted on the CEC website at </w:t>
      </w:r>
      <w:hyperlink r:id="rId11">
        <w:r w:rsidRPr="380A0E6C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380A0E6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2213100D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649ADD1B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52195CC5" w14:textId="505B961E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703F9C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6087B0E3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Brad Worster, Commission Agreement Officer</w:t>
      </w:r>
    </w:p>
    <w:p w14:paraId="5099DD97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California Energy Commission</w:t>
      </w:r>
    </w:p>
    <w:p w14:paraId="39D6BDA0" w14:textId="6615F530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59F61818">
        <w:rPr>
          <w:rFonts w:ascii="Tahoma" w:hAnsi="Tahoma" w:cs="Tahoma"/>
          <w:color w:val="000000" w:themeColor="text1"/>
        </w:rPr>
        <w:t>715 P</w:t>
      </w:r>
      <w:r w:rsidR="09FDDB53" w:rsidRPr="59F61818">
        <w:rPr>
          <w:rFonts w:ascii="Tahoma" w:hAnsi="Tahoma" w:cs="Tahoma"/>
          <w:color w:val="000000" w:themeColor="text1"/>
        </w:rPr>
        <w:t xml:space="preserve"> Street</w:t>
      </w:r>
      <w:r w:rsidRPr="59F61818">
        <w:rPr>
          <w:rFonts w:ascii="Tahoma" w:hAnsi="Tahoma" w:cs="Tahoma"/>
          <w:color w:val="000000" w:themeColor="text1"/>
        </w:rPr>
        <w:t>, MS-18</w:t>
      </w:r>
    </w:p>
    <w:p w14:paraId="7E357FCF" w14:textId="00ABBF19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Sacramento, California, 95814</w:t>
      </w:r>
    </w:p>
    <w:p w14:paraId="4F8126A4" w14:textId="39566DA2" w:rsidR="009E6C35" w:rsidRPr="00703F9C" w:rsidRDefault="00EB7523" w:rsidP="00703F9C">
      <w:pPr>
        <w:jc w:val="center"/>
        <w:rPr>
          <w:color w:val="000000" w:themeColor="text1"/>
        </w:rPr>
      </w:pPr>
      <w:hyperlink r:id="rId12">
        <w:r w:rsidR="00321CDE" w:rsidRPr="200E2D03">
          <w:rPr>
            <w:rStyle w:val="Hyperlink"/>
            <w:rFonts w:ascii="Tahoma" w:hAnsi="Tahoma" w:cs="Tahoma"/>
          </w:rPr>
          <w:t>brad.worster@energy.ca.gov</w:t>
        </w:r>
      </w:hyperlink>
      <w:r w:rsidR="00321CDE" w:rsidRPr="200E2D03">
        <w:rPr>
          <w:rFonts w:ascii="Tahoma" w:hAnsi="Tahoma" w:cs="Tahoma"/>
          <w:color w:val="000000" w:themeColor="text1"/>
        </w:rPr>
        <w:t xml:space="preserve"> </w:t>
      </w:r>
    </w:p>
    <w:sectPr w:rsidR="009E6C35" w:rsidRPr="00703F9C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0E22" w14:textId="77777777" w:rsidR="00492148" w:rsidRDefault="00492148" w:rsidP="00F86D2B">
      <w:r>
        <w:separator/>
      </w:r>
    </w:p>
  </w:endnote>
  <w:endnote w:type="continuationSeparator" w:id="0">
    <w:p w14:paraId="5144D99A" w14:textId="77777777" w:rsidR="00492148" w:rsidRDefault="00492148" w:rsidP="00F86D2B">
      <w:r>
        <w:continuationSeparator/>
      </w:r>
    </w:p>
  </w:endnote>
  <w:endnote w:type="continuationNotice" w:id="1">
    <w:p w14:paraId="5A020427" w14:textId="77777777" w:rsidR="00492148" w:rsidRDefault="00492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DB64" w14:textId="77777777" w:rsidR="00492148" w:rsidRDefault="00492148" w:rsidP="00F86D2B">
      <w:r>
        <w:separator/>
      </w:r>
    </w:p>
  </w:footnote>
  <w:footnote w:type="continuationSeparator" w:id="0">
    <w:p w14:paraId="0C60B521" w14:textId="77777777" w:rsidR="00492148" w:rsidRDefault="00492148" w:rsidP="00F86D2B">
      <w:r>
        <w:continuationSeparator/>
      </w:r>
    </w:p>
  </w:footnote>
  <w:footnote w:type="continuationNotice" w:id="1">
    <w:p w14:paraId="38274E4F" w14:textId="77777777" w:rsidR="00492148" w:rsidRDefault="00492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0B01EF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NjSwMzE1MDI2MDUyUdpeDU4uLM/DyQAsNaAGWh2acsAAAA"/>
  </w:docVars>
  <w:rsids>
    <w:rsidRoot w:val="00F86D2B"/>
    <w:rsid w:val="0001200C"/>
    <w:rsid w:val="00015969"/>
    <w:rsid w:val="00027125"/>
    <w:rsid w:val="0004746D"/>
    <w:rsid w:val="000557AC"/>
    <w:rsid w:val="000F2298"/>
    <w:rsid w:val="0013342A"/>
    <w:rsid w:val="0014731B"/>
    <w:rsid w:val="00147D4D"/>
    <w:rsid w:val="001518B6"/>
    <w:rsid w:val="00180020"/>
    <w:rsid w:val="001E13AA"/>
    <w:rsid w:val="001F62F3"/>
    <w:rsid w:val="001F6D62"/>
    <w:rsid w:val="0023394D"/>
    <w:rsid w:val="002563C4"/>
    <w:rsid w:val="00274066"/>
    <w:rsid w:val="002A5F7A"/>
    <w:rsid w:val="002D11A5"/>
    <w:rsid w:val="00300FB1"/>
    <w:rsid w:val="00306EED"/>
    <w:rsid w:val="00321CDE"/>
    <w:rsid w:val="00343BB0"/>
    <w:rsid w:val="00354A2A"/>
    <w:rsid w:val="00385375"/>
    <w:rsid w:val="003E0D2D"/>
    <w:rsid w:val="00415DE9"/>
    <w:rsid w:val="00430859"/>
    <w:rsid w:val="00437D5F"/>
    <w:rsid w:val="004504D5"/>
    <w:rsid w:val="00466201"/>
    <w:rsid w:val="00485213"/>
    <w:rsid w:val="00492148"/>
    <w:rsid w:val="004A1AAA"/>
    <w:rsid w:val="004A2900"/>
    <w:rsid w:val="004A4C18"/>
    <w:rsid w:val="004A5BAA"/>
    <w:rsid w:val="004D128F"/>
    <w:rsid w:val="00512A4A"/>
    <w:rsid w:val="00524EA9"/>
    <w:rsid w:val="00527817"/>
    <w:rsid w:val="00537618"/>
    <w:rsid w:val="005568CA"/>
    <w:rsid w:val="00560FFC"/>
    <w:rsid w:val="00577D95"/>
    <w:rsid w:val="005863AA"/>
    <w:rsid w:val="00595D03"/>
    <w:rsid w:val="005E6FA2"/>
    <w:rsid w:val="00645D4F"/>
    <w:rsid w:val="006511D6"/>
    <w:rsid w:val="006A57AF"/>
    <w:rsid w:val="006D3827"/>
    <w:rsid w:val="006E146A"/>
    <w:rsid w:val="00703F9C"/>
    <w:rsid w:val="007134AE"/>
    <w:rsid w:val="007211FC"/>
    <w:rsid w:val="00751C0F"/>
    <w:rsid w:val="007701F4"/>
    <w:rsid w:val="0077265A"/>
    <w:rsid w:val="00777798"/>
    <w:rsid w:val="0078154A"/>
    <w:rsid w:val="00783717"/>
    <w:rsid w:val="007A1702"/>
    <w:rsid w:val="007F4B24"/>
    <w:rsid w:val="00813204"/>
    <w:rsid w:val="0081533B"/>
    <w:rsid w:val="00846985"/>
    <w:rsid w:val="0086012E"/>
    <w:rsid w:val="008720F4"/>
    <w:rsid w:val="00884F8E"/>
    <w:rsid w:val="00891290"/>
    <w:rsid w:val="008A5800"/>
    <w:rsid w:val="008B50AF"/>
    <w:rsid w:val="008E0C99"/>
    <w:rsid w:val="008E1433"/>
    <w:rsid w:val="008E3926"/>
    <w:rsid w:val="008E7852"/>
    <w:rsid w:val="008F3999"/>
    <w:rsid w:val="00904DC3"/>
    <w:rsid w:val="00910710"/>
    <w:rsid w:val="00933F59"/>
    <w:rsid w:val="009407F5"/>
    <w:rsid w:val="00941F16"/>
    <w:rsid w:val="009C2478"/>
    <w:rsid w:val="009E6C35"/>
    <w:rsid w:val="009E754B"/>
    <w:rsid w:val="00A113AC"/>
    <w:rsid w:val="00A15FA8"/>
    <w:rsid w:val="00A17202"/>
    <w:rsid w:val="00A234BD"/>
    <w:rsid w:val="00A3384C"/>
    <w:rsid w:val="00A36CF5"/>
    <w:rsid w:val="00A73089"/>
    <w:rsid w:val="00AD19D9"/>
    <w:rsid w:val="00AD21FC"/>
    <w:rsid w:val="00AE05B9"/>
    <w:rsid w:val="00B22524"/>
    <w:rsid w:val="00B80E72"/>
    <w:rsid w:val="00B84D31"/>
    <w:rsid w:val="00B906E9"/>
    <w:rsid w:val="00BA1317"/>
    <w:rsid w:val="00BA3F4C"/>
    <w:rsid w:val="00BB5DCD"/>
    <w:rsid w:val="00C03527"/>
    <w:rsid w:val="00C4AAEA"/>
    <w:rsid w:val="00C54426"/>
    <w:rsid w:val="00C67037"/>
    <w:rsid w:val="00C96BDD"/>
    <w:rsid w:val="00CC48E2"/>
    <w:rsid w:val="00CD2BBD"/>
    <w:rsid w:val="00D2576E"/>
    <w:rsid w:val="00D30453"/>
    <w:rsid w:val="00D32C3D"/>
    <w:rsid w:val="00D431C2"/>
    <w:rsid w:val="00D43B83"/>
    <w:rsid w:val="00D45A2B"/>
    <w:rsid w:val="00D57518"/>
    <w:rsid w:val="00D67E4C"/>
    <w:rsid w:val="00D94759"/>
    <w:rsid w:val="00D96400"/>
    <w:rsid w:val="00DC5B20"/>
    <w:rsid w:val="00E00EA6"/>
    <w:rsid w:val="00E210F6"/>
    <w:rsid w:val="00E900BB"/>
    <w:rsid w:val="00E95AA9"/>
    <w:rsid w:val="00EA7BDE"/>
    <w:rsid w:val="00EB7523"/>
    <w:rsid w:val="00ED18F1"/>
    <w:rsid w:val="00ED257E"/>
    <w:rsid w:val="00ED5E43"/>
    <w:rsid w:val="00EF266C"/>
    <w:rsid w:val="00F10DFF"/>
    <w:rsid w:val="00F57796"/>
    <w:rsid w:val="00F86D2B"/>
    <w:rsid w:val="00F90F6B"/>
    <w:rsid w:val="00F947AC"/>
    <w:rsid w:val="00F95D8D"/>
    <w:rsid w:val="00F967DF"/>
    <w:rsid w:val="00FE1735"/>
    <w:rsid w:val="010B5E11"/>
    <w:rsid w:val="02A72E72"/>
    <w:rsid w:val="03AF6E11"/>
    <w:rsid w:val="040E93E2"/>
    <w:rsid w:val="08FC207E"/>
    <w:rsid w:val="09FDDB53"/>
    <w:rsid w:val="0CDE3617"/>
    <w:rsid w:val="0D1DA307"/>
    <w:rsid w:val="13CFE998"/>
    <w:rsid w:val="14440F63"/>
    <w:rsid w:val="16FDEA25"/>
    <w:rsid w:val="19528F9B"/>
    <w:rsid w:val="200E2D03"/>
    <w:rsid w:val="202BB8D3"/>
    <w:rsid w:val="25387F15"/>
    <w:rsid w:val="28F9AD5D"/>
    <w:rsid w:val="29FCD927"/>
    <w:rsid w:val="2BA23766"/>
    <w:rsid w:val="380A0E6C"/>
    <w:rsid w:val="3D44D028"/>
    <w:rsid w:val="3D8D7A83"/>
    <w:rsid w:val="3E715E0D"/>
    <w:rsid w:val="40656C0F"/>
    <w:rsid w:val="433E3D8C"/>
    <w:rsid w:val="44FEF36B"/>
    <w:rsid w:val="4E88F8A6"/>
    <w:rsid w:val="519ADA0F"/>
    <w:rsid w:val="58FE67CB"/>
    <w:rsid w:val="59F61818"/>
    <w:rsid w:val="626C5F3C"/>
    <w:rsid w:val="645502A3"/>
    <w:rsid w:val="645C4C7F"/>
    <w:rsid w:val="66B14F07"/>
    <w:rsid w:val="67989BB5"/>
    <w:rsid w:val="69EC7CCA"/>
    <w:rsid w:val="6C0FBFFB"/>
    <w:rsid w:val="76E5BB61"/>
    <w:rsid w:val="7BF4CB55"/>
    <w:rsid w:val="7DA0FE7D"/>
    <w:rsid w:val="7F0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321C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Hou, Yu@Energy</DisplayName>
        <AccountId>42</AccountId>
        <AccountType/>
      </UserInfo>
      <UserInfo>
        <DisplayName>Tancher, Jason@Energy</DisplayName>
        <AccountId>310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CD62-FCDE-4CD9-87E8-C7F842AD6377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81B8523D-649E-41D3-A215-3A6D2920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5316B-27F7-4B3C-9FA8-7ED8C2096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GFO-22-305 Revised NOPA Cover Letter 2024-04-03</vt:lpstr>
    </vt:vector>
  </TitlesOfParts>
  <Company/>
  <LinksUpToDate>false</LinksUpToDate>
  <CharactersWithSpaces>2157</CharactersWithSpaces>
  <SharedDoc>false</SharedDoc>
  <HLinks>
    <vt:vector size="18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mailto:brad.worster@energy.ca.gov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mailto:Yu.Hou@energy.ca.gov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GFO-22-305 Revised NOPA Cover Letter 2024-04-03</dc:title>
  <dc:subject/>
  <dc:creator/>
  <cp:keywords/>
  <dc:description/>
  <cp:lastModifiedBy/>
  <cp:revision>1</cp:revision>
  <dcterms:created xsi:type="dcterms:W3CDTF">2024-04-02T23:16:00Z</dcterms:created>
  <dcterms:modified xsi:type="dcterms:W3CDTF">2024-04-03T16:29:00Z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