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12D" w:rsidP="63D9240E" w:rsidRDefault="33642B88" w14:paraId="136B654A" w14:textId="46AC68F4">
      <w:pPr>
        <w:ind w:left="-20" w:right="-20"/>
        <w:jc w:val="center"/>
        <w:rPr>
          <w:rFonts w:ascii="Arial" w:hAnsi="Arial" w:eastAsia="Arial" w:cs="Arial"/>
          <w:b/>
          <w:bCs/>
          <w:color w:val="000000" w:themeColor="text1"/>
          <w:sz w:val="24"/>
          <w:szCs w:val="24"/>
        </w:rPr>
      </w:pPr>
      <w:r w:rsidRPr="63D9240E">
        <w:rPr>
          <w:rFonts w:ascii="Arial" w:hAnsi="Arial" w:eastAsia="Arial" w:cs="Arial"/>
          <w:b/>
          <w:bCs/>
          <w:color w:val="000000" w:themeColor="text1"/>
          <w:sz w:val="24"/>
          <w:szCs w:val="24"/>
        </w:rPr>
        <w:t>GFO-23-</w:t>
      </w:r>
      <w:r w:rsidRPr="63D9240E" w:rsidR="31186033">
        <w:rPr>
          <w:rFonts w:ascii="Arial" w:hAnsi="Arial" w:eastAsia="Arial" w:cs="Arial"/>
          <w:b/>
          <w:bCs/>
          <w:color w:val="000000" w:themeColor="text1"/>
          <w:sz w:val="24"/>
          <w:szCs w:val="24"/>
        </w:rPr>
        <w:t>307</w:t>
      </w:r>
    </w:p>
    <w:p w:rsidR="0015312D" w:rsidP="63D9240E" w:rsidRDefault="31186033" w14:paraId="37E32FDD" w14:textId="27F855C5">
      <w:pPr>
        <w:ind w:left="-20" w:right="-20"/>
        <w:jc w:val="center"/>
      </w:pPr>
      <w:r w:rsidRPr="63D9240E">
        <w:rPr>
          <w:rFonts w:ascii="Arial" w:hAnsi="Arial" w:eastAsia="Arial" w:cs="Arial"/>
          <w:b/>
          <w:bCs/>
          <w:color w:val="000000" w:themeColor="text1"/>
          <w:sz w:val="24"/>
          <w:szCs w:val="24"/>
        </w:rPr>
        <w:t>Large-Scale Centralized Hydrogen Production (H2CENTRAL)</w:t>
      </w:r>
    </w:p>
    <w:p w:rsidR="0015312D" w:rsidP="63D9240E" w:rsidRDefault="33642B88" w14:paraId="18D3BEBC" w14:textId="4865851A">
      <w:pPr>
        <w:ind w:left="-20" w:right="-20"/>
        <w:jc w:val="center"/>
        <w:rPr>
          <w:rFonts w:ascii="Arial" w:hAnsi="Arial" w:eastAsia="Arial" w:cs="Arial"/>
          <w:b/>
          <w:bCs/>
          <w:color w:val="000000" w:themeColor="text1"/>
          <w:sz w:val="24"/>
          <w:szCs w:val="24"/>
        </w:rPr>
      </w:pPr>
      <w:r w:rsidRPr="63D9240E">
        <w:rPr>
          <w:rFonts w:ascii="Arial" w:hAnsi="Arial" w:eastAsia="Arial" w:cs="Arial"/>
          <w:b/>
          <w:bCs/>
          <w:color w:val="000000" w:themeColor="text1"/>
          <w:sz w:val="24"/>
          <w:szCs w:val="24"/>
        </w:rPr>
        <w:t>Addendum 1</w:t>
      </w:r>
    </w:p>
    <w:p w:rsidR="0015312D" w:rsidP="63D9240E" w:rsidRDefault="058A1913" w14:paraId="04C3081D" w14:textId="5472EB12">
      <w:pPr>
        <w:ind w:left="-20" w:right="-20"/>
        <w:jc w:val="center"/>
        <w:rPr>
          <w:rFonts w:ascii="Arial" w:hAnsi="Arial" w:eastAsia="Arial" w:cs="Arial"/>
          <w:b w:val="1"/>
          <w:bCs w:val="1"/>
          <w:color w:val="000000" w:themeColor="text1"/>
          <w:sz w:val="24"/>
          <w:szCs w:val="24"/>
        </w:rPr>
      </w:pPr>
      <w:r w:rsidRPr="614E1229" w:rsidR="61A9A825">
        <w:rPr>
          <w:rFonts w:ascii="Arial" w:hAnsi="Arial" w:eastAsia="Arial" w:cs="Arial"/>
          <w:b w:val="1"/>
          <w:bCs w:val="1"/>
          <w:color w:val="000000" w:themeColor="text1" w:themeTint="FF" w:themeShade="FF"/>
          <w:sz w:val="24"/>
          <w:szCs w:val="24"/>
        </w:rPr>
        <w:t xml:space="preserve">May </w:t>
      </w:r>
      <w:r w:rsidRPr="614E1229" w:rsidR="33642B88">
        <w:rPr>
          <w:rFonts w:ascii="Arial" w:hAnsi="Arial" w:eastAsia="Arial" w:cs="Arial"/>
          <w:b w:val="1"/>
          <w:bCs w:val="1"/>
          <w:color w:val="000000" w:themeColor="text1" w:themeTint="FF" w:themeShade="FF"/>
          <w:sz w:val="24"/>
          <w:szCs w:val="24"/>
        </w:rPr>
        <w:t>2024</w:t>
      </w:r>
    </w:p>
    <w:p w:rsidR="0015312D" w:rsidP="63D9240E" w:rsidRDefault="33642B88" w14:paraId="51373308" w14:textId="157D9E08">
      <w:pPr>
        <w:ind w:left="-20" w:right="-20"/>
        <w:rPr>
          <w:rFonts w:ascii="Arial" w:hAnsi="Arial" w:eastAsia="Arial" w:cs="Arial"/>
          <w:color w:val="000000" w:themeColor="text1"/>
          <w:sz w:val="24"/>
          <w:szCs w:val="24"/>
        </w:rPr>
      </w:pPr>
      <w:r w:rsidRPr="68A76D2F" w:rsidR="33642B88">
        <w:rPr>
          <w:rFonts w:ascii="Arial" w:hAnsi="Arial" w:eastAsia="Arial" w:cs="Arial"/>
          <w:color w:val="000000" w:themeColor="text1" w:themeTint="FF" w:themeShade="FF"/>
          <w:sz w:val="24"/>
          <w:szCs w:val="24"/>
        </w:rPr>
        <w:t>The purpose of this addendum is to notify potential applicants of substantive changes that have been made to GFO-23-</w:t>
      </w:r>
      <w:r w:rsidRPr="68A76D2F" w:rsidR="13E27967">
        <w:rPr>
          <w:rFonts w:ascii="Arial" w:hAnsi="Arial" w:eastAsia="Arial" w:cs="Arial"/>
          <w:color w:val="000000" w:themeColor="text1" w:themeTint="FF" w:themeShade="FF"/>
          <w:sz w:val="24"/>
          <w:szCs w:val="24"/>
        </w:rPr>
        <w:t>307</w:t>
      </w:r>
      <w:r w:rsidRPr="68A76D2F" w:rsidR="33642B88">
        <w:rPr>
          <w:rFonts w:ascii="Arial" w:hAnsi="Arial" w:eastAsia="Arial" w:cs="Arial"/>
          <w:color w:val="000000" w:themeColor="text1" w:themeTint="FF" w:themeShade="FF"/>
          <w:sz w:val="24"/>
          <w:szCs w:val="24"/>
        </w:rPr>
        <w:t xml:space="preserve">. The addendum includes </w:t>
      </w:r>
      <w:r w:rsidRPr="68A76D2F" w:rsidR="54A8653F">
        <w:rPr>
          <w:rFonts w:ascii="Arial" w:hAnsi="Arial" w:eastAsia="Arial" w:cs="Arial"/>
          <w:color w:val="000000" w:themeColor="text1" w:themeTint="FF" w:themeShade="FF"/>
          <w:sz w:val="24"/>
          <w:szCs w:val="24"/>
        </w:rPr>
        <w:t>the following revisions</w:t>
      </w:r>
      <w:r w:rsidRPr="68A76D2F" w:rsidR="33642B88">
        <w:rPr>
          <w:rFonts w:ascii="Arial" w:hAnsi="Arial" w:eastAsia="Arial" w:cs="Arial"/>
          <w:color w:val="000000" w:themeColor="text1" w:themeTint="FF" w:themeShade="FF"/>
          <w:sz w:val="24"/>
          <w:szCs w:val="24"/>
        </w:rPr>
        <w:t xml:space="preserve"> to the Solicitation Manual</w:t>
      </w:r>
      <w:r w:rsidRPr="68A76D2F" w:rsidR="34F6F544">
        <w:rPr>
          <w:rFonts w:ascii="Arial" w:hAnsi="Arial" w:eastAsia="Arial" w:cs="Arial"/>
          <w:color w:val="000000" w:themeColor="text1" w:themeTint="FF" w:themeShade="FF"/>
          <w:sz w:val="24"/>
          <w:szCs w:val="24"/>
        </w:rPr>
        <w:t xml:space="preserve">, </w:t>
      </w:r>
      <w:r w:rsidRPr="68A76D2F" w:rsidR="00EE47B7">
        <w:rPr>
          <w:rFonts w:ascii="Arial" w:hAnsi="Arial" w:eastAsia="Arial" w:cs="Arial"/>
          <w:color w:val="000000" w:themeColor="text1" w:themeTint="FF" w:themeShade="FF"/>
          <w:sz w:val="24"/>
          <w:szCs w:val="24"/>
        </w:rPr>
        <w:t xml:space="preserve">Application </w:t>
      </w:r>
      <w:r w:rsidRPr="68A76D2F" w:rsidR="1E563B54">
        <w:rPr>
          <w:rFonts w:ascii="Arial" w:hAnsi="Arial" w:eastAsia="Arial" w:cs="Arial"/>
          <w:color w:val="000000" w:themeColor="text1" w:themeTint="FF" w:themeShade="FF"/>
          <w:sz w:val="24"/>
          <w:szCs w:val="24"/>
        </w:rPr>
        <w:t xml:space="preserve">Screening </w:t>
      </w:r>
      <w:r w:rsidRPr="68A76D2F" w:rsidR="00EE47B7">
        <w:rPr>
          <w:rFonts w:ascii="Arial" w:hAnsi="Arial" w:eastAsia="Arial" w:cs="Arial"/>
          <w:color w:val="000000" w:themeColor="text1" w:themeTint="FF" w:themeShade="FF"/>
          <w:sz w:val="24"/>
          <w:szCs w:val="24"/>
        </w:rPr>
        <w:t>Form</w:t>
      </w:r>
      <w:r w:rsidRPr="68A76D2F" w:rsidR="10694A80">
        <w:rPr>
          <w:rFonts w:ascii="Arial" w:hAnsi="Arial" w:eastAsia="Arial" w:cs="Arial"/>
          <w:color w:val="000000" w:themeColor="text1" w:themeTint="FF" w:themeShade="FF"/>
          <w:sz w:val="24"/>
          <w:szCs w:val="24"/>
        </w:rPr>
        <w:t>, Budget Forms</w:t>
      </w:r>
      <w:r w:rsidRPr="68A76D2F" w:rsidR="19F2F942">
        <w:rPr>
          <w:rFonts w:ascii="Arial" w:hAnsi="Arial" w:eastAsia="Arial" w:cs="Arial"/>
          <w:color w:val="000000" w:themeColor="text1" w:themeTint="FF" w:themeShade="FF"/>
          <w:sz w:val="24"/>
          <w:szCs w:val="24"/>
        </w:rPr>
        <w:t>, and Project Performance Metrics attachments</w:t>
      </w:r>
      <w:r w:rsidRPr="68A76D2F" w:rsidR="31957AC4">
        <w:rPr>
          <w:rFonts w:ascii="Arial" w:hAnsi="Arial" w:eastAsia="Arial" w:cs="Arial"/>
          <w:color w:val="000000" w:themeColor="text1" w:themeTint="FF" w:themeShade="FF"/>
          <w:sz w:val="24"/>
          <w:szCs w:val="24"/>
        </w:rPr>
        <w:t>.</w:t>
      </w:r>
      <w:r w:rsidRPr="68A76D2F" w:rsidR="33642B88">
        <w:rPr>
          <w:rFonts w:ascii="Arial" w:hAnsi="Arial" w:eastAsia="Arial" w:cs="Arial"/>
          <w:color w:val="000000" w:themeColor="text1" w:themeTint="FF" w:themeShade="FF"/>
          <w:sz w:val="24"/>
          <w:szCs w:val="24"/>
        </w:rPr>
        <w:t xml:space="preserve"> Added language appears in </w:t>
      </w:r>
      <w:r w:rsidRPr="68A76D2F" w:rsidR="33642B88">
        <w:rPr>
          <w:rFonts w:ascii="Arial" w:hAnsi="Arial" w:eastAsia="Arial" w:cs="Arial"/>
          <w:b w:val="1"/>
          <w:bCs w:val="1"/>
          <w:color w:val="000000" w:themeColor="text1" w:themeTint="FF" w:themeShade="FF"/>
          <w:sz w:val="24"/>
          <w:szCs w:val="24"/>
          <w:u w:val="single"/>
        </w:rPr>
        <w:t>bold underline</w:t>
      </w:r>
      <w:r w:rsidRPr="68A76D2F" w:rsidR="33642B88">
        <w:rPr>
          <w:rFonts w:ascii="Arial" w:hAnsi="Arial" w:eastAsia="Arial" w:cs="Arial"/>
          <w:color w:val="000000" w:themeColor="text1" w:themeTint="FF" w:themeShade="FF"/>
          <w:sz w:val="24"/>
          <w:szCs w:val="24"/>
        </w:rPr>
        <w:t>, and deleted language appears in</w:t>
      </w:r>
      <w:r w:rsidRPr="68A76D2F" w:rsidR="77AC76B3">
        <w:rPr>
          <w:rFonts w:ascii="Arial" w:hAnsi="Arial" w:eastAsia="Arial" w:cs="Arial"/>
          <w:color w:val="000000" w:themeColor="text1" w:themeTint="FF" w:themeShade="FF"/>
          <w:sz w:val="24"/>
          <w:szCs w:val="24"/>
        </w:rPr>
        <w:t xml:space="preserve"> </w:t>
      </w:r>
      <w:r w:rsidRPr="68A76D2F" w:rsidR="33642B88">
        <w:rPr>
          <w:rFonts w:ascii="Arial" w:hAnsi="Arial" w:eastAsia="Arial" w:cs="Arial"/>
          <w:strike w:val="1"/>
          <w:color w:val="000000" w:themeColor="text1" w:themeTint="FF" w:themeShade="FF"/>
          <w:sz w:val="24"/>
          <w:szCs w:val="24"/>
        </w:rPr>
        <w:t xml:space="preserve">strikethrough </w:t>
      </w:r>
      <w:r w:rsidRPr="68A76D2F" w:rsidR="33642B88">
        <w:rPr>
          <w:rFonts w:ascii="Arial" w:hAnsi="Arial" w:eastAsia="Arial" w:cs="Arial"/>
          <w:color w:val="000000" w:themeColor="text1" w:themeTint="FF" w:themeShade="FF"/>
          <w:sz w:val="24"/>
          <w:szCs w:val="24"/>
        </w:rPr>
        <w:t xml:space="preserve">and within </w:t>
      </w:r>
      <w:r w:rsidRPr="68A76D2F" w:rsidR="27B1DD32">
        <w:rPr>
          <w:rFonts w:ascii="Arial" w:hAnsi="Arial" w:eastAsia="Arial" w:cs="Arial"/>
          <w:color w:val="000000" w:themeColor="text1" w:themeTint="FF" w:themeShade="FF"/>
          <w:sz w:val="24"/>
          <w:szCs w:val="24"/>
        </w:rPr>
        <w:t>[</w:t>
      </w:r>
      <w:r w:rsidRPr="68A76D2F" w:rsidR="33642B88">
        <w:rPr>
          <w:rFonts w:ascii="Arial" w:hAnsi="Arial" w:eastAsia="Arial" w:cs="Arial"/>
          <w:color w:val="000000" w:themeColor="text1" w:themeTint="FF" w:themeShade="FF"/>
          <w:sz w:val="24"/>
          <w:szCs w:val="24"/>
        </w:rPr>
        <w:t>square brackets</w:t>
      </w:r>
      <w:r w:rsidRPr="68A76D2F" w:rsidR="6499BFF4">
        <w:rPr>
          <w:rFonts w:ascii="Arial" w:hAnsi="Arial" w:eastAsia="Arial" w:cs="Arial"/>
          <w:color w:val="000000" w:themeColor="text1" w:themeTint="FF" w:themeShade="FF"/>
          <w:sz w:val="24"/>
          <w:szCs w:val="24"/>
        </w:rPr>
        <w:t>]</w:t>
      </w:r>
      <w:r w:rsidRPr="68A76D2F" w:rsidR="33642B88">
        <w:rPr>
          <w:rFonts w:ascii="Arial" w:hAnsi="Arial" w:eastAsia="Arial" w:cs="Arial"/>
          <w:color w:val="000000" w:themeColor="text1" w:themeTint="FF" w:themeShade="FF"/>
          <w:sz w:val="24"/>
          <w:szCs w:val="24"/>
        </w:rPr>
        <w:t>.</w:t>
      </w:r>
    </w:p>
    <w:p w:rsidR="76C1550A" w:rsidP="76C1550A" w:rsidRDefault="76C1550A" w14:paraId="0FEED20C" w14:textId="0205F9B1">
      <w:pPr>
        <w:ind w:left="-20" w:right="-20"/>
        <w:rPr>
          <w:rFonts w:ascii="Arial" w:hAnsi="Arial" w:eastAsia="Arial" w:cs="Arial"/>
          <w:b/>
          <w:bCs/>
          <w:color w:val="000000" w:themeColor="text1"/>
          <w:sz w:val="24"/>
          <w:szCs w:val="24"/>
        </w:rPr>
      </w:pPr>
    </w:p>
    <w:p w:rsidR="00BD4045" w:rsidP="00E65867" w:rsidRDefault="00BD4045" w14:paraId="7F364FEE" w14:textId="2DCE4B07">
      <w:pPr>
        <w:ind w:left="-20" w:right="-20"/>
        <w:rPr>
          <w:rFonts w:ascii="Arial" w:hAnsi="Arial" w:eastAsia="Arial" w:cs="Arial"/>
          <w:b w:val="1"/>
          <w:bCs w:val="1"/>
          <w:color w:val="000000" w:themeColor="text1"/>
          <w:sz w:val="24"/>
          <w:szCs w:val="24"/>
        </w:rPr>
      </w:pPr>
      <w:r w:rsidRPr="6A04F2B4" w:rsidR="568FC1B4">
        <w:rPr>
          <w:rFonts w:ascii="Arial" w:hAnsi="Arial" w:eastAsia="Arial" w:cs="Arial"/>
          <w:b w:val="1"/>
          <w:bCs w:val="1"/>
          <w:color w:val="000000" w:themeColor="text1" w:themeTint="FF" w:themeShade="FF"/>
          <w:sz w:val="24"/>
          <w:szCs w:val="24"/>
        </w:rPr>
        <w:t xml:space="preserve">Attachment 00 - </w:t>
      </w:r>
      <w:r w:rsidRPr="6A04F2B4" w:rsidR="33642B88">
        <w:rPr>
          <w:rFonts w:ascii="Arial" w:hAnsi="Arial" w:eastAsia="Arial" w:cs="Arial"/>
          <w:b w:val="1"/>
          <w:bCs w:val="1"/>
          <w:color w:val="000000" w:themeColor="text1" w:themeTint="FF" w:themeShade="FF"/>
          <w:sz w:val="24"/>
          <w:szCs w:val="24"/>
        </w:rPr>
        <w:t>Solicitation Manual</w:t>
      </w:r>
    </w:p>
    <w:p w:rsidR="1199334E" w:rsidP="6A04F2B4" w:rsidRDefault="1199334E" w14:paraId="15BE9CD1" w14:textId="347B4026">
      <w:pPr>
        <w:pStyle w:val="ListParagraph"/>
        <w:numPr>
          <w:ilvl w:val="0"/>
          <w:numId w:val="1"/>
        </w:numPr>
        <w:ind w:right="-20"/>
        <w:rPr>
          <w:rFonts w:ascii="Arial" w:hAnsi="Arial" w:eastAsia="Arial" w:cs="Arial"/>
          <w:b w:val="1"/>
          <w:bCs w:val="1"/>
          <w:color w:val="000000" w:themeColor="text1" w:themeTint="FF" w:themeShade="FF"/>
          <w:sz w:val="24"/>
          <w:szCs w:val="24"/>
        </w:rPr>
      </w:pPr>
      <w:r w:rsidRPr="6A04F2B4" w:rsidR="1199334E">
        <w:rPr>
          <w:rFonts w:ascii="Arial" w:hAnsi="Arial" w:eastAsia="Arial" w:cs="Arial"/>
          <w:b w:val="1"/>
          <w:bCs w:val="1"/>
          <w:color w:val="000000" w:themeColor="text1" w:themeTint="FF" w:themeShade="FF"/>
          <w:sz w:val="24"/>
          <w:szCs w:val="24"/>
        </w:rPr>
        <w:t>Cover Page</w:t>
      </w:r>
    </w:p>
    <w:p w:rsidR="1199334E" w:rsidP="6A04F2B4" w:rsidRDefault="1199334E" w14:paraId="4744D872" w14:textId="45F9B33A">
      <w:pPr>
        <w:pStyle w:val="Normal"/>
        <w:ind w:right="-20"/>
        <w:rPr>
          <w:rFonts w:ascii="Arial" w:hAnsi="Arial" w:eastAsia="Arial" w:cs="Arial"/>
          <w:b w:val="1"/>
          <w:bCs w:val="1"/>
          <w:color w:val="000000" w:themeColor="text1" w:themeTint="FF" w:themeShade="FF"/>
          <w:sz w:val="24"/>
          <w:szCs w:val="24"/>
        </w:rPr>
      </w:pPr>
      <w:r w:rsidRPr="6A04F2B4" w:rsidR="1199334E">
        <w:rPr>
          <w:rFonts w:ascii="Arial" w:hAnsi="Arial" w:eastAsia="Arial" w:cs="Arial"/>
          <w:b w:val="0"/>
          <w:bCs w:val="0"/>
          <w:color w:val="000000" w:themeColor="text1" w:themeTint="FF" w:themeShade="FF"/>
          <w:sz w:val="24"/>
          <w:szCs w:val="24"/>
        </w:rPr>
        <w:t>[</w:t>
      </w:r>
      <w:r w:rsidRPr="6A04F2B4" w:rsidR="1199334E">
        <w:rPr>
          <w:rFonts w:ascii="Arial" w:hAnsi="Arial" w:eastAsia="Arial" w:cs="Arial"/>
          <w:b w:val="0"/>
          <w:bCs w:val="0"/>
          <w:strike w:val="1"/>
          <w:color w:val="000000" w:themeColor="text1" w:themeTint="FF" w:themeShade="FF"/>
          <w:sz w:val="24"/>
          <w:szCs w:val="24"/>
        </w:rPr>
        <w:t>March</w:t>
      </w:r>
      <w:r w:rsidRPr="6A04F2B4" w:rsidR="1199334E">
        <w:rPr>
          <w:rFonts w:ascii="Arial" w:hAnsi="Arial" w:eastAsia="Arial" w:cs="Arial"/>
          <w:b w:val="0"/>
          <w:bCs w:val="0"/>
          <w:color w:val="000000" w:themeColor="text1" w:themeTint="FF" w:themeShade="FF"/>
          <w:sz w:val="24"/>
          <w:szCs w:val="24"/>
        </w:rPr>
        <w:t xml:space="preserve">] </w:t>
      </w:r>
      <w:r w:rsidRPr="6A04F2B4" w:rsidR="1199334E">
        <w:rPr>
          <w:rFonts w:ascii="Arial" w:hAnsi="Arial" w:eastAsia="Arial" w:cs="Arial"/>
          <w:b w:val="1"/>
          <w:bCs w:val="1"/>
          <w:color w:val="000000" w:themeColor="text1" w:themeTint="FF" w:themeShade="FF"/>
          <w:sz w:val="24"/>
          <w:szCs w:val="24"/>
          <w:u w:val="single"/>
        </w:rPr>
        <w:t>May</w:t>
      </w:r>
      <w:r w:rsidRPr="6A04F2B4" w:rsidR="1199334E">
        <w:rPr>
          <w:rFonts w:ascii="Arial" w:hAnsi="Arial" w:eastAsia="Arial" w:cs="Arial"/>
          <w:b w:val="1"/>
          <w:bCs w:val="1"/>
          <w:color w:val="000000" w:themeColor="text1" w:themeTint="FF" w:themeShade="FF"/>
          <w:sz w:val="24"/>
          <w:szCs w:val="24"/>
        </w:rPr>
        <w:t xml:space="preserve"> 2024  </w:t>
      </w:r>
    </w:p>
    <w:p w:rsidR="6A04F2B4" w:rsidP="6A04F2B4" w:rsidRDefault="6A04F2B4" w14:paraId="317CC578" w14:textId="41973C0E">
      <w:pPr>
        <w:pStyle w:val="Normal"/>
        <w:ind w:right="-20"/>
        <w:rPr>
          <w:rFonts w:ascii="Arial" w:hAnsi="Arial" w:eastAsia="Arial" w:cs="Arial"/>
          <w:b w:val="1"/>
          <w:bCs w:val="1"/>
          <w:color w:val="000000" w:themeColor="text1" w:themeTint="FF" w:themeShade="FF"/>
          <w:sz w:val="24"/>
          <w:szCs w:val="24"/>
        </w:rPr>
      </w:pPr>
    </w:p>
    <w:p w:rsidRPr="00E65867" w:rsidR="00BD4045" w:rsidP="00E65867" w:rsidRDefault="00BD4045" w14:paraId="59078ED8" w14:textId="7572FC45">
      <w:pPr>
        <w:pStyle w:val="ListParagraph"/>
        <w:numPr>
          <w:ilvl w:val="0"/>
          <w:numId w:val="1"/>
        </w:numPr>
        <w:ind w:right="-20"/>
        <w:rPr>
          <w:rFonts w:ascii="Arial" w:hAnsi="Arial" w:eastAsia="Arial" w:cs="Arial"/>
          <w:b/>
          <w:bCs/>
          <w:color w:val="000000" w:themeColor="text1"/>
          <w:sz w:val="24"/>
          <w:szCs w:val="24"/>
        </w:rPr>
      </w:pPr>
      <w:r w:rsidRPr="6A04F2B4" w:rsidR="00BD4045">
        <w:rPr>
          <w:rFonts w:ascii="Arial" w:hAnsi="Arial" w:eastAsia="Arial" w:cs="Arial"/>
          <w:b w:val="1"/>
          <w:bCs w:val="1"/>
          <w:color w:val="000000" w:themeColor="text1" w:themeTint="FF" w:themeShade="FF"/>
          <w:sz w:val="24"/>
          <w:szCs w:val="24"/>
        </w:rPr>
        <w:t>Page 3, Section I.A.</w:t>
      </w:r>
    </w:p>
    <w:p w:rsidR="00BD4045" w:rsidP="00BD4045" w:rsidRDefault="00BD4045" w14:paraId="11FFE996" w14:textId="77777777">
      <w:pPr>
        <w:ind w:left="-20" w:right="-20"/>
        <w:rPr>
          <w:rFonts w:ascii="Arial" w:hAnsi="Arial" w:eastAsia="Arial" w:cs="Arial"/>
          <w:color w:val="000000" w:themeColor="text1"/>
          <w:sz w:val="24"/>
          <w:szCs w:val="24"/>
        </w:rPr>
      </w:pPr>
      <w:r w:rsidRPr="093E63A0" w:rsidR="00BD4045">
        <w:rPr>
          <w:rFonts w:ascii="Arial" w:hAnsi="Arial" w:eastAsia="Arial" w:cs="Arial"/>
          <w:color w:val="000000" w:themeColor="text1" w:themeTint="FF" w:themeShade="FF"/>
          <w:sz w:val="24"/>
          <w:szCs w:val="24"/>
        </w:rPr>
        <w:t>This solicitation will support large-scale ([</w:t>
      </w:r>
      <w:r w:rsidRPr="093E63A0" w:rsidR="00BD4045">
        <w:rPr>
          <w:rFonts w:ascii="Arial" w:hAnsi="Arial" w:eastAsia="Arial" w:cs="Arial"/>
          <w:strike w:val="1"/>
          <w:color w:val="000000" w:themeColor="text1" w:themeTint="FF" w:themeShade="FF"/>
          <w:sz w:val="24"/>
          <w:szCs w:val="24"/>
        </w:rPr>
        <w:t>AN</w:t>
      </w:r>
      <w:r w:rsidRPr="093E63A0" w:rsidR="00BD4045">
        <w:rPr>
          <w:rFonts w:ascii="Arial" w:hAnsi="Arial" w:eastAsia="Arial" w:cs="Arial"/>
          <w:strike w:val="0"/>
          <w:dstrike w:val="0"/>
          <w:color w:val="000000" w:themeColor="text1" w:themeTint="FF" w:themeShade="FF"/>
          <w:sz w:val="24"/>
          <w:szCs w:val="24"/>
        </w:rPr>
        <w:t>]</w:t>
      </w:r>
      <w:r w:rsidRPr="093E63A0" w:rsidR="00BD4045">
        <w:rPr>
          <w:rFonts w:ascii="Arial" w:hAnsi="Arial" w:eastAsia="Arial" w:cs="Arial"/>
          <w:strike w:val="0"/>
          <w:dstrike w:val="0"/>
          <w:color w:val="000000" w:themeColor="text1" w:themeTint="FF" w:themeShade="FF"/>
          <w:sz w:val="24"/>
          <w:szCs w:val="24"/>
        </w:rPr>
        <w:t xml:space="preserve"> </w:t>
      </w:r>
      <w:r w:rsidRPr="093E63A0" w:rsidR="00BD4045">
        <w:rPr>
          <w:rFonts w:ascii="Arial" w:hAnsi="Arial" w:eastAsia="Arial" w:cs="Arial"/>
          <w:b w:val="1"/>
          <w:bCs w:val="1"/>
          <w:color w:val="000000" w:themeColor="text1" w:themeTint="FF" w:themeShade="FF"/>
          <w:sz w:val="24"/>
          <w:szCs w:val="24"/>
          <w:u w:val="single"/>
        </w:rPr>
        <w:t>an</w:t>
      </w:r>
      <w:r w:rsidRPr="093E63A0" w:rsidR="00BD4045">
        <w:rPr>
          <w:rFonts w:ascii="Arial" w:hAnsi="Arial" w:eastAsia="Arial" w:cs="Arial"/>
          <w:b w:val="1"/>
          <w:bCs w:val="1"/>
          <w:color w:val="000000" w:themeColor="text1" w:themeTint="FF" w:themeShade="FF"/>
          <w:sz w:val="24"/>
          <w:szCs w:val="24"/>
        </w:rPr>
        <w:t xml:space="preserve"> </w:t>
      </w:r>
      <w:r w:rsidRPr="093E63A0" w:rsidR="00BD4045">
        <w:rPr>
          <w:rFonts w:ascii="Arial" w:hAnsi="Arial" w:eastAsia="Arial" w:cs="Arial"/>
          <w:color w:val="000000" w:themeColor="text1" w:themeTint="FF" w:themeShade="FF"/>
          <w:sz w:val="24"/>
          <w:szCs w:val="24"/>
        </w:rPr>
        <w:t>annualized average of at least 5 metric tons per day), centralized hydrogen production by co-locating renewable energy production, clean hydrogen production, delivery networks, and storage facilities.</w:t>
      </w:r>
    </w:p>
    <w:p w:rsidR="00BD4045" w:rsidP="2B48CD80" w:rsidRDefault="00BD4045" w14:paraId="3BA6C4CA" w14:textId="77777777">
      <w:pPr>
        <w:ind w:left="-20" w:right="-20"/>
        <w:rPr>
          <w:rFonts w:ascii="Arial" w:hAnsi="Arial" w:eastAsia="Arial" w:cs="Arial"/>
          <w:b/>
          <w:bCs/>
          <w:color w:val="000000" w:themeColor="text1"/>
          <w:sz w:val="24"/>
          <w:szCs w:val="24"/>
        </w:rPr>
      </w:pPr>
    </w:p>
    <w:p w:rsidRPr="00E65867" w:rsidR="0015312D" w:rsidP="00E65867" w:rsidRDefault="00BD4045" w14:paraId="6D6BCB61" w14:textId="311E181F">
      <w:pPr>
        <w:pStyle w:val="ListParagraph"/>
        <w:numPr>
          <w:ilvl w:val="0"/>
          <w:numId w:val="1"/>
        </w:numPr>
        <w:ind w:right="-20"/>
        <w:rPr>
          <w:rFonts w:ascii="Arial" w:hAnsi="Arial" w:eastAsia="Arial" w:cs="Arial"/>
          <w:b w:val="1"/>
          <w:bCs w:val="1"/>
          <w:color w:val="000000" w:themeColor="text1"/>
          <w:sz w:val="24"/>
          <w:szCs w:val="24"/>
        </w:rPr>
      </w:pPr>
      <w:r w:rsidRPr="6A04F2B4" w:rsidR="00BD4045">
        <w:rPr>
          <w:rFonts w:ascii="Arial" w:hAnsi="Arial" w:eastAsia="Arial" w:cs="Arial"/>
          <w:b w:val="1"/>
          <w:bCs w:val="1"/>
          <w:color w:val="000000" w:themeColor="text1" w:themeTint="FF" w:themeShade="FF"/>
          <w:sz w:val="24"/>
          <w:szCs w:val="24"/>
        </w:rPr>
        <w:t xml:space="preserve"> </w:t>
      </w:r>
      <w:r w:rsidRPr="6A04F2B4" w:rsidR="33642B88">
        <w:rPr>
          <w:rFonts w:ascii="Arial" w:hAnsi="Arial" w:eastAsia="Arial" w:cs="Arial"/>
          <w:b w:val="1"/>
          <w:bCs w:val="1"/>
          <w:color w:val="000000" w:themeColor="text1" w:themeTint="FF" w:themeShade="FF"/>
          <w:sz w:val="24"/>
          <w:szCs w:val="24"/>
        </w:rPr>
        <w:t xml:space="preserve">Page </w:t>
      </w:r>
      <w:r w:rsidRPr="6A04F2B4" w:rsidR="45456D4B">
        <w:rPr>
          <w:rFonts w:ascii="Arial" w:hAnsi="Arial" w:eastAsia="Arial" w:cs="Arial"/>
          <w:b w:val="1"/>
          <w:bCs w:val="1"/>
          <w:color w:val="000000" w:themeColor="text1" w:themeTint="FF" w:themeShade="FF"/>
          <w:sz w:val="24"/>
          <w:szCs w:val="24"/>
        </w:rPr>
        <w:t>8</w:t>
      </w:r>
      <w:r w:rsidRPr="6A04F2B4" w:rsidR="5724ADA6">
        <w:rPr>
          <w:rFonts w:ascii="Arial" w:hAnsi="Arial" w:eastAsia="Arial" w:cs="Arial"/>
          <w:b w:val="1"/>
          <w:bCs w:val="1"/>
          <w:color w:val="000000" w:themeColor="text1" w:themeTint="FF" w:themeShade="FF"/>
          <w:sz w:val="24"/>
          <w:szCs w:val="24"/>
        </w:rPr>
        <w:t>, Section I.C.</w:t>
      </w:r>
    </w:p>
    <w:p w:rsidR="76C1550A" w:rsidP="1A0F4FFC" w:rsidRDefault="76C1550A" w14:paraId="42AB73F9" w14:textId="73594BE4">
      <w:pPr>
        <w:pStyle w:val="Normal"/>
        <w:ind w:left="-20" w:right="-20"/>
        <w:rPr>
          <w:rFonts w:ascii="Arial" w:hAnsi="Arial" w:eastAsia="Arial" w:cs="Arial"/>
          <w:b w:val="0"/>
          <w:bCs w:val="0"/>
          <w:i w:val="0"/>
          <w:iCs w:val="0"/>
          <w:caps w:val="0"/>
          <w:smallCaps w:val="0"/>
          <w:noProof w:val="0"/>
          <w:color w:val="000000" w:themeColor="text1"/>
          <w:sz w:val="28"/>
          <w:szCs w:val="28"/>
          <w:lang w:val="en-US"/>
        </w:rPr>
      </w:pPr>
      <w:r w:rsidRPr="1A0F4FFC" w:rsidR="17365FBB">
        <w:rPr>
          <w:rFonts w:ascii="Arial" w:hAnsi="Arial" w:eastAsia="Arial" w:cs="Arial"/>
          <w:b w:val="0"/>
          <w:bCs w:val="0"/>
          <w:i w:val="0"/>
          <w:iCs w:val="0"/>
          <w:caps w:val="0"/>
          <w:smallCaps w:val="0"/>
          <w:noProof w:val="0"/>
          <w:color w:val="000000" w:themeColor="text1" w:themeTint="FF" w:themeShade="FF"/>
          <w:sz w:val="24"/>
          <w:szCs w:val="24"/>
          <w:lang w:val="en-US"/>
        </w:rPr>
        <w:t xml:space="preserve">Projects must avoid any benefit to </w:t>
      </w:r>
      <w:r w:rsidRPr="1A0F4FFC" w:rsidR="17365FBB">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oil refineries or</w:t>
      </w:r>
      <w:r w:rsidRPr="1A0F4FFC" w:rsidR="17365FBB">
        <w:rPr>
          <w:rFonts w:ascii="Arial" w:hAnsi="Arial" w:eastAsia="Arial" w:cs="Arial"/>
          <w:b w:val="0"/>
          <w:bCs w:val="0"/>
          <w:i w:val="0"/>
          <w:iCs w:val="0"/>
          <w:caps w:val="0"/>
          <w:smallCaps w:val="0"/>
          <w:noProof w:val="0"/>
          <w:color w:val="000000" w:themeColor="text1" w:themeTint="FF" w:themeShade="FF"/>
          <w:sz w:val="24"/>
          <w:szCs w:val="24"/>
          <w:lang w:val="en-US"/>
        </w:rPr>
        <w:t xml:space="preserve"> facilities associated with fossil fuels [</w:t>
      </w:r>
      <w:r w:rsidRPr="1A0F4FFC" w:rsidR="17365FBB">
        <w:rPr>
          <w:rFonts w:ascii="Arial" w:hAnsi="Arial" w:eastAsia="Arial" w:cs="Arial"/>
          <w:b w:val="0"/>
          <w:bCs w:val="0"/>
          <w:i w:val="0"/>
          <w:iCs w:val="0"/>
          <w:caps w:val="0"/>
          <w:smallCaps w:val="0"/>
          <w:strike w:val="1"/>
          <w:noProof w:val="0"/>
          <w:color w:val="000000" w:themeColor="text1" w:themeTint="FF" w:themeShade="FF"/>
          <w:sz w:val="24"/>
          <w:szCs w:val="24"/>
          <w:u w:val="none"/>
          <w:lang w:val="en-US"/>
        </w:rPr>
        <w:t>such as oil refineries</w:t>
      </w:r>
      <w:r w:rsidRPr="1A0F4FFC" w:rsidR="17365FB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A0F4FFC" w:rsidR="17365FBB">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 xml:space="preserve">including but not limited to, selling end-use products to, or having projects </w:t>
      </w:r>
      <w:r w:rsidRPr="1A0F4FFC" w:rsidR="17365FBB">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located</w:t>
      </w:r>
      <w:r w:rsidRPr="1A0F4FFC" w:rsidR="17365FBB">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 xml:space="preserve"> at, such facilities</w:t>
      </w:r>
      <w:r w:rsidRPr="1A0F4FFC" w:rsidR="17365FB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A0F4FFC" w:rsidR="17365FBB">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Offtakers</w:t>
      </w:r>
      <w:r w:rsidRPr="1A0F4FFC" w:rsidR="17365FBB">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 xml:space="preserve"> must not be oil refineries.</w:t>
      </w:r>
      <w:r w:rsidRPr="1A0F4FFC" w:rsidR="17365FB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1A0F4FFC" w:rsidP="1A0F4FFC" w:rsidRDefault="1A0F4FFC" w14:paraId="38B73A05" w14:textId="78EDCE04">
      <w:pPr>
        <w:pStyle w:val="Normal"/>
        <w:ind w:left="-20" w:right="-20"/>
        <w:rPr>
          <w:rFonts w:ascii="Arial" w:hAnsi="Arial" w:eastAsia="Arial" w:cs="Arial"/>
          <w:b w:val="0"/>
          <w:bCs w:val="0"/>
          <w:i w:val="0"/>
          <w:iCs w:val="0"/>
          <w:caps w:val="0"/>
          <w:smallCaps w:val="0"/>
          <w:noProof w:val="0"/>
          <w:color w:val="000000" w:themeColor="text1" w:themeTint="FF" w:themeShade="FF"/>
          <w:sz w:val="24"/>
          <w:szCs w:val="24"/>
          <w:lang w:val="en-US"/>
        </w:rPr>
      </w:pPr>
    </w:p>
    <w:p w:rsidR="31440E31" w:rsidP="093E63A0" w:rsidRDefault="31440E31" w14:paraId="1459896B" w14:textId="09ABF793">
      <w:pPr>
        <w:pStyle w:val="ListParagraph"/>
        <w:numPr>
          <w:ilvl w:val="0"/>
          <w:numId w:val="1"/>
        </w:numPr>
        <w:ind w:right="-20"/>
        <w:rPr>
          <w:rFonts w:ascii="Arial" w:hAnsi="Arial" w:eastAsia="Arial" w:cs="Arial"/>
          <w:b w:val="1"/>
          <w:bCs w:val="1"/>
          <w:color w:val="000000" w:themeColor="text1" w:themeTint="FF" w:themeShade="FF"/>
          <w:sz w:val="24"/>
          <w:szCs w:val="24"/>
        </w:rPr>
      </w:pPr>
      <w:r w:rsidRPr="6A04F2B4" w:rsidR="31440E31">
        <w:rPr>
          <w:rFonts w:ascii="Arial" w:hAnsi="Arial" w:eastAsia="Arial" w:cs="Arial"/>
          <w:b w:val="1"/>
          <w:bCs w:val="1"/>
          <w:color w:val="000000" w:themeColor="text1" w:themeTint="FF" w:themeShade="FF"/>
          <w:sz w:val="24"/>
          <w:szCs w:val="24"/>
        </w:rPr>
        <w:t>Page 1</w:t>
      </w:r>
      <w:r w:rsidRPr="6A04F2B4" w:rsidR="0D147919">
        <w:rPr>
          <w:rFonts w:ascii="Arial" w:hAnsi="Arial" w:eastAsia="Arial" w:cs="Arial"/>
          <w:b w:val="1"/>
          <w:bCs w:val="1"/>
          <w:color w:val="000000" w:themeColor="text1" w:themeTint="FF" w:themeShade="FF"/>
          <w:sz w:val="24"/>
          <w:szCs w:val="24"/>
        </w:rPr>
        <w:t>0</w:t>
      </w:r>
      <w:r w:rsidRPr="6A04F2B4" w:rsidR="31440E31">
        <w:rPr>
          <w:rFonts w:ascii="Arial" w:hAnsi="Arial" w:eastAsia="Arial" w:cs="Arial"/>
          <w:b w:val="1"/>
          <w:bCs w:val="1"/>
          <w:color w:val="000000" w:themeColor="text1" w:themeTint="FF" w:themeShade="FF"/>
          <w:sz w:val="24"/>
          <w:szCs w:val="24"/>
        </w:rPr>
        <w:t>, Section I.C.</w:t>
      </w:r>
    </w:p>
    <w:p w:rsidR="31440E31" w:rsidP="093E63A0" w:rsidRDefault="31440E31" w14:paraId="739B9559" w14:textId="5130F85E">
      <w:pPr>
        <w:pStyle w:val="Normal"/>
        <w:ind w:right="-20"/>
        <w:rPr>
          <w:rFonts w:ascii="Arial" w:hAnsi="Arial" w:eastAsia="Arial" w:cs="Arial"/>
          <w:b w:val="0"/>
          <w:bCs w:val="0"/>
          <w:color w:val="000000" w:themeColor="text1" w:themeTint="FF" w:themeShade="FF"/>
          <w:sz w:val="24"/>
          <w:szCs w:val="24"/>
        </w:rPr>
      </w:pPr>
      <w:r w:rsidRPr="26CB2657" w:rsidR="31440E31">
        <w:rPr>
          <w:rFonts w:ascii="Arial" w:hAnsi="Arial" w:eastAsia="Arial" w:cs="Arial"/>
          <w:b w:val="0"/>
          <w:bCs w:val="0"/>
          <w:color w:val="000000" w:themeColor="text1" w:themeTint="FF" w:themeShade="FF"/>
          <w:sz w:val="24"/>
          <w:szCs w:val="24"/>
        </w:rPr>
        <w:t>Use</w:t>
      </w:r>
      <w:r w:rsidRPr="26CB2657" w:rsidR="31440E31">
        <w:rPr>
          <w:rFonts w:ascii="Arial" w:hAnsi="Arial" w:eastAsia="Arial" w:cs="Arial"/>
          <w:b w:val="1"/>
          <w:bCs w:val="1"/>
          <w:color w:val="000000" w:themeColor="text1" w:themeTint="FF" w:themeShade="FF"/>
          <w:sz w:val="24"/>
          <w:szCs w:val="24"/>
          <w:u w:val="none"/>
        </w:rPr>
        <w:t xml:space="preserve"> </w:t>
      </w:r>
      <w:r w:rsidRPr="26CB2657" w:rsidR="31440E31">
        <w:rPr>
          <w:rFonts w:ascii="Arial" w:hAnsi="Arial" w:eastAsia="Arial" w:cs="Arial"/>
          <w:b w:val="1"/>
          <w:bCs w:val="1"/>
          <w:color w:val="000000" w:themeColor="text1" w:themeTint="FF" w:themeShade="FF"/>
          <w:sz w:val="24"/>
          <w:szCs w:val="24"/>
          <w:u w:val="single"/>
        </w:rPr>
        <w:t>non-potable</w:t>
      </w:r>
      <w:r w:rsidRPr="26CB2657" w:rsidR="31440E31">
        <w:rPr>
          <w:rFonts w:ascii="Arial" w:hAnsi="Arial" w:eastAsia="Arial" w:cs="Arial"/>
          <w:b w:val="0"/>
          <w:bCs w:val="0"/>
          <w:color w:val="000000" w:themeColor="text1" w:themeTint="FF" w:themeShade="FF"/>
          <w:sz w:val="24"/>
          <w:szCs w:val="24"/>
        </w:rPr>
        <w:t xml:space="preserve"> water not otherwise intended for human consumption (e.g., project uses purified reclaimed, recycled, or repurposed wastewater for water consumption)</w:t>
      </w:r>
      <w:r w:rsidRPr="26CB2657" w:rsidR="31440E31">
        <w:rPr>
          <w:rFonts w:ascii="Arial" w:hAnsi="Arial" w:eastAsia="Arial" w:cs="Arial"/>
          <w:b w:val="0"/>
          <w:bCs w:val="0"/>
          <w:color w:val="000000" w:themeColor="text1" w:themeTint="FF" w:themeShade="FF"/>
          <w:sz w:val="24"/>
          <w:szCs w:val="24"/>
        </w:rPr>
        <w:t xml:space="preserve">.  </w:t>
      </w:r>
    </w:p>
    <w:p w:rsidR="26CB2657" w:rsidP="26CB2657" w:rsidRDefault="26CB2657" w14:paraId="54A9923A" w14:textId="33F1FD15">
      <w:pPr>
        <w:pStyle w:val="Normal"/>
        <w:ind w:right="-20"/>
        <w:rPr>
          <w:rFonts w:ascii="Arial" w:hAnsi="Arial" w:eastAsia="Arial" w:cs="Arial"/>
          <w:b w:val="0"/>
          <w:bCs w:val="0"/>
          <w:color w:val="000000" w:themeColor="text1" w:themeTint="FF" w:themeShade="FF"/>
          <w:sz w:val="24"/>
          <w:szCs w:val="24"/>
        </w:rPr>
      </w:pPr>
    </w:p>
    <w:p w:rsidR="65F7390A" w:rsidP="26CB2657" w:rsidRDefault="65F7390A" w14:paraId="0A9DBEA5" w14:textId="4DA0890F">
      <w:pPr>
        <w:pStyle w:val="ListParagraph"/>
        <w:numPr>
          <w:ilvl w:val="0"/>
          <w:numId w:val="1"/>
        </w:numPr>
        <w:ind w:right="-20"/>
        <w:rPr>
          <w:rFonts w:ascii="Arial" w:hAnsi="Arial" w:eastAsia="Arial" w:cs="Arial"/>
          <w:b w:val="1"/>
          <w:bCs w:val="1"/>
          <w:color w:val="000000" w:themeColor="text1" w:themeTint="FF" w:themeShade="FF"/>
          <w:sz w:val="24"/>
          <w:szCs w:val="24"/>
        </w:rPr>
      </w:pPr>
      <w:r w:rsidRPr="6A04F2B4" w:rsidR="65F7390A">
        <w:rPr>
          <w:rFonts w:ascii="Arial" w:hAnsi="Arial" w:eastAsia="Arial" w:cs="Arial"/>
          <w:b w:val="1"/>
          <w:bCs w:val="1"/>
          <w:color w:val="000000" w:themeColor="text1" w:themeTint="FF" w:themeShade="FF"/>
          <w:sz w:val="24"/>
          <w:szCs w:val="24"/>
        </w:rPr>
        <w:t>Page 1</w:t>
      </w:r>
      <w:r w:rsidRPr="6A04F2B4" w:rsidR="25156A95">
        <w:rPr>
          <w:rFonts w:ascii="Arial" w:hAnsi="Arial" w:eastAsia="Arial" w:cs="Arial"/>
          <w:b w:val="1"/>
          <w:bCs w:val="1"/>
          <w:color w:val="000000" w:themeColor="text1" w:themeTint="FF" w:themeShade="FF"/>
          <w:sz w:val="24"/>
          <w:szCs w:val="24"/>
        </w:rPr>
        <w:t>0</w:t>
      </w:r>
      <w:r w:rsidRPr="6A04F2B4" w:rsidR="65F7390A">
        <w:rPr>
          <w:rFonts w:ascii="Arial" w:hAnsi="Arial" w:eastAsia="Arial" w:cs="Arial"/>
          <w:b w:val="1"/>
          <w:bCs w:val="1"/>
          <w:color w:val="000000" w:themeColor="text1" w:themeTint="FF" w:themeShade="FF"/>
          <w:sz w:val="24"/>
          <w:szCs w:val="24"/>
        </w:rPr>
        <w:t>, Section I.C.</w:t>
      </w:r>
    </w:p>
    <w:p w:rsidR="65F7390A" w:rsidP="26CB2657" w:rsidRDefault="65F7390A" w14:paraId="2E43746B" w14:textId="6F0F2235">
      <w:pPr>
        <w:pStyle w:val="Normal"/>
        <w:ind w:right="-20"/>
        <w:rPr>
          <w:rFonts w:ascii="Arial" w:hAnsi="Arial" w:eastAsia="Arial" w:cs="Arial"/>
          <w:b w:val="0"/>
          <w:bCs w:val="0"/>
          <w:color w:val="000000" w:themeColor="text1" w:themeTint="FF" w:themeShade="FF"/>
          <w:sz w:val="24"/>
          <w:szCs w:val="24"/>
        </w:rPr>
      </w:pPr>
      <w:r w:rsidRPr="26CB2657" w:rsidR="65F7390A">
        <w:rPr>
          <w:rFonts w:ascii="Arial" w:hAnsi="Arial" w:eastAsia="Arial" w:cs="Arial"/>
          <w:b w:val="0"/>
          <w:bCs w:val="0"/>
          <w:color w:val="000000" w:themeColor="text1" w:themeTint="FF" w:themeShade="FF"/>
          <w:sz w:val="24"/>
          <w:szCs w:val="24"/>
        </w:rPr>
        <w:t xml:space="preserve">Help reduce sector-wide emissions (e.g., from a project’s designated hard-to-electrify end-use sector such as industrial facilities, heavy-duty transportation, or back-up electricity generation) and avoid any benefit to facilities associated with fossil fuels, such as oil refineries. </w:t>
      </w:r>
      <w:r w:rsidRPr="26CB2657" w:rsidR="65F7390A">
        <w:rPr>
          <w:rFonts w:ascii="Arial" w:hAnsi="Arial" w:eastAsia="Arial" w:cs="Arial"/>
          <w:b w:val="1"/>
          <w:bCs w:val="1"/>
          <w:color w:val="000000" w:themeColor="text1" w:themeTint="FF" w:themeShade="FF"/>
          <w:sz w:val="24"/>
          <w:szCs w:val="24"/>
          <w:u w:val="single"/>
        </w:rPr>
        <w:t xml:space="preserve">Hydrogen injected into natural gas pipelines </w:t>
      </w:r>
      <w:r w:rsidRPr="26CB2657" w:rsidR="35BC0074">
        <w:rPr>
          <w:rFonts w:ascii="Arial" w:hAnsi="Arial" w:eastAsia="Arial" w:cs="Arial"/>
          <w:b w:val="1"/>
          <w:bCs w:val="1"/>
          <w:color w:val="000000" w:themeColor="text1" w:themeTint="FF" w:themeShade="FF"/>
          <w:sz w:val="24"/>
          <w:szCs w:val="24"/>
          <w:u w:val="single"/>
        </w:rPr>
        <w:t xml:space="preserve">must </w:t>
      </w:r>
      <w:r w:rsidRPr="26CB2657" w:rsidR="65F7390A">
        <w:rPr>
          <w:rFonts w:ascii="Arial" w:hAnsi="Arial" w:eastAsia="Arial" w:cs="Arial"/>
          <w:b w:val="1"/>
          <w:bCs w:val="1"/>
          <w:color w:val="000000" w:themeColor="text1" w:themeTint="FF" w:themeShade="FF"/>
          <w:sz w:val="24"/>
          <w:szCs w:val="24"/>
          <w:u w:val="single"/>
        </w:rPr>
        <w:t>not be an end use.</w:t>
      </w:r>
    </w:p>
    <w:p w:rsidR="26CB2657" w:rsidP="26CB2657" w:rsidRDefault="26CB2657" w14:paraId="6D3EC3A6" w14:textId="657FD765">
      <w:pPr>
        <w:pStyle w:val="Normal"/>
        <w:ind w:right="-20"/>
        <w:rPr>
          <w:rFonts w:ascii="Arial" w:hAnsi="Arial" w:eastAsia="Arial" w:cs="Arial"/>
          <w:b w:val="1"/>
          <w:bCs w:val="1"/>
          <w:color w:val="000000" w:themeColor="text1" w:themeTint="FF" w:themeShade="FF"/>
          <w:sz w:val="24"/>
          <w:szCs w:val="24"/>
          <w:u w:val="single"/>
        </w:rPr>
      </w:pPr>
    </w:p>
    <w:p w:rsidR="6CAA68E4" w:rsidP="6A04F2B4" w:rsidRDefault="6CAA68E4" w14:paraId="43A7944A" w14:textId="429261EB">
      <w:pPr>
        <w:pStyle w:val="ListParagraph"/>
        <w:numPr>
          <w:ilvl w:val="0"/>
          <w:numId w:val="1"/>
        </w:numPr>
        <w:ind w:right="-20"/>
        <w:rPr>
          <w:rFonts w:ascii="Arial" w:hAnsi="Arial" w:eastAsia="Arial" w:cs="Arial"/>
          <w:b w:val="1"/>
          <w:bCs w:val="1"/>
          <w:color w:val="000000" w:themeColor="text1" w:themeTint="FF" w:themeShade="FF"/>
          <w:sz w:val="24"/>
          <w:szCs w:val="24"/>
          <w:u w:val="single"/>
        </w:rPr>
      </w:pPr>
      <w:r w:rsidRPr="6A04F2B4" w:rsidR="6CAA68E4">
        <w:rPr>
          <w:rFonts w:ascii="Arial" w:hAnsi="Arial" w:eastAsia="Arial" w:cs="Arial"/>
          <w:b w:val="1"/>
          <w:bCs w:val="1"/>
          <w:color w:val="000000" w:themeColor="text1" w:themeTint="FF" w:themeShade="FF"/>
          <w:sz w:val="24"/>
          <w:szCs w:val="24"/>
          <w:u w:val="none"/>
        </w:rPr>
        <w:t>Page 9, Section I.C.</w:t>
      </w:r>
    </w:p>
    <w:p w:rsidR="6CAA68E4" w:rsidP="6A04F2B4" w:rsidRDefault="6CAA68E4" w14:paraId="70E70077" w14:textId="7955D8BD">
      <w:pPr>
        <w:rPr>
          <w:rFonts w:ascii="Arial" w:hAnsi="Arial" w:eastAsia="Arial" w:cs="Arial"/>
          <w:b w:val="1"/>
          <w:bCs w:val="1"/>
          <w:noProof w:val="0"/>
          <w:sz w:val="24"/>
          <w:szCs w:val="24"/>
          <w:u w:val="single"/>
          <w:lang w:val="en-US"/>
        </w:rPr>
      </w:pPr>
      <w:r w:rsidRPr="6A04F2B4" w:rsidR="6CAA68E4">
        <w:rPr>
          <w:rFonts w:ascii="Arial" w:hAnsi="Arial" w:eastAsia="Arial" w:cs="Arial"/>
          <w:noProof w:val="0"/>
          <w:sz w:val="24"/>
          <w:szCs w:val="24"/>
          <w:lang w:val="en-US"/>
        </w:rPr>
        <w:t xml:space="preserve">Additionally, </w:t>
      </w:r>
      <w:r w:rsidRPr="6A04F2B4" w:rsidR="6CAA68E4">
        <w:rPr>
          <w:rFonts w:ascii="Arial" w:hAnsi="Arial" w:eastAsia="Arial" w:cs="Arial"/>
          <w:noProof w:val="0"/>
          <w:sz w:val="24"/>
          <w:szCs w:val="24"/>
          <w:lang w:val="en-US"/>
        </w:rPr>
        <w:t>offtakers</w:t>
      </w:r>
      <w:r w:rsidRPr="6A04F2B4" w:rsidR="6CAA68E4">
        <w:rPr>
          <w:rFonts w:ascii="Arial" w:hAnsi="Arial" w:eastAsia="Arial" w:cs="Arial"/>
          <w:noProof w:val="0"/>
          <w:sz w:val="24"/>
          <w:szCs w:val="24"/>
          <w:lang w:val="en-US"/>
        </w:rPr>
        <w:t xml:space="preserve"> must not be </w:t>
      </w:r>
      <w:r w:rsidRPr="6A04F2B4" w:rsidR="6CAA68E4">
        <w:rPr>
          <w:rFonts w:ascii="Arial" w:hAnsi="Arial" w:eastAsia="Arial" w:cs="Arial"/>
          <w:noProof w:val="0"/>
          <w:sz w:val="24"/>
          <w:szCs w:val="24"/>
          <w:lang w:val="en-US"/>
        </w:rPr>
        <w:t>located</w:t>
      </w:r>
      <w:r w:rsidRPr="6A04F2B4" w:rsidR="6CAA68E4">
        <w:rPr>
          <w:rFonts w:ascii="Arial" w:hAnsi="Arial" w:eastAsia="Arial" w:cs="Arial"/>
          <w:noProof w:val="0"/>
          <w:sz w:val="24"/>
          <w:szCs w:val="24"/>
          <w:lang w:val="en-US"/>
        </w:rPr>
        <w:t xml:space="preserve"> on the same site as the production facility.</w:t>
      </w:r>
      <w:r w:rsidRPr="6A04F2B4" w:rsidR="6CAA68E4">
        <w:rPr>
          <w:rFonts w:ascii="Arial" w:hAnsi="Arial" w:eastAsia="Arial" w:cs="Arial"/>
          <w:noProof w:val="0"/>
          <w:sz w:val="24"/>
          <w:szCs w:val="24"/>
          <w:vertAlign w:val="superscript"/>
          <w:lang w:val="en-US"/>
        </w:rPr>
        <w:t>12</w:t>
      </w:r>
    </w:p>
    <w:p w:rsidR="6CAA68E4" w:rsidP="6A04F2B4" w:rsidRDefault="6CAA68E4" w14:paraId="5EC8D3A2" w14:textId="2D1851EE">
      <w:pPr>
        <w:rPr>
          <w:rFonts w:ascii="Arial" w:hAnsi="Arial" w:eastAsia="Arial" w:cs="Arial"/>
          <w:b w:val="1"/>
          <w:bCs w:val="1"/>
          <w:noProof w:val="0"/>
          <w:sz w:val="24"/>
          <w:szCs w:val="24"/>
          <w:u w:val="single"/>
          <w:lang w:val="en-US"/>
        </w:rPr>
      </w:pPr>
      <w:r w:rsidRPr="6A04F2B4" w:rsidR="6CAA68E4">
        <w:rPr>
          <w:rFonts w:ascii="Arial" w:hAnsi="Arial" w:eastAsia="Arial" w:cs="Arial"/>
          <w:noProof w:val="0"/>
          <w:sz w:val="24"/>
          <w:szCs w:val="24"/>
          <w:vertAlign w:val="superscript"/>
          <w:lang w:val="en-US"/>
        </w:rPr>
        <w:t>12</w:t>
      </w:r>
      <w:r w:rsidRPr="6A04F2B4" w:rsidR="6CAA68E4">
        <w:rPr>
          <w:rFonts w:ascii="Arial" w:hAnsi="Arial" w:eastAsia="Arial" w:cs="Arial"/>
          <w:noProof w:val="0"/>
          <w:sz w:val="24"/>
          <w:szCs w:val="24"/>
          <w:lang w:val="en-US"/>
        </w:rPr>
        <w:t xml:space="preserve"> For the purposes of this solicitation, a production facility may not be </w:t>
      </w:r>
      <w:r w:rsidRPr="6A04F2B4" w:rsidR="6CAA68E4">
        <w:rPr>
          <w:rFonts w:ascii="Arial" w:hAnsi="Arial" w:eastAsia="Arial" w:cs="Arial"/>
          <w:noProof w:val="0"/>
          <w:sz w:val="24"/>
          <w:szCs w:val="24"/>
          <w:lang w:val="en-US"/>
        </w:rPr>
        <w:t>located</w:t>
      </w:r>
      <w:r w:rsidRPr="6A04F2B4" w:rsidR="6CAA68E4">
        <w:rPr>
          <w:rFonts w:ascii="Arial" w:hAnsi="Arial" w:eastAsia="Arial" w:cs="Arial"/>
          <w:noProof w:val="0"/>
          <w:sz w:val="24"/>
          <w:szCs w:val="24"/>
          <w:lang w:val="en-US"/>
        </w:rPr>
        <w:t xml:space="preserve"> on the same or [</w:t>
      </w:r>
      <w:r w:rsidRPr="6A04F2B4" w:rsidR="6CAA68E4">
        <w:rPr>
          <w:rFonts w:ascii="Arial" w:hAnsi="Arial" w:eastAsia="Arial" w:cs="Arial"/>
          <w:strike w:val="1"/>
          <w:noProof w:val="0"/>
          <w:sz w:val="24"/>
          <w:szCs w:val="24"/>
          <w:lang w:val="en-US"/>
        </w:rPr>
        <w:t>geographically]</w:t>
      </w:r>
      <w:r w:rsidRPr="6A04F2B4" w:rsidR="6CAA68E4">
        <w:rPr>
          <w:rFonts w:ascii="Arial" w:hAnsi="Arial" w:eastAsia="Arial" w:cs="Arial"/>
          <w:noProof w:val="0"/>
          <w:sz w:val="24"/>
          <w:szCs w:val="24"/>
          <w:lang w:val="en-US"/>
        </w:rPr>
        <w:t xml:space="preserve"> contiguous </w:t>
      </w:r>
      <w:r w:rsidRPr="6A04F2B4" w:rsidR="6CAA68E4">
        <w:rPr>
          <w:rFonts w:ascii="Arial" w:hAnsi="Arial" w:eastAsia="Arial" w:cs="Arial"/>
          <w:b w:val="1"/>
          <w:bCs w:val="1"/>
          <w:noProof w:val="0"/>
          <w:sz w:val="24"/>
          <w:szCs w:val="24"/>
          <w:u w:val="single"/>
          <w:lang w:val="en-US"/>
        </w:rPr>
        <w:t>parcels, which may be divided by public or private right-of-way,</w:t>
      </w:r>
      <w:r w:rsidRPr="6A04F2B4" w:rsidR="6CAA68E4">
        <w:rPr>
          <w:rFonts w:ascii="Arial" w:hAnsi="Arial" w:eastAsia="Arial" w:cs="Arial"/>
          <w:noProof w:val="0"/>
          <w:sz w:val="24"/>
          <w:szCs w:val="24"/>
          <w:lang w:val="en-US"/>
        </w:rPr>
        <w:t xml:space="preserve"> [</w:t>
      </w:r>
      <w:r w:rsidRPr="6A04F2B4" w:rsidR="6CAA68E4">
        <w:rPr>
          <w:rFonts w:ascii="Arial" w:hAnsi="Arial" w:eastAsia="Arial" w:cs="Arial"/>
          <w:strike w:val="1"/>
          <w:noProof w:val="0"/>
          <w:sz w:val="24"/>
          <w:szCs w:val="24"/>
          <w:lang w:val="en-US"/>
        </w:rPr>
        <w:t>property]</w:t>
      </w:r>
      <w:r w:rsidRPr="6A04F2B4" w:rsidR="6CAA68E4">
        <w:rPr>
          <w:rFonts w:ascii="Arial" w:hAnsi="Arial" w:eastAsia="Arial" w:cs="Arial"/>
          <w:noProof w:val="0"/>
          <w:sz w:val="24"/>
          <w:szCs w:val="24"/>
          <w:lang w:val="en-US"/>
        </w:rPr>
        <w:t xml:space="preserve"> as the hydrogen </w:t>
      </w:r>
      <w:r w:rsidRPr="6A04F2B4" w:rsidR="6CAA68E4">
        <w:rPr>
          <w:rFonts w:ascii="Arial" w:hAnsi="Arial" w:eastAsia="Arial" w:cs="Arial"/>
          <w:noProof w:val="0"/>
          <w:sz w:val="24"/>
          <w:szCs w:val="24"/>
          <w:lang w:val="en-US"/>
        </w:rPr>
        <w:t>offtaker</w:t>
      </w:r>
      <w:r w:rsidRPr="6A04F2B4" w:rsidR="6CAA68E4">
        <w:rPr>
          <w:rFonts w:ascii="Arial" w:hAnsi="Arial" w:eastAsia="Arial" w:cs="Arial"/>
          <w:noProof w:val="0"/>
          <w:sz w:val="24"/>
          <w:szCs w:val="24"/>
          <w:lang w:val="en-US"/>
        </w:rPr>
        <w:t xml:space="preserve">. </w:t>
      </w:r>
      <w:r w:rsidRPr="6A04F2B4" w:rsidR="6CAA68E4">
        <w:rPr>
          <w:rFonts w:ascii="Arial" w:hAnsi="Arial" w:eastAsia="Arial" w:cs="Arial"/>
          <w:b w:val="1"/>
          <w:bCs w:val="1"/>
          <w:noProof w:val="0"/>
          <w:sz w:val="24"/>
          <w:szCs w:val="24"/>
          <w:u w:val="single"/>
          <w:lang w:val="en-US"/>
        </w:rPr>
        <w:t>Noncontiguous parcels owned by the same entity and connected by a right-of-way that entity controls are also considered on-site property.</w:t>
      </w:r>
    </w:p>
    <w:p w:rsidR="6A04F2B4" w:rsidP="6A04F2B4" w:rsidRDefault="6A04F2B4" w14:paraId="1BA00A5D" w14:textId="072D980E">
      <w:pPr>
        <w:pStyle w:val="Normal"/>
        <w:ind w:right="-20"/>
        <w:rPr>
          <w:rFonts w:ascii="Arial" w:hAnsi="Arial" w:eastAsia="Arial" w:cs="Arial"/>
          <w:b w:val="1"/>
          <w:bCs w:val="1"/>
          <w:color w:val="000000" w:themeColor="text1" w:themeTint="FF" w:themeShade="FF"/>
          <w:sz w:val="24"/>
          <w:szCs w:val="24"/>
          <w:u w:val="single"/>
        </w:rPr>
      </w:pPr>
    </w:p>
    <w:p w:rsidRPr="00E65867" w:rsidR="2F840964" w:rsidP="00E65867" w:rsidRDefault="2F840964" w14:paraId="12293407" w14:textId="118BF005">
      <w:pPr>
        <w:pStyle w:val="ListParagraph"/>
        <w:numPr>
          <w:ilvl w:val="0"/>
          <w:numId w:val="1"/>
        </w:numPr>
        <w:ind w:right="-20"/>
        <w:rPr>
          <w:rFonts w:ascii="Arial" w:hAnsi="Arial" w:eastAsia="Arial" w:cs="Arial"/>
          <w:b/>
          <w:bCs/>
          <w:color w:val="000000" w:themeColor="text1"/>
          <w:sz w:val="24"/>
          <w:szCs w:val="24"/>
        </w:rPr>
      </w:pPr>
      <w:r w:rsidRPr="6A04F2B4" w:rsidR="2F840964">
        <w:rPr>
          <w:rFonts w:ascii="Arial" w:hAnsi="Arial" w:eastAsia="Arial" w:cs="Arial"/>
          <w:b w:val="1"/>
          <w:bCs w:val="1"/>
          <w:color w:val="000000" w:themeColor="text1" w:themeTint="FF" w:themeShade="FF"/>
          <w:sz w:val="24"/>
          <w:szCs w:val="24"/>
        </w:rPr>
        <w:t xml:space="preserve"> </w:t>
      </w:r>
      <w:r w:rsidRPr="6A04F2B4" w:rsidR="52178C63">
        <w:rPr>
          <w:rFonts w:ascii="Arial" w:hAnsi="Arial" w:eastAsia="Arial" w:cs="Arial"/>
          <w:b w:val="1"/>
          <w:bCs w:val="1"/>
          <w:color w:val="000000" w:themeColor="text1" w:themeTint="FF" w:themeShade="FF"/>
          <w:sz w:val="24"/>
          <w:szCs w:val="24"/>
        </w:rPr>
        <w:t>Page 9, Section I.C.1</w:t>
      </w:r>
      <w:r w:rsidRPr="6A04F2B4" w:rsidR="7AFB6D6F">
        <w:rPr>
          <w:rFonts w:ascii="Arial" w:hAnsi="Arial" w:eastAsia="Arial" w:cs="Arial"/>
          <w:b w:val="1"/>
          <w:bCs w:val="1"/>
          <w:color w:val="000000" w:themeColor="text1" w:themeTint="FF" w:themeShade="FF"/>
          <w:sz w:val="24"/>
          <w:szCs w:val="24"/>
        </w:rPr>
        <w:t>.</w:t>
      </w:r>
    </w:p>
    <w:p w:rsidR="7AFB6D6F" w:rsidP="76C1550A" w:rsidRDefault="7AFB6D6F" w14:paraId="65563A7E" w14:textId="60A78028">
      <w:pPr>
        <w:ind w:left="-20" w:right="-20"/>
        <w:rPr>
          <w:rFonts w:ascii="Arial" w:hAnsi="Arial" w:eastAsia="Arial" w:cs="Arial"/>
          <w:color w:val="000000" w:themeColor="text1"/>
          <w:sz w:val="24"/>
          <w:szCs w:val="24"/>
        </w:rPr>
      </w:pPr>
      <w:r w:rsidRPr="76C1550A">
        <w:rPr>
          <w:rFonts w:ascii="Arial" w:hAnsi="Arial" w:eastAsia="Arial" w:cs="Arial"/>
          <w:color w:val="000000" w:themeColor="text1"/>
          <w:sz w:val="24"/>
          <w:szCs w:val="24"/>
        </w:rPr>
        <w:t>Emit less than 0.45 kilograms carbon dioxide equivalent (CO2e) per kilogram of hydrogen produced, using a well-to-gate boundary for the lifecycle emissions assessment</w:t>
      </w:r>
      <w:r w:rsidRPr="6650A95C">
        <w:rPr>
          <w:rFonts w:ascii="Arial" w:hAnsi="Arial" w:eastAsia="Arial" w:cs="Arial"/>
          <w:color w:val="000000" w:themeColor="text1"/>
          <w:sz w:val="24"/>
          <w:szCs w:val="24"/>
        </w:rPr>
        <w:t>.</w:t>
      </w:r>
      <w:r w:rsidRPr="3C244DCC">
        <w:rPr>
          <w:rFonts w:ascii="Arial" w:hAnsi="Arial" w:eastAsia="Arial" w:cs="Arial"/>
          <w:color w:val="000000" w:themeColor="text1"/>
          <w:sz w:val="24"/>
          <w:szCs w:val="24"/>
          <w:vertAlign w:val="superscript"/>
        </w:rPr>
        <w:t xml:space="preserve">13 </w:t>
      </w:r>
    </w:p>
    <w:p w:rsidR="7AFB6D6F" w:rsidP="76C1550A" w:rsidRDefault="003E67BB" w14:paraId="0EF615FF" w14:textId="7410C1D1">
      <w:pPr>
        <w:ind w:left="-20" w:right="-20"/>
        <w:rPr>
          <w:rFonts w:ascii="Arial" w:hAnsi="Arial" w:eastAsia="Arial" w:cs="Arial"/>
          <w:b/>
          <w:bCs/>
          <w:color w:val="000000" w:themeColor="text1"/>
          <w:sz w:val="24"/>
          <w:szCs w:val="24"/>
          <w:u w:val="single"/>
        </w:rPr>
      </w:pPr>
      <w:r w:rsidRPr="00E236D3">
        <w:rPr>
          <w:rFonts w:ascii="Arial" w:hAnsi="Arial" w:eastAsia="Arial" w:cs="Arial"/>
          <w:b/>
          <w:bCs/>
          <w:color w:val="000000" w:themeColor="text1"/>
          <w:sz w:val="24"/>
          <w:szCs w:val="24"/>
          <w:u w:val="single"/>
          <w:vertAlign w:val="superscript"/>
        </w:rPr>
        <w:t>13</w:t>
      </w:r>
      <w:r w:rsidRPr="76C1550A" w:rsidDel="003E67BB" w:rsidR="7AFB6D6F">
        <w:rPr>
          <w:rFonts w:ascii="Arial" w:hAnsi="Arial" w:eastAsia="Arial" w:cs="Arial"/>
          <w:b/>
          <w:bCs/>
          <w:color w:val="000000" w:themeColor="text1"/>
          <w:sz w:val="24"/>
          <w:szCs w:val="24"/>
          <w:u w:val="single"/>
        </w:rPr>
        <w:t xml:space="preserve"> </w:t>
      </w:r>
      <w:r w:rsidRPr="76C1550A" w:rsidR="7AFB6D6F">
        <w:rPr>
          <w:rFonts w:ascii="Arial" w:hAnsi="Arial" w:eastAsia="Arial" w:cs="Arial"/>
          <w:b/>
          <w:bCs/>
          <w:color w:val="000000" w:themeColor="text1"/>
          <w:sz w:val="24"/>
          <w:szCs w:val="24"/>
          <w:u w:val="single"/>
        </w:rPr>
        <w:t xml:space="preserve">Applicants can use Argonne National Laboratory’s 45V Greenhouse gases, Regulated Emissions, and Energy use in Technologies (45VH2-GREET) Model or another publicly available methodology to evaluate criteria air pollutants and greenhouse gases using a well-to-gate system boundary. For projects with predetermined transportation end uses, the U.S. EPA’s Moter Vehicle Emission Simulator (MOVES) modeling system may be used to estimate criteria air pollutants and greenhouse gases. For more information, please visit </w:t>
      </w:r>
      <w:hyperlink r:id="rId8">
        <w:r w:rsidRPr="76C1550A" w:rsidR="7AFB6D6F">
          <w:rPr>
            <w:rStyle w:val="Hyperlink"/>
            <w:rFonts w:ascii="Arial" w:hAnsi="Arial" w:eastAsia="Arial" w:cs="Arial"/>
            <w:b/>
            <w:bCs/>
            <w:sz w:val="24"/>
            <w:szCs w:val="24"/>
          </w:rPr>
          <w:t>https://www.energy.gov/eere/greet</w:t>
        </w:r>
      </w:hyperlink>
      <w:r w:rsidRPr="76C1550A" w:rsidR="7AFB6D6F">
        <w:rPr>
          <w:rFonts w:ascii="Arial" w:hAnsi="Arial" w:eastAsia="Arial" w:cs="Arial"/>
          <w:b/>
          <w:bCs/>
          <w:color w:val="000000" w:themeColor="text1"/>
          <w:sz w:val="24"/>
          <w:szCs w:val="24"/>
          <w:u w:val="single"/>
        </w:rPr>
        <w:t xml:space="preserve"> and </w:t>
      </w:r>
      <w:hyperlink r:id="rId9">
        <w:r w:rsidRPr="76C1550A" w:rsidR="7AFB6D6F">
          <w:rPr>
            <w:rStyle w:val="Hyperlink"/>
            <w:rFonts w:ascii="Arial" w:hAnsi="Arial" w:eastAsia="Arial" w:cs="Arial"/>
            <w:b/>
            <w:bCs/>
            <w:sz w:val="24"/>
            <w:szCs w:val="24"/>
          </w:rPr>
          <w:t>https://www.epa.gov/moves</w:t>
        </w:r>
      </w:hyperlink>
      <w:r w:rsidRPr="76C1550A" w:rsidR="7AFB6D6F">
        <w:rPr>
          <w:rFonts w:ascii="Arial" w:hAnsi="Arial" w:eastAsia="Arial" w:cs="Arial"/>
          <w:b/>
          <w:bCs/>
          <w:color w:val="000000" w:themeColor="text1"/>
          <w:sz w:val="24"/>
          <w:szCs w:val="24"/>
          <w:u w:val="single"/>
        </w:rPr>
        <w:t xml:space="preserve">. </w:t>
      </w:r>
    </w:p>
    <w:p w:rsidR="76C1550A" w:rsidP="76C1550A" w:rsidRDefault="76C1550A" w14:paraId="64DD9CDA" w14:textId="6687DB85">
      <w:pPr>
        <w:ind w:left="-20" w:right="-20"/>
        <w:rPr>
          <w:rFonts w:ascii="Arial" w:hAnsi="Arial" w:eastAsia="Arial" w:cs="Arial"/>
          <w:b/>
          <w:bCs/>
          <w:color w:val="000000" w:themeColor="text1"/>
          <w:sz w:val="24"/>
          <w:szCs w:val="24"/>
          <w:u w:val="single"/>
        </w:rPr>
      </w:pPr>
    </w:p>
    <w:p w:rsidRPr="00E65867" w:rsidR="23A43AF8" w:rsidP="00E65867" w:rsidRDefault="00C31628" w14:paraId="690D9E9D" w14:textId="38422385">
      <w:pPr>
        <w:pStyle w:val="ListParagraph"/>
        <w:numPr>
          <w:ilvl w:val="0"/>
          <w:numId w:val="1"/>
        </w:numPr>
        <w:ind w:right="-20"/>
        <w:rPr>
          <w:rFonts w:ascii="Arial" w:hAnsi="Arial" w:eastAsia="Arial" w:cs="Arial"/>
          <w:b/>
          <w:bCs/>
          <w:color w:val="000000" w:themeColor="text1"/>
          <w:sz w:val="24"/>
          <w:szCs w:val="24"/>
        </w:rPr>
      </w:pPr>
      <w:r w:rsidRPr="6A04F2B4" w:rsidR="00C31628">
        <w:rPr>
          <w:rFonts w:ascii="Arial" w:hAnsi="Arial" w:eastAsia="Arial" w:cs="Arial"/>
          <w:b w:val="1"/>
          <w:bCs w:val="1"/>
          <w:color w:val="000000" w:themeColor="text1" w:themeTint="FF" w:themeShade="FF"/>
          <w:sz w:val="24"/>
          <w:szCs w:val="24"/>
        </w:rPr>
        <w:t>Page 10, Section I.C.1</w:t>
      </w:r>
    </w:p>
    <w:p w:rsidR="00C31628" w:rsidP="76C1550A" w:rsidRDefault="00C31628" w14:paraId="000A1D86" w14:textId="4977AB60">
      <w:pPr>
        <w:ind w:left="-20" w:right="-20"/>
        <w:rPr>
          <w:rFonts w:ascii="Arial" w:hAnsi="Arial" w:eastAsia="Arial" w:cs="Arial"/>
          <w:color w:val="000000" w:themeColor="text1"/>
          <w:sz w:val="24"/>
          <w:szCs w:val="24"/>
        </w:rPr>
      </w:pPr>
      <w:r w:rsidRPr="76C1550A">
        <w:rPr>
          <w:rFonts w:ascii="Arial" w:hAnsi="Arial" w:eastAsia="Arial" w:cs="Arial"/>
          <w:color w:val="000000" w:themeColor="text1"/>
          <w:sz w:val="24"/>
          <w:szCs w:val="24"/>
        </w:rPr>
        <w:t>g) Use 100 percent renewable energy resources onsite, a PPA with bundled RECs, grid power with bundled RECs, or a combination of these to source renewable energy in California</w:t>
      </w:r>
      <w:r w:rsidRPr="097D49C6">
        <w:rPr>
          <w:rFonts w:ascii="Arial" w:hAnsi="Arial" w:eastAsia="Arial" w:cs="Arial"/>
          <w:color w:val="000000" w:themeColor="text1"/>
          <w:sz w:val="24"/>
          <w:szCs w:val="24"/>
        </w:rPr>
        <w:t>.</w:t>
      </w:r>
      <w:r w:rsidRPr="008E09C9" w:rsidR="639F9066">
        <w:rPr>
          <w:rFonts w:ascii="Arial" w:hAnsi="Arial" w:eastAsia="Arial" w:cs="Arial"/>
          <w:color w:val="000000" w:themeColor="text1"/>
          <w:sz w:val="24"/>
          <w:szCs w:val="24"/>
          <w:vertAlign w:val="superscript"/>
        </w:rPr>
        <w:t>1</w:t>
      </w:r>
      <w:r w:rsidRPr="008E09C9">
        <w:rPr>
          <w:rFonts w:ascii="Arial" w:hAnsi="Arial" w:eastAsia="Arial" w:cs="Arial"/>
          <w:color w:val="000000" w:themeColor="text1"/>
          <w:sz w:val="24"/>
          <w:szCs w:val="24"/>
          <w:vertAlign w:val="superscript"/>
        </w:rPr>
        <w:t>4</w:t>
      </w:r>
    </w:p>
    <w:p w:rsidR="00C31628" w:rsidP="76C1550A" w:rsidRDefault="00C31628" w14:paraId="7AA7177B" w14:textId="45DC1AF5">
      <w:pPr>
        <w:ind w:left="-20" w:right="-20"/>
      </w:pPr>
      <w:r w:rsidRPr="76D70010">
        <w:rPr>
          <w:rFonts w:ascii="Arial" w:hAnsi="Arial" w:eastAsia="Arial" w:cs="Arial"/>
          <w:b/>
          <w:bCs/>
          <w:color w:val="000000" w:themeColor="text1"/>
          <w:sz w:val="24"/>
          <w:szCs w:val="24"/>
          <w:u w:val="single"/>
          <w:vertAlign w:val="superscript"/>
        </w:rPr>
        <w:t>14</w:t>
      </w:r>
      <w:r w:rsidRPr="76D70010" w:rsidR="309AA740">
        <w:rPr>
          <w:rFonts w:ascii="Arial" w:hAnsi="Arial" w:eastAsia="Arial" w:cs="Arial"/>
          <w:b/>
          <w:bCs/>
          <w:color w:val="000000" w:themeColor="text1"/>
          <w:sz w:val="24"/>
          <w:szCs w:val="24"/>
          <w:u w:val="single"/>
          <w:vertAlign w:val="superscript"/>
        </w:rPr>
        <w:t xml:space="preserve"> </w:t>
      </w:r>
      <w:r w:rsidRPr="76D70010">
        <w:rPr>
          <w:rFonts w:ascii="Arial" w:hAnsi="Arial" w:eastAsia="Arial" w:cs="Arial"/>
          <w:b/>
          <w:bCs/>
          <w:color w:val="000000" w:themeColor="text1"/>
          <w:sz w:val="24"/>
          <w:szCs w:val="24"/>
          <w:u w:val="single"/>
        </w:rPr>
        <w:t xml:space="preserve">Applicants can refer to the requirements and definitions for a </w:t>
      </w:r>
      <w:r w:rsidRPr="76D70010" w:rsidR="368B51BB">
        <w:rPr>
          <w:rFonts w:ascii="Arial" w:hAnsi="Arial" w:eastAsia="Arial" w:cs="Arial"/>
          <w:b/>
          <w:bCs/>
          <w:color w:val="000000" w:themeColor="text1"/>
          <w:sz w:val="24"/>
          <w:szCs w:val="24"/>
          <w:u w:val="single"/>
        </w:rPr>
        <w:t xml:space="preserve">Portfolio Content Category 1 </w:t>
      </w:r>
      <w:r w:rsidRPr="76D70010">
        <w:rPr>
          <w:rFonts w:ascii="Arial" w:hAnsi="Arial" w:eastAsia="Arial" w:cs="Arial"/>
          <w:b/>
          <w:bCs/>
          <w:color w:val="000000" w:themeColor="text1"/>
          <w:sz w:val="24"/>
          <w:szCs w:val="24"/>
          <w:u w:val="single"/>
        </w:rPr>
        <w:t xml:space="preserve">REC found in the Public Utilities Code Section 299.16 and RPS Enforcement Regulations for Publicly Owned Utilities. For more information, please visit California Public Utilities Code Section 399.16 available at </w:t>
      </w:r>
      <w:hyperlink r:id="rId10">
        <w:r w:rsidRPr="76D70010">
          <w:rPr>
            <w:rStyle w:val="Hyperlink"/>
            <w:rFonts w:ascii="Arial" w:hAnsi="Arial" w:eastAsia="Arial" w:cs="Arial"/>
            <w:b/>
            <w:bCs/>
            <w:sz w:val="24"/>
            <w:szCs w:val="24"/>
          </w:rPr>
          <w:t>https://california.public.law/codes/ca_pub_util_code_section_399.16</w:t>
        </w:r>
      </w:hyperlink>
      <w:r w:rsidRPr="76D70010">
        <w:rPr>
          <w:rFonts w:ascii="Arial" w:hAnsi="Arial" w:eastAsia="Arial" w:cs="Arial"/>
          <w:b/>
          <w:bCs/>
          <w:color w:val="000000" w:themeColor="text1"/>
          <w:sz w:val="24"/>
          <w:szCs w:val="24"/>
          <w:u w:val="single"/>
        </w:rPr>
        <w:t xml:space="preserve">, and RPS Enforcement Regulations for Publicly Owned Utilities available on the CEC website at </w:t>
      </w:r>
      <w:hyperlink r:id="rId11">
        <w:r w:rsidRPr="76D70010">
          <w:rPr>
            <w:rStyle w:val="Hyperlink"/>
            <w:rFonts w:ascii="Arial" w:hAnsi="Arial" w:eastAsia="Arial" w:cs="Arial"/>
            <w:b/>
            <w:bCs/>
            <w:sz w:val="24"/>
            <w:szCs w:val="24"/>
          </w:rPr>
          <w:t>https://www.energy.ca.gov/programs-and-topics/programs/renewables-portfolio-standard/rps-enforcement-regulations-publicly</w:t>
        </w:r>
      </w:hyperlink>
      <w:r w:rsidRPr="76D70010">
        <w:rPr>
          <w:rFonts w:ascii="Arial" w:hAnsi="Arial" w:eastAsia="Arial" w:cs="Arial"/>
          <w:b/>
          <w:bCs/>
          <w:color w:val="000000" w:themeColor="text1"/>
          <w:sz w:val="24"/>
          <w:szCs w:val="24"/>
          <w:u w:val="single"/>
        </w:rPr>
        <w:t>.</w:t>
      </w:r>
    </w:p>
    <w:p w:rsidR="76C1550A" w:rsidP="76C1550A" w:rsidRDefault="76C1550A" w14:paraId="3ACF573C" w14:textId="05F105AB">
      <w:pPr>
        <w:ind w:left="-20" w:right="-20"/>
        <w:rPr>
          <w:rFonts w:ascii="Arial" w:hAnsi="Arial" w:eastAsia="Arial" w:cs="Arial"/>
          <w:b/>
          <w:bCs/>
          <w:color w:val="000000" w:themeColor="text1"/>
          <w:sz w:val="24"/>
          <w:szCs w:val="24"/>
          <w:u w:val="single"/>
        </w:rPr>
      </w:pPr>
    </w:p>
    <w:p w:rsidRPr="00E65867" w:rsidR="62CBBE5D" w:rsidP="00E65867" w:rsidRDefault="62CBBE5D" w14:paraId="3DB7AE31" w14:textId="2422FC13">
      <w:pPr>
        <w:pStyle w:val="ListParagraph"/>
        <w:numPr>
          <w:ilvl w:val="0"/>
          <w:numId w:val="1"/>
        </w:numPr>
        <w:ind w:right="-20"/>
        <w:rPr>
          <w:rFonts w:ascii="Arial" w:hAnsi="Arial" w:eastAsia="Arial" w:cs="Arial"/>
          <w:b/>
          <w:bCs/>
          <w:color w:val="000000" w:themeColor="text1"/>
          <w:sz w:val="24"/>
          <w:szCs w:val="24"/>
        </w:rPr>
      </w:pPr>
      <w:r w:rsidRPr="6A04F2B4" w:rsidR="62CBBE5D">
        <w:rPr>
          <w:rFonts w:ascii="Arial" w:hAnsi="Arial" w:eastAsia="Arial" w:cs="Arial"/>
          <w:b w:val="1"/>
          <w:bCs w:val="1"/>
          <w:color w:val="000000" w:themeColor="text1" w:themeTint="FF" w:themeShade="FF"/>
          <w:sz w:val="24"/>
          <w:szCs w:val="24"/>
        </w:rPr>
        <w:t>Page 10, Section I.C.1.</w:t>
      </w:r>
    </w:p>
    <w:p w:rsidR="62CBBE5D" w:rsidP="76C1550A" w:rsidRDefault="62CBBE5D" w14:paraId="2D1458CE" w14:textId="56B337D2">
      <w:pPr>
        <w:ind w:left="-20" w:right="-20"/>
        <w:rPr>
          <w:rFonts w:ascii="Arial" w:hAnsi="Arial" w:eastAsia="Arial" w:cs="Arial"/>
          <w:color w:val="000000" w:themeColor="text1"/>
          <w:sz w:val="24"/>
          <w:szCs w:val="24"/>
        </w:rPr>
      </w:pPr>
      <w:r w:rsidRPr="76C1550A">
        <w:rPr>
          <w:rFonts w:ascii="Arial" w:hAnsi="Arial" w:eastAsia="Arial" w:cs="Arial"/>
          <w:color w:val="000000" w:themeColor="text1"/>
          <w:sz w:val="24"/>
          <w:szCs w:val="24"/>
        </w:rPr>
        <w:t xml:space="preserve">If renewable electricity is acquired through a PPA or the California electric grid, associated RECs must be purchased.   </w:t>
      </w:r>
    </w:p>
    <w:p w:rsidR="62CBBE5D" w:rsidP="76C1550A" w:rsidRDefault="62CBBE5D" w14:paraId="65A3C6A8" w14:textId="055F320F">
      <w:pPr>
        <w:ind w:left="-20" w:right="-20"/>
        <w:rPr>
          <w:rFonts w:ascii="Arial" w:hAnsi="Arial" w:eastAsia="Arial" w:cs="Arial"/>
          <w:color w:val="000000" w:themeColor="text1"/>
          <w:sz w:val="24"/>
          <w:szCs w:val="24"/>
        </w:rPr>
      </w:pPr>
      <w:r w:rsidRPr="76C1550A">
        <w:rPr>
          <w:rFonts w:ascii="Arial" w:hAnsi="Arial" w:eastAsia="Arial" w:cs="Arial"/>
          <w:color w:val="000000" w:themeColor="text1"/>
          <w:sz w:val="24"/>
          <w:szCs w:val="24"/>
        </w:rPr>
        <w:t>RECs must be retired in the Western Renewable Energy Generation Information System (WREGIS) for the production of hydrogen in the proposed system</w:t>
      </w:r>
      <w:r w:rsidRPr="7598B2A2">
        <w:rPr>
          <w:rFonts w:ascii="Arial" w:hAnsi="Arial" w:eastAsia="Arial" w:cs="Arial"/>
          <w:color w:val="000000" w:themeColor="text1"/>
          <w:sz w:val="24"/>
          <w:szCs w:val="24"/>
        </w:rPr>
        <w:t>.</w:t>
      </w:r>
      <w:r w:rsidRPr="7598B2A2" w:rsidR="40349D04">
        <w:rPr>
          <w:rFonts w:ascii="Arial" w:hAnsi="Arial" w:eastAsia="Arial" w:cs="Arial"/>
          <w:color w:val="000000" w:themeColor="text1"/>
          <w:sz w:val="24"/>
          <w:szCs w:val="24"/>
          <w:vertAlign w:val="superscript"/>
        </w:rPr>
        <w:t>15</w:t>
      </w:r>
      <w:r w:rsidRPr="76C1550A">
        <w:rPr>
          <w:rFonts w:ascii="Arial" w:hAnsi="Arial" w:eastAsia="Arial" w:cs="Arial"/>
          <w:color w:val="000000" w:themeColor="text1"/>
          <w:sz w:val="24"/>
          <w:szCs w:val="24"/>
        </w:rPr>
        <w:t xml:space="preserve">  </w:t>
      </w:r>
    </w:p>
    <w:p w:rsidR="62CBBE5D" w:rsidP="76C1550A" w:rsidRDefault="62CBBE5D" w14:paraId="5176765B" w14:textId="3F46B387">
      <w:pPr>
        <w:ind w:left="-20" w:right="-20"/>
        <w:rPr>
          <w:rFonts w:ascii="Arial" w:hAnsi="Arial" w:eastAsia="Arial" w:cs="Arial"/>
          <w:b/>
          <w:bCs/>
          <w:color w:val="000000" w:themeColor="text1"/>
          <w:sz w:val="24"/>
          <w:szCs w:val="24"/>
          <w:u w:val="single"/>
        </w:rPr>
      </w:pPr>
      <w:r w:rsidRPr="0FCD09F9">
        <w:rPr>
          <w:rFonts w:ascii="Arial" w:hAnsi="Arial" w:eastAsia="Arial" w:cs="Arial"/>
          <w:b/>
          <w:color w:val="000000" w:themeColor="text1"/>
          <w:sz w:val="24"/>
          <w:szCs w:val="24"/>
          <w:u w:val="single"/>
          <w:vertAlign w:val="superscript"/>
        </w:rPr>
        <w:t>15</w:t>
      </w:r>
      <w:r w:rsidRPr="76C1550A">
        <w:rPr>
          <w:rFonts w:ascii="Arial" w:hAnsi="Arial" w:eastAsia="Arial" w:cs="Arial"/>
          <w:b/>
          <w:bCs/>
          <w:color w:val="000000" w:themeColor="text1"/>
          <w:sz w:val="24"/>
          <w:szCs w:val="24"/>
          <w:u w:val="single"/>
        </w:rPr>
        <w:t xml:space="preserve"> Further information about WREGIS can be found at: </w:t>
      </w:r>
      <w:hyperlink r:id="rId12">
        <w:r w:rsidRPr="76C1550A">
          <w:rPr>
            <w:rStyle w:val="Hyperlink"/>
            <w:rFonts w:ascii="Arial" w:hAnsi="Arial" w:eastAsia="Arial" w:cs="Arial"/>
            <w:b/>
            <w:bCs/>
            <w:sz w:val="24"/>
            <w:szCs w:val="24"/>
          </w:rPr>
          <w:t>www.wecc.biz/WREGIS. </w:t>
        </w:r>
      </w:hyperlink>
    </w:p>
    <w:p w:rsidR="76C1550A" w:rsidP="76C1550A" w:rsidRDefault="76C1550A" w14:paraId="1E24BD62" w14:textId="35FC9C4D">
      <w:pPr>
        <w:ind w:left="-20" w:right="-20"/>
        <w:rPr>
          <w:rFonts w:ascii="Arial" w:hAnsi="Arial" w:eastAsia="Arial" w:cs="Arial"/>
          <w:b/>
          <w:bCs/>
          <w:color w:val="000000" w:themeColor="text1"/>
          <w:sz w:val="24"/>
          <w:szCs w:val="24"/>
          <w:u w:val="single"/>
        </w:rPr>
      </w:pPr>
    </w:p>
    <w:p w:rsidRPr="00E65867" w:rsidR="2DBC1326" w:rsidP="00E65867" w:rsidRDefault="2DBC1326" w14:paraId="410BDDF0" w14:textId="417E5E85">
      <w:pPr>
        <w:pStyle w:val="ListParagraph"/>
        <w:numPr>
          <w:ilvl w:val="0"/>
          <w:numId w:val="1"/>
        </w:numPr>
        <w:ind w:right="-20"/>
        <w:rPr>
          <w:rFonts w:ascii="Arial" w:hAnsi="Arial" w:eastAsia="Arial" w:cs="Arial"/>
          <w:b/>
          <w:bCs/>
          <w:color w:val="000000" w:themeColor="text1"/>
          <w:sz w:val="24"/>
          <w:szCs w:val="24"/>
        </w:rPr>
      </w:pPr>
      <w:r w:rsidRPr="6A04F2B4" w:rsidR="2DBC1326">
        <w:rPr>
          <w:rFonts w:ascii="Arial" w:hAnsi="Arial" w:eastAsia="Arial" w:cs="Arial"/>
          <w:b w:val="1"/>
          <w:bCs w:val="1"/>
          <w:color w:val="000000" w:themeColor="text1" w:themeTint="FF" w:themeShade="FF"/>
          <w:sz w:val="24"/>
          <w:szCs w:val="24"/>
        </w:rPr>
        <w:t>Page 10, Section I.C.1</w:t>
      </w:r>
    </w:p>
    <w:p w:rsidR="2DBC1326" w:rsidP="76C1550A" w:rsidRDefault="2DBC1326" w14:paraId="5D49AE01" w14:textId="22EA4903">
      <w:pPr>
        <w:ind w:left="-20" w:right="-20"/>
        <w:rPr>
          <w:rFonts w:ascii="Arial" w:hAnsi="Arial" w:eastAsia="Arial" w:cs="Arial"/>
          <w:color w:val="000000" w:themeColor="text1"/>
          <w:sz w:val="24"/>
          <w:szCs w:val="24"/>
        </w:rPr>
      </w:pPr>
      <w:r w:rsidRPr="76C1550A">
        <w:rPr>
          <w:rFonts w:ascii="Arial" w:hAnsi="Arial" w:eastAsia="Arial" w:cs="Arial"/>
          <w:color w:val="000000" w:themeColor="text1"/>
          <w:sz w:val="24"/>
          <w:szCs w:val="24"/>
        </w:rPr>
        <w:t>Demonstrate the system for a minimum of 10 cumulative months</w:t>
      </w:r>
      <w:r w:rsidRPr="5409118A">
        <w:rPr>
          <w:rFonts w:ascii="Arial" w:hAnsi="Arial" w:eastAsia="Arial" w:cs="Arial"/>
          <w:color w:val="000000" w:themeColor="text1"/>
          <w:sz w:val="24"/>
          <w:szCs w:val="24"/>
        </w:rPr>
        <w:t>.</w:t>
      </w:r>
      <w:r w:rsidRPr="43D306CD">
        <w:rPr>
          <w:rFonts w:ascii="Arial" w:hAnsi="Arial" w:eastAsia="Arial" w:cs="Arial"/>
          <w:color w:val="000000" w:themeColor="text1"/>
          <w:sz w:val="24"/>
          <w:szCs w:val="24"/>
          <w:vertAlign w:val="superscript"/>
        </w:rPr>
        <w:t>16</w:t>
      </w:r>
      <w:r w:rsidRPr="76C1550A">
        <w:rPr>
          <w:rFonts w:ascii="Arial" w:hAnsi="Arial" w:eastAsia="Arial" w:cs="Arial"/>
          <w:color w:val="000000" w:themeColor="text1"/>
          <w:sz w:val="24"/>
          <w:szCs w:val="24"/>
        </w:rPr>
        <w:t xml:space="preserve"> </w:t>
      </w:r>
    </w:p>
    <w:p w:rsidR="2DBC1326" w:rsidP="76C1550A" w:rsidRDefault="2DBC1326" w14:paraId="32B561C1" w14:textId="2886B918">
      <w:pPr>
        <w:ind w:left="-20" w:right="-20"/>
        <w:rPr>
          <w:rFonts w:ascii="Arial" w:hAnsi="Arial" w:eastAsia="Arial" w:cs="Arial"/>
          <w:b w:val="1"/>
          <w:bCs w:val="1"/>
          <w:color w:val="000000" w:themeColor="text1"/>
          <w:sz w:val="24"/>
          <w:szCs w:val="24"/>
          <w:u w:val="single"/>
        </w:rPr>
      </w:pPr>
      <w:r w:rsidRPr="093E63A0" w:rsidR="2DBC1326">
        <w:rPr>
          <w:rFonts w:ascii="Arial" w:hAnsi="Arial" w:eastAsia="Arial" w:cs="Arial"/>
          <w:b w:val="1"/>
          <w:bCs w:val="1"/>
          <w:color w:val="000000" w:themeColor="text1" w:themeTint="FF" w:themeShade="FF"/>
          <w:sz w:val="24"/>
          <w:szCs w:val="24"/>
          <w:u w:val="single"/>
          <w:vertAlign w:val="superscript"/>
        </w:rPr>
        <w:t>16</w:t>
      </w:r>
      <w:r w:rsidRPr="093E63A0" w:rsidR="2DBC1326">
        <w:rPr>
          <w:rFonts w:ascii="Arial" w:hAnsi="Arial" w:eastAsia="Arial" w:cs="Arial"/>
          <w:b w:val="1"/>
          <w:bCs w:val="1"/>
          <w:color w:val="000000" w:themeColor="text1" w:themeTint="FF" w:themeShade="FF"/>
          <w:sz w:val="24"/>
          <w:szCs w:val="24"/>
          <w:u w:val="single"/>
        </w:rPr>
        <w:t xml:space="preserve"> The system should include hydrogen production (annualized average of </w:t>
      </w:r>
      <w:r w:rsidRPr="093E63A0" w:rsidR="7D0AE0D5">
        <w:rPr>
          <w:rFonts w:ascii="Arial" w:hAnsi="Arial" w:eastAsia="Arial" w:cs="Arial"/>
          <w:b w:val="1"/>
          <w:bCs w:val="1"/>
          <w:color w:val="000000" w:themeColor="text1" w:themeTint="FF" w:themeShade="FF"/>
          <w:sz w:val="24"/>
          <w:szCs w:val="24"/>
          <w:u w:val="single"/>
        </w:rPr>
        <w:t xml:space="preserve">at least </w:t>
      </w:r>
      <w:r w:rsidRPr="093E63A0" w:rsidR="2DBC1326">
        <w:rPr>
          <w:rFonts w:ascii="Arial" w:hAnsi="Arial" w:eastAsia="Arial" w:cs="Arial"/>
          <w:b w:val="1"/>
          <w:bCs w:val="1"/>
          <w:color w:val="000000" w:themeColor="text1" w:themeTint="FF" w:themeShade="FF"/>
          <w:sz w:val="24"/>
          <w:szCs w:val="24"/>
          <w:u w:val="single"/>
        </w:rPr>
        <w:t>5 metric tons per day), storage, and delivery.</w:t>
      </w:r>
    </w:p>
    <w:p w:rsidR="76C1550A" w:rsidP="76C1550A" w:rsidRDefault="76C1550A" w14:paraId="22E677CF" w14:textId="0AA049AB">
      <w:pPr>
        <w:ind w:left="-20" w:right="-20"/>
        <w:rPr>
          <w:rFonts w:ascii="Arial" w:hAnsi="Arial" w:eastAsia="Arial" w:cs="Arial"/>
          <w:b/>
          <w:bCs/>
          <w:color w:val="000000" w:themeColor="text1"/>
          <w:sz w:val="24"/>
          <w:szCs w:val="24"/>
        </w:rPr>
      </w:pPr>
    </w:p>
    <w:p w:rsidRPr="00E65867" w:rsidR="1CD2951D" w:rsidP="00E65867" w:rsidRDefault="1CD2951D" w14:paraId="4A26866C" w14:textId="01B54950">
      <w:pPr>
        <w:pStyle w:val="ListParagraph"/>
        <w:numPr>
          <w:ilvl w:val="0"/>
          <w:numId w:val="1"/>
        </w:numPr>
        <w:ind w:right="-20"/>
        <w:rPr>
          <w:rFonts w:ascii="Arial" w:hAnsi="Arial" w:eastAsia="Arial" w:cs="Arial"/>
          <w:b w:val="1"/>
          <w:bCs w:val="1"/>
          <w:color w:val="000000" w:themeColor="text1"/>
          <w:sz w:val="24"/>
          <w:szCs w:val="24"/>
        </w:rPr>
      </w:pPr>
      <w:r w:rsidRPr="6A04F2B4" w:rsidR="1CD2951D">
        <w:rPr>
          <w:rFonts w:ascii="Arial" w:hAnsi="Arial" w:eastAsia="Arial" w:cs="Arial"/>
          <w:b w:val="1"/>
          <w:bCs w:val="1"/>
          <w:color w:val="000000" w:themeColor="text1" w:themeTint="FF" w:themeShade="FF"/>
          <w:sz w:val="24"/>
          <w:szCs w:val="24"/>
        </w:rPr>
        <w:t>Page 1</w:t>
      </w:r>
      <w:r w:rsidRPr="6A04F2B4" w:rsidR="7359F63C">
        <w:rPr>
          <w:rFonts w:ascii="Arial" w:hAnsi="Arial" w:eastAsia="Arial" w:cs="Arial"/>
          <w:b w:val="1"/>
          <w:bCs w:val="1"/>
          <w:color w:val="000000" w:themeColor="text1" w:themeTint="FF" w:themeShade="FF"/>
          <w:sz w:val="24"/>
          <w:szCs w:val="24"/>
        </w:rPr>
        <w:t>2</w:t>
      </w:r>
      <w:r w:rsidRPr="6A04F2B4" w:rsidR="1CD2951D">
        <w:rPr>
          <w:rFonts w:ascii="Arial" w:hAnsi="Arial" w:eastAsia="Arial" w:cs="Arial"/>
          <w:b w:val="1"/>
          <w:bCs w:val="1"/>
          <w:color w:val="000000" w:themeColor="text1" w:themeTint="FF" w:themeShade="FF"/>
          <w:sz w:val="24"/>
          <w:szCs w:val="24"/>
        </w:rPr>
        <w:t>, Section I.C.1.</w:t>
      </w:r>
    </w:p>
    <w:p w:rsidR="1CD2951D" w:rsidP="76C1550A" w:rsidRDefault="1CD2951D" w14:paraId="57106A65" w14:textId="0A56221F">
      <w:pPr>
        <w:ind w:left="-20" w:right="-20"/>
        <w:rPr>
          <w:rFonts w:ascii="Arial" w:hAnsi="Arial" w:eastAsia="Arial" w:cs="Arial"/>
          <w:color w:val="000000" w:themeColor="text1"/>
          <w:sz w:val="24"/>
          <w:szCs w:val="24"/>
        </w:rPr>
      </w:pPr>
      <w:r w:rsidRPr="76C1550A">
        <w:rPr>
          <w:rFonts w:ascii="Arial" w:hAnsi="Arial" w:eastAsia="Arial" w:cs="Arial"/>
          <w:color w:val="000000" w:themeColor="text1"/>
          <w:sz w:val="24"/>
          <w:szCs w:val="24"/>
        </w:rPr>
        <w:t xml:space="preserve">process design assumptions and cost analysis </w:t>
      </w:r>
      <w:r w:rsidRPr="7C79511F">
        <w:rPr>
          <w:rFonts w:ascii="Arial" w:hAnsi="Arial" w:eastAsia="Arial" w:cs="Arial"/>
          <w:color w:val="000000" w:themeColor="text1"/>
          <w:sz w:val="24"/>
          <w:szCs w:val="24"/>
        </w:rPr>
        <w:t>methodology</w:t>
      </w:r>
      <w:r w:rsidRPr="7268024C" w:rsidR="684E4CE3">
        <w:rPr>
          <w:rFonts w:ascii="Arial" w:hAnsi="Arial" w:eastAsia="Arial" w:cs="Arial"/>
          <w:color w:val="000000" w:themeColor="text1"/>
          <w:sz w:val="24"/>
          <w:szCs w:val="24"/>
          <w:vertAlign w:val="superscript"/>
        </w:rPr>
        <w:t>1</w:t>
      </w:r>
      <w:r w:rsidRPr="7268024C">
        <w:rPr>
          <w:rFonts w:ascii="Arial" w:hAnsi="Arial" w:eastAsia="Arial" w:cs="Arial"/>
          <w:color w:val="000000" w:themeColor="text1"/>
          <w:sz w:val="24"/>
          <w:szCs w:val="24"/>
          <w:vertAlign w:val="superscript"/>
        </w:rPr>
        <w:t xml:space="preserve">7 </w:t>
      </w:r>
    </w:p>
    <w:p w:rsidR="1CD2951D" w:rsidP="76C1550A" w:rsidRDefault="1CD2951D" w14:paraId="2C04559D" w14:textId="3F9DAD6A">
      <w:pPr>
        <w:ind w:left="-20" w:right="-20"/>
        <w:rPr>
          <w:rFonts w:ascii="Arial" w:hAnsi="Arial" w:eastAsia="Arial" w:cs="Arial"/>
          <w:b/>
          <w:bCs/>
          <w:color w:val="000000" w:themeColor="text1"/>
          <w:sz w:val="24"/>
          <w:szCs w:val="24"/>
          <w:u w:val="single"/>
        </w:rPr>
      </w:pPr>
      <w:r w:rsidRPr="67CF564C">
        <w:rPr>
          <w:rFonts w:ascii="Arial" w:hAnsi="Arial" w:eastAsia="Arial" w:cs="Arial"/>
          <w:b/>
          <w:color w:val="000000" w:themeColor="text1"/>
          <w:sz w:val="24"/>
          <w:szCs w:val="24"/>
          <w:u w:val="single"/>
          <w:vertAlign w:val="superscript"/>
        </w:rPr>
        <w:t>17</w:t>
      </w:r>
      <w:r w:rsidRPr="76C1550A">
        <w:rPr>
          <w:rFonts w:ascii="Arial" w:hAnsi="Arial" w:eastAsia="Arial" w:cs="Arial"/>
          <w:b/>
          <w:bCs/>
          <w:color w:val="000000" w:themeColor="text1"/>
          <w:sz w:val="24"/>
          <w:szCs w:val="24"/>
          <w:u w:val="single"/>
        </w:rPr>
        <w:t xml:space="preserve"> Applicants can use National Renewable Energy Laboratory’s Hydrogen Analysis (H2A) hydrogen production models or another publicly available methodology to report process design assumptions and cost analysis methodology. For more information, please visit </w:t>
      </w:r>
      <w:hyperlink r:id="rId13">
        <w:r w:rsidRPr="76C1550A">
          <w:rPr>
            <w:rStyle w:val="Hyperlink"/>
            <w:rFonts w:ascii="Arial" w:hAnsi="Arial" w:eastAsia="Arial" w:cs="Arial"/>
            <w:b/>
            <w:bCs/>
            <w:sz w:val="24"/>
            <w:szCs w:val="24"/>
          </w:rPr>
          <w:t>https://www.nrel.gov/hydrogen/h2a-production-models.html</w:t>
        </w:r>
      </w:hyperlink>
      <w:r w:rsidRPr="76C1550A">
        <w:rPr>
          <w:rFonts w:ascii="Arial" w:hAnsi="Arial" w:eastAsia="Arial" w:cs="Arial"/>
          <w:b/>
          <w:bCs/>
          <w:color w:val="000000" w:themeColor="text1"/>
          <w:sz w:val="24"/>
          <w:szCs w:val="24"/>
          <w:u w:val="single"/>
        </w:rPr>
        <w:t>.</w:t>
      </w:r>
    </w:p>
    <w:p w:rsidR="1A0F4FFC" w:rsidP="6A04F2B4" w:rsidRDefault="1A0F4FFC" w14:paraId="18E1A995" w14:textId="27404141">
      <w:pPr>
        <w:pStyle w:val="Normal"/>
        <w:ind w:left="-20" w:right="-20"/>
        <w:rPr>
          <w:rFonts w:ascii="Arial" w:hAnsi="Arial" w:eastAsia="Arial" w:cs="Arial"/>
          <w:b w:val="1"/>
          <w:bCs w:val="1"/>
          <w:color w:val="000000" w:themeColor="text1" w:themeTint="FF" w:themeShade="FF"/>
          <w:sz w:val="24"/>
          <w:szCs w:val="24"/>
        </w:rPr>
      </w:pPr>
    </w:p>
    <w:p w:rsidRPr="00E65867" w:rsidR="04713073" w:rsidP="00E65867" w:rsidRDefault="04713073" w14:paraId="28B29FC7" w14:textId="04D4ED5D">
      <w:pPr>
        <w:pStyle w:val="ListParagraph"/>
        <w:numPr>
          <w:ilvl w:val="0"/>
          <w:numId w:val="1"/>
        </w:numPr>
        <w:ind w:right="-20"/>
        <w:rPr>
          <w:rFonts w:ascii="Arial" w:hAnsi="Arial" w:eastAsia="Arial" w:cs="Arial"/>
          <w:b/>
          <w:bCs/>
          <w:color w:val="000000" w:themeColor="text1"/>
          <w:sz w:val="24"/>
          <w:szCs w:val="24"/>
        </w:rPr>
      </w:pPr>
      <w:r w:rsidRPr="6A04F2B4" w:rsidR="04713073">
        <w:rPr>
          <w:rFonts w:ascii="Arial" w:hAnsi="Arial" w:eastAsia="Arial" w:cs="Arial"/>
          <w:b w:val="1"/>
          <w:bCs w:val="1"/>
          <w:color w:val="000000" w:themeColor="text1" w:themeTint="FF" w:themeShade="FF"/>
          <w:sz w:val="24"/>
          <w:szCs w:val="24"/>
        </w:rPr>
        <w:t>Page 12, Section I.C.1.</w:t>
      </w:r>
    </w:p>
    <w:p w:rsidR="04713073" w:rsidP="76C1550A" w:rsidRDefault="04713073" w14:paraId="7278BE9D" w14:textId="1E5A2A68">
      <w:pPr>
        <w:ind w:left="-20" w:right="-20"/>
        <w:rPr>
          <w:rFonts w:ascii="Arial" w:hAnsi="Arial" w:eastAsia="Arial" w:cs="Arial"/>
          <w:color w:val="000000" w:themeColor="text1"/>
          <w:sz w:val="24"/>
          <w:szCs w:val="24"/>
        </w:rPr>
      </w:pPr>
      <w:r w:rsidRPr="76C1550A">
        <w:rPr>
          <w:rFonts w:ascii="Arial" w:hAnsi="Arial" w:eastAsia="Arial" w:cs="Arial"/>
          <w:color w:val="000000" w:themeColor="text1"/>
          <w:sz w:val="24"/>
          <w:szCs w:val="24"/>
        </w:rPr>
        <w:lastRenderedPageBreak/>
        <w:t xml:space="preserve">Describe tangible benefits to local communities (i.e., workforce development, jobs created or retained, community investments, and local health impacts) in accordance with Community Engagement, Benefits, and Impacts Reference (Attachment 14). Applicants are also encouraged to consider and align with guidelines provided by </w:t>
      </w:r>
      <w:r w:rsidRPr="2C99AB77">
        <w:rPr>
          <w:rFonts w:ascii="Arial" w:hAnsi="Arial" w:eastAsia="Arial" w:cs="Arial"/>
          <w:color w:val="000000" w:themeColor="text1"/>
          <w:sz w:val="24"/>
          <w:szCs w:val="24"/>
        </w:rPr>
        <w:t>ARCHES</w:t>
      </w:r>
      <w:r w:rsidRPr="1C3EF565">
        <w:rPr>
          <w:rFonts w:ascii="Arial" w:hAnsi="Arial" w:eastAsia="Arial" w:cs="Arial"/>
          <w:color w:val="000000" w:themeColor="text1"/>
          <w:sz w:val="24"/>
          <w:szCs w:val="24"/>
          <w:vertAlign w:val="superscript"/>
        </w:rPr>
        <w:t xml:space="preserve">18 </w:t>
      </w:r>
      <w:r w:rsidRPr="76C1550A">
        <w:rPr>
          <w:rFonts w:ascii="Arial" w:hAnsi="Arial" w:eastAsia="Arial" w:cs="Arial"/>
          <w:color w:val="000000" w:themeColor="text1"/>
          <w:sz w:val="24"/>
          <w:szCs w:val="24"/>
        </w:rPr>
        <w:t>and DOE</w:t>
      </w:r>
      <w:r w:rsidRPr="74C245F1">
        <w:rPr>
          <w:rFonts w:ascii="Arial" w:hAnsi="Arial" w:eastAsia="Arial" w:cs="Arial"/>
          <w:color w:val="000000" w:themeColor="text1"/>
          <w:sz w:val="24"/>
          <w:szCs w:val="24"/>
        </w:rPr>
        <w:t>.</w:t>
      </w:r>
      <w:r w:rsidRPr="0DDE61D1">
        <w:rPr>
          <w:rFonts w:ascii="Arial" w:hAnsi="Arial" w:eastAsia="Arial" w:cs="Arial"/>
          <w:color w:val="000000" w:themeColor="text1"/>
          <w:sz w:val="24"/>
          <w:szCs w:val="24"/>
          <w:vertAlign w:val="superscript"/>
        </w:rPr>
        <w:t>19</w:t>
      </w:r>
      <w:r w:rsidRPr="76C1550A">
        <w:rPr>
          <w:rFonts w:ascii="Arial" w:hAnsi="Arial" w:eastAsia="Arial" w:cs="Arial"/>
          <w:color w:val="000000" w:themeColor="text1"/>
          <w:sz w:val="24"/>
          <w:szCs w:val="24"/>
        </w:rPr>
        <w:t xml:space="preserve"> </w:t>
      </w:r>
    </w:p>
    <w:p w:rsidR="04713073" w:rsidP="76C1550A" w:rsidRDefault="04713073" w14:paraId="1B7FDD4C" w14:textId="60825D68">
      <w:pPr>
        <w:ind w:left="-20" w:right="-20"/>
        <w:rPr>
          <w:rFonts w:ascii="Arial" w:hAnsi="Arial" w:eastAsia="Arial" w:cs="Arial"/>
          <w:b/>
          <w:bCs/>
          <w:color w:val="000000" w:themeColor="text1"/>
          <w:sz w:val="24"/>
          <w:szCs w:val="24"/>
          <w:u w:val="single"/>
        </w:rPr>
      </w:pPr>
      <w:r w:rsidRPr="3C9EF911">
        <w:rPr>
          <w:rFonts w:ascii="Arial" w:hAnsi="Arial" w:eastAsia="Arial" w:cs="Arial"/>
          <w:b/>
          <w:color w:val="000000" w:themeColor="text1"/>
          <w:sz w:val="24"/>
          <w:szCs w:val="24"/>
          <w:u w:val="single"/>
          <w:vertAlign w:val="superscript"/>
        </w:rPr>
        <w:t>1</w:t>
      </w:r>
      <w:r w:rsidRPr="3C9EF911" w:rsidR="18D2FEFF">
        <w:rPr>
          <w:rFonts w:ascii="Arial" w:hAnsi="Arial" w:eastAsia="Arial" w:cs="Arial"/>
          <w:b/>
          <w:color w:val="000000" w:themeColor="text1"/>
          <w:sz w:val="24"/>
          <w:szCs w:val="24"/>
          <w:u w:val="single"/>
          <w:vertAlign w:val="superscript"/>
        </w:rPr>
        <w:t>8</w:t>
      </w:r>
      <w:r w:rsidRPr="76C1550A">
        <w:rPr>
          <w:rFonts w:ascii="Arial" w:hAnsi="Arial" w:eastAsia="Arial" w:cs="Arial"/>
          <w:b/>
          <w:bCs/>
          <w:color w:val="000000" w:themeColor="text1"/>
          <w:sz w:val="24"/>
          <w:szCs w:val="24"/>
          <w:u w:val="single"/>
        </w:rPr>
        <w:t xml:space="preserve"> ARCHES Community Benefits Plan. Alliance for Renewable Clean Hydrogen Energy Systems (ARCHES). </w:t>
      </w:r>
      <w:hyperlink r:id="rId14">
        <w:r w:rsidRPr="76C1550A">
          <w:rPr>
            <w:rStyle w:val="Hyperlink"/>
            <w:rFonts w:ascii="Arial" w:hAnsi="Arial" w:eastAsia="Arial" w:cs="Arial"/>
            <w:b/>
            <w:bCs/>
            <w:sz w:val="24"/>
            <w:szCs w:val="24"/>
          </w:rPr>
          <w:t>https://archesh2.org/wp-content/uploads/2023/11/ARCHES_CB_PROPOSAL_for-release.pdf</w:t>
        </w:r>
      </w:hyperlink>
      <w:r w:rsidRPr="76C1550A">
        <w:rPr>
          <w:rFonts w:ascii="Arial" w:hAnsi="Arial" w:eastAsia="Arial" w:cs="Arial"/>
          <w:b/>
          <w:bCs/>
          <w:color w:val="000000" w:themeColor="text1"/>
          <w:sz w:val="24"/>
          <w:szCs w:val="24"/>
          <w:u w:val="single"/>
        </w:rPr>
        <w:t>.</w:t>
      </w:r>
    </w:p>
    <w:p w:rsidR="04713073" w:rsidP="76C1550A" w:rsidRDefault="5B6E0A28" w14:paraId="5BA06AB9" w14:textId="52CB5012">
      <w:pPr>
        <w:ind w:left="-20" w:right="-20"/>
        <w:rPr>
          <w:rFonts w:ascii="Arial" w:hAnsi="Arial" w:eastAsia="Arial" w:cs="Arial"/>
          <w:b/>
          <w:bCs/>
          <w:color w:val="000000" w:themeColor="text1"/>
          <w:sz w:val="24"/>
          <w:szCs w:val="24"/>
          <w:u w:val="single"/>
        </w:rPr>
      </w:pPr>
      <w:r w:rsidRPr="39D1920B">
        <w:rPr>
          <w:rFonts w:ascii="Arial" w:hAnsi="Arial" w:eastAsia="Arial" w:cs="Arial"/>
          <w:b/>
          <w:color w:val="000000" w:themeColor="text1"/>
          <w:sz w:val="24"/>
          <w:szCs w:val="24"/>
          <w:u w:val="single"/>
          <w:vertAlign w:val="superscript"/>
        </w:rPr>
        <w:t>19</w:t>
      </w:r>
      <w:r w:rsidRPr="76C1550A" w:rsidR="04713073">
        <w:rPr>
          <w:rFonts w:ascii="Arial" w:hAnsi="Arial" w:eastAsia="Arial" w:cs="Arial"/>
          <w:b/>
          <w:bCs/>
          <w:color w:val="000000" w:themeColor="text1"/>
          <w:sz w:val="24"/>
          <w:szCs w:val="24"/>
          <w:u w:val="single"/>
        </w:rPr>
        <w:t xml:space="preserve"> Community Benefits Plan. U.S. Department of Energy. </w:t>
      </w:r>
      <w:hyperlink r:id="rId15">
        <w:r w:rsidRPr="76C1550A" w:rsidR="04713073">
          <w:rPr>
            <w:rStyle w:val="Hyperlink"/>
            <w:rFonts w:ascii="Arial" w:hAnsi="Arial" w:eastAsia="Arial" w:cs="Arial"/>
            <w:b/>
            <w:bCs/>
            <w:sz w:val="24"/>
            <w:szCs w:val="24"/>
          </w:rPr>
          <w:t>https://www.energy.gov/infrastructure/about-community-benefits-plans</w:t>
        </w:r>
      </w:hyperlink>
      <w:r w:rsidRPr="76C1550A" w:rsidR="04713073">
        <w:rPr>
          <w:rFonts w:ascii="Arial" w:hAnsi="Arial" w:eastAsia="Arial" w:cs="Arial"/>
          <w:b/>
          <w:bCs/>
          <w:color w:val="000000" w:themeColor="text1"/>
          <w:sz w:val="24"/>
          <w:szCs w:val="24"/>
          <w:u w:val="single"/>
        </w:rPr>
        <w:t>.</w:t>
      </w:r>
    </w:p>
    <w:p w:rsidR="76C1550A" w:rsidP="76C1550A" w:rsidRDefault="76C1550A" w14:paraId="285D16E6" w14:textId="44BB3854">
      <w:pPr>
        <w:ind w:left="-20" w:right="-20"/>
        <w:rPr>
          <w:rFonts w:ascii="Arial" w:hAnsi="Arial" w:eastAsia="Arial" w:cs="Arial"/>
          <w:b/>
          <w:bCs/>
          <w:color w:val="000000" w:themeColor="text1"/>
          <w:sz w:val="24"/>
          <w:szCs w:val="24"/>
        </w:rPr>
      </w:pPr>
    </w:p>
    <w:p w:rsidRPr="00E65867" w:rsidR="342EF23F" w:rsidP="00E65867" w:rsidRDefault="342EF23F" w14:paraId="1F0EE1B1" w14:textId="67863C93">
      <w:pPr>
        <w:pStyle w:val="ListParagraph"/>
        <w:numPr>
          <w:ilvl w:val="0"/>
          <w:numId w:val="1"/>
        </w:numPr>
        <w:ind w:right="-20"/>
        <w:rPr>
          <w:rFonts w:ascii="Arial" w:hAnsi="Arial" w:eastAsia="Arial" w:cs="Arial"/>
          <w:b/>
          <w:bCs/>
          <w:color w:val="000000" w:themeColor="text1"/>
          <w:sz w:val="24"/>
          <w:szCs w:val="24"/>
        </w:rPr>
      </w:pPr>
      <w:r w:rsidRPr="6A04F2B4" w:rsidR="342EF23F">
        <w:rPr>
          <w:rFonts w:ascii="Arial" w:hAnsi="Arial" w:eastAsia="Arial" w:cs="Arial"/>
          <w:b w:val="1"/>
          <w:bCs w:val="1"/>
          <w:color w:val="000000" w:themeColor="text1" w:themeTint="FF" w:themeShade="FF"/>
          <w:sz w:val="24"/>
          <w:szCs w:val="24"/>
        </w:rPr>
        <w:t>Page 13, Section I.C.1.</w:t>
      </w:r>
    </w:p>
    <w:tbl>
      <w:tblPr>
        <w:tblW w:w="0" w:type="auto"/>
        <w:tblInd w:w="7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990"/>
        <w:gridCol w:w="5077"/>
      </w:tblGrid>
      <w:tr w:rsidR="76C1550A" w:rsidTr="76C1550A" w14:paraId="75E5728D" w14:textId="77777777">
        <w:trPr>
          <w:trHeight w:val="360"/>
        </w:trPr>
        <w:tc>
          <w:tcPr>
            <w:tcW w:w="3990"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260EF400" w14:textId="34D63F0D">
            <w:pPr>
              <w:spacing w:after="0"/>
              <w:ind w:left="-20" w:right="-20"/>
              <w:jc w:val="center"/>
            </w:pPr>
            <w:r w:rsidRPr="76C1550A">
              <w:rPr>
                <w:rFonts w:ascii="Arial" w:hAnsi="Arial" w:eastAsia="Arial" w:cs="Arial"/>
                <w:b/>
                <w:bCs/>
              </w:rPr>
              <w:t>Metric</w:t>
            </w:r>
            <w:r w:rsidRPr="76C1550A">
              <w:rPr>
                <w:rFonts w:ascii="Arial" w:hAnsi="Arial" w:eastAsia="Arial" w:cs="Arial"/>
              </w:rPr>
              <w:t xml:space="preserve"> </w:t>
            </w:r>
          </w:p>
        </w:tc>
        <w:tc>
          <w:tcPr>
            <w:tcW w:w="5077"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0F0D81CC" w14:textId="75B3A2E9">
            <w:pPr>
              <w:spacing w:after="0"/>
              <w:ind w:left="-20" w:right="-20"/>
              <w:jc w:val="center"/>
            </w:pPr>
            <w:r w:rsidRPr="76C1550A">
              <w:rPr>
                <w:rFonts w:ascii="Arial" w:hAnsi="Arial" w:eastAsia="Arial" w:cs="Arial"/>
                <w:b/>
                <w:bCs/>
              </w:rPr>
              <w:t>Target</w:t>
            </w:r>
            <w:r w:rsidRPr="76C1550A">
              <w:rPr>
                <w:rFonts w:ascii="Arial" w:hAnsi="Arial" w:eastAsia="Arial" w:cs="Arial"/>
              </w:rPr>
              <w:t xml:space="preserve"> </w:t>
            </w:r>
          </w:p>
        </w:tc>
      </w:tr>
      <w:tr w:rsidR="76C1550A" w:rsidTr="76C1550A" w14:paraId="7B284445" w14:textId="77777777">
        <w:trPr>
          <w:trHeight w:val="360"/>
        </w:trPr>
        <w:tc>
          <w:tcPr>
            <w:tcW w:w="3990"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7B64A0B9" w14:textId="74369AF4">
            <w:pPr>
              <w:spacing w:after="0"/>
              <w:ind w:left="-20" w:right="-20"/>
            </w:pPr>
            <w:r w:rsidRPr="76C1550A">
              <w:rPr>
                <w:rFonts w:ascii="Arial" w:hAnsi="Arial" w:eastAsia="Arial" w:cs="Arial"/>
              </w:rPr>
              <w:t xml:space="preserve">Water Consumption </w:t>
            </w:r>
          </w:p>
        </w:tc>
        <w:tc>
          <w:tcPr>
            <w:tcW w:w="5077"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4C9195D9" w14:textId="4D8373DA">
            <w:pPr>
              <w:spacing w:after="0"/>
              <w:ind w:left="-20" w:right="-20"/>
              <w:jc w:val="right"/>
            </w:pPr>
            <w:r w:rsidRPr="76C1550A">
              <w:rPr>
                <w:rFonts w:ascii="Arial" w:hAnsi="Arial" w:eastAsia="Arial" w:cs="Arial"/>
              </w:rPr>
              <w:t xml:space="preserve">9 - 13.5 kilogram water per kilogram of hydrogen produced </w:t>
            </w:r>
          </w:p>
        </w:tc>
      </w:tr>
      <w:tr w:rsidR="76C1550A" w:rsidTr="76C1550A" w14:paraId="75D90EF6" w14:textId="77777777">
        <w:trPr>
          <w:trHeight w:val="645"/>
        </w:trPr>
        <w:tc>
          <w:tcPr>
            <w:tcW w:w="3990"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6154DDBF" w14:textId="1F9D8F0D">
            <w:pPr>
              <w:spacing w:after="0"/>
              <w:ind w:left="-20" w:right="-20"/>
            </w:pPr>
            <w:r w:rsidRPr="76C1550A">
              <w:rPr>
                <w:rFonts w:ascii="Arial" w:hAnsi="Arial" w:eastAsia="Arial" w:cs="Arial"/>
              </w:rPr>
              <w:t xml:space="preserve">Hydrogen Purity </w:t>
            </w:r>
          </w:p>
        </w:tc>
        <w:tc>
          <w:tcPr>
            <w:tcW w:w="5077"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3DF782A2" w14:textId="7217CE02">
            <w:pPr>
              <w:spacing w:after="0"/>
              <w:ind w:left="-20" w:right="-20"/>
              <w:jc w:val="right"/>
            </w:pPr>
            <w:r w:rsidRPr="76C1550A">
              <w:rPr>
                <w:rFonts w:ascii="Arial" w:hAnsi="Arial" w:eastAsia="Arial" w:cs="Arial"/>
              </w:rPr>
              <w:t xml:space="preserve">&gt;99.00% (for all projects) </w:t>
            </w:r>
          </w:p>
          <w:p w:rsidR="76C1550A" w:rsidP="76C1550A" w:rsidRDefault="76C1550A" w14:paraId="2423721D" w14:textId="485F1B7A">
            <w:pPr>
              <w:spacing w:after="0"/>
              <w:ind w:left="-20" w:right="-20"/>
              <w:jc w:val="right"/>
            </w:pPr>
            <w:r w:rsidRPr="76C1550A">
              <w:rPr>
                <w:rFonts w:ascii="Arial" w:hAnsi="Arial" w:eastAsia="Arial" w:cs="Arial"/>
              </w:rPr>
              <w:t xml:space="preserve">&gt;99.99% (fuel cell end use) </w:t>
            </w:r>
          </w:p>
        </w:tc>
      </w:tr>
      <w:tr w:rsidR="76C1550A" w:rsidTr="76C1550A" w14:paraId="6F3467C3" w14:textId="77777777">
        <w:trPr>
          <w:trHeight w:val="420"/>
        </w:trPr>
        <w:tc>
          <w:tcPr>
            <w:tcW w:w="3990"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15ECFB7D" w14:textId="5DB2DA7A">
            <w:pPr>
              <w:spacing w:after="0"/>
              <w:ind w:left="-20" w:right="-20"/>
            </w:pPr>
            <w:r w:rsidRPr="76C1550A">
              <w:rPr>
                <w:rFonts w:ascii="Arial" w:hAnsi="Arial" w:eastAsia="Arial" w:cs="Arial"/>
              </w:rPr>
              <w:t xml:space="preserve">Carbon Intensity </w:t>
            </w:r>
          </w:p>
        </w:tc>
        <w:tc>
          <w:tcPr>
            <w:tcW w:w="5077"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39E88A0F" w14:textId="73DC1504">
            <w:pPr>
              <w:spacing w:after="0"/>
              <w:ind w:left="-20" w:right="-20"/>
              <w:jc w:val="right"/>
            </w:pPr>
            <w:r w:rsidRPr="76C1550A">
              <w:rPr>
                <w:rFonts w:ascii="Arial" w:hAnsi="Arial" w:eastAsia="Arial" w:cs="Arial"/>
              </w:rPr>
              <w:t>0 kilogram CO</w:t>
            </w:r>
            <w:r w:rsidRPr="76C1550A">
              <w:rPr>
                <w:rFonts w:ascii="Arial" w:hAnsi="Arial" w:eastAsia="Arial" w:cs="Arial"/>
                <w:sz w:val="17"/>
                <w:szCs w:val="17"/>
                <w:vertAlign w:val="subscript"/>
              </w:rPr>
              <w:t>2</w:t>
            </w:r>
            <w:r w:rsidRPr="76C1550A">
              <w:rPr>
                <w:rFonts w:ascii="Arial" w:hAnsi="Arial" w:eastAsia="Arial" w:cs="Arial"/>
              </w:rPr>
              <w:t>e per kilogram H</w:t>
            </w:r>
            <w:r w:rsidRPr="76C1550A">
              <w:rPr>
                <w:rFonts w:ascii="Arial" w:hAnsi="Arial" w:eastAsia="Arial" w:cs="Arial"/>
                <w:sz w:val="17"/>
                <w:szCs w:val="17"/>
                <w:vertAlign w:val="subscript"/>
              </w:rPr>
              <w:t xml:space="preserve">2 </w:t>
            </w:r>
            <w:r w:rsidRPr="76C1550A">
              <w:rPr>
                <w:rFonts w:ascii="Arial" w:hAnsi="Arial" w:eastAsia="Arial" w:cs="Arial"/>
              </w:rPr>
              <w:t xml:space="preserve">well-to-gate lifecycle emissions </w:t>
            </w:r>
          </w:p>
        </w:tc>
      </w:tr>
      <w:tr w:rsidR="76C1550A" w:rsidTr="76C1550A" w14:paraId="78A64BC4" w14:textId="77777777">
        <w:trPr>
          <w:trHeight w:val="345"/>
        </w:trPr>
        <w:tc>
          <w:tcPr>
            <w:tcW w:w="3990"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416AA2F1" w14:textId="207C4F90">
            <w:pPr>
              <w:spacing w:after="0"/>
              <w:ind w:left="-20" w:right="-20"/>
            </w:pPr>
            <w:r w:rsidRPr="76C1550A">
              <w:rPr>
                <w:rFonts w:ascii="Arial" w:hAnsi="Arial" w:eastAsia="Arial" w:cs="Arial"/>
              </w:rPr>
              <w:t xml:space="preserve">Hydrogen Production Costs  </w:t>
            </w:r>
          </w:p>
        </w:tc>
        <w:tc>
          <w:tcPr>
            <w:tcW w:w="5077"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07137BA1" w14:textId="7AFBAE44">
            <w:pPr>
              <w:spacing w:after="0"/>
              <w:ind w:left="-20" w:right="-20"/>
              <w:jc w:val="right"/>
            </w:pPr>
            <w:r w:rsidRPr="76C1550A">
              <w:rPr>
                <w:rFonts w:ascii="Arial" w:hAnsi="Arial" w:eastAsia="Arial" w:cs="Arial"/>
              </w:rPr>
              <w:t>&lt;$2 per kilogram of hydrogen by 2029 at point of production</w:t>
            </w:r>
          </w:p>
        </w:tc>
      </w:tr>
      <w:tr w:rsidR="76C1550A" w:rsidTr="76C1550A" w14:paraId="03EC9F29" w14:textId="77777777">
        <w:trPr>
          <w:trHeight w:val="345"/>
        </w:trPr>
        <w:tc>
          <w:tcPr>
            <w:tcW w:w="3990"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6925DDE6" w14:textId="2A10B441">
            <w:pPr>
              <w:spacing w:after="0"/>
              <w:ind w:left="-20" w:right="-20"/>
            </w:pPr>
            <w:r w:rsidRPr="76C1550A">
              <w:rPr>
                <w:rFonts w:ascii="Arial" w:hAnsi="Arial" w:eastAsia="Arial" w:cs="Arial"/>
              </w:rPr>
              <w:t xml:space="preserve">Hydrogen Leakage </w:t>
            </w:r>
          </w:p>
        </w:tc>
        <w:tc>
          <w:tcPr>
            <w:tcW w:w="5077" w:type="dxa"/>
            <w:tcBorders>
              <w:top w:val="single" w:color="auto" w:sz="8" w:space="0"/>
              <w:left w:val="single" w:color="auto" w:sz="8" w:space="0"/>
              <w:bottom w:val="single" w:color="auto" w:sz="8" w:space="0"/>
              <w:right w:val="single" w:color="auto" w:sz="8" w:space="0"/>
            </w:tcBorders>
            <w:tcMar>
              <w:left w:w="108" w:type="dxa"/>
              <w:right w:w="108" w:type="dxa"/>
            </w:tcMar>
          </w:tcPr>
          <w:p w:rsidR="76C1550A" w:rsidP="76C1550A" w:rsidRDefault="76C1550A" w14:paraId="38F9CA91" w14:textId="655E96B6">
            <w:pPr>
              <w:spacing w:after="0"/>
              <w:ind w:left="-20" w:right="-20"/>
              <w:jc w:val="right"/>
              <w:rPr>
                <w:rFonts w:ascii="Arial" w:hAnsi="Arial" w:eastAsia="Arial" w:cs="Arial"/>
              </w:rPr>
            </w:pPr>
            <w:r w:rsidRPr="76C1550A">
              <w:rPr>
                <w:rFonts w:ascii="Arial" w:hAnsi="Arial" w:eastAsia="Arial" w:cs="Arial"/>
              </w:rPr>
              <w:t xml:space="preserve">Less than or equal to 0.03% loss during production, 1% loss during compression and gaseous delivery, 2% loss during liquification and liquid delivery, 0.7% loss during pipeline delivery, and 2% loss during subsequent </w:t>
            </w:r>
            <w:r w:rsidRPr="52840BA6" w:rsidR="05428D8B">
              <w:rPr>
                <w:rFonts w:ascii="Arial" w:hAnsi="Arial" w:eastAsia="Arial" w:cs="Arial"/>
              </w:rPr>
              <w:t>storage</w:t>
            </w:r>
            <w:r w:rsidRPr="24DBAFDD" w:rsidR="36337A31">
              <w:rPr>
                <w:rFonts w:ascii="Arial" w:hAnsi="Arial" w:eastAsia="Arial" w:cs="Arial"/>
                <w:vertAlign w:val="superscript"/>
              </w:rPr>
              <w:t>20</w:t>
            </w:r>
          </w:p>
        </w:tc>
      </w:tr>
    </w:tbl>
    <w:p w:rsidR="36337A31" w:rsidP="76C1550A" w:rsidRDefault="36337A31" w14:paraId="491B6820" w14:textId="6004A382">
      <w:pPr>
        <w:ind w:left="-20" w:right="-20"/>
        <w:jc w:val="both"/>
        <w:rPr>
          <w:rFonts w:ascii="Arial" w:hAnsi="Arial" w:eastAsia="Arial" w:cs="Arial"/>
          <w:b/>
          <w:bCs/>
          <w:sz w:val="24"/>
          <w:szCs w:val="24"/>
          <w:u w:val="single"/>
        </w:rPr>
      </w:pPr>
      <w:r w:rsidRPr="7F4D1119">
        <w:rPr>
          <w:rFonts w:ascii="Arial" w:hAnsi="Arial" w:eastAsia="Arial" w:cs="Arial"/>
          <w:b/>
          <w:sz w:val="24"/>
          <w:szCs w:val="24"/>
          <w:u w:val="single"/>
          <w:vertAlign w:val="superscript"/>
        </w:rPr>
        <w:t>20</w:t>
      </w:r>
      <w:r w:rsidRPr="76C1550A">
        <w:rPr>
          <w:rFonts w:ascii="Arial" w:hAnsi="Arial" w:eastAsia="Arial" w:cs="Arial"/>
          <w:b/>
          <w:bCs/>
          <w:sz w:val="24"/>
          <w:szCs w:val="24"/>
          <w:u w:val="single"/>
        </w:rPr>
        <w:t xml:space="preserve"> Arrigoni, Alessandro and Laura Bravo Diaz. 2022. Hydrogen emissions from a hydrogen economy and their potential global warming impact. EUR 31188 EN, Publications Office of the European Union. </w:t>
      </w:r>
      <w:hyperlink r:id="rId16">
        <w:r w:rsidRPr="76C1550A">
          <w:rPr>
            <w:rStyle w:val="Hyperlink"/>
            <w:rFonts w:ascii="Arial" w:hAnsi="Arial" w:eastAsia="Arial" w:cs="Arial"/>
            <w:b/>
            <w:bCs/>
            <w:color w:val="0000FF"/>
            <w:sz w:val="24"/>
            <w:szCs w:val="24"/>
          </w:rPr>
          <w:t>https://publications.jrc.ec.europa.eu/repository/handle/JRC130362</w:t>
        </w:r>
      </w:hyperlink>
      <w:r w:rsidRPr="76C1550A">
        <w:rPr>
          <w:rFonts w:ascii="Arial" w:hAnsi="Arial" w:eastAsia="Arial" w:cs="Arial"/>
          <w:b/>
          <w:bCs/>
          <w:sz w:val="24"/>
          <w:szCs w:val="24"/>
          <w:u w:val="single"/>
        </w:rPr>
        <w:t>.</w:t>
      </w:r>
    </w:p>
    <w:p w:rsidR="76C1550A" w:rsidP="76C1550A" w:rsidRDefault="76C1550A" w14:paraId="7658EDC9" w14:textId="2A784DA5">
      <w:pPr>
        <w:ind w:left="-20" w:right="-20"/>
        <w:rPr>
          <w:rFonts w:ascii="Arial" w:hAnsi="Arial" w:eastAsia="Arial" w:cs="Arial"/>
          <w:b/>
          <w:bCs/>
          <w:color w:val="000000" w:themeColor="text1"/>
          <w:sz w:val="24"/>
          <w:szCs w:val="24"/>
        </w:rPr>
      </w:pPr>
    </w:p>
    <w:p w:rsidRPr="00E65867" w:rsidR="00491236" w:rsidP="00E65867" w:rsidRDefault="00491236" w14:paraId="22735506" w14:textId="214B0AF8">
      <w:pPr>
        <w:pStyle w:val="ListParagraph"/>
        <w:numPr>
          <w:ilvl w:val="0"/>
          <w:numId w:val="1"/>
        </w:numPr>
        <w:ind w:right="-20"/>
        <w:rPr>
          <w:rFonts w:ascii="Arial" w:hAnsi="Arial" w:eastAsia="Arial" w:cs="Arial"/>
          <w:b/>
          <w:bCs/>
          <w:color w:val="000000" w:themeColor="text1"/>
          <w:sz w:val="24"/>
          <w:szCs w:val="24"/>
        </w:rPr>
      </w:pPr>
      <w:r w:rsidRPr="6A04F2B4" w:rsidR="00491236">
        <w:rPr>
          <w:rFonts w:ascii="Arial" w:hAnsi="Arial" w:eastAsia="Arial" w:cs="Arial"/>
          <w:b w:val="1"/>
          <w:bCs w:val="1"/>
          <w:color w:val="000000" w:themeColor="text1" w:themeTint="FF" w:themeShade="FF"/>
          <w:sz w:val="24"/>
          <w:szCs w:val="24"/>
        </w:rPr>
        <w:t>Page 40, Section III.C.9.2</w:t>
      </w:r>
    </w:p>
    <w:p w:rsidR="00491236" w:rsidP="00491236" w:rsidRDefault="00491236" w14:paraId="3B6704A2" w14:textId="482B8A3E">
      <w:pPr>
        <w:ind w:left="-20" w:right="-20"/>
      </w:pPr>
      <w:r w:rsidRPr="093E63A0" w:rsidR="00491236">
        <w:rPr>
          <w:rFonts w:ascii="Arial" w:hAnsi="Arial" w:eastAsia="Arial" w:cs="Arial"/>
          <w:color w:val="000000" w:themeColor="text1" w:themeTint="FF" w:themeShade="FF"/>
          <w:sz w:val="24"/>
          <w:szCs w:val="24"/>
        </w:rPr>
        <w:t xml:space="preserve">ARCHES DOE Hub project partners must </w:t>
      </w:r>
      <w:r w:rsidRPr="093E63A0" w:rsidR="00491236">
        <w:rPr>
          <w:rFonts w:ascii="Arial" w:hAnsi="Arial" w:eastAsia="Arial" w:cs="Arial"/>
          <w:color w:val="000000" w:themeColor="text1" w:themeTint="FF" w:themeShade="FF"/>
          <w:sz w:val="24"/>
          <w:szCs w:val="24"/>
        </w:rPr>
        <w:t>submit</w:t>
      </w:r>
      <w:r w:rsidRPr="093E63A0" w:rsidR="00491236">
        <w:rPr>
          <w:rFonts w:ascii="Arial" w:hAnsi="Arial" w:eastAsia="Arial" w:cs="Arial"/>
          <w:color w:val="000000" w:themeColor="text1" w:themeTint="FF" w:themeShade="FF"/>
          <w:sz w:val="24"/>
          <w:szCs w:val="24"/>
        </w:rPr>
        <w:t xml:space="preserve"> a support letter from ARCHES to reflect confirmation of DOE Hub status</w:t>
      </w:r>
      <w:r w:rsidRPr="093E63A0" w:rsidR="00491236">
        <w:rPr>
          <w:rFonts w:ascii="Arial" w:hAnsi="Arial" w:eastAsia="Arial" w:cs="Arial"/>
          <w:b w:val="1"/>
          <w:bCs w:val="1"/>
          <w:color w:val="000000" w:themeColor="text1" w:themeTint="FF" w:themeShade="FF"/>
          <w:sz w:val="24"/>
          <w:szCs w:val="24"/>
        </w:rPr>
        <w:t xml:space="preserve"> </w:t>
      </w:r>
      <w:r w:rsidRPr="093E63A0" w:rsidR="00491236">
        <w:rPr>
          <w:rFonts w:ascii="Arial" w:hAnsi="Arial" w:eastAsia="Arial" w:cs="Arial"/>
          <w:b w:val="1"/>
          <w:bCs w:val="1"/>
          <w:color w:val="000000" w:themeColor="text1" w:themeTint="FF" w:themeShade="FF"/>
          <w:sz w:val="24"/>
          <w:szCs w:val="24"/>
          <w:u w:val="single"/>
        </w:rPr>
        <w:t xml:space="preserve">and </w:t>
      </w:r>
      <w:r w:rsidRPr="093E63A0" w:rsidR="00491236">
        <w:rPr>
          <w:rFonts w:ascii="Arial" w:hAnsi="Arial" w:eastAsia="Arial" w:cs="Arial"/>
          <w:b w:val="1"/>
          <w:bCs w:val="1"/>
          <w:color w:val="000000" w:themeColor="text1" w:themeTint="FF" w:themeShade="FF"/>
          <w:sz w:val="24"/>
          <w:szCs w:val="24"/>
          <w:u w:val="single"/>
        </w:rPr>
        <w:t>indicate</w:t>
      </w:r>
      <w:r w:rsidRPr="093E63A0" w:rsidR="00491236">
        <w:rPr>
          <w:rFonts w:ascii="Arial" w:hAnsi="Arial" w:eastAsia="Arial" w:cs="Arial"/>
          <w:b w:val="1"/>
          <w:bCs w:val="1"/>
          <w:color w:val="000000" w:themeColor="text1" w:themeTint="FF" w:themeShade="FF"/>
          <w:sz w:val="24"/>
          <w:szCs w:val="24"/>
          <w:u w:val="single"/>
        </w:rPr>
        <w:t xml:space="preserve"> Tier status (Tier I or Tier II)</w:t>
      </w:r>
      <w:r w:rsidRPr="093E63A0" w:rsidR="00491236">
        <w:rPr>
          <w:rFonts w:ascii="Arial" w:hAnsi="Arial" w:eastAsia="Arial" w:cs="Arial"/>
          <w:b w:val="0"/>
          <w:bCs w:val="0"/>
          <w:color w:val="000000" w:themeColor="text1" w:themeTint="FF" w:themeShade="FF"/>
          <w:sz w:val="24"/>
          <w:szCs w:val="24"/>
          <w:u w:val="none"/>
        </w:rPr>
        <w:t>.</w:t>
      </w:r>
    </w:p>
    <w:p w:rsidR="76C1550A" w:rsidP="76C1550A" w:rsidRDefault="76C1550A" w14:paraId="72D4CBA7" w14:textId="3DF1C7B6">
      <w:pPr>
        <w:ind w:left="-20" w:right="-20"/>
        <w:rPr>
          <w:rFonts w:ascii="Arial" w:hAnsi="Arial" w:eastAsia="Arial" w:cs="Arial"/>
          <w:color w:val="000000" w:themeColor="text1"/>
          <w:sz w:val="24"/>
          <w:szCs w:val="24"/>
        </w:rPr>
      </w:pPr>
    </w:p>
    <w:p w:rsidR="2B48CD80" w:rsidP="76C1550A" w:rsidRDefault="5AEE00BC" w14:paraId="72A849EB" w14:textId="0388418B">
      <w:pPr>
        <w:spacing w:after="120"/>
        <w:rPr>
          <w:rFonts w:ascii="Arial" w:hAnsi="Arial" w:eastAsia="Arial" w:cs="Arial"/>
          <w:b/>
          <w:bCs/>
          <w:sz w:val="24"/>
          <w:szCs w:val="24"/>
        </w:rPr>
      </w:pPr>
      <w:r w:rsidRPr="76C1550A">
        <w:rPr>
          <w:rFonts w:ascii="Arial" w:hAnsi="Arial" w:eastAsia="Arial" w:cs="Arial"/>
          <w:b/>
          <w:bCs/>
          <w:sz w:val="24"/>
          <w:szCs w:val="24"/>
        </w:rPr>
        <w:t xml:space="preserve">Attachment 01 - </w:t>
      </w:r>
      <w:r w:rsidRPr="76C1550A" w:rsidR="1EA98AA1">
        <w:rPr>
          <w:rFonts w:ascii="Arial" w:hAnsi="Arial" w:eastAsia="Arial" w:cs="Arial"/>
          <w:b/>
          <w:bCs/>
          <w:sz w:val="24"/>
          <w:szCs w:val="24"/>
        </w:rPr>
        <w:t>Application Screening Form</w:t>
      </w:r>
    </w:p>
    <w:tbl>
      <w:tblPr>
        <w:tblStyle w:val="TableGrid"/>
        <w:tblW w:w="0" w:type="auto"/>
        <w:tblLayout w:type="fixed"/>
        <w:tblLook w:val="01E0" w:firstRow="1" w:lastRow="1" w:firstColumn="1" w:lastColumn="1" w:noHBand="0" w:noVBand="0"/>
      </w:tblPr>
      <w:tblGrid>
        <w:gridCol w:w="9355"/>
      </w:tblGrid>
      <w:tr w:rsidR="2B48CD80" w:rsidTr="2B48CD80" w14:paraId="02C8DA94" w14:textId="77777777">
        <w:trPr>
          <w:trHeight w:val="240"/>
        </w:trPr>
        <w:tc>
          <w:tcPr>
            <w:tcW w:w="9355"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2B48CD80" w:rsidP="2B48CD80" w:rsidRDefault="2B48CD80" w14:paraId="7AD44117" w14:textId="64200A5C">
            <w:pPr>
              <w:ind w:left="-20" w:right="-20"/>
              <w:jc w:val="both"/>
            </w:pPr>
            <w:r w:rsidRPr="2B48CD80">
              <w:rPr>
                <w:rFonts w:ascii="Arial" w:hAnsi="Arial" w:eastAsia="Arial" w:cs="Arial"/>
                <w:b/>
                <w:bCs/>
                <w:color w:val="000000" w:themeColor="text1"/>
              </w:rPr>
              <w:t xml:space="preserve">ARCHES DOE Hub Project Partner </w:t>
            </w:r>
            <w:r w:rsidRPr="2B48CD80">
              <w:rPr>
                <w:rFonts w:ascii="Arial" w:hAnsi="Arial" w:eastAsia="Arial" w:cs="Arial"/>
                <w:color w:val="000000" w:themeColor="text1"/>
              </w:rPr>
              <w:t>(Check one)</w:t>
            </w:r>
            <w:r w:rsidRPr="2B48CD80">
              <w:rPr>
                <w:rFonts w:ascii="Arial" w:hAnsi="Arial" w:eastAsia="Arial" w:cs="Arial"/>
                <w:b/>
                <w:bCs/>
                <w:color w:val="000000" w:themeColor="text1"/>
              </w:rPr>
              <w:t xml:space="preserve"> </w:t>
            </w:r>
          </w:p>
          <w:p w:rsidR="2B48CD80" w:rsidP="2B48CD80" w:rsidRDefault="2B48CD80" w14:paraId="43A0D95A" w14:textId="15DFE7CD">
            <w:pPr>
              <w:ind w:left="-20" w:right="-20"/>
              <w:jc w:val="both"/>
            </w:pPr>
            <w:r w:rsidRPr="2B48CD80">
              <w:rPr>
                <w:rFonts w:ascii="Arial" w:hAnsi="Arial" w:eastAsia="Arial" w:cs="Arial"/>
                <w:b/>
                <w:bCs/>
                <w:i/>
                <w:iCs/>
                <w:color w:val="000000" w:themeColor="text1"/>
              </w:rPr>
              <w:lastRenderedPageBreak/>
              <w:t>*An ARCHES Support Letter should be included in the Commitment and Support Letters Form (Attachment 10) to reflect confirmation of ARCHES DOE Hub status.</w:t>
            </w:r>
          </w:p>
        </w:tc>
      </w:tr>
      <w:tr w:rsidR="2B48CD80" w:rsidTr="2B48CD80" w14:paraId="21A214AB" w14:textId="77777777">
        <w:trPr>
          <w:trHeight w:val="1005"/>
        </w:trPr>
        <w:tc>
          <w:tcPr>
            <w:tcW w:w="9355" w:type="dxa"/>
            <w:tcBorders>
              <w:top w:val="single" w:color="auto" w:sz="8" w:space="0"/>
              <w:left w:val="single" w:color="auto" w:sz="8" w:space="0"/>
              <w:bottom w:val="single" w:color="auto" w:sz="8" w:space="0"/>
              <w:right w:val="single" w:color="auto" w:sz="8" w:space="0"/>
            </w:tcBorders>
            <w:tcMar>
              <w:left w:w="108" w:type="dxa"/>
              <w:right w:w="108" w:type="dxa"/>
            </w:tcMar>
          </w:tcPr>
          <w:p w:rsidR="2B48CD80" w:rsidP="2B48CD80" w:rsidRDefault="2B48CD80" w14:paraId="2D40D518" w14:textId="08EF1944">
            <w:pPr>
              <w:spacing w:after="120" w:line="257" w:lineRule="auto"/>
              <w:ind w:left="-20" w:right="-20"/>
              <w:jc w:val="both"/>
            </w:pPr>
            <w:r w:rsidRPr="2B48CD80">
              <w:rPr>
                <w:rFonts w:ascii="MS Gothic" w:hAnsi="MS Gothic" w:eastAsia="MS Gothic" w:cs="MS Gothic"/>
              </w:rPr>
              <w:lastRenderedPageBreak/>
              <w:t>☐</w:t>
            </w:r>
            <w:r w:rsidRPr="2B48CD80">
              <w:rPr>
                <w:rFonts w:ascii="Arial" w:hAnsi="Arial" w:eastAsia="Arial" w:cs="Arial"/>
              </w:rPr>
              <w:t>Yes</w:t>
            </w:r>
          </w:p>
          <w:p w:rsidR="2B48CD80" w:rsidP="2B48CD80" w:rsidRDefault="2B48CD80" w14:paraId="48D5C881" w14:textId="0404E9D5">
            <w:pPr>
              <w:ind w:left="-20" w:right="-20"/>
              <w:jc w:val="both"/>
            </w:pPr>
            <w:r w:rsidRPr="2B48CD80">
              <w:rPr>
                <w:rFonts w:ascii="MS Gothic" w:hAnsi="MS Gothic" w:eastAsia="MS Gothic" w:cs="MS Gothic"/>
              </w:rPr>
              <w:t>☐</w:t>
            </w:r>
            <w:r w:rsidRPr="2B48CD80">
              <w:rPr>
                <w:rFonts w:ascii="Arial" w:hAnsi="Arial" w:eastAsia="Arial" w:cs="Arial"/>
              </w:rPr>
              <w:t xml:space="preserve"> No</w:t>
            </w:r>
          </w:p>
          <w:p w:rsidR="1825F7F8" w:rsidP="260D4682" w:rsidRDefault="1825F7F8" w14:paraId="77935709" w14:textId="57B922DC">
            <w:pPr>
              <w:ind w:left="-30" w:right="-30"/>
              <w:jc w:val="both"/>
              <w:rPr>
                <w:rFonts w:ascii="Arial" w:hAnsi="Arial" w:eastAsia="Arial" w:cs="Arial"/>
              </w:rPr>
            </w:pPr>
            <w:r w:rsidRPr="260D4682">
              <w:rPr>
                <w:rFonts w:ascii="Arial" w:hAnsi="Arial" w:eastAsia="Arial" w:cs="Arial"/>
                <w:b/>
                <w:bCs/>
                <w:color w:val="000000" w:themeColor="text1"/>
                <w:u w:val="single"/>
              </w:rPr>
              <w:t xml:space="preserve">If yes, indicate Tier I or Tier II designation as </w:t>
            </w:r>
            <w:r w:rsidRPr="23702A31" w:rsidR="63F7E4EC">
              <w:rPr>
                <w:rFonts w:ascii="Arial" w:hAnsi="Arial" w:eastAsia="Arial" w:cs="Arial"/>
                <w:b/>
                <w:bCs/>
                <w:color w:val="000000" w:themeColor="text1"/>
                <w:u w:val="single"/>
              </w:rPr>
              <w:t>assigned</w:t>
            </w:r>
            <w:r w:rsidRPr="260D4682">
              <w:rPr>
                <w:rFonts w:ascii="Arial" w:hAnsi="Arial" w:eastAsia="Arial" w:cs="Arial"/>
                <w:b/>
                <w:bCs/>
                <w:color w:val="000000" w:themeColor="text1"/>
                <w:u w:val="single"/>
              </w:rPr>
              <w:t xml:space="preserve"> by ARCHES:</w:t>
            </w:r>
          </w:p>
          <w:p w:rsidR="1C7F6DDF" w:rsidP="2B48CD80" w:rsidRDefault="1C7F6DDF" w14:paraId="29E10D05" w14:textId="6C5E365C">
            <w:pPr>
              <w:ind w:left="-20" w:right="-20"/>
              <w:jc w:val="both"/>
              <w:rPr>
                <w:rFonts w:ascii="Arial" w:hAnsi="Arial" w:eastAsia="Arial" w:cs="Arial"/>
                <w:b/>
                <w:bCs/>
                <w:u w:val="single"/>
              </w:rPr>
            </w:pPr>
            <w:r w:rsidRPr="2B48CD80">
              <w:rPr>
                <w:rFonts w:ascii="MS Gothic" w:hAnsi="MS Gothic" w:eastAsia="MS Gothic" w:cs="MS Gothic"/>
              </w:rPr>
              <w:t>☐</w:t>
            </w:r>
            <w:r w:rsidRPr="2B48CD80">
              <w:rPr>
                <w:rFonts w:ascii="Arial" w:hAnsi="Arial" w:eastAsia="Arial" w:cs="Arial"/>
              </w:rPr>
              <w:t xml:space="preserve"> </w:t>
            </w:r>
            <w:r w:rsidRPr="2B48CD80">
              <w:rPr>
                <w:rFonts w:ascii="Arial" w:hAnsi="Arial" w:eastAsia="Arial" w:cs="Arial"/>
                <w:b/>
                <w:bCs/>
                <w:u w:val="single"/>
              </w:rPr>
              <w:t xml:space="preserve">Tier I </w:t>
            </w:r>
          </w:p>
          <w:p w:rsidR="1C7F6DDF" w:rsidP="2B48CD80" w:rsidRDefault="1C7F6DDF" w14:paraId="6FE0011F" w14:textId="651C866B">
            <w:pPr>
              <w:ind w:left="-20" w:right="-20"/>
              <w:jc w:val="both"/>
            </w:pPr>
            <w:r w:rsidRPr="2B48CD80">
              <w:rPr>
                <w:rFonts w:ascii="MS Gothic" w:hAnsi="MS Gothic" w:eastAsia="MS Gothic" w:cs="MS Gothic"/>
              </w:rPr>
              <w:t>☐</w:t>
            </w:r>
            <w:r w:rsidRPr="2B48CD80">
              <w:rPr>
                <w:rFonts w:ascii="Arial" w:hAnsi="Arial" w:eastAsia="Arial" w:cs="Arial"/>
              </w:rPr>
              <w:t xml:space="preserve"> </w:t>
            </w:r>
            <w:r w:rsidRPr="2B48CD80">
              <w:rPr>
                <w:rFonts w:ascii="Arial" w:hAnsi="Arial" w:eastAsia="Arial" w:cs="Arial"/>
                <w:b/>
                <w:bCs/>
                <w:u w:val="single"/>
              </w:rPr>
              <w:t>Tier II</w:t>
            </w:r>
          </w:p>
        </w:tc>
      </w:tr>
    </w:tbl>
    <w:p w:rsidR="0C76C34A" w:rsidP="0C76C34A" w:rsidRDefault="0C76C34A" w14:paraId="7E9B24E4" w14:textId="5847AB7F">
      <w:pPr>
        <w:pStyle w:val="Normal"/>
        <w:ind w:left="-20" w:right="-20"/>
        <w:jc w:val="both"/>
        <w:rPr>
          <w:rFonts w:ascii="Arial" w:hAnsi="Arial" w:eastAsia="Arial" w:cs="Arial"/>
          <w:b w:val="1"/>
          <w:bCs w:val="1"/>
          <w:sz w:val="16"/>
          <w:szCs w:val="16"/>
        </w:rPr>
      </w:pPr>
    </w:p>
    <w:p w:rsidR="7211B44F" w:rsidP="0C76C34A" w:rsidRDefault="7211B44F" w14:paraId="75C42A62" w14:textId="58930631">
      <w:pPr>
        <w:spacing w:after="120"/>
        <w:jc w:val="both"/>
        <w:rPr>
          <w:rFonts w:ascii="Arial" w:hAnsi="Arial" w:eastAsia="Arial" w:cs="Arial"/>
          <w:b w:val="1"/>
          <w:bCs w:val="1"/>
          <w:sz w:val="24"/>
          <w:szCs w:val="24"/>
        </w:rPr>
      </w:pPr>
      <w:r w:rsidRPr="68A76D2F" w:rsidR="7211B44F">
        <w:rPr>
          <w:rFonts w:ascii="Arial" w:hAnsi="Arial" w:eastAsia="Arial" w:cs="Arial"/>
          <w:b w:val="1"/>
          <w:bCs w:val="1"/>
          <w:sz w:val="24"/>
          <w:szCs w:val="24"/>
        </w:rPr>
        <w:t>Attachment 07 – Budget Forms</w:t>
      </w:r>
    </w:p>
    <w:p w:rsidR="0DE2AC1C" w:rsidP="0C76C34A" w:rsidRDefault="0DE2AC1C" w14:paraId="2FC2E047" w14:textId="4A559AB1">
      <w:pPr>
        <w:pStyle w:val="Normal"/>
        <w:spacing w:after="120"/>
        <w:jc w:val="both"/>
        <w:rPr>
          <w:rFonts w:ascii="Arial" w:hAnsi="Arial" w:eastAsia="Arial" w:cs="Arial"/>
          <w:b w:val="0"/>
          <w:bCs w:val="0"/>
          <w:sz w:val="24"/>
          <w:szCs w:val="24"/>
        </w:rPr>
      </w:pPr>
      <w:r w:rsidRPr="68A76D2F" w:rsidR="0DE2AC1C">
        <w:rPr>
          <w:rFonts w:ascii="Arial" w:hAnsi="Arial" w:eastAsia="Arial" w:cs="Arial"/>
          <w:b w:val="0"/>
          <w:bCs w:val="0"/>
          <w:sz w:val="24"/>
          <w:szCs w:val="24"/>
        </w:rPr>
        <w:t>Please note</w:t>
      </w:r>
      <w:r w:rsidRPr="68A76D2F" w:rsidR="0DE2AC1C">
        <w:rPr>
          <w:rFonts w:ascii="Arial" w:hAnsi="Arial" w:eastAsia="Arial" w:cs="Arial"/>
          <w:b w:val="0"/>
          <w:bCs w:val="0"/>
          <w:sz w:val="24"/>
          <w:szCs w:val="24"/>
        </w:rPr>
        <w:t>: the budget form (Attachment 7) has been updated to reflect the ECAMS budget temp</w:t>
      </w:r>
      <w:r w:rsidRPr="68A76D2F" w:rsidR="0DE2AC1C">
        <w:rPr>
          <w:rFonts w:ascii="Arial" w:hAnsi="Arial" w:eastAsia="Arial" w:cs="Arial"/>
          <w:b w:val="0"/>
          <w:bCs w:val="0"/>
          <w:sz w:val="24"/>
          <w:szCs w:val="24"/>
        </w:rPr>
        <w:t xml:space="preserve">late. Notable changes </w:t>
      </w:r>
      <w:r w:rsidRPr="68A76D2F" w:rsidR="0DE2AC1C">
        <w:rPr>
          <w:rFonts w:ascii="Arial" w:hAnsi="Arial" w:eastAsia="Arial" w:cs="Arial"/>
          <w:b w:val="0"/>
          <w:bCs w:val="0"/>
          <w:sz w:val="24"/>
          <w:szCs w:val="24"/>
        </w:rPr>
        <w:t>include</w:t>
      </w:r>
      <w:r w:rsidRPr="68A76D2F" w:rsidR="66B251B9">
        <w:rPr>
          <w:rFonts w:ascii="Arial" w:hAnsi="Arial" w:eastAsia="Arial" w:cs="Arial"/>
          <w:b w:val="0"/>
          <w:bCs w:val="0"/>
          <w:sz w:val="24"/>
          <w:szCs w:val="24"/>
        </w:rPr>
        <w:t>:</w:t>
      </w:r>
      <w:r w:rsidRPr="68A76D2F" w:rsidR="66B251B9">
        <w:rPr>
          <w:rFonts w:ascii="Arial" w:hAnsi="Arial" w:eastAsia="Arial" w:cs="Arial"/>
          <w:b w:val="0"/>
          <w:bCs w:val="0"/>
          <w:sz w:val="24"/>
          <w:szCs w:val="24"/>
        </w:rPr>
        <w:t xml:space="preserve"> </w:t>
      </w:r>
    </w:p>
    <w:p w:rsidR="34482E14" w:rsidP="68A76D2F" w:rsidRDefault="34482E14" w14:paraId="6ED66742" w14:textId="2A84BC57">
      <w:pPr>
        <w:pStyle w:val="ListParagraph"/>
        <w:numPr>
          <w:ilvl w:val="0"/>
          <w:numId w:val="2"/>
        </w:numPr>
        <w:spacing w:after="120"/>
        <w:jc w:val="both"/>
        <w:rPr>
          <w:rFonts w:ascii="Arial" w:hAnsi="Arial" w:eastAsia="Arial" w:cs="Arial"/>
          <w:b w:val="0"/>
          <w:bCs w:val="0"/>
          <w:sz w:val="24"/>
          <w:szCs w:val="24"/>
        </w:rPr>
      </w:pPr>
      <w:r w:rsidRPr="68A76D2F" w:rsidR="34482E14">
        <w:rPr>
          <w:rFonts w:ascii="Arial" w:hAnsi="Arial" w:eastAsia="Arial" w:cs="Arial"/>
          <w:b w:val="0"/>
          <w:bCs w:val="0"/>
          <w:sz w:val="24"/>
          <w:szCs w:val="24"/>
        </w:rPr>
        <w:t>W</w:t>
      </w:r>
      <w:r w:rsidRPr="68A76D2F" w:rsidR="0DE2AC1C">
        <w:rPr>
          <w:rFonts w:ascii="Arial" w:hAnsi="Arial" w:eastAsia="Arial" w:cs="Arial"/>
          <w:b w:val="0"/>
          <w:bCs w:val="0"/>
          <w:sz w:val="24"/>
          <w:szCs w:val="24"/>
        </w:rPr>
        <w:t>orkbook instructions</w:t>
      </w:r>
      <w:r w:rsidRPr="68A76D2F" w:rsidR="01AE5369">
        <w:rPr>
          <w:rFonts w:ascii="Arial" w:hAnsi="Arial" w:eastAsia="Arial" w:cs="Arial"/>
          <w:b w:val="0"/>
          <w:bCs w:val="0"/>
          <w:sz w:val="24"/>
          <w:szCs w:val="24"/>
        </w:rPr>
        <w:t>,</w:t>
      </w:r>
    </w:p>
    <w:p w:rsidR="01AE5369" w:rsidP="68A76D2F" w:rsidRDefault="01AE5369" w14:paraId="63CBDA7F" w14:textId="5CEBB6B4">
      <w:pPr>
        <w:pStyle w:val="ListParagraph"/>
        <w:numPr>
          <w:ilvl w:val="0"/>
          <w:numId w:val="2"/>
        </w:numPr>
        <w:spacing w:after="120"/>
        <w:jc w:val="both"/>
        <w:rPr>
          <w:rFonts w:ascii="Arial" w:hAnsi="Arial" w:eastAsia="Arial" w:cs="Arial"/>
          <w:b w:val="0"/>
          <w:bCs w:val="0"/>
          <w:sz w:val="24"/>
          <w:szCs w:val="24"/>
        </w:rPr>
      </w:pPr>
      <w:r w:rsidRPr="68A76D2F" w:rsidR="01AE5369">
        <w:rPr>
          <w:rFonts w:ascii="Arial" w:hAnsi="Arial" w:eastAsia="Arial" w:cs="Arial"/>
          <w:b w:val="0"/>
          <w:bCs w:val="0"/>
          <w:sz w:val="24"/>
          <w:szCs w:val="24"/>
        </w:rPr>
        <w:t>“Subrecipients” language has</w:t>
      </w:r>
      <w:r w:rsidRPr="68A76D2F" w:rsidR="01AE5369">
        <w:rPr>
          <w:rFonts w:ascii="Arial" w:hAnsi="Arial" w:eastAsia="Arial" w:cs="Arial"/>
          <w:b w:val="0"/>
          <w:bCs w:val="0"/>
          <w:sz w:val="24"/>
          <w:szCs w:val="24"/>
        </w:rPr>
        <w:t xml:space="preserve"> replaced “subcontractors,”</w:t>
      </w:r>
      <w:r w:rsidRPr="68A76D2F" w:rsidR="108CC965">
        <w:rPr>
          <w:rFonts w:ascii="Arial" w:hAnsi="Arial" w:eastAsia="Arial" w:cs="Arial"/>
          <w:b w:val="0"/>
          <w:bCs w:val="0"/>
          <w:sz w:val="24"/>
          <w:szCs w:val="24"/>
        </w:rPr>
        <w:t xml:space="preserve"> and</w:t>
      </w:r>
    </w:p>
    <w:p w:rsidR="108CC965" w:rsidP="68A76D2F" w:rsidRDefault="108CC965" w14:paraId="1E72F819" w14:textId="5B615196">
      <w:pPr>
        <w:pStyle w:val="ListParagraph"/>
        <w:numPr>
          <w:ilvl w:val="0"/>
          <w:numId w:val="2"/>
        </w:numPr>
        <w:spacing w:after="120"/>
        <w:jc w:val="both"/>
        <w:rPr>
          <w:rFonts w:ascii="Arial" w:hAnsi="Arial" w:eastAsia="Arial" w:cs="Arial"/>
          <w:b w:val="0"/>
          <w:bCs w:val="0"/>
          <w:sz w:val="24"/>
          <w:szCs w:val="24"/>
        </w:rPr>
      </w:pPr>
      <w:r w:rsidRPr="68A76D2F" w:rsidR="108CC965">
        <w:rPr>
          <w:rFonts w:ascii="Arial" w:hAnsi="Arial" w:eastAsia="Arial" w:cs="Arial"/>
          <w:b w:val="0"/>
          <w:bCs w:val="0"/>
          <w:sz w:val="24"/>
          <w:szCs w:val="24"/>
        </w:rPr>
        <w:t>Directions for</w:t>
      </w:r>
      <w:r w:rsidRPr="68A76D2F" w:rsidR="4BFF311B">
        <w:rPr>
          <w:rFonts w:ascii="Arial" w:hAnsi="Arial" w:eastAsia="Arial" w:cs="Arial"/>
          <w:b w:val="0"/>
          <w:bCs w:val="0"/>
          <w:sz w:val="24"/>
          <w:szCs w:val="24"/>
        </w:rPr>
        <w:t xml:space="preserve"> ECAMS support</w:t>
      </w:r>
      <w:r w:rsidRPr="68A76D2F" w:rsidR="24560305">
        <w:rPr>
          <w:rFonts w:ascii="Arial" w:hAnsi="Arial" w:eastAsia="Arial" w:cs="Arial"/>
          <w:b w:val="0"/>
          <w:bCs w:val="0"/>
          <w:sz w:val="24"/>
          <w:szCs w:val="24"/>
        </w:rPr>
        <w:t>, if needed</w:t>
      </w:r>
      <w:r w:rsidRPr="68A76D2F" w:rsidR="4BFF311B">
        <w:rPr>
          <w:rFonts w:ascii="Arial" w:hAnsi="Arial" w:eastAsia="Arial" w:cs="Arial"/>
          <w:b w:val="0"/>
          <w:bCs w:val="0"/>
          <w:sz w:val="24"/>
          <w:szCs w:val="24"/>
        </w:rPr>
        <w:t>.</w:t>
      </w:r>
    </w:p>
    <w:p w:rsidR="0C76C34A" w:rsidP="68A76D2F" w:rsidRDefault="0C76C34A" w14:paraId="5523953F" w14:textId="2507ED8C">
      <w:pPr>
        <w:pStyle w:val="Normal"/>
        <w:spacing w:after="120"/>
        <w:ind w:left="0"/>
        <w:jc w:val="both"/>
        <w:rPr>
          <w:rFonts w:ascii="Arial" w:hAnsi="Arial" w:eastAsia="Arial" w:cs="Arial"/>
          <w:b w:val="0"/>
          <w:bCs w:val="0"/>
          <w:sz w:val="24"/>
          <w:szCs w:val="24"/>
        </w:rPr>
      </w:pPr>
    </w:p>
    <w:p w:rsidR="441CA805" w:rsidP="4A9AE0FA" w:rsidRDefault="441CA805" w14:paraId="4D95A4D5" w14:textId="01C034ED">
      <w:pPr>
        <w:spacing w:after="120"/>
        <w:jc w:val="both"/>
        <w:rPr>
          <w:rFonts w:ascii="Arial" w:hAnsi="Arial" w:eastAsia="Arial" w:cs="Arial"/>
          <w:b/>
          <w:bCs/>
          <w:sz w:val="24"/>
          <w:szCs w:val="24"/>
        </w:rPr>
      </w:pPr>
      <w:r w:rsidRPr="23702A31">
        <w:rPr>
          <w:rFonts w:ascii="Arial" w:hAnsi="Arial" w:eastAsia="Arial" w:cs="Arial"/>
          <w:b/>
          <w:bCs/>
          <w:sz w:val="24"/>
          <w:szCs w:val="24"/>
        </w:rPr>
        <w:t>Attachment 11 – Project Performance Metrics</w:t>
      </w:r>
    </w:p>
    <w:tbl>
      <w:tblPr>
        <w:tblStyle w:val="GridTable6Colorful"/>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54"/>
        <w:gridCol w:w="1131"/>
        <w:gridCol w:w="1163"/>
        <w:gridCol w:w="1131"/>
        <w:gridCol w:w="1131"/>
        <w:gridCol w:w="1710"/>
        <w:gridCol w:w="1541"/>
      </w:tblGrid>
      <w:tr w:rsidR="23702A31" w:rsidTr="23702A31" w14:paraId="18C0BD71" w14:textId="77777777">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554" w:type="dxa"/>
            <w:tcMar>
              <w:left w:w="105" w:type="dxa"/>
              <w:right w:w="105" w:type="dxa"/>
            </w:tcMar>
            <w:vAlign w:val="center"/>
          </w:tcPr>
          <w:p w:rsidR="23702A31" w:rsidP="23702A31" w:rsidRDefault="23702A31" w14:paraId="10D4E156" w14:textId="6FA0D2C6">
            <w:pPr>
              <w:spacing w:line="259" w:lineRule="auto"/>
              <w:rPr>
                <w:rFonts w:ascii="Arial" w:hAnsi="Arial" w:eastAsia="Arial" w:cs="Arial"/>
                <w:color w:val="0070C0"/>
              </w:rPr>
            </w:pPr>
            <w:r w:rsidRPr="23702A31">
              <w:rPr>
                <w:rFonts w:ascii="Arial" w:hAnsi="Arial" w:eastAsia="Arial" w:cs="Arial"/>
                <w:b w:val="0"/>
                <w:bCs w:val="0"/>
                <w:i/>
                <w:iCs/>
                <w:color w:val="1F4E79" w:themeColor="accent5" w:themeShade="80"/>
              </w:rPr>
              <w:t>Ex. 3) Carbon intensity</w:t>
            </w:r>
          </w:p>
        </w:tc>
        <w:tc>
          <w:tcPr>
            <w:tcW w:w="1131" w:type="dxa"/>
            <w:tcMar>
              <w:left w:w="105" w:type="dxa"/>
              <w:right w:w="105" w:type="dxa"/>
            </w:tcMar>
            <w:vAlign w:val="center"/>
          </w:tcPr>
          <w:p w:rsidR="23702A31" w:rsidP="23702A31" w:rsidRDefault="23702A31" w14:paraId="2DA06106" w14:textId="1C948318">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color w:val="0070C0"/>
              </w:rPr>
            </w:pPr>
            <w:r w:rsidRPr="23702A31">
              <w:rPr>
                <w:rFonts w:ascii="Arial" w:hAnsi="Arial" w:eastAsia="Arial" w:cs="Arial"/>
                <w:b w:val="0"/>
                <w:bCs w:val="0"/>
                <w:i/>
                <w:iCs/>
                <w:color w:val="1F4E79" w:themeColor="accent5" w:themeShade="80"/>
              </w:rPr>
              <w:t>0 kg of carbon dioxide-equivalent per kg of hydrogen produced</w:t>
            </w:r>
          </w:p>
        </w:tc>
        <w:tc>
          <w:tcPr>
            <w:tcW w:w="1163" w:type="dxa"/>
            <w:tcMar>
              <w:left w:w="105" w:type="dxa"/>
              <w:right w:w="105" w:type="dxa"/>
            </w:tcMar>
            <w:vAlign w:val="center"/>
          </w:tcPr>
          <w:p w:rsidR="23702A31" w:rsidP="23702A31" w:rsidRDefault="23702A31" w14:paraId="7037AF57" w14:textId="6411A2D4">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color w:val="0070C0"/>
              </w:rPr>
            </w:pPr>
            <w:r w:rsidRPr="23702A31">
              <w:rPr>
                <w:rFonts w:ascii="Arial" w:hAnsi="Arial" w:eastAsia="Arial" w:cs="Arial"/>
                <w:b w:val="0"/>
                <w:bCs w:val="0"/>
                <w:i/>
                <w:iCs/>
                <w:color w:val="1F4E79" w:themeColor="accent5" w:themeShade="80"/>
              </w:rPr>
              <w:t>1 kg of carbon dioxide-equivalent per kg of hydrogen produced</w:t>
            </w:r>
          </w:p>
        </w:tc>
        <w:tc>
          <w:tcPr>
            <w:tcW w:w="1131" w:type="dxa"/>
            <w:tcMar>
              <w:left w:w="105" w:type="dxa"/>
              <w:right w:w="105" w:type="dxa"/>
            </w:tcMar>
            <w:vAlign w:val="center"/>
          </w:tcPr>
          <w:p w:rsidR="23702A31" w:rsidP="23702A31" w:rsidRDefault="23702A31" w14:paraId="5DD30EFE" w14:textId="61303624">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color w:val="0070C0"/>
              </w:rPr>
            </w:pPr>
            <w:r w:rsidRPr="23702A31">
              <w:rPr>
                <w:rFonts w:ascii="Arial" w:hAnsi="Arial" w:eastAsia="Arial" w:cs="Arial"/>
                <w:b w:val="0"/>
                <w:bCs w:val="0"/>
                <w:i/>
                <w:iCs/>
                <w:color w:val="1F4E79" w:themeColor="accent5" w:themeShade="80"/>
              </w:rPr>
              <w:t>0 kg of carbon dioxide-equivalent per kg of hydrogen produced</w:t>
            </w:r>
          </w:p>
        </w:tc>
        <w:tc>
          <w:tcPr>
            <w:tcW w:w="1131" w:type="dxa"/>
            <w:tcMar>
              <w:left w:w="105" w:type="dxa"/>
              <w:right w:w="105" w:type="dxa"/>
            </w:tcMar>
            <w:vAlign w:val="center"/>
          </w:tcPr>
          <w:p w:rsidR="23702A31" w:rsidP="23702A31" w:rsidRDefault="23702A31" w14:paraId="7135511E" w14:textId="3B5F786A">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color w:val="0070C0"/>
              </w:rPr>
            </w:pPr>
            <w:r w:rsidRPr="23702A31">
              <w:rPr>
                <w:rFonts w:ascii="Arial" w:hAnsi="Arial" w:eastAsia="Arial" w:cs="Arial"/>
                <w:b w:val="0"/>
                <w:bCs w:val="0"/>
                <w:i/>
                <w:iCs/>
                <w:color w:val="1F4E79" w:themeColor="accent5" w:themeShade="80"/>
              </w:rPr>
              <w:t>0.45 kg of carbon dioxide-equivalent per kg of hydrogen produced</w:t>
            </w:r>
          </w:p>
        </w:tc>
        <w:tc>
          <w:tcPr>
            <w:tcW w:w="1710" w:type="dxa"/>
            <w:tcMar>
              <w:left w:w="105" w:type="dxa"/>
              <w:right w:w="105" w:type="dxa"/>
            </w:tcMar>
            <w:vAlign w:val="center"/>
          </w:tcPr>
          <w:p w:rsidRPr="00833499" w:rsidR="0088595E" w:rsidP="23702A31" w:rsidRDefault="0088595E" w14:paraId="34496594" w14:textId="6ECDA7E7">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i/>
                <w:iCs/>
                <w:color w:val="1F4E79" w:themeColor="accent5" w:themeShade="80"/>
              </w:rPr>
            </w:pPr>
            <w:r w:rsidRPr="00833499">
              <w:rPr>
                <w:rFonts w:ascii="Arial" w:hAnsi="Arial" w:eastAsia="Arial" w:cs="Arial"/>
                <w:b w:val="0"/>
                <w:bCs w:val="0"/>
                <w:i/>
                <w:iCs/>
                <w:color w:val="1F4E79" w:themeColor="accent5" w:themeShade="80"/>
              </w:rPr>
              <w:t>[</w:t>
            </w:r>
            <w:r w:rsidRPr="00833499">
              <w:rPr>
                <w:rFonts w:ascii="Arial" w:hAnsi="Arial" w:eastAsia="Arial" w:cs="Arial"/>
                <w:b w:val="0"/>
                <w:bCs w:val="0"/>
                <w:i/>
                <w:iCs/>
                <w:strike/>
                <w:color w:val="1F4E79" w:themeColor="accent5" w:themeShade="80"/>
              </w:rPr>
              <w:t>Internal tracking of completed and screened applications]</w:t>
            </w:r>
          </w:p>
          <w:p w:rsidR="23702A31" w:rsidP="23702A31" w:rsidRDefault="00432A16" w14:paraId="3238513D" w14:textId="03BB98B9">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0070C0"/>
                <w:u w:val="single"/>
              </w:rPr>
            </w:pPr>
            <w:r w:rsidRPr="00432A16">
              <w:rPr>
                <w:rFonts w:ascii="Arial" w:hAnsi="Arial" w:eastAsia="Arial" w:cs="Arial"/>
                <w:i/>
                <w:iCs/>
                <w:color w:val="1F4E79" w:themeColor="accent5" w:themeShade="80"/>
                <w:u w:val="single"/>
              </w:rPr>
              <w:t>Argonne National Laboratory’s 45VH2 Greenhouse gases, Regulated Emissions, and Energy use in Technologies</w:t>
            </w:r>
            <w:r w:rsidR="00833499">
              <w:rPr>
                <w:rFonts w:ascii="Arial" w:hAnsi="Arial" w:eastAsia="Arial" w:cs="Arial"/>
                <w:i/>
                <w:iCs/>
                <w:color w:val="1F4E79" w:themeColor="accent5" w:themeShade="80"/>
                <w:u w:val="single"/>
              </w:rPr>
              <w:t xml:space="preserve"> </w:t>
            </w:r>
            <w:r w:rsidRPr="00833499" w:rsidR="00833499">
              <w:rPr>
                <w:rFonts w:ascii="Arial" w:hAnsi="Arial" w:eastAsia="Arial" w:cs="Arial"/>
                <w:i/>
                <w:iCs/>
                <w:color w:val="1F4E79" w:themeColor="accent5" w:themeShade="80"/>
                <w:u w:val="single"/>
              </w:rPr>
              <w:t>(45VH2-GREET) Model</w:t>
            </w:r>
          </w:p>
        </w:tc>
        <w:tc>
          <w:tcPr>
            <w:tcW w:w="1541" w:type="dxa"/>
            <w:tcMar>
              <w:left w:w="105" w:type="dxa"/>
              <w:right w:w="105" w:type="dxa"/>
            </w:tcMar>
            <w:vAlign w:val="center"/>
          </w:tcPr>
          <w:p w:rsidR="23702A31" w:rsidP="23702A31" w:rsidRDefault="23702A31" w14:paraId="0F007DAA" w14:textId="292F3934">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eastAsia="Arial" w:cs="Arial"/>
                <w:color w:val="0070C0"/>
              </w:rPr>
            </w:pPr>
            <w:r w:rsidRPr="23702A31">
              <w:rPr>
                <w:rFonts w:ascii="Arial" w:hAnsi="Arial" w:eastAsia="Arial" w:cs="Arial"/>
                <w:b w:val="0"/>
                <w:bCs w:val="0"/>
                <w:i/>
                <w:iCs/>
                <w:color w:val="1F4E79" w:themeColor="accent5" w:themeShade="80"/>
              </w:rPr>
              <w:t>Hydrogen produced with low carbon emissions can act as a replacement for fossil fuels.</w:t>
            </w:r>
          </w:p>
        </w:tc>
      </w:tr>
    </w:tbl>
    <w:p w:rsidR="2B48CD80" w:rsidP="2B48CD80" w:rsidRDefault="2B48CD80" w14:paraId="628390E7" w14:textId="03AEEEB6">
      <w:pPr>
        <w:rPr>
          <w:rFonts w:ascii="Arial" w:hAnsi="Arial" w:eastAsia="Arial" w:cs="Arial"/>
          <w:sz w:val="24"/>
          <w:szCs w:val="24"/>
        </w:rPr>
      </w:pPr>
    </w:p>
    <w:sectPr w:rsidR="2B48CD8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77d933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DDD2B97"/>
    <w:multiLevelType w:val="hybridMultilevel"/>
    <w:tmpl w:val="59D0E622"/>
    <w:lvl w:ilvl="0">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2">
    <w:abstractNumId w:val="1"/>
  </w:num>
  <w:num w:numId="1" w16cid:durableId="98169116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DFCBD9"/>
    <w:rsid w:val="000115A5"/>
    <w:rsid w:val="0003366B"/>
    <w:rsid w:val="00043D7C"/>
    <w:rsid w:val="000569BA"/>
    <w:rsid w:val="00067B6C"/>
    <w:rsid w:val="0007453F"/>
    <w:rsid w:val="00075414"/>
    <w:rsid w:val="0008440F"/>
    <w:rsid w:val="000A387A"/>
    <w:rsid w:val="000A6F09"/>
    <w:rsid w:val="000C3086"/>
    <w:rsid w:val="000E6817"/>
    <w:rsid w:val="0010724A"/>
    <w:rsid w:val="00114894"/>
    <w:rsid w:val="00122DA2"/>
    <w:rsid w:val="00123737"/>
    <w:rsid w:val="0015312D"/>
    <w:rsid w:val="00160408"/>
    <w:rsid w:val="001A3A07"/>
    <w:rsid w:val="001B2F02"/>
    <w:rsid w:val="001B6D6E"/>
    <w:rsid w:val="001C2775"/>
    <w:rsid w:val="001C7473"/>
    <w:rsid w:val="001C7AAD"/>
    <w:rsid w:val="001D485F"/>
    <w:rsid w:val="001E5574"/>
    <w:rsid w:val="001E6A12"/>
    <w:rsid w:val="001E7DDD"/>
    <w:rsid w:val="001F7DCC"/>
    <w:rsid w:val="0022404C"/>
    <w:rsid w:val="00257A56"/>
    <w:rsid w:val="00282529"/>
    <w:rsid w:val="002932F9"/>
    <w:rsid w:val="002A2066"/>
    <w:rsid w:val="002C2D39"/>
    <w:rsid w:val="002D7BB9"/>
    <w:rsid w:val="002E7438"/>
    <w:rsid w:val="002F52D0"/>
    <w:rsid w:val="003144C2"/>
    <w:rsid w:val="003226CA"/>
    <w:rsid w:val="00326628"/>
    <w:rsid w:val="00342B37"/>
    <w:rsid w:val="00344AF4"/>
    <w:rsid w:val="003551F7"/>
    <w:rsid w:val="003C3B0E"/>
    <w:rsid w:val="003E67BB"/>
    <w:rsid w:val="00406ABA"/>
    <w:rsid w:val="00407FC9"/>
    <w:rsid w:val="00432A16"/>
    <w:rsid w:val="00491236"/>
    <w:rsid w:val="004A75C4"/>
    <w:rsid w:val="004B5C9E"/>
    <w:rsid w:val="004B7783"/>
    <w:rsid w:val="004C21D0"/>
    <w:rsid w:val="004D7D62"/>
    <w:rsid w:val="004E3E15"/>
    <w:rsid w:val="005175C6"/>
    <w:rsid w:val="00524A9B"/>
    <w:rsid w:val="005516B1"/>
    <w:rsid w:val="00552863"/>
    <w:rsid w:val="005643B8"/>
    <w:rsid w:val="00595722"/>
    <w:rsid w:val="005B16FA"/>
    <w:rsid w:val="005C78B4"/>
    <w:rsid w:val="005F77C9"/>
    <w:rsid w:val="00622F8D"/>
    <w:rsid w:val="006400CE"/>
    <w:rsid w:val="006556B7"/>
    <w:rsid w:val="00657652"/>
    <w:rsid w:val="00666468"/>
    <w:rsid w:val="00674DCB"/>
    <w:rsid w:val="00677C63"/>
    <w:rsid w:val="006A24A6"/>
    <w:rsid w:val="006C2B2D"/>
    <w:rsid w:val="006D68CF"/>
    <w:rsid w:val="006E1E18"/>
    <w:rsid w:val="006F2981"/>
    <w:rsid w:val="007043CD"/>
    <w:rsid w:val="00706A50"/>
    <w:rsid w:val="007319C5"/>
    <w:rsid w:val="00777055"/>
    <w:rsid w:val="00780A9D"/>
    <w:rsid w:val="007B3536"/>
    <w:rsid w:val="007C15AE"/>
    <w:rsid w:val="007D75ED"/>
    <w:rsid w:val="00831C7F"/>
    <w:rsid w:val="00833499"/>
    <w:rsid w:val="0084521D"/>
    <w:rsid w:val="00846425"/>
    <w:rsid w:val="00855DF3"/>
    <w:rsid w:val="0087452E"/>
    <w:rsid w:val="0088595E"/>
    <w:rsid w:val="00895C46"/>
    <w:rsid w:val="008A2D81"/>
    <w:rsid w:val="008D74BA"/>
    <w:rsid w:val="008E09C9"/>
    <w:rsid w:val="00906BD4"/>
    <w:rsid w:val="00916AB0"/>
    <w:rsid w:val="0096139F"/>
    <w:rsid w:val="00967D17"/>
    <w:rsid w:val="009735C8"/>
    <w:rsid w:val="0098495B"/>
    <w:rsid w:val="00985468"/>
    <w:rsid w:val="009A259C"/>
    <w:rsid w:val="00A16D9A"/>
    <w:rsid w:val="00A4172F"/>
    <w:rsid w:val="00A4490E"/>
    <w:rsid w:val="00A97760"/>
    <w:rsid w:val="00AB4AFB"/>
    <w:rsid w:val="00AB6682"/>
    <w:rsid w:val="00AC303D"/>
    <w:rsid w:val="00AD2687"/>
    <w:rsid w:val="00AF51D6"/>
    <w:rsid w:val="00B033D1"/>
    <w:rsid w:val="00B26593"/>
    <w:rsid w:val="00B42CEE"/>
    <w:rsid w:val="00B80BA1"/>
    <w:rsid w:val="00B86D90"/>
    <w:rsid w:val="00B95EC3"/>
    <w:rsid w:val="00BA6382"/>
    <w:rsid w:val="00BC900A"/>
    <w:rsid w:val="00BD023D"/>
    <w:rsid w:val="00BD4045"/>
    <w:rsid w:val="00BD5600"/>
    <w:rsid w:val="00BE485A"/>
    <w:rsid w:val="00C1133B"/>
    <w:rsid w:val="00C31628"/>
    <w:rsid w:val="00C5694F"/>
    <w:rsid w:val="00C660D7"/>
    <w:rsid w:val="00C66E10"/>
    <w:rsid w:val="00C754F7"/>
    <w:rsid w:val="00C8064A"/>
    <w:rsid w:val="00C91F21"/>
    <w:rsid w:val="00C93490"/>
    <w:rsid w:val="00CD46E2"/>
    <w:rsid w:val="00CE3B2F"/>
    <w:rsid w:val="00D07ECC"/>
    <w:rsid w:val="00D25CAE"/>
    <w:rsid w:val="00D4337F"/>
    <w:rsid w:val="00D50A59"/>
    <w:rsid w:val="00D66902"/>
    <w:rsid w:val="00D7103B"/>
    <w:rsid w:val="00D84A37"/>
    <w:rsid w:val="00DA20F2"/>
    <w:rsid w:val="00DA455A"/>
    <w:rsid w:val="00DB4881"/>
    <w:rsid w:val="00DC10E4"/>
    <w:rsid w:val="00DD6310"/>
    <w:rsid w:val="00DE7C68"/>
    <w:rsid w:val="00DF4CD9"/>
    <w:rsid w:val="00E02A52"/>
    <w:rsid w:val="00E03854"/>
    <w:rsid w:val="00E3797A"/>
    <w:rsid w:val="00E54084"/>
    <w:rsid w:val="00E61905"/>
    <w:rsid w:val="00E62466"/>
    <w:rsid w:val="00E65867"/>
    <w:rsid w:val="00E91762"/>
    <w:rsid w:val="00E96F27"/>
    <w:rsid w:val="00EB0D90"/>
    <w:rsid w:val="00EB1852"/>
    <w:rsid w:val="00EC37F9"/>
    <w:rsid w:val="00ED23B5"/>
    <w:rsid w:val="00EE039E"/>
    <w:rsid w:val="00EE1918"/>
    <w:rsid w:val="00EE47B7"/>
    <w:rsid w:val="00EE50BB"/>
    <w:rsid w:val="00EF1EA3"/>
    <w:rsid w:val="00F079F7"/>
    <w:rsid w:val="00F251F2"/>
    <w:rsid w:val="00F3185E"/>
    <w:rsid w:val="00FC5F27"/>
    <w:rsid w:val="00FD7FE5"/>
    <w:rsid w:val="01AE5369"/>
    <w:rsid w:val="01E978A1"/>
    <w:rsid w:val="0229134C"/>
    <w:rsid w:val="02A84BE2"/>
    <w:rsid w:val="0347E7D1"/>
    <w:rsid w:val="03A0157C"/>
    <w:rsid w:val="04713073"/>
    <w:rsid w:val="05428D8B"/>
    <w:rsid w:val="058A1913"/>
    <w:rsid w:val="06852CF3"/>
    <w:rsid w:val="076294A8"/>
    <w:rsid w:val="07A2A187"/>
    <w:rsid w:val="07A35227"/>
    <w:rsid w:val="0873B9EC"/>
    <w:rsid w:val="08B6B726"/>
    <w:rsid w:val="093E63A0"/>
    <w:rsid w:val="097D49C6"/>
    <w:rsid w:val="0A11CF98"/>
    <w:rsid w:val="0C76C34A"/>
    <w:rsid w:val="0D028CB8"/>
    <w:rsid w:val="0D147919"/>
    <w:rsid w:val="0DDE61D1"/>
    <w:rsid w:val="0DE2AC1C"/>
    <w:rsid w:val="0E0ACE56"/>
    <w:rsid w:val="0F506131"/>
    <w:rsid w:val="0FCD09F9"/>
    <w:rsid w:val="10694A80"/>
    <w:rsid w:val="108CC965"/>
    <w:rsid w:val="1092C92E"/>
    <w:rsid w:val="1199334E"/>
    <w:rsid w:val="137E2710"/>
    <w:rsid w:val="13E27967"/>
    <w:rsid w:val="1427CDB2"/>
    <w:rsid w:val="14A59C74"/>
    <w:rsid w:val="14B76074"/>
    <w:rsid w:val="15108542"/>
    <w:rsid w:val="15C39DAB"/>
    <w:rsid w:val="16272E8B"/>
    <w:rsid w:val="17365FBB"/>
    <w:rsid w:val="1825F7F8"/>
    <w:rsid w:val="182A6213"/>
    <w:rsid w:val="18D2FEFF"/>
    <w:rsid w:val="190E3C45"/>
    <w:rsid w:val="19E0B672"/>
    <w:rsid w:val="19F2F942"/>
    <w:rsid w:val="1A0F4FFC"/>
    <w:rsid w:val="1AAD8C15"/>
    <w:rsid w:val="1B5CB72C"/>
    <w:rsid w:val="1C3EF565"/>
    <w:rsid w:val="1C411F52"/>
    <w:rsid w:val="1C7F6DDF"/>
    <w:rsid w:val="1C99BB90"/>
    <w:rsid w:val="1CD2951D"/>
    <w:rsid w:val="1D231846"/>
    <w:rsid w:val="1D75FC8D"/>
    <w:rsid w:val="1DF8DABE"/>
    <w:rsid w:val="1E563B54"/>
    <w:rsid w:val="1EA98AA1"/>
    <w:rsid w:val="1F2AAECC"/>
    <w:rsid w:val="1F61C4E3"/>
    <w:rsid w:val="20D7C05C"/>
    <w:rsid w:val="211D0B02"/>
    <w:rsid w:val="21FE6EC6"/>
    <w:rsid w:val="23702A31"/>
    <w:rsid w:val="23A43AF8"/>
    <w:rsid w:val="23AAB0B0"/>
    <w:rsid w:val="24560305"/>
    <w:rsid w:val="24DBAFDD"/>
    <w:rsid w:val="25156A95"/>
    <w:rsid w:val="2595B341"/>
    <w:rsid w:val="25FE9B61"/>
    <w:rsid w:val="260D4682"/>
    <w:rsid w:val="268EA296"/>
    <w:rsid w:val="26A1862E"/>
    <w:rsid w:val="26CB2657"/>
    <w:rsid w:val="274CD1E5"/>
    <w:rsid w:val="27B1DD32"/>
    <w:rsid w:val="284DF758"/>
    <w:rsid w:val="2860A975"/>
    <w:rsid w:val="292796FE"/>
    <w:rsid w:val="2A054733"/>
    <w:rsid w:val="2A18C344"/>
    <w:rsid w:val="2A89F595"/>
    <w:rsid w:val="2B48CD80"/>
    <w:rsid w:val="2C99AB77"/>
    <w:rsid w:val="2DBC1326"/>
    <w:rsid w:val="2E6E19F3"/>
    <w:rsid w:val="2E9D70CB"/>
    <w:rsid w:val="2ECD0DCA"/>
    <w:rsid w:val="2F840964"/>
    <w:rsid w:val="2FFDEBA5"/>
    <w:rsid w:val="303E6402"/>
    <w:rsid w:val="304B17FA"/>
    <w:rsid w:val="30974761"/>
    <w:rsid w:val="309AA740"/>
    <w:rsid w:val="309B1DA8"/>
    <w:rsid w:val="30CEA933"/>
    <w:rsid w:val="31186033"/>
    <w:rsid w:val="31440E31"/>
    <w:rsid w:val="31957AC4"/>
    <w:rsid w:val="33642B88"/>
    <w:rsid w:val="342EF23F"/>
    <w:rsid w:val="34482E14"/>
    <w:rsid w:val="345F2EF5"/>
    <w:rsid w:val="34A38E6C"/>
    <w:rsid w:val="34CD632B"/>
    <w:rsid w:val="34F6F544"/>
    <w:rsid w:val="3503C99D"/>
    <w:rsid w:val="35BC0074"/>
    <w:rsid w:val="35FCB8F2"/>
    <w:rsid w:val="3607C354"/>
    <w:rsid w:val="36337A31"/>
    <w:rsid w:val="367545F4"/>
    <w:rsid w:val="368B51BB"/>
    <w:rsid w:val="36E0FD1C"/>
    <w:rsid w:val="372853D7"/>
    <w:rsid w:val="394ACC56"/>
    <w:rsid w:val="39D1920B"/>
    <w:rsid w:val="39E454A8"/>
    <w:rsid w:val="3A189DDE"/>
    <w:rsid w:val="3A235883"/>
    <w:rsid w:val="3ACE0BD2"/>
    <w:rsid w:val="3C244DCC"/>
    <w:rsid w:val="3C9EF911"/>
    <w:rsid w:val="40349D04"/>
    <w:rsid w:val="41C92448"/>
    <w:rsid w:val="41EF668D"/>
    <w:rsid w:val="42107917"/>
    <w:rsid w:val="4350963B"/>
    <w:rsid w:val="43AC4978"/>
    <w:rsid w:val="43D306CD"/>
    <w:rsid w:val="4419B98C"/>
    <w:rsid w:val="441CA805"/>
    <w:rsid w:val="44E274DB"/>
    <w:rsid w:val="45456D4B"/>
    <w:rsid w:val="45A4BE55"/>
    <w:rsid w:val="4A9AE0FA"/>
    <w:rsid w:val="4ACB073F"/>
    <w:rsid w:val="4BFF311B"/>
    <w:rsid w:val="4C44F0C4"/>
    <w:rsid w:val="4DA77375"/>
    <w:rsid w:val="4DAEA14A"/>
    <w:rsid w:val="4DCC22D1"/>
    <w:rsid w:val="4DFBCC2E"/>
    <w:rsid w:val="4E5398A5"/>
    <w:rsid w:val="4E957F84"/>
    <w:rsid w:val="4F979C8F"/>
    <w:rsid w:val="4FEB9A4E"/>
    <w:rsid w:val="52178C63"/>
    <w:rsid w:val="52840BA6"/>
    <w:rsid w:val="5409118A"/>
    <w:rsid w:val="54A8653F"/>
    <w:rsid w:val="55202B2C"/>
    <w:rsid w:val="565B7BCD"/>
    <w:rsid w:val="568FC1B4"/>
    <w:rsid w:val="5724ADA6"/>
    <w:rsid w:val="5729D4F0"/>
    <w:rsid w:val="58422346"/>
    <w:rsid w:val="58E2DBA1"/>
    <w:rsid w:val="58EE3DDE"/>
    <w:rsid w:val="59F867B4"/>
    <w:rsid w:val="5ABCB285"/>
    <w:rsid w:val="5AEE00BC"/>
    <w:rsid w:val="5B6E0A28"/>
    <w:rsid w:val="5C923250"/>
    <w:rsid w:val="5D39414F"/>
    <w:rsid w:val="5E2B411F"/>
    <w:rsid w:val="5E5529C2"/>
    <w:rsid w:val="5EABBBD0"/>
    <w:rsid w:val="609D47FD"/>
    <w:rsid w:val="60E49F3A"/>
    <w:rsid w:val="614E1229"/>
    <w:rsid w:val="61A94AB7"/>
    <w:rsid w:val="61A9A825"/>
    <w:rsid w:val="61DFCBD9"/>
    <w:rsid w:val="6269A51E"/>
    <w:rsid w:val="62CBBE5D"/>
    <w:rsid w:val="62DD205A"/>
    <w:rsid w:val="639F9066"/>
    <w:rsid w:val="63A0A9B3"/>
    <w:rsid w:val="63D9240E"/>
    <w:rsid w:val="63F7E4EC"/>
    <w:rsid w:val="6499BFF4"/>
    <w:rsid w:val="64F9843C"/>
    <w:rsid w:val="65077359"/>
    <w:rsid w:val="65F7390A"/>
    <w:rsid w:val="6650A95C"/>
    <w:rsid w:val="667DCE1C"/>
    <w:rsid w:val="66B251B9"/>
    <w:rsid w:val="66FA188B"/>
    <w:rsid w:val="67CF564C"/>
    <w:rsid w:val="68199E7D"/>
    <w:rsid w:val="684E4CE3"/>
    <w:rsid w:val="68A76D2F"/>
    <w:rsid w:val="68B3A3D5"/>
    <w:rsid w:val="69A1FE60"/>
    <w:rsid w:val="6A04F2B4"/>
    <w:rsid w:val="6A51BBEB"/>
    <w:rsid w:val="6AEB5BA1"/>
    <w:rsid w:val="6CAA68E4"/>
    <w:rsid w:val="6D648073"/>
    <w:rsid w:val="6D86638B"/>
    <w:rsid w:val="6DC3EC8B"/>
    <w:rsid w:val="6E7E0246"/>
    <w:rsid w:val="6F3F3341"/>
    <w:rsid w:val="6F4002D9"/>
    <w:rsid w:val="6F5299CF"/>
    <w:rsid w:val="6F7F55E8"/>
    <w:rsid w:val="7003B1E2"/>
    <w:rsid w:val="70AF1D46"/>
    <w:rsid w:val="7189291A"/>
    <w:rsid w:val="7211B44F"/>
    <w:rsid w:val="7228CC3F"/>
    <w:rsid w:val="724B36B6"/>
    <w:rsid w:val="725E69D7"/>
    <w:rsid w:val="7268024C"/>
    <w:rsid w:val="728A3A91"/>
    <w:rsid w:val="7359F63C"/>
    <w:rsid w:val="744DA014"/>
    <w:rsid w:val="749F2F3B"/>
    <w:rsid w:val="74C245F1"/>
    <w:rsid w:val="7598B2A2"/>
    <w:rsid w:val="7620AFA7"/>
    <w:rsid w:val="76C1550A"/>
    <w:rsid w:val="76D70010"/>
    <w:rsid w:val="77243DB1"/>
    <w:rsid w:val="778F267F"/>
    <w:rsid w:val="77AC76B3"/>
    <w:rsid w:val="78F3CF2F"/>
    <w:rsid w:val="7976BF6F"/>
    <w:rsid w:val="79BD4E26"/>
    <w:rsid w:val="7A2E256B"/>
    <w:rsid w:val="7AF96CA4"/>
    <w:rsid w:val="7AFB6D6F"/>
    <w:rsid w:val="7B3923F2"/>
    <w:rsid w:val="7B4EAAE6"/>
    <w:rsid w:val="7C1EBBF2"/>
    <w:rsid w:val="7C79511F"/>
    <w:rsid w:val="7D0AE0D5"/>
    <w:rsid w:val="7DA81132"/>
    <w:rsid w:val="7DD4DABE"/>
    <w:rsid w:val="7DDCBBBE"/>
    <w:rsid w:val="7ECD94AA"/>
    <w:rsid w:val="7F4520A8"/>
    <w:rsid w:val="7F4D1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CBD9"/>
  <w15:chartTrackingRefBased/>
  <w15:docId w15:val="{321855B2-6BB3-4D13-8387-F665C2DC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ingNew1" w:customStyle="1">
    <w:name w:val="Heading_New1"/>
    <w:basedOn w:val="Normal"/>
    <w:link w:val="HeadingNew1Char"/>
    <w:uiPriority w:val="1"/>
    <w:qFormat/>
    <w:rsid w:val="76C1550A"/>
    <w:pPr>
      <w:spacing w:after="120"/>
      <w:ind w:left="450" w:hanging="360"/>
      <w:jc w:val="both"/>
    </w:pPr>
    <w:rPr>
      <w:b/>
      <w:bCs/>
    </w:rPr>
  </w:style>
  <w:style w:type="character" w:styleId="HeadingNew1Char" w:customStyle="1">
    <w:name w:val="Heading_New1 Char"/>
    <w:basedOn w:val="DefaultParagraphFont"/>
    <w:link w:val="HeadingNew1"/>
    <w:uiPriority w:val="1"/>
    <w:rsid w:val="76C1550A"/>
    <w:rPr>
      <w:b/>
      <w:b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EE47B7"/>
    <w:pPr>
      <w:spacing w:after="0" w:line="240" w:lineRule="auto"/>
    </w:pPr>
  </w:style>
  <w:style w:type="character" w:styleId="CommentReference">
    <w:name w:val="annotation reference"/>
    <w:basedOn w:val="DefaultParagraphFont"/>
    <w:uiPriority w:val="99"/>
    <w:semiHidden/>
    <w:unhideWhenUsed/>
    <w:rsid w:val="005F77C9"/>
    <w:rPr>
      <w:sz w:val="16"/>
      <w:szCs w:val="16"/>
    </w:rPr>
  </w:style>
  <w:style w:type="paragraph" w:styleId="CommentText">
    <w:name w:val="annotation text"/>
    <w:basedOn w:val="Normal"/>
    <w:link w:val="CommentTextChar"/>
    <w:uiPriority w:val="99"/>
    <w:unhideWhenUsed/>
    <w:rsid w:val="005F77C9"/>
    <w:pPr>
      <w:spacing w:line="240" w:lineRule="auto"/>
    </w:pPr>
    <w:rPr>
      <w:sz w:val="20"/>
      <w:szCs w:val="20"/>
    </w:rPr>
  </w:style>
  <w:style w:type="character" w:styleId="CommentTextChar" w:customStyle="1">
    <w:name w:val="Comment Text Char"/>
    <w:basedOn w:val="DefaultParagraphFont"/>
    <w:link w:val="CommentText"/>
    <w:uiPriority w:val="99"/>
    <w:rsid w:val="005F77C9"/>
    <w:rPr>
      <w:sz w:val="20"/>
      <w:szCs w:val="20"/>
    </w:rPr>
  </w:style>
  <w:style w:type="paragraph" w:styleId="CommentSubject">
    <w:name w:val="annotation subject"/>
    <w:basedOn w:val="CommentText"/>
    <w:next w:val="CommentText"/>
    <w:link w:val="CommentSubjectChar"/>
    <w:uiPriority w:val="99"/>
    <w:semiHidden/>
    <w:unhideWhenUsed/>
    <w:rsid w:val="005F77C9"/>
    <w:rPr>
      <w:b/>
      <w:bCs/>
    </w:rPr>
  </w:style>
  <w:style w:type="character" w:styleId="CommentSubjectChar" w:customStyle="1">
    <w:name w:val="Comment Subject Char"/>
    <w:basedOn w:val="CommentTextChar"/>
    <w:link w:val="CommentSubject"/>
    <w:uiPriority w:val="99"/>
    <w:semiHidden/>
    <w:rsid w:val="005F77C9"/>
    <w:rPr>
      <w:b/>
      <w:bCs/>
      <w:sz w:val="20"/>
      <w:szCs w:val="20"/>
    </w:rPr>
  </w:style>
  <w:style w:type="table" w:styleId="GridTable6Colorful">
    <w:name w:val="Grid Table 6 Colorful"/>
    <w:basedOn w:val="TableNormal"/>
    <w:uiPriority w:val="51"/>
    <w:rsid w:val="003226C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E65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nergy.gov/eere/greet" TargetMode="External" Id="rId8" /><Relationship Type="http://schemas.openxmlformats.org/officeDocument/2006/relationships/hyperlink" Target="https://www.nrel.gov/hydrogen/h2a-production-models.html"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wecc.biz/WREGIS.&#16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publications.jrc.ec.europa.eu/repository/handle/JRC130362"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nergy.ca.gov/programs-and-topics/programs/renewables-portfolio-standard/rps-enforcement-regulations-publicly" TargetMode="External" Id="rId11" /><Relationship Type="http://schemas.openxmlformats.org/officeDocument/2006/relationships/styles" Target="styles.xml" Id="rId5" /><Relationship Type="http://schemas.openxmlformats.org/officeDocument/2006/relationships/hyperlink" Target="https://www.energy.gov/infrastructure/about-community-benefits-plans" TargetMode="External" Id="rId15" /><Relationship Type="http://schemas.openxmlformats.org/officeDocument/2006/relationships/hyperlink" Target="https://california.public.law/codes/ca_pub_util_code_section_399.16"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www.epa.gov/moves" TargetMode="External" Id="rId9" /><Relationship Type="http://schemas.openxmlformats.org/officeDocument/2006/relationships/hyperlink" Target="https://archesh2.org/wp-content/uploads/2023/11/ARCHES_CB_PROPOSAL_for-release.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3868a-e1ea-43b3-a4cc-2f100b712961">
      <Terms xmlns="http://schemas.microsoft.com/office/infopath/2007/PartnerControls"/>
    </lcf76f155ced4ddcb4097134ff3c332f>
    <TaxCatchAll xmlns="1b357a4e-0e93-4a40-910b-4d326e359e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6CBC9CB40A3C43B2680CFA23C27204" ma:contentTypeVersion="14" ma:contentTypeDescription="Create a new document." ma:contentTypeScope="" ma:versionID="861e3bf9a2bbcb514337fa8b4ea70313">
  <xsd:schema xmlns:xsd="http://www.w3.org/2001/XMLSchema" xmlns:xs="http://www.w3.org/2001/XMLSchema" xmlns:p="http://schemas.microsoft.com/office/2006/metadata/properties" xmlns:ns2="6753868a-e1ea-43b3-a4cc-2f100b712961" xmlns:ns3="1b357a4e-0e93-4a40-910b-4d326e359e95" targetNamespace="http://schemas.microsoft.com/office/2006/metadata/properties" ma:root="true" ma:fieldsID="1b062dcc3adfb813897e96ed24d451c8" ns2:_="" ns3:_="">
    <xsd:import namespace="6753868a-e1ea-43b3-a4cc-2f100b712961"/>
    <xsd:import namespace="1b357a4e-0e93-4a40-910b-4d326e359e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3868a-e1ea-43b3-a4cc-2f100b712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57a4e-0e93-4a40-910b-4d326e359e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caeb9b-e5c9-4980-a2c8-471c4a18ab6c}" ma:internalName="TaxCatchAll" ma:showField="CatchAllData" ma:web="1b357a4e-0e93-4a40-910b-4d326e359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1C9CE-EBA1-4825-A52A-01FDF8FFF2D1}">
  <ds:schemaRefs>
    <ds:schemaRef ds:uri="http://schemas.microsoft.com/sharepoint/v3/contenttype/forms"/>
  </ds:schemaRefs>
</ds:datastoreItem>
</file>

<file path=customXml/itemProps2.xml><?xml version="1.0" encoding="utf-8"?>
<ds:datastoreItem xmlns:ds="http://schemas.openxmlformats.org/officeDocument/2006/customXml" ds:itemID="{421E0F9B-1E47-4A09-839B-4D6848196877}">
  <ds:schemaRefs>
    <ds:schemaRef ds:uri="http://schemas.microsoft.com/office/2006/metadata/properties"/>
    <ds:schemaRef ds:uri="http://schemas.microsoft.com/office/infopath/2007/PartnerControls"/>
    <ds:schemaRef ds:uri="6753868a-e1ea-43b3-a4cc-2f100b712961"/>
    <ds:schemaRef ds:uri="1b357a4e-0e93-4a40-910b-4d326e359e95"/>
  </ds:schemaRefs>
</ds:datastoreItem>
</file>

<file path=customXml/itemProps3.xml><?xml version="1.0" encoding="utf-8"?>
<ds:datastoreItem xmlns:ds="http://schemas.openxmlformats.org/officeDocument/2006/customXml" ds:itemID="{972C517B-BA53-4D55-BD1B-DBF7D45E4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3868a-e1ea-43b3-a4cc-2f100b712961"/>
    <ds:schemaRef ds:uri="1b357a4e-0e93-4a40-910b-4d326e359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Levesque, Claire@Energy</dc:creator>
  <keywords/>
  <dc:description/>
  <lastModifiedBy>Levesque, Claire@Energy</lastModifiedBy>
  <revision>73</revision>
  <dcterms:created xsi:type="dcterms:W3CDTF">2024-04-05T17:51:00.0000000Z</dcterms:created>
  <dcterms:modified xsi:type="dcterms:W3CDTF">2024-05-06T20:11:07.0609251Z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0x010100C16CBC9CB40A3C43B2680CFA23C27204</vt:lpwstr>
  </property>
  <property fmtid="{D5CDD505-2E9C-101B-9397-08002B2CF9AE}" pid="3" name="MediaServiceImageTags">
    <vt:lpwstr/>
  </property>
</Properties>
</file>