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E8F8" w14:textId="0B9CFDCA" w:rsidR="00190DC6" w:rsidRPr="000308E3" w:rsidRDefault="51254013" w:rsidP="1B6D5D01">
      <w:pPr>
        <w:jc w:val="center"/>
        <w:rPr>
          <w:rFonts w:ascii="Arial" w:hAnsi="Arial" w:cs="Arial"/>
          <w:b/>
          <w:bCs/>
        </w:rPr>
      </w:pPr>
      <w:r w:rsidRPr="000308E3">
        <w:rPr>
          <w:rFonts w:ascii="Arial" w:hAnsi="Arial" w:cs="Arial"/>
          <w:b/>
          <w:bCs/>
        </w:rPr>
        <w:t>GFO-2</w:t>
      </w:r>
      <w:r w:rsidR="365393CC" w:rsidRPr="000308E3">
        <w:rPr>
          <w:rFonts w:ascii="Arial" w:hAnsi="Arial" w:cs="Arial"/>
          <w:b/>
          <w:bCs/>
        </w:rPr>
        <w:t>3</w:t>
      </w:r>
      <w:r w:rsidRPr="000308E3">
        <w:rPr>
          <w:rFonts w:ascii="Arial" w:hAnsi="Arial" w:cs="Arial"/>
          <w:b/>
          <w:bCs/>
        </w:rPr>
        <w:t>-</w:t>
      </w:r>
      <w:r w:rsidR="3CB926DD" w:rsidRPr="000308E3">
        <w:rPr>
          <w:rFonts w:ascii="Arial" w:hAnsi="Arial" w:cs="Arial"/>
          <w:b/>
          <w:bCs/>
        </w:rPr>
        <w:t>31</w:t>
      </w:r>
      <w:r w:rsidR="274F925D" w:rsidRPr="000308E3">
        <w:rPr>
          <w:rFonts w:ascii="Arial" w:hAnsi="Arial" w:cs="Arial"/>
          <w:b/>
          <w:bCs/>
        </w:rPr>
        <w:t>2</w:t>
      </w:r>
    </w:p>
    <w:p w14:paraId="71984D94" w14:textId="226A5DF8" w:rsidR="00190DC6" w:rsidRPr="000308E3" w:rsidRDefault="51254013" w:rsidP="1B6D5D01">
      <w:pPr>
        <w:jc w:val="center"/>
        <w:rPr>
          <w:rFonts w:ascii="Arial" w:hAnsi="Arial" w:cs="Arial"/>
          <w:b/>
          <w:bCs/>
        </w:rPr>
      </w:pPr>
      <w:r w:rsidRPr="000308E3">
        <w:rPr>
          <w:rFonts w:ascii="Arial" w:hAnsi="Arial" w:cs="Arial"/>
          <w:b/>
          <w:bCs/>
        </w:rPr>
        <w:t>Addendum 1</w:t>
      </w:r>
    </w:p>
    <w:p w14:paraId="7AE51EA6" w14:textId="29AA6B13" w:rsidR="00190DC6" w:rsidRPr="000308E3" w:rsidRDefault="274F925D" w:rsidP="1B6D5D01">
      <w:pPr>
        <w:jc w:val="center"/>
        <w:rPr>
          <w:rFonts w:ascii="Arial" w:hAnsi="Arial" w:cs="Arial"/>
          <w:b/>
          <w:bCs/>
        </w:rPr>
      </w:pPr>
      <w:r w:rsidRPr="000308E3">
        <w:rPr>
          <w:rFonts w:ascii="Arial" w:hAnsi="Arial" w:cs="Arial"/>
          <w:b/>
          <w:bCs/>
        </w:rPr>
        <w:t xml:space="preserve">May </w:t>
      </w:r>
      <w:r w:rsidR="00360985">
        <w:rPr>
          <w:rFonts w:ascii="Arial" w:hAnsi="Arial" w:cs="Arial"/>
          <w:b/>
          <w:bCs/>
        </w:rPr>
        <w:t>30</w:t>
      </w:r>
      <w:r w:rsidR="51254013" w:rsidRPr="000308E3">
        <w:rPr>
          <w:rFonts w:ascii="Arial" w:hAnsi="Arial" w:cs="Arial"/>
          <w:b/>
          <w:bCs/>
        </w:rPr>
        <w:t>, 202</w:t>
      </w:r>
      <w:r w:rsidR="3CB926DD" w:rsidRPr="000308E3">
        <w:rPr>
          <w:rFonts w:ascii="Arial" w:hAnsi="Arial" w:cs="Arial"/>
          <w:b/>
          <w:bCs/>
        </w:rPr>
        <w:t>4</w:t>
      </w:r>
    </w:p>
    <w:p w14:paraId="42D5B81F" w14:textId="77777777" w:rsidR="00190DC6" w:rsidRPr="000308E3" w:rsidRDefault="00190DC6" w:rsidP="1B6D5D01">
      <w:pPr>
        <w:jc w:val="center"/>
        <w:rPr>
          <w:rFonts w:ascii="Arial" w:hAnsi="Arial" w:cs="Arial"/>
          <w:b/>
          <w:bCs/>
        </w:rPr>
      </w:pPr>
    </w:p>
    <w:p w14:paraId="00BFBC33" w14:textId="77777777" w:rsidR="003A2D37" w:rsidRPr="000308E3" w:rsidRDefault="274F925D" w:rsidP="1B6D5D01">
      <w:pPr>
        <w:jc w:val="center"/>
        <w:rPr>
          <w:rFonts w:ascii="Arial" w:hAnsi="Arial" w:cs="Arial"/>
          <w:b/>
          <w:bCs/>
        </w:rPr>
      </w:pPr>
      <w:r w:rsidRPr="000308E3">
        <w:rPr>
          <w:rFonts w:ascii="Arial" w:hAnsi="Arial" w:cs="Arial"/>
          <w:b/>
          <w:bCs/>
        </w:rPr>
        <w:t xml:space="preserve">Community Energy Reliability and Resilience Investment (CERRI) Program </w:t>
      </w:r>
    </w:p>
    <w:p w14:paraId="68E8332B" w14:textId="3D2CF4FF" w:rsidR="008A15E4" w:rsidRPr="000308E3" w:rsidRDefault="274F925D" w:rsidP="1B6D5D01">
      <w:pPr>
        <w:jc w:val="center"/>
        <w:rPr>
          <w:rFonts w:ascii="Arial" w:hAnsi="Arial" w:cs="Arial"/>
          <w:b/>
          <w:bCs/>
        </w:rPr>
      </w:pPr>
      <w:r w:rsidRPr="000308E3">
        <w:rPr>
          <w:rFonts w:ascii="Arial" w:hAnsi="Arial" w:cs="Arial"/>
          <w:b/>
          <w:bCs/>
        </w:rPr>
        <w:t>Round 1 Solicitation</w:t>
      </w:r>
    </w:p>
    <w:p w14:paraId="53082535" w14:textId="77777777" w:rsidR="000A242E" w:rsidRPr="000308E3" w:rsidRDefault="000A242E" w:rsidP="1B6D5D01">
      <w:pPr>
        <w:jc w:val="center"/>
        <w:rPr>
          <w:rFonts w:ascii="Arial" w:hAnsi="Arial" w:cs="Arial"/>
          <w:b/>
          <w:bCs/>
        </w:rPr>
      </w:pPr>
    </w:p>
    <w:p w14:paraId="519FEF19" w14:textId="5CD0E6AC" w:rsidR="00190DC6" w:rsidRPr="000308E3" w:rsidRDefault="51254013" w:rsidP="1B6D5D01">
      <w:pPr>
        <w:rPr>
          <w:rFonts w:ascii="Arial" w:eastAsia="Arial" w:hAnsi="Arial" w:cs="Arial"/>
        </w:rPr>
      </w:pPr>
      <w:r w:rsidRPr="000308E3">
        <w:rPr>
          <w:rFonts w:ascii="Arial" w:hAnsi="Arial" w:cs="Arial"/>
        </w:rPr>
        <w:t xml:space="preserve">Disclaimer: </w:t>
      </w:r>
      <w:r w:rsidR="6F0C40C1" w:rsidRPr="000308E3">
        <w:rPr>
          <w:rFonts w:ascii="Arial" w:hAnsi="Arial" w:cs="Arial"/>
        </w:rPr>
        <w:t xml:space="preserve">Textual content contained within brackets </w:t>
      </w:r>
      <w:r w:rsidR="2996320A" w:rsidRPr="000308E3">
        <w:rPr>
          <w:rFonts w:ascii="Arial" w:hAnsi="Arial" w:cs="Arial"/>
        </w:rPr>
        <w:t xml:space="preserve">and </w:t>
      </w:r>
      <w:r w:rsidR="2996320A" w:rsidRPr="1B6D5D01">
        <w:rPr>
          <w:rFonts w:ascii="Arial" w:eastAsia="Arial" w:hAnsi="Arial" w:cs="Arial"/>
          <w:color w:val="000000" w:themeColor="text1"/>
        </w:rPr>
        <w:t xml:space="preserve">with </w:t>
      </w:r>
      <w:r w:rsidR="2996320A" w:rsidRPr="1B6D5D01">
        <w:rPr>
          <w:rFonts w:ascii="Arial" w:eastAsia="Arial" w:hAnsi="Arial" w:cs="Arial"/>
          <w:strike/>
          <w:color w:val="000000" w:themeColor="text1"/>
        </w:rPr>
        <w:t>strikethrough</w:t>
      </w:r>
      <w:r w:rsidR="2996320A" w:rsidRPr="1B6D5D01">
        <w:rPr>
          <w:rFonts w:ascii="Arial" w:eastAsia="Arial" w:hAnsi="Arial" w:cs="Arial"/>
          <w:color w:val="000000" w:themeColor="text1"/>
        </w:rPr>
        <w:t xml:space="preserve"> </w:t>
      </w:r>
      <w:r w:rsidR="7565CAF7" w:rsidRPr="000308E3">
        <w:rPr>
          <w:rFonts w:ascii="Arial" w:hAnsi="Arial" w:cs="Arial"/>
        </w:rPr>
        <w:t xml:space="preserve">was </w:t>
      </w:r>
      <w:r w:rsidR="6F0C40C1" w:rsidRPr="000308E3">
        <w:rPr>
          <w:rFonts w:ascii="Arial" w:hAnsi="Arial" w:cs="Arial"/>
        </w:rPr>
        <w:t>removed.</w:t>
      </w:r>
      <w:r w:rsidR="2D1E630E" w:rsidRPr="000308E3">
        <w:rPr>
          <w:rFonts w:ascii="Arial" w:hAnsi="Arial" w:cs="Arial"/>
        </w:rPr>
        <w:t xml:space="preserve"> </w:t>
      </w:r>
      <w:r w:rsidR="41F6085C" w:rsidRPr="1B6D5D01">
        <w:rPr>
          <w:rFonts w:ascii="Arial" w:eastAsia="Arial" w:hAnsi="Arial" w:cs="Arial"/>
          <w:color w:val="000000" w:themeColor="text1"/>
        </w:rPr>
        <w:t xml:space="preserve">Textual content </w:t>
      </w:r>
      <w:r w:rsidR="41F6085C" w:rsidRPr="1B6D5D01">
        <w:rPr>
          <w:rFonts w:ascii="Arial" w:eastAsia="Arial" w:hAnsi="Arial" w:cs="Arial"/>
          <w:b/>
          <w:bCs/>
          <w:color w:val="000000" w:themeColor="text1"/>
          <w:u w:val="single"/>
        </w:rPr>
        <w:t>underlined and bolded</w:t>
      </w:r>
      <w:r w:rsidR="41F6085C" w:rsidRPr="1B6D5D01">
        <w:rPr>
          <w:rFonts w:ascii="Arial" w:eastAsia="Arial" w:hAnsi="Arial" w:cs="Arial"/>
          <w:color w:val="000000" w:themeColor="text1"/>
        </w:rPr>
        <w:t xml:space="preserve"> was added.</w:t>
      </w:r>
    </w:p>
    <w:p w14:paraId="7FA4762F" w14:textId="0BCB7692" w:rsidR="00190DC6" w:rsidRPr="000308E3" w:rsidRDefault="00541A25" w:rsidP="1B6D5D01">
      <w:pPr>
        <w:tabs>
          <w:tab w:val="left" w:pos="6765"/>
        </w:tabs>
        <w:rPr>
          <w:rFonts w:ascii="Arial" w:hAnsi="Arial" w:cs="Arial"/>
        </w:rPr>
      </w:pPr>
      <w:r>
        <w:rPr>
          <w:rFonts w:ascii="Arial" w:hAnsi="Arial" w:cs="Arial"/>
          <w:sz w:val="22"/>
          <w:szCs w:val="22"/>
        </w:rPr>
        <w:tab/>
      </w:r>
    </w:p>
    <w:p w14:paraId="1C2BB4F1" w14:textId="73FE8B32" w:rsidR="00430867" w:rsidRDefault="4511B4C9" w:rsidP="000308E3">
      <w:pPr>
        <w:spacing w:after="160" w:line="257" w:lineRule="auto"/>
        <w:rPr>
          <w:rFonts w:ascii="Arial" w:eastAsia="Arial" w:hAnsi="Arial" w:cs="Arial"/>
        </w:rPr>
      </w:pPr>
      <w:r w:rsidRPr="1B6D5D01">
        <w:rPr>
          <w:rFonts w:ascii="Arial" w:eastAsia="Arial" w:hAnsi="Arial" w:cs="Arial"/>
          <w:color w:val="000000" w:themeColor="text1"/>
        </w:rPr>
        <w:t xml:space="preserve">The purpose of this addendum is to notify potential applicants of changes that have been made to </w:t>
      </w:r>
      <w:r w:rsidR="00C74AB9">
        <w:rPr>
          <w:rFonts w:ascii="Arial" w:eastAsia="Arial" w:hAnsi="Arial" w:cs="Arial"/>
          <w:color w:val="000000" w:themeColor="text1"/>
        </w:rPr>
        <w:t xml:space="preserve">the </w:t>
      </w:r>
      <w:r w:rsidRPr="1B6D5D01">
        <w:rPr>
          <w:rFonts w:ascii="Arial" w:eastAsia="Arial" w:hAnsi="Arial" w:cs="Arial"/>
          <w:color w:val="000000" w:themeColor="text1"/>
        </w:rPr>
        <w:t>GFO-23-312 Solicitation Manual (Attachment 00)</w:t>
      </w:r>
      <w:r w:rsidR="00C74AB9">
        <w:rPr>
          <w:rFonts w:ascii="Arial" w:eastAsia="Arial" w:hAnsi="Arial" w:cs="Arial"/>
          <w:color w:val="000000" w:themeColor="text1"/>
        </w:rPr>
        <w:t xml:space="preserve"> and the Application Submittal Checklist (Attachment A)</w:t>
      </w:r>
      <w:r w:rsidRPr="1B6D5D01">
        <w:rPr>
          <w:rFonts w:ascii="Arial" w:eastAsia="Arial" w:hAnsi="Arial" w:cs="Arial"/>
          <w:color w:val="000000" w:themeColor="text1"/>
        </w:rPr>
        <w:t xml:space="preserve">. Clarifying language was added in the solicitation manual consistent with written responses to questions asked during the pre-application workshop and written question submittal period. </w:t>
      </w:r>
      <w:r w:rsidRPr="1B6D5D01">
        <w:rPr>
          <w:rFonts w:ascii="Arial" w:eastAsia="Arial" w:hAnsi="Arial" w:cs="Arial"/>
        </w:rPr>
        <w:t xml:space="preserve"> </w:t>
      </w:r>
    </w:p>
    <w:p w14:paraId="06E465FF" w14:textId="181E93E2" w:rsidR="00CD1737" w:rsidRPr="00755D8B" w:rsidRDefault="4511B4C9" w:rsidP="00755D8B">
      <w:pPr>
        <w:pStyle w:val="Heading2"/>
        <w:rPr>
          <w:rFonts w:ascii="Arial" w:hAnsi="Arial" w:cs="Arial"/>
          <w:b/>
          <w:bCs/>
          <w:sz w:val="24"/>
          <w:szCs w:val="24"/>
        </w:rPr>
      </w:pPr>
      <w:r w:rsidRPr="00755D8B">
        <w:rPr>
          <w:rFonts w:ascii="Arial" w:hAnsi="Arial" w:cs="Arial"/>
          <w:b/>
          <w:bCs/>
          <w:sz w:val="24"/>
          <w:szCs w:val="24"/>
        </w:rPr>
        <w:t>Attachme</w:t>
      </w:r>
      <w:r w:rsidR="005E521F" w:rsidRPr="00755D8B">
        <w:rPr>
          <w:rFonts w:ascii="Arial" w:hAnsi="Arial" w:cs="Arial"/>
          <w:b/>
          <w:bCs/>
          <w:sz w:val="24"/>
          <w:szCs w:val="24"/>
        </w:rPr>
        <w:t>n</w:t>
      </w:r>
      <w:r w:rsidRPr="00755D8B">
        <w:rPr>
          <w:rFonts w:ascii="Arial" w:hAnsi="Arial" w:cs="Arial"/>
          <w:b/>
          <w:bCs/>
          <w:sz w:val="24"/>
          <w:szCs w:val="24"/>
        </w:rPr>
        <w:t>t 00 GFO-23-312 Solicitation Manual</w:t>
      </w:r>
    </w:p>
    <w:p w14:paraId="7A61B3BC" w14:textId="278B744A" w:rsidR="1F352DF4" w:rsidRPr="000308E3" w:rsidRDefault="567883A5" w:rsidP="000308E3">
      <w:pPr>
        <w:pStyle w:val="ListParagraph"/>
        <w:numPr>
          <w:ilvl w:val="0"/>
          <w:numId w:val="7"/>
        </w:numPr>
        <w:spacing w:before="120" w:after="240" w:line="480" w:lineRule="auto"/>
        <w:rPr>
          <w:rFonts w:ascii="Arial" w:hAnsi="Arial" w:cs="Arial"/>
        </w:rPr>
      </w:pPr>
      <w:r w:rsidRPr="0B020992">
        <w:rPr>
          <w:rFonts w:ascii="Arial" w:eastAsia="Arial" w:hAnsi="Arial" w:cs="Arial"/>
          <w:color w:val="000000" w:themeColor="text1"/>
        </w:rPr>
        <w:t xml:space="preserve">Cover page.  </w:t>
      </w:r>
      <w:r w:rsidRPr="0B020992">
        <w:rPr>
          <w:rFonts w:ascii="Arial" w:eastAsia="Arial" w:hAnsi="Arial" w:cs="Arial"/>
          <w:b/>
          <w:bCs/>
          <w:color w:val="000000" w:themeColor="text1"/>
          <w:u w:val="single"/>
        </w:rPr>
        <w:t>Addendum 1</w:t>
      </w:r>
      <w:r w:rsidRPr="0B020992">
        <w:rPr>
          <w:rFonts w:ascii="Arial" w:eastAsia="Arial" w:hAnsi="Arial" w:cs="Arial"/>
          <w:color w:val="000000" w:themeColor="text1"/>
        </w:rPr>
        <w:t xml:space="preserve"> </w:t>
      </w:r>
      <w:r w:rsidRPr="0B020992">
        <w:rPr>
          <w:rFonts w:ascii="Arial" w:eastAsia="Arial" w:hAnsi="Arial" w:cs="Arial"/>
          <w:b/>
          <w:bCs/>
          <w:color w:val="000000" w:themeColor="text1"/>
          <w:u w:val="single"/>
        </w:rPr>
        <w:t xml:space="preserve">May </w:t>
      </w:r>
      <w:r w:rsidRPr="0B020992">
        <w:rPr>
          <w:rFonts w:ascii="Arial" w:eastAsia="Arial" w:hAnsi="Arial" w:cs="Arial"/>
          <w:strike/>
          <w:color w:val="000000" w:themeColor="text1"/>
        </w:rPr>
        <w:t>March</w:t>
      </w:r>
      <w:r w:rsidRPr="0B020992">
        <w:rPr>
          <w:rFonts w:ascii="Arial" w:eastAsia="Arial" w:hAnsi="Arial" w:cs="Arial"/>
          <w:color w:val="000000" w:themeColor="text1"/>
        </w:rPr>
        <w:t xml:space="preserve"> 202</w:t>
      </w:r>
      <w:r w:rsidR="253A46BB" w:rsidRPr="0B020992">
        <w:rPr>
          <w:rFonts w:ascii="Arial" w:eastAsia="Arial" w:hAnsi="Arial" w:cs="Arial"/>
          <w:color w:val="000000" w:themeColor="text1"/>
        </w:rPr>
        <w:t>4</w:t>
      </w:r>
    </w:p>
    <w:p w14:paraId="6AB8D02C" w14:textId="5EFD0A3F" w:rsidR="00CD2DB4" w:rsidRPr="000308E3" w:rsidRDefault="51254013" w:rsidP="000308E3">
      <w:pPr>
        <w:pStyle w:val="ListParagraph"/>
        <w:numPr>
          <w:ilvl w:val="0"/>
          <w:numId w:val="7"/>
        </w:numPr>
        <w:spacing w:before="240" w:after="240"/>
        <w:contextualSpacing w:val="0"/>
        <w:rPr>
          <w:rFonts w:ascii="Arial" w:hAnsi="Arial" w:cs="Arial"/>
        </w:rPr>
      </w:pPr>
      <w:r w:rsidRPr="000308E3">
        <w:rPr>
          <w:rFonts w:ascii="Arial" w:hAnsi="Arial" w:cs="Arial"/>
        </w:rPr>
        <w:t>Page</w:t>
      </w:r>
      <w:r w:rsidR="5516BEDD" w:rsidRPr="000308E3">
        <w:rPr>
          <w:rFonts w:ascii="Arial" w:hAnsi="Arial" w:cs="Arial"/>
        </w:rPr>
        <w:t xml:space="preserve"> </w:t>
      </w:r>
      <w:r w:rsidR="6089BD9C" w:rsidRPr="000308E3">
        <w:rPr>
          <w:rFonts w:ascii="Arial" w:hAnsi="Arial" w:cs="Arial"/>
        </w:rPr>
        <w:t>10</w:t>
      </w:r>
      <w:r w:rsidRPr="000308E3">
        <w:rPr>
          <w:rFonts w:ascii="Arial" w:hAnsi="Arial" w:cs="Arial"/>
        </w:rPr>
        <w:t xml:space="preserve"> of the </w:t>
      </w:r>
      <w:r w:rsidR="5CB31402" w:rsidRPr="000308E3">
        <w:rPr>
          <w:rFonts w:ascii="Arial" w:hAnsi="Arial" w:cs="Arial"/>
        </w:rPr>
        <w:t>Solicitation</w:t>
      </w:r>
      <w:r w:rsidRPr="000308E3">
        <w:rPr>
          <w:rFonts w:ascii="Arial" w:hAnsi="Arial" w:cs="Arial"/>
        </w:rPr>
        <w:t xml:space="preserve"> Manual, Section </w:t>
      </w:r>
      <w:r w:rsidR="058CB301" w:rsidRPr="000308E3">
        <w:rPr>
          <w:rFonts w:ascii="Arial" w:hAnsi="Arial" w:cs="Arial"/>
        </w:rPr>
        <w:t>II.</w:t>
      </w:r>
      <w:r w:rsidR="5516BEDD" w:rsidRPr="000308E3">
        <w:rPr>
          <w:rFonts w:ascii="Arial" w:hAnsi="Arial" w:cs="Arial"/>
        </w:rPr>
        <w:t>C</w:t>
      </w:r>
      <w:r w:rsidRPr="000308E3">
        <w:rPr>
          <w:rFonts w:ascii="Arial" w:hAnsi="Arial" w:cs="Arial"/>
        </w:rPr>
        <w:t xml:space="preserve">, </w:t>
      </w:r>
      <w:r w:rsidR="5516BEDD" w:rsidRPr="000308E3">
        <w:rPr>
          <w:rFonts w:ascii="Arial" w:hAnsi="Arial" w:cs="Arial"/>
        </w:rPr>
        <w:t>Match Funding Requirements</w:t>
      </w:r>
      <w:r w:rsidRPr="000308E3">
        <w:rPr>
          <w:rFonts w:ascii="Arial" w:hAnsi="Arial" w:cs="Arial"/>
        </w:rPr>
        <w:t>:</w:t>
      </w:r>
    </w:p>
    <w:p w14:paraId="34DCB925" w14:textId="389391AF" w:rsidR="1F352DF4" w:rsidRPr="00EF3399" w:rsidRDefault="00966954" w:rsidP="000308E3">
      <w:pPr>
        <w:numPr>
          <w:ilvl w:val="0"/>
          <w:numId w:val="6"/>
        </w:numPr>
        <w:tabs>
          <w:tab w:val="left" w:pos="1080"/>
          <w:tab w:val="left" w:pos="1440"/>
          <w:tab w:val="left" w:pos="1530"/>
        </w:tabs>
        <w:spacing w:before="120" w:after="120"/>
        <w:rPr>
          <w:rFonts w:ascii="Arial" w:hAnsi="Arial" w:cs="Arial"/>
        </w:rPr>
      </w:pPr>
      <w:bookmarkStart w:id="0" w:name="_Hlk164866795"/>
      <w:r w:rsidRPr="62BF5554">
        <w:rPr>
          <w:rFonts w:ascii="Arial" w:hAnsi="Arial" w:cs="Arial"/>
          <w:strike/>
        </w:rPr>
        <w:t>Match funds must be spent only during the agreement term, either before or concurrently with CERRI funds. Match funds also must be reported in invoices submitted to the CEC.</w:t>
      </w:r>
      <w:r w:rsidRPr="62BF5554">
        <w:rPr>
          <w:rFonts w:ascii="Arial" w:hAnsi="Arial" w:cs="Arial"/>
        </w:rPr>
        <w:t xml:space="preserve"> </w:t>
      </w:r>
      <w:r w:rsidRPr="62BF5554">
        <w:rPr>
          <w:rFonts w:ascii="Arial" w:hAnsi="Arial" w:cs="Arial"/>
          <w:b/>
          <w:bCs/>
          <w:u w:val="single"/>
        </w:rPr>
        <w:t>Match share expenditures for permitting and environmental review are allowable under an agreement only if they are incurred after CEC notifies the Applicant that its project has been proposed for an award through the release of a Notice of Proposed Award (</w:t>
      </w:r>
      <w:r w:rsidRPr="62BF5554">
        <w:rPr>
          <w:rFonts w:ascii="Arial" w:eastAsia="Arial" w:hAnsi="Arial" w:cs="Arial"/>
          <w:b/>
          <w:bCs/>
          <w:u w:val="single"/>
        </w:rPr>
        <w:t>NOPA</w:t>
      </w:r>
      <w:r w:rsidRPr="62BF5554">
        <w:rPr>
          <w:rFonts w:ascii="Arial" w:hAnsi="Arial" w:cs="Arial"/>
          <w:b/>
          <w:bCs/>
          <w:u w:val="single"/>
        </w:rPr>
        <w:t>). Match expenditures incurred after the release of a NOPA but prior to the execution of an agreement are made at the Applicant’s own risk.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w:t>
      </w:r>
      <w:r w:rsidR="00761894" w:rsidRPr="62BF5554">
        <w:rPr>
          <w:rFonts w:ascii="Arial" w:hAnsi="Arial" w:cs="Arial"/>
          <w:b/>
          <w:bCs/>
          <w:u w:val="single"/>
        </w:rPr>
        <w:t>RRI</w:t>
      </w:r>
      <w:r w:rsidRPr="62BF5554">
        <w:rPr>
          <w:rFonts w:ascii="Arial" w:hAnsi="Arial" w:cs="Arial"/>
          <w:b/>
          <w:bCs/>
          <w:u w:val="single"/>
        </w:rPr>
        <w:t xml:space="preserve"> funds.</w:t>
      </w:r>
      <w:bookmarkEnd w:id="0"/>
    </w:p>
    <w:p w14:paraId="765BB6F6" w14:textId="77777777" w:rsidR="00EF3399" w:rsidRPr="00E71D9F" w:rsidRDefault="00EF3399" w:rsidP="00EF3399">
      <w:pPr>
        <w:tabs>
          <w:tab w:val="left" w:pos="1080"/>
          <w:tab w:val="left" w:pos="1440"/>
          <w:tab w:val="left" w:pos="1530"/>
        </w:tabs>
        <w:spacing w:before="120" w:after="120"/>
        <w:ind w:left="720"/>
        <w:rPr>
          <w:rFonts w:ascii="Arial" w:hAnsi="Arial" w:cs="Arial"/>
        </w:rPr>
      </w:pPr>
    </w:p>
    <w:p w14:paraId="697834DA" w14:textId="39041681" w:rsidR="00E71D9F" w:rsidRPr="0097016B" w:rsidRDefault="56620F78" w:rsidP="000308E3">
      <w:pPr>
        <w:pStyle w:val="ListParagraph"/>
        <w:numPr>
          <w:ilvl w:val="0"/>
          <w:numId w:val="7"/>
        </w:numPr>
        <w:tabs>
          <w:tab w:val="left" w:pos="1080"/>
          <w:tab w:val="left" w:pos="1440"/>
          <w:tab w:val="left" w:pos="1530"/>
        </w:tabs>
        <w:spacing w:before="120" w:after="240"/>
        <w:rPr>
          <w:rFonts w:ascii="Arial" w:hAnsi="Arial" w:cs="Arial"/>
        </w:rPr>
      </w:pPr>
      <w:r w:rsidRPr="10734F69">
        <w:rPr>
          <w:rFonts w:ascii="Arial" w:hAnsi="Arial" w:cs="Arial"/>
        </w:rPr>
        <w:t xml:space="preserve">Page 16 of the Solicitation Manual, </w:t>
      </w:r>
      <w:r w:rsidR="086ABC05" w:rsidRPr="10734F69">
        <w:rPr>
          <w:rFonts w:ascii="Arial" w:hAnsi="Arial" w:cs="Arial"/>
        </w:rPr>
        <w:t>Section III.C</w:t>
      </w:r>
      <w:r w:rsidR="7B75D009" w:rsidRPr="10734F69">
        <w:rPr>
          <w:rFonts w:ascii="Arial" w:hAnsi="Arial" w:cs="Arial"/>
        </w:rPr>
        <w:t>,</w:t>
      </w:r>
      <w:r w:rsidR="086ABC05" w:rsidRPr="10734F69">
        <w:rPr>
          <w:rFonts w:ascii="Arial" w:hAnsi="Arial" w:cs="Arial"/>
        </w:rPr>
        <w:t xml:space="preserve"> </w:t>
      </w:r>
      <w:r w:rsidR="3C1905C1" w:rsidRPr="10734F69">
        <w:rPr>
          <w:rFonts w:ascii="Arial" w:hAnsi="Arial" w:cs="Arial"/>
        </w:rPr>
        <w:t>Application Content</w:t>
      </w:r>
      <w:r w:rsidR="7B75D009" w:rsidRPr="10734F69">
        <w:rPr>
          <w:rFonts w:ascii="Arial" w:hAnsi="Arial" w:cs="Arial"/>
        </w:rPr>
        <w:t>,</w:t>
      </w:r>
      <w:r w:rsidR="3C1905C1" w:rsidRPr="10734F69">
        <w:rPr>
          <w:rFonts w:ascii="Arial" w:hAnsi="Arial" w:cs="Arial"/>
        </w:rPr>
        <w:t xml:space="preserve"> </w:t>
      </w:r>
      <w:r w:rsidR="74C3C1B5" w:rsidRPr="10734F69">
        <w:rPr>
          <w:rFonts w:ascii="Arial" w:hAnsi="Arial" w:cs="Arial"/>
        </w:rPr>
        <w:t>under</w:t>
      </w:r>
      <w:r w:rsidR="3C1905C1" w:rsidRPr="10734F69">
        <w:rPr>
          <w:rFonts w:ascii="Arial" w:hAnsi="Arial" w:cs="Arial"/>
        </w:rPr>
        <w:t xml:space="preserve"> </w:t>
      </w:r>
      <w:r w:rsidR="63D47D00" w:rsidRPr="10734F69">
        <w:rPr>
          <w:rFonts w:ascii="Arial" w:hAnsi="Arial" w:cs="Arial"/>
        </w:rPr>
        <w:t>“</w:t>
      </w:r>
      <w:r w:rsidR="3FFC8B0E" w:rsidRPr="10734F69">
        <w:rPr>
          <w:rFonts w:ascii="Arial" w:hAnsi="Arial" w:cs="Arial"/>
        </w:rPr>
        <w:t>5. Budget Forms</w:t>
      </w:r>
      <w:r w:rsidR="4AA9A9B1" w:rsidRPr="10734F69">
        <w:rPr>
          <w:rFonts w:ascii="Arial" w:hAnsi="Arial" w:cs="Arial"/>
        </w:rPr>
        <w:t xml:space="preserve"> (Attachment 05)</w:t>
      </w:r>
      <w:r w:rsidR="4EA5966E" w:rsidRPr="10734F69">
        <w:rPr>
          <w:rFonts w:ascii="Arial" w:hAnsi="Arial" w:cs="Arial"/>
        </w:rPr>
        <w:t>”</w:t>
      </w:r>
      <w:r w:rsidR="3FFC8B0E" w:rsidRPr="10734F69">
        <w:rPr>
          <w:rFonts w:ascii="Arial" w:hAnsi="Arial" w:cs="Arial"/>
        </w:rPr>
        <w:t>:</w:t>
      </w:r>
    </w:p>
    <w:p w14:paraId="2BA31600" w14:textId="77777777" w:rsidR="0097016B" w:rsidRPr="000308E3" w:rsidRDefault="0097016B" w:rsidP="000308E3">
      <w:pPr>
        <w:pStyle w:val="ListParagraph"/>
        <w:tabs>
          <w:tab w:val="left" w:pos="1080"/>
          <w:tab w:val="left" w:pos="1440"/>
          <w:tab w:val="left" w:pos="1530"/>
        </w:tabs>
        <w:spacing w:before="120" w:after="240"/>
        <w:rPr>
          <w:rFonts w:ascii="Arial" w:hAnsi="Arial" w:cs="Arial"/>
        </w:rPr>
      </w:pPr>
    </w:p>
    <w:p w14:paraId="12DAB7A5" w14:textId="77777777" w:rsidR="0097016B" w:rsidRPr="000308E3" w:rsidRDefault="00165318" w:rsidP="000308E3">
      <w:pPr>
        <w:pStyle w:val="ListParagraph"/>
        <w:keepLines/>
        <w:widowControl w:val="0"/>
        <w:numPr>
          <w:ilvl w:val="0"/>
          <w:numId w:val="13"/>
        </w:numPr>
        <w:tabs>
          <w:tab w:val="left" w:pos="1260"/>
        </w:tabs>
        <w:spacing w:before="240"/>
        <w:rPr>
          <w:rFonts w:ascii="Arial" w:eastAsia="Calibri" w:hAnsi="Arial" w:cs="Arial"/>
          <w:u w:val="single"/>
        </w:rPr>
      </w:pPr>
      <w:r w:rsidRPr="000308E3">
        <w:rPr>
          <w:rFonts w:ascii="Arial" w:eastAsia="Calibri" w:hAnsi="Arial" w:cs="Arial"/>
          <w:b/>
          <w:bCs/>
          <w:u w:val="single"/>
        </w:rPr>
        <w:t>Build America, Buy America Act (BABA) Waivers</w:t>
      </w:r>
    </w:p>
    <w:p w14:paraId="0D479341" w14:textId="4DF82528" w:rsidR="00165318" w:rsidRPr="000308E3" w:rsidRDefault="00165318" w:rsidP="00E71D9F">
      <w:pPr>
        <w:keepLines/>
        <w:widowControl w:val="0"/>
        <w:tabs>
          <w:tab w:val="left" w:pos="1260"/>
        </w:tabs>
        <w:spacing w:before="240" w:after="60"/>
        <w:ind w:left="360"/>
        <w:rPr>
          <w:rFonts w:ascii="Arial" w:eastAsia="Calibri" w:hAnsi="Arial" w:cs="Arial"/>
          <w:u w:val="single"/>
        </w:rPr>
      </w:pPr>
      <w:r w:rsidRPr="000308E3">
        <w:rPr>
          <w:rFonts w:ascii="Arial" w:eastAsia="Calibri" w:hAnsi="Arial" w:cs="Arial"/>
          <w:b/>
          <w:bCs/>
          <w:u w:val="single"/>
        </w:rPr>
        <w:t>When necessary, recipients may apply for, and D</w:t>
      </w:r>
      <w:r w:rsidR="000D6C39">
        <w:rPr>
          <w:rFonts w:ascii="Arial" w:eastAsia="Calibri" w:hAnsi="Arial" w:cs="Arial"/>
          <w:b/>
          <w:bCs/>
          <w:u w:val="single"/>
        </w:rPr>
        <w:t xml:space="preserve">epartment of </w:t>
      </w:r>
      <w:r w:rsidRPr="000308E3">
        <w:rPr>
          <w:rFonts w:ascii="Arial" w:eastAsia="Calibri" w:hAnsi="Arial" w:cs="Arial"/>
          <w:b/>
          <w:bCs/>
          <w:u w:val="single"/>
        </w:rPr>
        <w:t>E</w:t>
      </w:r>
      <w:r w:rsidR="000D6C39">
        <w:rPr>
          <w:rFonts w:ascii="Arial" w:eastAsia="Calibri" w:hAnsi="Arial" w:cs="Arial"/>
          <w:b/>
          <w:bCs/>
          <w:u w:val="single"/>
        </w:rPr>
        <w:t>nergy (DOE)</w:t>
      </w:r>
      <w:r w:rsidRPr="000308E3">
        <w:rPr>
          <w:rFonts w:ascii="Arial" w:eastAsia="Calibri" w:hAnsi="Arial" w:cs="Arial"/>
          <w:b/>
          <w:bCs/>
          <w:u w:val="single"/>
        </w:rPr>
        <w:t xml:space="preserve"> may grant, a waiver from the Buy America requirements. DOE may grant a waiver if it </w:t>
      </w:r>
      <w:r w:rsidRPr="1F352DF4">
        <w:rPr>
          <w:rFonts w:ascii="Arial" w:eastAsia="Calibri" w:hAnsi="Arial" w:cs="Arial"/>
          <w:b/>
          <w:bCs/>
          <w:u w:val="single"/>
        </w:rPr>
        <w:t xml:space="preserve">determines that the request meets one of the following justifications: </w:t>
      </w:r>
    </w:p>
    <w:p w14:paraId="0DE8D399" w14:textId="77777777" w:rsidR="00165318" w:rsidRPr="000308E3" w:rsidRDefault="00165318" w:rsidP="00E71D9F">
      <w:pPr>
        <w:pStyle w:val="ListParagraph"/>
        <w:keepLines/>
        <w:widowControl w:val="0"/>
        <w:numPr>
          <w:ilvl w:val="1"/>
          <w:numId w:val="11"/>
        </w:numPr>
        <w:spacing w:before="240" w:after="60"/>
        <w:ind w:left="1350"/>
        <w:rPr>
          <w:rFonts w:ascii="Arial" w:eastAsia="Calibri" w:hAnsi="Arial" w:cs="Arial"/>
          <w:b/>
          <w:bCs/>
          <w:u w:val="single"/>
        </w:rPr>
      </w:pPr>
      <w:r w:rsidRPr="000308E3">
        <w:rPr>
          <w:rFonts w:ascii="Arial" w:eastAsia="Calibri" w:hAnsi="Arial" w:cs="Arial"/>
          <w:b/>
          <w:bCs/>
          <w:u w:val="single"/>
        </w:rPr>
        <w:lastRenderedPageBreak/>
        <w:t xml:space="preserve">Public Interest: Applying the Buy America Requirement would be inconsistent with the public interest. </w:t>
      </w:r>
    </w:p>
    <w:p w14:paraId="380A43CA" w14:textId="77777777" w:rsidR="00165318" w:rsidRPr="000308E3" w:rsidRDefault="00165318" w:rsidP="00E71D9F">
      <w:pPr>
        <w:pStyle w:val="ListParagraph"/>
        <w:keepLines/>
        <w:widowControl w:val="0"/>
        <w:numPr>
          <w:ilvl w:val="1"/>
          <w:numId w:val="11"/>
        </w:numPr>
        <w:spacing w:before="240" w:after="60"/>
        <w:ind w:left="1350"/>
        <w:rPr>
          <w:rFonts w:ascii="Arial" w:eastAsia="Calibri" w:hAnsi="Arial" w:cs="Arial"/>
          <w:b/>
          <w:bCs/>
          <w:u w:val="single"/>
        </w:rPr>
      </w:pPr>
      <w:r w:rsidRPr="000308E3">
        <w:rPr>
          <w:rFonts w:ascii="Arial" w:eastAsia="Calibri" w:hAnsi="Arial" w:cs="Arial"/>
          <w:b/>
          <w:bCs/>
          <w:u w:val="single"/>
        </w:rPr>
        <w:t xml:space="preserve">Non-Availability: The types of iron, steel, manufactured products, or construction materials are not produced in the United States in sufficient and reasonably available quantities or of a satisfactory quality. </w:t>
      </w:r>
    </w:p>
    <w:p w14:paraId="7CD7607D" w14:textId="77777777" w:rsidR="00165318" w:rsidRPr="000308E3" w:rsidRDefault="00165318" w:rsidP="00E71D9F">
      <w:pPr>
        <w:pStyle w:val="ListParagraph"/>
        <w:keepLines/>
        <w:widowControl w:val="0"/>
        <w:numPr>
          <w:ilvl w:val="1"/>
          <w:numId w:val="11"/>
        </w:numPr>
        <w:spacing w:before="240" w:after="60"/>
        <w:ind w:left="1350"/>
        <w:rPr>
          <w:rFonts w:ascii="Arial" w:eastAsia="Calibri" w:hAnsi="Arial" w:cs="Arial"/>
          <w:b/>
          <w:bCs/>
          <w:u w:val="single"/>
        </w:rPr>
      </w:pPr>
      <w:r w:rsidRPr="000308E3">
        <w:rPr>
          <w:rFonts w:ascii="Arial" w:eastAsia="Calibri" w:hAnsi="Arial" w:cs="Arial"/>
          <w:b/>
          <w:bCs/>
          <w:u w:val="single"/>
        </w:rPr>
        <w:t xml:space="preserve">Unreasonable Cost: The inclusion of iron, steel, manufactured products, or construction materials produced in the United States will increase the cost of the overall project by more than 25 percent. </w:t>
      </w:r>
    </w:p>
    <w:p w14:paraId="6D9D9FE2" w14:textId="65BC9E99" w:rsidR="00165318" w:rsidRPr="000308E3" w:rsidRDefault="00165318" w:rsidP="00E71D9F">
      <w:pPr>
        <w:keepLines/>
        <w:widowControl w:val="0"/>
        <w:spacing w:before="240" w:after="60"/>
        <w:ind w:left="720"/>
        <w:rPr>
          <w:rFonts w:ascii="Arial" w:eastAsia="Calibri" w:hAnsi="Arial" w:cs="Arial"/>
          <w:b/>
          <w:bCs/>
          <w:u w:val="single"/>
        </w:rPr>
      </w:pPr>
      <w:r w:rsidRPr="000308E3">
        <w:rPr>
          <w:rFonts w:ascii="Arial" w:eastAsia="Calibri" w:hAnsi="Arial" w:cs="Arial"/>
          <w:b/>
          <w:bCs/>
          <w:u w:val="single"/>
        </w:rPr>
        <w:t xml:space="preserve">Anticipated waiver requests should be </w:t>
      </w:r>
      <w:r w:rsidRPr="1F352DF4">
        <w:rPr>
          <w:rFonts w:ascii="Arial" w:eastAsia="Calibri" w:hAnsi="Arial" w:cs="Arial"/>
          <w:b/>
          <w:bCs/>
          <w:u w:val="single"/>
        </w:rPr>
        <w:t xml:space="preserve">submitted </w:t>
      </w:r>
      <w:r w:rsidR="00BF6408" w:rsidRPr="000308E3">
        <w:rPr>
          <w:rFonts w:ascii="Arial" w:eastAsia="Calibri" w:hAnsi="Arial" w:cs="Arial"/>
          <w:b/>
          <w:bCs/>
          <w:u w:val="single"/>
        </w:rPr>
        <w:t xml:space="preserve">in writing </w:t>
      </w:r>
      <w:r w:rsidRPr="000308E3">
        <w:rPr>
          <w:rFonts w:ascii="Arial" w:eastAsia="Calibri" w:hAnsi="Arial" w:cs="Arial"/>
          <w:b/>
          <w:bCs/>
          <w:u w:val="single"/>
        </w:rPr>
        <w:t>with the application package. Waiver requests are subject to review by DOE and the Office of Management and Budget (OMB), as well as a public comment period of at least 15 calendar days. Recipient’s waiver requests will be made publicly available on DOE’s and OMB’s websites</w:t>
      </w:r>
      <w:r w:rsidRPr="1F352DF4">
        <w:rPr>
          <w:rFonts w:ascii="Arial" w:eastAsia="Calibri" w:hAnsi="Arial" w:cs="Arial"/>
          <w:b/>
          <w:bCs/>
          <w:u w:val="single"/>
        </w:rPr>
        <w:t xml:space="preserve">.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530B8056" w14:textId="77777777" w:rsidR="00165318" w:rsidRPr="000308E3" w:rsidRDefault="00165318" w:rsidP="00E71D9F">
      <w:pPr>
        <w:keepLines/>
        <w:widowControl w:val="0"/>
        <w:spacing w:before="240" w:after="60"/>
        <w:ind w:left="720"/>
        <w:rPr>
          <w:rFonts w:ascii="Arial" w:eastAsia="Calibri" w:hAnsi="Arial" w:cs="Arial"/>
          <w:b/>
          <w:bCs/>
          <w:u w:val="single"/>
        </w:rPr>
      </w:pPr>
      <w:r w:rsidRPr="000308E3">
        <w:rPr>
          <w:rFonts w:ascii="Arial" w:eastAsia="Calibri" w:hAnsi="Arial" w:cs="Arial"/>
          <w:b/>
          <w:bCs/>
          <w:u w:val="single"/>
        </w:rPr>
        <w:t>Additional</w:t>
      </w:r>
      <w:r w:rsidRPr="1F352DF4">
        <w:rPr>
          <w:rFonts w:ascii="Arial" w:eastAsia="Calibri" w:hAnsi="Arial" w:cs="Arial"/>
          <w:b/>
          <w:bCs/>
          <w:u w:val="single"/>
        </w:rPr>
        <w:t xml:space="preserve"> guidance on submission of a waiver request and the existing BABA waivers can be found </w:t>
      </w:r>
      <w:hyperlink r:id="rId11">
        <w:r w:rsidRPr="1F352DF4">
          <w:rPr>
            <w:rStyle w:val="Hyperlink"/>
            <w:rFonts w:ascii="Arial" w:eastAsia="Calibri" w:hAnsi="Arial" w:cs="Arial"/>
            <w:b/>
            <w:bCs/>
          </w:rPr>
          <w:t>here</w:t>
        </w:r>
      </w:hyperlink>
      <w:r w:rsidRPr="000308E3">
        <w:rPr>
          <w:rFonts w:ascii="Arial" w:eastAsia="Calibri" w:hAnsi="Arial" w:cs="Arial"/>
          <w:b/>
          <w:bCs/>
          <w:u w:val="single"/>
        </w:rPr>
        <w:t>: https://www.energy.gov/management/doe-buy-america-requirement-waiver-requests.</w:t>
      </w:r>
    </w:p>
    <w:p w14:paraId="16370B46" w14:textId="23B530BA" w:rsidR="6742C4D6" w:rsidRPr="000308E3" w:rsidRDefault="01282927" w:rsidP="000308E3">
      <w:pPr>
        <w:pStyle w:val="ListParagraph"/>
        <w:numPr>
          <w:ilvl w:val="0"/>
          <w:numId w:val="7"/>
        </w:numPr>
        <w:tabs>
          <w:tab w:val="left" w:pos="1080"/>
          <w:tab w:val="left" w:pos="1440"/>
          <w:tab w:val="left" w:pos="1530"/>
        </w:tabs>
        <w:spacing w:before="240" w:after="240"/>
        <w:rPr>
          <w:rFonts w:ascii="Arial" w:hAnsi="Arial" w:cs="Arial"/>
        </w:rPr>
      </w:pPr>
      <w:r w:rsidRPr="6742C4D6">
        <w:rPr>
          <w:rFonts w:ascii="Arial" w:hAnsi="Arial" w:cs="Arial"/>
        </w:rPr>
        <w:t>Page 20 of the Solicitation Manual, Section IV.B, Ranking, Notice of Proposed Award, and Agreement Development, under “1. Ranking and Notice of Proposed A</w:t>
      </w:r>
      <w:r w:rsidR="56D99D9C" w:rsidRPr="6742C4D6">
        <w:rPr>
          <w:rFonts w:ascii="Arial" w:hAnsi="Arial" w:cs="Arial"/>
        </w:rPr>
        <w:t>ward</w:t>
      </w:r>
      <w:r w:rsidRPr="6742C4D6">
        <w:rPr>
          <w:rFonts w:ascii="Arial" w:hAnsi="Arial" w:cs="Arial"/>
        </w:rPr>
        <w:t>”</w:t>
      </w:r>
    </w:p>
    <w:p w14:paraId="01910D69" w14:textId="79DFD73F" w:rsidR="1DA277A7" w:rsidRPr="000308E3" w:rsidRDefault="0F5995B1" w:rsidP="000308E3">
      <w:pPr>
        <w:pStyle w:val="ListParagraph"/>
        <w:numPr>
          <w:ilvl w:val="0"/>
          <w:numId w:val="1"/>
        </w:numPr>
        <w:rPr>
          <w:rFonts w:ascii="Arial" w:eastAsia="Arial" w:hAnsi="Arial" w:cs="Arial"/>
        </w:rPr>
      </w:pPr>
      <w:r w:rsidRPr="62BF5554">
        <w:rPr>
          <w:rFonts w:ascii="Arial" w:eastAsia="Arial" w:hAnsi="Arial" w:cs="Arial"/>
        </w:rPr>
        <w:t xml:space="preserve">CEC staff will post a </w:t>
      </w:r>
      <w:r w:rsidR="0E67E2CC" w:rsidRPr="62BF5554">
        <w:rPr>
          <w:rFonts w:ascii="Arial" w:eastAsia="Arial" w:hAnsi="Arial" w:cs="Arial"/>
          <w:strike/>
          <w:color w:val="000000" w:themeColor="text1"/>
        </w:rPr>
        <w:t>Notice of Proposed Award (</w:t>
      </w:r>
      <w:r w:rsidR="0E67E2CC" w:rsidRPr="62BF5554">
        <w:rPr>
          <w:rFonts w:ascii="Arial" w:eastAsia="Arial" w:hAnsi="Arial" w:cs="Arial"/>
          <w:color w:val="000000" w:themeColor="text1"/>
        </w:rPr>
        <w:t>NOPA</w:t>
      </w:r>
      <w:r w:rsidR="0E67E2CC" w:rsidRPr="62BF5554">
        <w:rPr>
          <w:rFonts w:ascii="Arial" w:eastAsia="Arial" w:hAnsi="Arial" w:cs="Arial"/>
          <w:strike/>
          <w:color w:val="000000" w:themeColor="text1"/>
        </w:rPr>
        <w:t>)</w:t>
      </w:r>
      <w:r w:rsidRPr="62BF5554">
        <w:rPr>
          <w:rFonts w:ascii="Arial" w:eastAsia="Arial" w:hAnsi="Arial" w:cs="Arial"/>
        </w:rPr>
        <w:t xml:space="preserve"> that includes</w:t>
      </w:r>
      <w:r w:rsidR="38C09B36" w:rsidRPr="62BF5554">
        <w:rPr>
          <w:rFonts w:ascii="Arial" w:eastAsia="Arial" w:hAnsi="Arial" w:cs="Arial"/>
        </w:rPr>
        <w:t xml:space="preserve">: </w:t>
      </w:r>
      <w:r w:rsidRPr="62BF5554">
        <w:rPr>
          <w:rFonts w:ascii="Arial" w:eastAsia="Arial" w:hAnsi="Arial" w:cs="Arial"/>
        </w:rPr>
        <w:t>(1) the total proposed funding amount; (2) the rank order of applicants; and (3) the amount of each proposed award. The CEC will post the NOPA at its headquarters in Sacramento and on its website and will mail it to all entities that submitted an application. Proposed awards must be approved by the CEC at a business meeting.</w:t>
      </w:r>
    </w:p>
    <w:p w14:paraId="07A5C3AD" w14:textId="77777777" w:rsidR="002A3428" w:rsidRDefault="002A3428" w:rsidP="000308E3">
      <w:pPr>
        <w:pStyle w:val="ListParagraph"/>
        <w:numPr>
          <w:ilvl w:val="0"/>
          <w:numId w:val="7"/>
        </w:numPr>
        <w:spacing w:before="240" w:after="240"/>
        <w:contextualSpacing w:val="0"/>
        <w:rPr>
          <w:rFonts w:ascii="Arial" w:eastAsia="Arial" w:hAnsi="Arial" w:cs="Arial"/>
          <w:color w:val="000000" w:themeColor="text1"/>
        </w:rPr>
      </w:pPr>
      <w:r w:rsidRPr="009E3B66">
        <w:rPr>
          <w:rFonts w:ascii="Arial" w:eastAsia="Arial" w:hAnsi="Arial" w:cs="Arial"/>
          <w:color w:val="000000" w:themeColor="text1"/>
        </w:rPr>
        <w:t>Page</w:t>
      </w:r>
      <w:r>
        <w:rPr>
          <w:rFonts w:ascii="Arial" w:eastAsia="Arial" w:hAnsi="Arial" w:cs="Arial"/>
          <w:color w:val="000000" w:themeColor="text1"/>
        </w:rPr>
        <w:t xml:space="preserve"> 36 of the Solicitation, Section V.B, Applicable Laws, Policies, and Background Documents, under “Relevant Information”</w:t>
      </w:r>
    </w:p>
    <w:p w14:paraId="7D5080E9" w14:textId="77777777" w:rsidR="002A3428" w:rsidRPr="009E3B66" w:rsidRDefault="002A3428" w:rsidP="002A3428">
      <w:pPr>
        <w:keepLines/>
        <w:spacing w:before="240"/>
        <w:rPr>
          <w:rFonts w:ascii="Arial" w:hAnsi="Arial" w:cs="Arial"/>
          <w:b/>
          <w:bCs/>
          <w:u w:val="single"/>
        </w:rPr>
      </w:pPr>
      <w:r w:rsidRPr="009E3B66">
        <w:rPr>
          <w:rFonts w:ascii="Arial" w:hAnsi="Arial" w:cs="Arial"/>
          <w:b/>
          <w:bCs/>
          <w:u w:val="single"/>
        </w:rPr>
        <w:t>Relevant Information</w:t>
      </w:r>
    </w:p>
    <w:p w14:paraId="146E6C46" w14:textId="77777777" w:rsidR="002A3428" w:rsidRDefault="002A3428" w:rsidP="10734F69">
      <w:pPr>
        <w:pStyle w:val="ListParagraph"/>
        <w:keepLines/>
        <w:numPr>
          <w:ilvl w:val="0"/>
          <w:numId w:val="14"/>
        </w:numPr>
        <w:spacing w:before="240" w:after="120"/>
        <w:rPr>
          <w:rFonts w:ascii="Arial" w:hAnsi="Arial" w:cs="Arial"/>
          <w:b/>
          <w:bCs/>
          <w:u w:val="single"/>
        </w:rPr>
      </w:pPr>
      <w:r w:rsidRPr="000308E3">
        <w:rPr>
          <w:rFonts w:ascii="Arial" w:hAnsi="Arial" w:cs="Arial"/>
          <w:b/>
          <w:bCs/>
          <w:u w:val="single"/>
        </w:rPr>
        <w:t>U.S. Department of Energy, Grid Deployment Office: Low-Cost Grid Resilience Projects</w:t>
      </w:r>
    </w:p>
    <w:p w14:paraId="0C212264" w14:textId="77777777" w:rsidR="00D46CAA" w:rsidRPr="000308E3" w:rsidRDefault="00D46CAA" w:rsidP="00D46CAA">
      <w:pPr>
        <w:pStyle w:val="ListParagraph"/>
        <w:keepLines/>
        <w:spacing w:before="240" w:after="120"/>
        <w:rPr>
          <w:rFonts w:ascii="Arial" w:hAnsi="Arial" w:cs="Arial"/>
          <w:b/>
          <w:bCs/>
          <w:u w:val="single"/>
        </w:rPr>
      </w:pPr>
    </w:p>
    <w:p w14:paraId="6B3C7632" w14:textId="77777777" w:rsidR="002A3428" w:rsidRPr="000308E3" w:rsidRDefault="002A3428" w:rsidP="10734F69">
      <w:pPr>
        <w:pStyle w:val="ListParagraph"/>
        <w:keepLines/>
        <w:spacing w:before="240"/>
        <w:rPr>
          <w:rFonts w:ascii="Arial" w:hAnsi="Arial" w:cs="Arial"/>
          <w:b/>
          <w:bCs/>
          <w:u w:val="single"/>
        </w:rPr>
      </w:pPr>
      <w:r w:rsidRPr="000308E3">
        <w:rPr>
          <w:rFonts w:ascii="Arial" w:hAnsi="Arial" w:cs="Arial"/>
          <w:b/>
          <w:bCs/>
          <w:u w:val="single"/>
        </w:rPr>
        <w:lastRenderedPageBreak/>
        <w:t>This resource provides an overview of 40101(d) allowable projects that are likely to cost under $500,000 and can be impactful against a range of outage threats, including both cost estimates and potential benefits for these projects. Additionally, the document includes suggestions for how to work with utilities to show the benefit of this opportunity and select mutually agreeable projects for proposal.</w:t>
      </w:r>
    </w:p>
    <w:p w14:paraId="098F41EC" w14:textId="6BC3FF50" w:rsidR="002A3428" w:rsidRDefault="002A3428" w:rsidP="10734F69">
      <w:pPr>
        <w:pStyle w:val="ListParagraph"/>
        <w:keepLines/>
        <w:spacing w:before="240"/>
        <w:rPr>
          <w:rFonts w:ascii="Arial" w:hAnsi="Arial" w:cs="Arial"/>
          <w:b/>
          <w:bCs/>
          <w:u w:val="single"/>
        </w:rPr>
      </w:pPr>
      <w:r w:rsidRPr="000308E3">
        <w:rPr>
          <w:rFonts w:ascii="Arial" w:hAnsi="Arial" w:cs="Arial"/>
          <w:b/>
          <w:bCs/>
          <w:u w:val="single"/>
        </w:rPr>
        <w:t xml:space="preserve">Link to Resource: </w:t>
      </w:r>
      <w:hyperlink r:id="rId12" w:history="1">
        <w:r w:rsidR="006D6F4E" w:rsidRPr="000259C6">
          <w:rPr>
            <w:rStyle w:val="Hyperlink"/>
            <w:rFonts w:ascii="Arial" w:hAnsi="Arial" w:cs="Arial"/>
            <w:b/>
            <w:bCs/>
          </w:rPr>
          <w:t>https://www.energy.gov/sites/default/files/2024-02/46060_DOE_GDO_Low_Cost_Grid_Resilience_Projects_RELEASE_508.pdf</w:t>
        </w:r>
      </w:hyperlink>
    </w:p>
    <w:p w14:paraId="5A7E4636" w14:textId="77777777" w:rsidR="006D6F4E" w:rsidRPr="000308E3" w:rsidRDefault="006D6F4E" w:rsidP="10734F69">
      <w:pPr>
        <w:pStyle w:val="ListParagraph"/>
        <w:keepLines/>
        <w:spacing w:before="240"/>
        <w:rPr>
          <w:rFonts w:ascii="Arial" w:hAnsi="Arial" w:cs="Arial"/>
          <w:b/>
          <w:bCs/>
          <w:u w:val="single"/>
        </w:rPr>
      </w:pPr>
    </w:p>
    <w:p w14:paraId="57E0A19F" w14:textId="77777777" w:rsidR="002A3428" w:rsidRPr="000308E3" w:rsidRDefault="002A3428" w:rsidP="10734F69">
      <w:pPr>
        <w:pStyle w:val="ListParagraph"/>
        <w:keepLines/>
        <w:numPr>
          <w:ilvl w:val="0"/>
          <w:numId w:val="14"/>
        </w:numPr>
        <w:spacing w:before="240" w:after="120"/>
        <w:rPr>
          <w:rFonts w:ascii="Arial" w:hAnsi="Arial" w:cs="Arial"/>
          <w:b/>
          <w:bCs/>
          <w:u w:val="single"/>
        </w:rPr>
      </w:pPr>
      <w:r w:rsidRPr="000308E3">
        <w:rPr>
          <w:rFonts w:ascii="Arial" w:hAnsi="Arial" w:cs="Arial"/>
          <w:b/>
          <w:bCs/>
          <w:u w:val="single"/>
        </w:rPr>
        <w:t xml:space="preserve">U.S. Department of Energy: </w:t>
      </w:r>
      <w:r w:rsidRPr="00CB5C54">
        <w:rPr>
          <w:rFonts w:ascii="Arial" w:hAnsi="Arial" w:cs="Arial"/>
          <w:b/>
          <w:bCs/>
          <w:u w:val="single"/>
        </w:rPr>
        <w:t>Innovative Grid Deployment Liftoff</w:t>
      </w:r>
      <w:r w:rsidRPr="000308E3">
        <w:rPr>
          <w:rFonts w:ascii="Arial" w:hAnsi="Arial" w:cs="Arial"/>
          <w:b/>
          <w:bCs/>
          <w:u w:val="single"/>
        </w:rPr>
        <w:t xml:space="preserve"> report</w:t>
      </w:r>
    </w:p>
    <w:p w14:paraId="5FA53504" w14:textId="77777777" w:rsidR="002A3428" w:rsidRPr="000308E3" w:rsidRDefault="002A3428" w:rsidP="10734F69">
      <w:pPr>
        <w:keepLines/>
        <w:spacing w:before="240"/>
        <w:ind w:left="720"/>
        <w:rPr>
          <w:rFonts w:ascii="Arial" w:hAnsi="Arial" w:cs="Arial"/>
          <w:b/>
          <w:bCs/>
          <w:u w:val="single"/>
        </w:rPr>
      </w:pPr>
      <w:r w:rsidRPr="000308E3">
        <w:rPr>
          <w:rFonts w:ascii="Arial" w:hAnsi="Arial" w:cs="Arial"/>
          <w:b/>
          <w:bCs/>
          <w:u w:val="single"/>
        </w:rPr>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6BD54C67" w14:textId="4C83A17C" w:rsidR="002A3428" w:rsidRPr="000308E3" w:rsidRDefault="002A3428" w:rsidP="10734F69">
      <w:pPr>
        <w:keepLines/>
        <w:spacing w:before="240"/>
        <w:ind w:left="720"/>
        <w:rPr>
          <w:rStyle w:val="Hyperlink"/>
          <w:rFonts w:ascii="Arial" w:hAnsi="Arial" w:cs="Arial"/>
          <w:b/>
          <w:bCs/>
          <w:color w:val="auto"/>
        </w:rPr>
      </w:pPr>
      <w:r w:rsidRPr="000308E3">
        <w:rPr>
          <w:rStyle w:val="Hyperlink"/>
          <w:rFonts w:ascii="Arial" w:hAnsi="Arial" w:cs="Arial"/>
          <w:b/>
          <w:bCs/>
          <w:color w:val="auto"/>
        </w:rPr>
        <w:t>Link to Resource: https://liftoff.energy.gov/innovative-grid-deployment/</w:t>
      </w:r>
    </w:p>
    <w:p w14:paraId="1FFB0EEC" w14:textId="773F9B69" w:rsidR="1F352DF4" w:rsidRPr="000308E3" w:rsidRDefault="06C1A349" w:rsidP="000308E3">
      <w:pPr>
        <w:pStyle w:val="ListParagraph"/>
        <w:numPr>
          <w:ilvl w:val="0"/>
          <w:numId w:val="7"/>
        </w:numPr>
        <w:spacing w:before="240"/>
        <w:rPr>
          <w:rFonts w:ascii="Arial" w:eastAsia="Arial" w:hAnsi="Arial" w:cs="Arial"/>
          <w:color w:val="000000" w:themeColor="text1"/>
          <w:vertAlign w:val="superscript"/>
        </w:rPr>
      </w:pPr>
      <w:r w:rsidRPr="6742C4D6">
        <w:rPr>
          <w:rFonts w:ascii="Arial" w:eastAsia="Arial" w:hAnsi="Arial" w:cs="Arial"/>
        </w:rPr>
        <w:t>Page</w:t>
      </w:r>
      <w:r w:rsidR="39B021E9" w:rsidRPr="6742C4D6">
        <w:rPr>
          <w:rFonts w:ascii="Arial" w:eastAsia="Arial" w:hAnsi="Arial" w:cs="Arial"/>
        </w:rPr>
        <w:t xml:space="preserve"> </w:t>
      </w:r>
      <w:r w:rsidR="0B37266F" w:rsidRPr="6742C4D6">
        <w:rPr>
          <w:rFonts w:ascii="Arial" w:eastAsia="Arial" w:hAnsi="Arial" w:cs="Arial"/>
        </w:rPr>
        <w:t>38</w:t>
      </w:r>
      <w:r w:rsidR="39B021E9" w:rsidRPr="000308E3">
        <w:rPr>
          <w:rFonts w:ascii="Arial" w:eastAsia="Arial" w:hAnsi="Arial" w:cs="Arial"/>
        </w:rPr>
        <w:t xml:space="preserve"> of the </w:t>
      </w:r>
      <w:r w:rsidR="39B021E9" w:rsidRPr="6742C4D6">
        <w:rPr>
          <w:rFonts w:ascii="Arial" w:eastAsia="Arial" w:hAnsi="Arial" w:cs="Arial"/>
        </w:rPr>
        <w:t xml:space="preserve">Solicitation, Section </w:t>
      </w:r>
      <w:r w:rsidR="4A61D798" w:rsidRPr="6742C4D6">
        <w:rPr>
          <w:rFonts w:ascii="Arial" w:eastAsia="Arial" w:hAnsi="Arial" w:cs="Arial"/>
        </w:rPr>
        <w:t>V.</w:t>
      </w:r>
      <w:r w:rsidR="39B021E9" w:rsidRPr="6742C4D6">
        <w:rPr>
          <w:rFonts w:ascii="Arial" w:eastAsia="Arial" w:hAnsi="Arial" w:cs="Arial"/>
        </w:rPr>
        <w:t>D</w:t>
      </w:r>
      <w:r w:rsidR="6E681CD2" w:rsidRPr="6742C4D6">
        <w:rPr>
          <w:rFonts w:ascii="Arial" w:eastAsia="Arial" w:hAnsi="Arial" w:cs="Arial"/>
        </w:rPr>
        <w:t>,</w:t>
      </w:r>
      <w:r w:rsidR="39B021E9" w:rsidRPr="6742C4D6">
        <w:rPr>
          <w:rFonts w:ascii="Arial" w:eastAsia="Arial" w:hAnsi="Arial" w:cs="Arial"/>
        </w:rPr>
        <w:t xml:space="preserve"> Additional</w:t>
      </w:r>
      <w:r w:rsidR="3A9A5F7E" w:rsidRPr="6742C4D6">
        <w:rPr>
          <w:rFonts w:ascii="Arial" w:eastAsia="Arial" w:hAnsi="Arial" w:cs="Arial"/>
        </w:rPr>
        <w:t xml:space="preserve"> Requirements, under</w:t>
      </w:r>
      <w:r w:rsidR="06BFDF93" w:rsidRPr="6742C4D6">
        <w:rPr>
          <w:rFonts w:ascii="Arial" w:eastAsia="Arial" w:hAnsi="Arial" w:cs="Arial"/>
        </w:rPr>
        <w:t xml:space="preserve"> 3. </w:t>
      </w:r>
      <w:r w:rsidR="06BFDF93" w:rsidRPr="000308E3">
        <w:rPr>
          <w:rFonts w:ascii="Arial" w:eastAsia="Arial" w:hAnsi="Arial" w:cs="Arial"/>
          <w:color w:val="000000" w:themeColor="text1"/>
        </w:rPr>
        <w:t>Build America Buy America (BABA) Requirement</w:t>
      </w:r>
      <w:r w:rsidR="44D646A2" w:rsidRPr="6742C4D6">
        <w:rPr>
          <w:rFonts w:ascii="Arial" w:eastAsia="Arial" w:hAnsi="Arial" w:cs="Arial"/>
          <w:color w:val="000000" w:themeColor="text1"/>
        </w:rPr>
        <w:t>"</w:t>
      </w:r>
    </w:p>
    <w:p w14:paraId="61824927" w14:textId="71FF0BE2" w:rsidR="00CE065C" w:rsidRPr="000308E3" w:rsidRDefault="321CF5EA" w:rsidP="00B0487D">
      <w:pPr>
        <w:spacing w:before="120" w:after="120" w:line="257" w:lineRule="auto"/>
        <w:ind w:left="720"/>
        <w:rPr>
          <w:rFonts w:ascii="Arial" w:eastAsia="Arial" w:hAnsi="Arial" w:cs="Arial"/>
          <w:color w:val="000000" w:themeColor="text1"/>
        </w:rPr>
      </w:pPr>
      <w:r w:rsidRPr="62BF5554">
        <w:rPr>
          <w:rFonts w:ascii="Arial" w:eastAsia="Arial" w:hAnsi="Arial" w:cs="Arial"/>
          <w:color w:val="000000" w:themeColor="text1"/>
        </w:rPr>
        <w:t xml:space="preserve">Waiver requests are subject to review by DOE and </w:t>
      </w:r>
      <w:r w:rsidRPr="62BF5554">
        <w:rPr>
          <w:rFonts w:ascii="Arial" w:eastAsia="Arial" w:hAnsi="Arial" w:cs="Arial"/>
          <w:strike/>
          <w:color w:val="000000" w:themeColor="text1"/>
        </w:rPr>
        <w:t>the Office of Management and Budget (</w:t>
      </w:r>
      <w:r w:rsidRPr="62BF5554">
        <w:rPr>
          <w:rFonts w:ascii="Arial" w:eastAsia="Arial" w:hAnsi="Arial" w:cs="Arial"/>
          <w:color w:val="000000" w:themeColor="text1"/>
        </w:rPr>
        <w:t>OMB</w:t>
      </w:r>
      <w:r w:rsidRPr="62BF5554">
        <w:rPr>
          <w:rFonts w:ascii="Arial" w:eastAsia="Arial" w:hAnsi="Arial" w:cs="Arial"/>
          <w:strike/>
          <w:color w:val="000000" w:themeColor="text1"/>
        </w:rPr>
        <w:t>)</w:t>
      </w:r>
      <w:r w:rsidRPr="62BF5554">
        <w:rPr>
          <w:rFonts w:ascii="Arial" w:eastAsia="Arial" w:hAnsi="Arial" w:cs="Arial"/>
          <w:color w:val="000000" w:themeColor="text1"/>
        </w:rPr>
        <w:t>, as well as a public comment period of no less than 15 calendar days. DOE may reject or grant waivers in whole or in part depending on its review, analysis, and/or feedback from OMB or the public.</w:t>
      </w:r>
    </w:p>
    <w:p w14:paraId="7E190CFA" w14:textId="132C7BF9" w:rsidR="0E407C07" w:rsidRDefault="0E407C07" w:rsidP="1F352DF4">
      <w:pPr>
        <w:pStyle w:val="Heading2"/>
        <w:spacing w:before="120" w:after="240" w:line="257" w:lineRule="auto"/>
        <w:rPr>
          <w:rFonts w:ascii="Arial" w:eastAsia="Arial" w:hAnsi="Arial" w:cs="Arial"/>
          <w:b/>
          <w:bCs/>
          <w:color w:val="365F91"/>
          <w:sz w:val="24"/>
          <w:szCs w:val="24"/>
        </w:rPr>
      </w:pPr>
      <w:r w:rsidRPr="6742C4D6">
        <w:rPr>
          <w:rFonts w:ascii="Arial" w:eastAsia="Arial" w:hAnsi="Arial" w:cs="Arial"/>
          <w:b/>
          <w:bCs/>
          <w:color w:val="365F91"/>
          <w:sz w:val="24"/>
          <w:szCs w:val="24"/>
        </w:rPr>
        <w:t xml:space="preserve">Attachment </w:t>
      </w:r>
      <w:r w:rsidR="53FF9159" w:rsidRPr="6742C4D6">
        <w:rPr>
          <w:rFonts w:ascii="Arial" w:eastAsia="Arial" w:hAnsi="Arial" w:cs="Arial"/>
          <w:b/>
          <w:bCs/>
          <w:color w:val="365F91"/>
          <w:sz w:val="24"/>
          <w:szCs w:val="24"/>
        </w:rPr>
        <w:t xml:space="preserve">A </w:t>
      </w:r>
      <w:r w:rsidRPr="6742C4D6">
        <w:rPr>
          <w:rFonts w:ascii="Arial" w:eastAsia="Arial" w:hAnsi="Arial" w:cs="Arial"/>
          <w:b/>
          <w:bCs/>
          <w:color w:val="365F91"/>
          <w:sz w:val="24"/>
          <w:szCs w:val="24"/>
        </w:rPr>
        <w:t xml:space="preserve">Application Submittal Checklist </w:t>
      </w:r>
    </w:p>
    <w:p w14:paraId="4CB38D38" w14:textId="0232B924" w:rsidR="00D120A4" w:rsidRPr="002845F0" w:rsidRDefault="037A5477" w:rsidP="002845F0">
      <w:pPr>
        <w:pStyle w:val="ListParagraph"/>
        <w:numPr>
          <w:ilvl w:val="0"/>
          <w:numId w:val="7"/>
        </w:numPr>
        <w:tabs>
          <w:tab w:val="left" w:pos="1080"/>
          <w:tab w:val="left" w:pos="1440"/>
          <w:tab w:val="left" w:pos="1530"/>
        </w:tabs>
        <w:spacing w:before="120" w:after="120"/>
        <w:rPr>
          <w:rFonts w:ascii="Arial" w:hAnsi="Arial" w:cs="Arial"/>
        </w:rPr>
      </w:pPr>
      <w:r w:rsidRPr="10734F69">
        <w:rPr>
          <w:rFonts w:ascii="Arial" w:hAnsi="Arial" w:cs="Arial"/>
        </w:rPr>
        <w:t xml:space="preserve">Page 2 of the </w:t>
      </w:r>
      <w:r w:rsidR="34146C8F" w:rsidRPr="10734F69">
        <w:rPr>
          <w:rFonts w:ascii="Arial" w:hAnsi="Arial" w:cs="Arial"/>
        </w:rPr>
        <w:t>Application Submittal Checklist</w:t>
      </w:r>
      <w:r w:rsidRPr="10734F69">
        <w:rPr>
          <w:rFonts w:ascii="Arial" w:hAnsi="Arial" w:cs="Arial"/>
        </w:rPr>
        <w:t xml:space="preserve">, </w:t>
      </w:r>
      <w:r w:rsidR="3E8E7D53" w:rsidRPr="10734F69">
        <w:rPr>
          <w:rFonts w:ascii="Arial" w:hAnsi="Arial" w:cs="Arial"/>
        </w:rPr>
        <w:t>under “</w:t>
      </w:r>
      <w:r w:rsidR="296DD41E" w:rsidRPr="10734F69">
        <w:rPr>
          <w:rFonts w:ascii="Arial" w:hAnsi="Arial" w:cs="Arial"/>
        </w:rPr>
        <w:t>Attachment Number 05</w:t>
      </w:r>
      <w:r w:rsidR="49F7A5EF" w:rsidRPr="10734F69">
        <w:rPr>
          <w:rFonts w:ascii="Arial" w:hAnsi="Arial" w:cs="Arial"/>
        </w:rPr>
        <w:t xml:space="preserve"> Budget Form”</w:t>
      </w:r>
      <w:r w:rsidR="296DD41E" w:rsidRPr="10734F69">
        <w:rPr>
          <w:rFonts w:ascii="Arial" w:hAnsi="Arial" w:cs="Arial"/>
        </w:rPr>
        <w:t>:</w:t>
      </w:r>
    </w:p>
    <w:tbl>
      <w:tblPr>
        <w:tblStyle w:val="TableGrid"/>
        <w:tblpPr w:leftFromText="180" w:rightFromText="180" w:vertAnchor="text" w:tblpY="1"/>
        <w:tblOverlap w:val="never"/>
        <w:tblW w:w="8977" w:type="dxa"/>
        <w:tblLook w:val="00A0" w:firstRow="1" w:lastRow="0" w:firstColumn="1" w:lastColumn="0" w:noHBand="0" w:noVBand="0"/>
      </w:tblPr>
      <w:tblGrid>
        <w:gridCol w:w="1515"/>
        <w:gridCol w:w="7462"/>
      </w:tblGrid>
      <w:tr w:rsidR="00F17891" w:rsidRPr="000E3A8A" w14:paraId="618520D4" w14:textId="77777777" w:rsidTr="1F352DF4">
        <w:trPr>
          <w:trHeight w:val="3410"/>
        </w:trPr>
        <w:tc>
          <w:tcPr>
            <w:tcW w:w="1515" w:type="dxa"/>
          </w:tcPr>
          <w:p w14:paraId="48F19B72" w14:textId="77777777" w:rsidR="00F17891" w:rsidRPr="00436BFD" w:rsidRDefault="00F17891" w:rsidP="00462799">
            <w:pPr>
              <w:rPr>
                <w:rFonts w:ascii="Arial" w:hAnsi="Arial" w:cs="Arial"/>
              </w:rPr>
            </w:pPr>
            <w:r>
              <w:rPr>
                <w:rFonts w:ascii="Arial" w:hAnsi="Arial" w:cs="Arial"/>
              </w:rPr>
              <w:t>05</w:t>
            </w:r>
          </w:p>
        </w:tc>
        <w:tc>
          <w:tcPr>
            <w:tcW w:w="7462" w:type="dxa"/>
          </w:tcPr>
          <w:p w14:paraId="77E54B83" w14:textId="77777777" w:rsidR="00F17891" w:rsidRDefault="00F17891" w:rsidP="00462799">
            <w:pPr>
              <w:ind w:left="346" w:hanging="346"/>
              <w:rPr>
                <w:rFonts w:ascii="Arial" w:hAnsi="Arial" w:cs="Arial"/>
              </w:rPr>
            </w:pPr>
            <w:r w:rsidRPr="7CC69146">
              <w:rPr>
                <w:rFonts w:ascii="Arial" w:hAnsi="Arial" w:cs="Arial"/>
                <w:b/>
                <w:bCs/>
              </w:rPr>
              <w:t>Budget Form:</w:t>
            </w:r>
            <w:r w:rsidRPr="00436BFD">
              <w:rPr>
                <w:rFonts w:ascii="Arial" w:hAnsi="Arial" w:cs="Arial"/>
              </w:rPr>
              <w:t xml:space="preserve"> </w:t>
            </w:r>
          </w:p>
          <w:p w14:paraId="328EDE65"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Requested funding is </w:t>
            </w:r>
            <w:r w:rsidRPr="00902937">
              <w:rPr>
                <w:rFonts w:ascii="Arial" w:hAnsi="Arial" w:cs="Arial"/>
              </w:rPr>
              <w:t>within the minimum and maximum amounts</w:t>
            </w:r>
            <w:r>
              <w:rPr>
                <w:rFonts w:ascii="Arial" w:hAnsi="Arial" w:cs="Arial"/>
              </w:rPr>
              <w:t xml:space="preserve"> of the CERRI program. (See solicitation manual, Section I.C.1)</w:t>
            </w:r>
          </w:p>
          <w:p w14:paraId="2DF6A1A2"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Pr="00902937">
              <w:rPr>
                <w:rFonts w:ascii="Arial" w:hAnsi="Arial" w:cs="Arial"/>
              </w:rPr>
              <w:t>Review the Project Budget for completeness. Only complete the non-greyed areas</w:t>
            </w:r>
            <w:r>
              <w:rPr>
                <w:rFonts w:ascii="Arial" w:hAnsi="Arial" w:cs="Arial"/>
              </w:rPr>
              <w:t xml:space="preserve"> and do not modify preset formulas</w:t>
            </w:r>
            <w:r w:rsidRPr="00902937">
              <w:rPr>
                <w:rFonts w:ascii="Arial" w:hAnsi="Arial" w:cs="Arial"/>
              </w:rPr>
              <w:t xml:space="preserve">. The DOE forms (blue highlighted sheets) do not need to be filled out by </w:t>
            </w:r>
            <w:r>
              <w:rPr>
                <w:rFonts w:ascii="Arial" w:hAnsi="Arial" w:cs="Arial"/>
              </w:rPr>
              <w:t>applicant</w:t>
            </w:r>
            <w:r w:rsidRPr="00902937">
              <w:rPr>
                <w:rFonts w:ascii="Arial" w:hAnsi="Arial" w:cs="Arial"/>
              </w:rPr>
              <w:t>; they will be auto</w:t>
            </w:r>
            <w:r>
              <w:rPr>
                <w:rFonts w:ascii="Arial" w:hAnsi="Arial" w:cs="Arial"/>
              </w:rPr>
              <w:t xml:space="preserve"> </w:t>
            </w:r>
            <w:r w:rsidRPr="00902937">
              <w:rPr>
                <w:rFonts w:ascii="Arial" w:hAnsi="Arial" w:cs="Arial"/>
              </w:rPr>
              <w:t xml:space="preserve">populated by the information provided by the </w:t>
            </w:r>
            <w:r>
              <w:rPr>
                <w:rFonts w:ascii="Arial" w:hAnsi="Arial" w:cs="Arial"/>
              </w:rPr>
              <w:t>applicant</w:t>
            </w:r>
            <w:r w:rsidRPr="00902937">
              <w:rPr>
                <w:rFonts w:ascii="Arial" w:hAnsi="Arial" w:cs="Arial"/>
              </w:rPr>
              <w:t xml:space="preserve">. </w:t>
            </w:r>
          </w:p>
          <w:p w14:paraId="69A38EA1"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Category budget – complete organization name and amount of funds to be spent in California, check totals.</w:t>
            </w:r>
            <w:r w:rsidRPr="00902937">
              <w:rPr>
                <w:rFonts w:ascii="Arial" w:hAnsi="Arial" w:cs="Arial"/>
              </w:rPr>
              <w:t xml:space="preserve"> </w:t>
            </w:r>
          </w:p>
          <w:p w14:paraId="42A39AF8"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Direct Labor – ensure all columns A-J are completed. Check totals. Ensure that all rates are projected caps for the duration of the project. See instructions on Direct Labor tab for more information.</w:t>
            </w:r>
            <w:r w:rsidRPr="00902937">
              <w:rPr>
                <w:rFonts w:ascii="Arial" w:hAnsi="Arial" w:cs="Arial"/>
              </w:rPr>
              <w:t xml:space="preserve"> </w:t>
            </w:r>
          </w:p>
          <w:p w14:paraId="197CE5D3" w14:textId="77777777" w:rsidR="00F17891" w:rsidRDefault="00F17891" w:rsidP="00462799">
            <w:pPr>
              <w:ind w:left="346" w:hanging="346"/>
              <w:rPr>
                <w:rFonts w:ascii="Arial" w:hAnsi="Arial" w:cs="Arial"/>
              </w:rPr>
            </w:pPr>
            <w:r w:rsidRPr="00436BFD">
              <w:rPr>
                <w:rFonts w:ascii="Arial" w:hAnsi="Arial" w:cs="Arial"/>
              </w:rPr>
              <w:lastRenderedPageBreak/>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Fringe Benefits – ensure all columns A-P are completed. Check totals. Again, ensure that all rates are the projected caps for the duration of the project. Additional instructions can be found on the Fringe Benefits tab.</w:t>
            </w:r>
          </w:p>
          <w:p w14:paraId="67899F4D"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Travel – ensure all columns A-J are completed. Check totals. Ensure that no out-of-state or international travel is listed under CEC Funds.</w:t>
            </w:r>
          </w:p>
          <w:p w14:paraId="25B12A09" w14:textId="77777777" w:rsidR="00F17891" w:rsidRPr="007F210F" w:rsidRDefault="00F17891" w:rsidP="00462799">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Pr="7CC69146">
              <w:rPr>
                <w:rFonts w:ascii="Arial" w:hAnsi="Arial" w:cs="Arial"/>
              </w:rPr>
              <w:t>Equipment</w:t>
            </w:r>
            <w:r>
              <w:rPr>
                <w:rFonts w:ascii="Arial" w:hAnsi="Arial" w:cs="Arial"/>
              </w:rPr>
              <w:t xml:space="preserve"> –</w:t>
            </w:r>
            <w:r w:rsidRPr="7CC69146" w:rsidDel="00B53BAC">
              <w:rPr>
                <w:rFonts w:ascii="Arial" w:hAnsi="Arial" w:cs="Arial"/>
              </w:rPr>
              <w:t xml:space="preserve"> </w:t>
            </w:r>
            <w:r>
              <w:rPr>
                <w:rFonts w:ascii="Arial" w:hAnsi="Arial" w:cs="Arial"/>
              </w:rPr>
              <w:t>ensure all columns A-J are completed.</w:t>
            </w:r>
            <w:r w:rsidRPr="7CC69146">
              <w:rPr>
                <w:rFonts w:ascii="Arial" w:hAnsi="Arial" w:cs="Arial"/>
              </w:rPr>
              <w:t xml:space="preserve"> </w:t>
            </w:r>
            <w:r w:rsidRPr="00CB1552">
              <w:rPr>
                <w:rFonts w:ascii="Arial" w:hAnsi="Arial" w:cs="Arial"/>
              </w:rPr>
              <w:t>Check totals.</w:t>
            </w:r>
            <w:r>
              <w:rPr>
                <w:rFonts w:ascii="Arial" w:hAnsi="Arial" w:cs="Arial"/>
              </w:rPr>
              <w:t xml:space="preserve"> </w:t>
            </w:r>
          </w:p>
          <w:p w14:paraId="18A665AD" w14:textId="77777777" w:rsidR="00F17891" w:rsidRPr="007F210F" w:rsidRDefault="00F17891" w:rsidP="00462799">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Supplies –</w:t>
            </w:r>
            <w:r w:rsidDel="000C46F1">
              <w:rPr>
                <w:rFonts w:ascii="Arial" w:hAnsi="Arial" w:cs="Arial"/>
              </w:rPr>
              <w:t xml:space="preserve"> </w:t>
            </w:r>
            <w:r>
              <w:rPr>
                <w:rFonts w:ascii="Arial" w:hAnsi="Arial" w:cs="Arial"/>
              </w:rPr>
              <w:t xml:space="preserve">ensure all columns A-J are completed. </w:t>
            </w:r>
            <w:r w:rsidRPr="00CB1552">
              <w:rPr>
                <w:rFonts w:ascii="Arial" w:hAnsi="Arial" w:cs="Arial"/>
              </w:rPr>
              <w:t>Check totals.</w:t>
            </w:r>
          </w:p>
          <w:p w14:paraId="42975F7C" w14:textId="77777777" w:rsidR="00F17891" w:rsidRDefault="00F17891" w:rsidP="00462799">
            <w:pPr>
              <w:rPr>
                <w:rFonts w:ascii="Arial" w:hAnsi="Arial" w:cs="Arial"/>
                <w:b/>
                <w:i/>
              </w:rPr>
            </w:pPr>
            <w:r w:rsidRPr="00CB1552">
              <w:rPr>
                <w:rFonts w:ascii="Arial" w:hAnsi="Arial" w:cs="Arial"/>
              </w:rPr>
              <w:fldChar w:fldCharType="begin">
                <w:ffData>
                  <w:name w:val="Check30"/>
                  <w:enabled/>
                  <w:calcOnExit w:val="0"/>
                  <w:checkBox>
                    <w:sizeAuto/>
                    <w:default w:val="0"/>
                  </w:checkBox>
                </w:ffData>
              </w:fldChar>
            </w:r>
            <w:r w:rsidRPr="00CB155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1552">
              <w:rPr>
                <w:rFonts w:ascii="Arial" w:hAnsi="Arial" w:cs="Arial"/>
              </w:rPr>
              <w:fldChar w:fldCharType="end"/>
            </w:r>
            <w:r w:rsidRPr="00CB1552">
              <w:rPr>
                <w:rFonts w:ascii="Arial" w:hAnsi="Arial" w:cs="Arial"/>
              </w:rPr>
              <w:t xml:space="preserve"> Subcontracts – ensure all columns A-H are completed. Check totals</w:t>
            </w:r>
            <w:r w:rsidRPr="00CB1552">
              <w:rPr>
                <w:rFonts w:ascii="Arial" w:hAnsi="Arial" w:cs="Arial"/>
                <w:b/>
                <w:i/>
              </w:rPr>
              <w:t xml:space="preserve">. </w:t>
            </w:r>
          </w:p>
          <w:p w14:paraId="4436F662"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Subcontractors receiving $100k or more of CEC funds or 25% or more of total requested CEC funds have their own set of complete budget forms, including a full set of worksheets.</w:t>
            </w:r>
          </w:p>
          <w:p w14:paraId="0B96DB61" w14:textId="77777777" w:rsidR="00F17891" w:rsidRPr="00920657" w:rsidRDefault="00F17891" w:rsidP="00462799">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Construction – ensure all columns A-J are completed. Check totals.</w:t>
            </w:r>
          </w:p>
          <w:p w14:paraId="356AE08C"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Other- ensure all columns A-J are completed. Include any costs needed for the project that do not apply to other categories. Check totals.</w:t>
            </w:r>
          </w:p>
          <w:p w14:paraId="60351933" w14:textId="77777777" w:rsidR="00F17891" w:rsidRDefault="00F17891" w:rsidP="00462799">
            <w:pPr>
              <w:ind w:left="346" w:hanging="346"/>
              <w:rPr>
                <w:rFonts w:ascii="Arial" w:hAnsi="Arial" w:cs="Arial"/>
                <w:b/>
                <w:i/>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 xml:space="preserve">Indirect Costs &amp; Profit – ensure all columns A-F are completed. Check totals. Use “Additional Explanation” box to explain calculations. </w:t>
            </w:r>
          </w:p>
          <w:p w14:paraId="70149829" w14:textId="77777777" w:rsidR="00F17891" w:rsidRDefault="00F17891" w:rsidP="0046279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Match funding amount and sources are consistent with the Commitment Letters (Attachment 08).</w:t>
            </w:r>
          </w:p>
          <w:p w14:paraId="611E468B" w14:textId="77777777" w:rsidR="00F17891" w:rsidRPr="000308E3" w:rsidRDefault="00F17891" w:rsidP="1F352DF4">
            <w:pPr>
              <w:ind w:left="346" w:hanging="346"/>
              <w:rPr>
                <w:rFonts w:ascii="Arial" w:hAnsi="Arial" w:cs="Arial"/>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6F72C346" w:rsidRPr="000308E3">
              <w:rPr>
                <w:rFonts w:ascii="Arial" w:hAnsi="Arial" w:cs="Arial"/>
                <w:u w:val="single"/>
              </w:rPr>
              <w:t xml:space="preserve"> </w:t>
            </w:r>
            <w:r w:rsidR="6F72C346" w:rsidRPr="000308E3">
              <w:rPr>
                <w:rFonts w:ascii="Arial" w:hAnsi="Arial" w:cs="Arial"/>
                <w:b/>
                <w:bCs/>
                <w:u w:val="single"/>
              </w:rPr>
              <w:t>Ensure</w:t>
            </w:r>
            <w:r w:rsidR="6F72C346" w:rsidRPr="000308E3">
              <w:rPr>
                <w:rFonts w:ascii="Arial" w:hAnsi="Arial" w:cs="Arial"/>
                <w:u w:val="single"/>
              </w:rPr>
              <w:t xml:space="preserve"> </w:t>
            </w:r>
            <w:r w:rsidR="6F72C346" w:rsidRPr="000308E3">
              <w:rPr>
                <w:rFonts w:ascii="Arial" w:hAnsi="Arial" w:cs="Arial"/>
                <w:b/>
                <w:bCs/>
                <w:u w:val="single"/>
              </w:rPr>
              <w:t>Build America Buy America (BABA) Waiver Requests are submitted in writing with sufficient information (if applicable).</w:t>
            </w:r>
          </w:p>
        </w:tc>
      </w:tr>
    </w:tbl>
    <w:p w14:paraId="1656BDA0" w14:textId="77777777" w:rsidR="00D120A4" w:rsidRDefault="00D120A4" w:rsidP="00E218C8">
      <w:pPr>
        <w:tabs>
          <w:tab w:val="left" w:pos="1080"/>
          <w:tab w:val="left" w:pos="1440"/>
          <w:tab w:val="left" w:pos="1530"/>
        </w:tabs>
        <w:spacing w:before="120" w:after="120"/>
        <w:rPr>
          <w:rFonts w:ascii="Arial" w:hAnsi="Arial" w:cs="Arial"/>
        </w:rPr>
      </w:pPr>
    </w:p>
    <w:p w14:paraId="26E552CC" w14:textId="77777777" w:rsidR="00E218C8" w:rsidRDefault="00E218C8" w:rsidP="00E218C8">
      <w:pPr>
        <w:pStyle w:val="Heading2"/>
        <w:spacing w:before="120" w:after="240" w:line="257" w:lineRule="auto"/>
        <w:rPr>
          <w:rFonts w:ascii="Arial" w:eastAsia="Arial" w:hAnsi="Arial" w:cs="Arial"/>
          <w:b/>
          <w:bCs/>
          <w:color w:val="365F91"/>
          <w:sz w:val="24"/>
          <w:szCs w:val="24"/>
        </w:rPr>
      </w:pPr>
      <w:r w:rsidRPr="6742C4D6">
        <w:rPr>
          <w:rFonts w:ascii="Arial" w:eastAsia="Arial" w:hAnsi="Arial" w:cs="Arial"/>
          <w:b/>
          <w:bCs/>
          <w:color w:val="365F91"/>
          <w:sz w:val="24"/>
          <w:szCs w:val="24"/>
        </w:rPr>
        <w:t xml:space="preserve">Attachment </w:t>
      </w:r>
      <w:r>
        <w:rPr>
          <w:rFonts w:ascii="Arial" w:eastAsia="Arial" w:hAnsi="Arial" w:cs="Arial"/>
          <w:b/>
          <w:bCs/>
          <w:color w:val="365F91"/>
          <w:sz w:val="24"/>
          <w:szCs w:val="24"/>
        </w:rPr>
        <w:t>09</w:t>
      </w:r>
      <w:r w:rsidRPr="6742C4D6">
        <w:rPr>
          <w:rFonts w:ascii="Arial" w:eastAsia="Arial" w:hAnsi="Arial" w:cs="Arial"/>
          <w:b/>
          <w:bCs/>
          <w:color w:val="365F91"/>
          <w:sz w:val="24"/>
          <w:szCs w:val="24"/>
        </w:rPr>
        <w:t xml:space="preserve"> </w:t>
      </w:r>
      <w:r>
        <w:rPr>
          <w:rFonts w:ascii="Arial" w:eastAsia="Arial" w:hAnsi="Arial" w:cs="Arial"/>
          <w:b/>
          <w:bCs/>
          <w:color w:val="365F91"/>
          <w:sz w:val="24"/>
          <w:szCs w:val="24"/>
        </w:rPr>
        <w:t>Project Metrics</w:t>
      </w:r>
    </w:p>
    <w:p w14:paraId="01D9EF5F" w14:textId="77777777" w:rsidR="00BC22FC" w:rsidRPr="00A2544F" w:rsidRDefault="00BC22FC" w:rsidP="00BC22FC">
      <w:pPr>
        <w:pStyle w:val="ListParagraph"/>
        <w:numPr>
          <w:ilvl w:val="0"/>
          <w:numId w:val="7"/>
        </w:numPr>
        <w:rPr>
          <w:rFonts w:ascii="Arial" w:hAnsi="Arial" w:cs="Arial"/>
        </w:rPr>
      </w:pPr>
      <w:r w:rsidRPr="00A2544F">
        <w:rPr>
          <w:rFonts w:ascii="Arial" w:hAnsi="Arial" w:cs="Arial"/>
        </w:rPr>
        <w:t>Job Creation and Training</w:t>
      </w:r>
    </w:p>
    <w:p w14:paraId="2256A1E9" w14:textId="6077D330" w:rsidR="00E218C8" w:rsidRDefault="074AC78E" w:rsidP="62BF5554">
      <w:pPr>
        <w:pStyle w:val="ListParagraph"/>
        <w:rPr>
          <w:rFonts w:ascii="Arial" w:hAnsi="Arial" w:cs="Arial"/>
          <w:b/>
          <w:bCs/>
          <w:i/>
          <w:iCs/>
        </w:rPr>
      </w:pPr>
      <w:r w:rsidRPr="62BF5554">
        <w:rPr>
          <w:rFonts w:ascii="Arial" w:hAnsi="Arial" w:cs="Arial"/>
        </w:rPr>
        <w:t>Project Metrics tab, c</w:t>
      </w:r>
      <w:r w:rsidR="00BC22FC" w:rsidRPr="62BF5554">
        <w:rPr>
          <w:rFonts w:ascii="Arial" w:hAnsi="Arial" w:cs="Arial"/>
        </w:rPr>
        <w:t>ell</w:t>
      </w:r>
      <w:r w:rsidR="006570FB" w:rsidRPr="62BF5554">
        <w:rPr>
          <w:rFonts w:ascii="Arial" w:hAnsi="Arial" w:cs="Arial"/>
        </w:rPr>
        <w:t xml:space="preserve">s F46/47: </w:t>
      </w:r>
      <w:r w:rsidR="00E218C8" w:rsidRPr="62BF5554">
        <w:rPr>
          <w:rFonts w:ascii="Arial" w:hAnsi="Arial" w:cs="Arial"/>
        </w:rPr>
        <w:t xml:space="preserve"> </w:t>
      </w:r>
      <w:r w:rsidR="006570FB" w:rsidRPr="62BF5554">
        <w:rPr>
          <w:rFonts w:ascii="Arial" w:hAnsi="Arial" w:cs="Arial"/>
        </w:rPr>
        <w:t xml:space="preserve">Number from </w:t>
      </w:r>
      <w:r w:rsidR="006570FB" w:rsidRPr="62BF5554">
        <w:rPr>
          <w:rFonts w:ascii="Arial" w:hAnsi="Arial" w:cs="Arial"/>
          <w:strike/>
        </w:rPr>
        <w:t>DAC</w:t>
      </w:r>
      <w:r w:rsidR="00040500" w:rsidRPr="62BF5554">
        <w:rPr>
          <w:rFonts w:ascii="Arial" w:hAnsi="Arial" w:cs="Arial"/>
          <w:strike/>
        </w:rPr>
        <w:t xml:space="preserve"> and/or Local Project Community</w:t>
      </w:r>
      <w:r w:rsidR="00A2544F" w:rsidRPr="62BF5554">
        <w:rPr>
          <w:rFonts w:ascii="Arial" w:hAnsi="Arial" w:cs="Arial"/>
        </w:rPr>
        <w:t xml:space="preserve"> </w:t>
      </w:r>
      <w:r w:rsidR="00A2544F" w:rsidRPr="62BF5554">
        <w:rPr>
          <w:rFonts w:ascii="Arial" w:hAnsi="Arial" w:cs="Arial"/>
          <w:b/>
          <w:bCs/>
        </w:rPr>
        <w:t>Priority Communities</w:t>
      </w:r>
      <w:r w:rsidR="5B05F07B" w:rsidRPr="62BF5554">
        <w:rPr>
          <w:rFonts w:ascii="Arial" w:hAnsi="Arial" w:cs="Arial"/>
          <w:b/>
          <w:bCs/>
        </w:rPr>
        <w:t xml:space="preserve"> </w:t>
      </w:r>
      <w:r w:rsidR="5B05F07B" w:rsidRPr="00D6639D">
        <w:rPr>
          <w:rFonts w:ascii="Arial" w:hAnsi="Arial" w:cs="Arial"/>
        </w:rPr>
        <w:t>[</w:t>
      </w:r>
      <w:r w:rsidR="5B05F07B" w:rsidRPr="00D6639D">
        <w:rPr>
          <w:rFonts w:ascii="Arial" w:hAnsi="Arial" w:cs="Arial"/>
          <w:i/>
          <w:iCs/>
        </w:rPr>
        <w:t>Note: bold and strikeout do not show in Excel.</w:t>
      </w:r>
      <w:r w:rsidR="5B05F07B" w:rsidRPr="00D6639D">
        <w:rPr>
          <w:rFonts w:ascii="Arial" w:hAnsi="Arial" w:cs="Arial"/>
        </w:rPr>
        <w:t>]</w:t>
      </w:r>
    </w:p>
    <w:p w14:paraId="05405864" w14:textId="77777777" w:rsidR="00A96F56" w:rsidRPr="00A2544F" w:rsidRDefault="00A96F56" w:rsidP="00BC22FC">
      <w:pPr>
        <w:pStyle w:val="ListParagraph"/>
        <w:rPr>
          <w:rFonts w:ascii="Arial" w:hAnsi="Arial" w:cs="Arial"/>
        </w:rPr>
      </w:pPr>
    </w:p>
    <w:p w14:paraId="616B097E" w14:textId="0630881C" w:rsidR="00E218C8" w:rsidRPr="00B0487D" w:rsidRDefault="00A96F56" w:rsidP="003B60F2">
      <w:pPr>
        <w:pStyle w:val="Heading2"/>
        <w:spacing w:before="120" w:after="240"/>
        <w:rPr>
          <w:rFonts w:ascii="Arial" w:hAnsi="Arial" w:cs="Arial"/>
          <w:b/>
          <w:sz w:val="24"/>
          <w:szCs w:val="24"/>
        </w:rPr>
      </w:pPr>
      <w:r w:rsidRPr="00B0487D">
        <w:rPr>
          <w:rFonts w:ascii="Arial" w:hAnsi="Arial" w:cs="Arial"/>
          <w:b/>
          <w:sz w:val="24"/>
          <w:szCs w:val="24"/>
        </w:rPr>
        <w:t>Attachment 10 Applicant Declaration</w:t>
      </w:r>
    </w:p>
    <w:p w14:paraId="27B7C6AD" w14:textId="07C1F22D" w:rsidR="003B60F2" w:rsidRPr="003B60F2" w:rsidRDefault="003B60F2" w:rsidP="003B60F2">
      <w:pPr>
        <w:pStyle w:val="ListParagraph"/>
        <w:numPr>
          <w:ilvl w:val="0"/>
          <w:numId w:val="7"/>
        </w:numPr>
        <w:rPr>
          <w:rStyle w:val="ui-provider"/>
          <w:rFonts w:ascii="Arial" w:hAnsi="Arial" w:cs="Arial"/>
        </w:rPr>
      </w:pPr>
      <w:r>
        <w:rPr>
          <w:rStyle w:val="ui-provider"/>
          <w:rFonts w:ascii="Arial" w:hAnsi="Arial" w:cs="Arial"/>
        </w:rPr>
        <w:t xml:space="preserve">Page 2: </w:t>
      </w:r>
      <w:r w:rsidRPr="003B60F2">
        <w:rPr>
          <w:rStyle w:val="ui-provider"/>
          <w:rFonts w:ascii="Arial" w:hAnsi="Arial" w:cs="Arial"/>
        </w:rPr>
        <w:t>If unable to sign this form due to failure to meet the standards set forth in the bullet list items above, please detail the reason(s) why in the space provided below. </w:t>
      </w:r>
      <w:r w:rsidRPr="00EA3FB1">
        <w:rPr>
          <w:rStyle w:val="ui-provider"/>
          <w:rFonts w:ascii="Arial" w:hAnsi="Arial" w:cs="Arial"/>
          <w:b/>
          <w:bCs/>
          <w:u w:val="single"/>
        </w:rPr>
        <w:t>Applicants who are unable to sign this form will remain eligible for award consideration.</w:t>
      </w:r>
    </w:p>
    <w:p w14:paraId="56EE0FD0" w14:textId="77777777" w:rsidR="00A96F56" w:rsidRPr="00A96F56" w:rsidRDefault="00A96F56" w:rsidP="00A96F56"/>
    <w:sectPr w:rsidR="00A96F56" w:rsidRPr="00A96F5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0CB0" w14:textId="77777777" w:rsidR="00EE1888" w:rsidRDefault="00EE1888" w:rsidP="00900D74">
      <w:r>
        <w:separator/>
      </w:r>
    </w:p>
  </w:endnote>
  <w:endnote w:type="continuationSeparator" w:id="0">
    <w:p w14:paraId="4EE58091" w14:textId="77777777" w:rsidR="00EE1888" w:rsidRDefault="00EE1888" w:rsidP="00900D74">
      <w:r>
        <w:continuationSeparator/>
      </w:r>
    </w:p>
  </w:endnote>
  <w:endnote w:type="continuationNotice" w:id="1">
    <w:p w14:paraId="7C484761" w14:textId="77777777" w:rsidR="00EE1888" w:rsidRDefault="00EE1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FA7" w14:textId="77777777" w:rsidR="0012661B" w:rsidRDefault="0012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8482"/>
      <w:docPartObj>
        <w:docPartGallery w:val="Page Numbers (Bottom of Page)"/>
        <w:docPartUnique/>
      </w:docPartObj>
    </w:sdtPr>
    <w:sdtContent>
      <w:sdt>
        <w:sdtPr>
          <w:id w:val="1728636285"/>
          <w:docPartObj>
            <w:docPartGallery w:val="Page Numbers (Top of Page)"/>
            <w:docPartUnique/>
          </w:docPartObj>
        </w:sdtPr>
        <w:sdtContent>
          <w:p w14:paraId="295AEEB4" w14:textId="0CCF3B8F" w:rsidR="00D6047B" w:rsidRDefault="00D6047B">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p w14:paraId="339328C6" w14:textId="77777777" w:rsidR="00D6047B" w:rsidRDefault="00D60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6497" w14:textId="77777777" w:rsidR="0012661B" w:rsidRDefault="0012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E360" w14:textId="77777777" w:rsidR="00EE1888" w:rsidRDefault="00EE1888" w:rsidP="00900D74">
      <w:r>
        <w:separator/>
      </w:r>
    </w:p>
  </w:footnote>
  <w:footnote w:type="continuationSeparator" w:id="0">
    <w:p w14:paraId="70C2D741" w14:textId="77777777" w:rsidR="00EE1888" w:rsidRDefault="00EE1888" w:rsidP="00900D74">
      <w:r>
        <w:continuationSeparator/>
      </w:r>
    </w:p>
  </w:footnote>
  <w:footnote w:type="continuationNotice" w:id="1">
    <w:p w14:paraId="1D60999B" w14:textId="77777777" w:rsidR="00EE1888" w:rsidRDefault="00EE1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6075" w14:textId="77777777" w:rsidR="0012661B" w:rsidRDefault="0012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DFD5" w14:textId="77777777" w:rsidR="00533155" w:rsidRDefault="00533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9C8A" w14:textId="77777777" w:rsidR="0012661B" w:rsidRDefault="0012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CF68E9"/>
    <w:multiLevelType w:val="hybridMultilevel"/>
    <w:tmpl w:val="FFFFFFFF"/>
    <w:lvl w:ilvl="0" w:tplc="905469EA">
      <w:start w:val="1"/>
      <w:numFmt w:val="bullet"/>
      <w:lvlText w:val=""/>
      <w:lvlJc w:val="left"/>
      <w:pPr>
        <w:ind w:left="1080" w:hanging="360"/>
      </w:pPr>
      <w:rPr>
        <w:rFonts w:ascii="Symbol" w:hAnsi="Symbol" w:hint="default"/>
      </w:rPr>
    </w:lvl>
    <w:lvl w:ilvl="1" w:tplc="9878DC2A">
      <w:start w:val="1"/>
      <w:numFmt w:val="bullet"/>
      <w:lvlText w:val="o"/>
      <w:lvlJc w:val="left"/>
      <w:pPr>
        <w:ind w:left="1800" w:hanging="360"/>
      </w:pPr>
      <w:rPr>
        <w:rFonts w:ascii="Courier New" w:hAnsi="Courier New" w:hint="default"/>
      </w:rPr>
    </w:lvl>
    <w:lvl w:ilvl="2" w:tplc="FA3A4226">
      <w:start w:val="1"/>
      <w:numFmt w:val="bullet"/>
      <w:lvlText w:val=""/>
      <w:lvlJc w:val="left"/>
      <w:pPr>
        <w:ind w:left="2520" w:hanging="360"/>
      </w:pPr>
      <w:rPr>
        <w:rFonts w:ascii="Wingdings" w:hAnsi="Wingdings" w:hint="default"/>
      </w:rPr>
    </w:lvl>
    <w:lvl w:ilvl="3" w:tplc="23E68B38">
      <w:start w:val="1"/>
      <w:numFmt w:val="bullet"/>
      <w:lvlText w:val=""/>
      <w:lvlJc w:val="left"/>
      <w:pPr>
        <w:ind w:left="3240" w:hanging="360"/>
      </w:pPr>
      <w:rPr>
        <w:rFonts w:ascii="Symbol" w:hAnsi="Symbol" w:hint="default"/>
      </w:rPr>
    </w:lvl>
    <w:lvl w:ilvl="4" w:tplc="67268AAC">
      <w:start w:val="1"/>
      <w:numFmt w:val="bullet"/>
      <w:lvlText w:val="o"/>
      <w:lvlJc w:val="left"/>
      <w:pPr>
        <w:ind w:left="3960" w:hanging="360"/>
      </w:pPr>
      <w:rPr>
        <w:rFonts w:ascii="Courier New" w:hAnsi="Courier New" w:hint="default"/>
      </w:rPr>
    </w:lvl>
    <w:lvl w:ilvl="5" w:tplc="73A85D7E">
      <w:start w:val="1"/>
      <w:numFmt w:val="bullet"/>
      <w:lvlText w:val=""/>
      <w:lvlJc w:val="left"/>
      <w:pPr>
        <w:ind w:left="4680" w:hanging="360"/>
      </w:pPr>
      <w:rPr>
        <w:rFonts w:ascii="Wingdings" w:hAnsi="Wingdings" w:hint="default"/>
      </w:rPr>
    </w:lvl>
    <w:lvl w:ilvl="6" w:tplc="48041BF4">
      <w:start w:val="1"/>
      <w:numFmt w:val="bullet"/>
      <w:lvlText w:val=""/>
      <w:lvlJc w:val="left"/>
      <w:pPr>
        <w:ind w:left="5400" w:hanging="360"/>
      </w:pPr>
      <w:rPr>
        <w:rFonts w:ascii="Symbol" w:hAnsi="Symbol" w:hint="default"/>
      </w:rPr>
    </w:lvl>
    <w:lvl w:ilvl="7" w:tplc="A560FB0C">
      <w:start w:val="1"/>
      <w:numFmt w:val="bullet"/>
      <w:lvlText w:val="o"/>
      <w:lvlJc w:val="left"/>
      <w:pPr>
        <w:ind w:left="6120" w:hanging="360"/>
      </w:pPr>
      <w:rPr>
        <w:rFonts w:ascii="Courier New" w:hAnsi="Courier New" w:hint="default"/>
      </w:rPr>
    </w:lvl>
    <w:lvl w:ilvl="8" w:tplc="860CEA5C">
      <w:start w:val="1"/>
      <w:numFmt w:val="bullet"/>
      <w:lvlText w:val=""/>
      <w:lvlJc w:val="left"/>
      <w:pPr>
        <w:ind w:left="6840" w:hanging="360"/>
      </w:pPr>
      <w:rPr>
        <w:rFonts w:ascii="Wingdings" w:hAnsi="Wingdings" w:hint="default"/>
      </w:rPr>
    </w:lvl>
  </w:abstractNum>
  <w:abstractNum w:abstractNumId="2" w15:restartNumberingAfterBreak="0">
    <w:nsid w:val="17CB0DB9"/>
    <w:multiLevelType w:val="hybridMultilevel"/>
    <w:tmpl w:val="0FF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4" w15:restartNumberingAfterBreak="0">
    <w:nsid w:val="2D0E29FF"/>
    <w:multiLevelType w:val="hybridMultilevel"/>
    <w:tmpl w:val="A220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 w15:restartNumberingAfterBreak="0">
    <w:nsid w:val="3B5A24B4"/>
    <w:multiLevelType w:val="hybridMultilevel"/>
    <w:tmpl w:val="9998CF8C"/>
    <w:lvl w:ilvl="0" w:tplc="A236632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F7A63"/>
    <w:multiLevelType w:val="hybridMultilevel"/>
    <w:tmpl w:val="67B2A482"/>
    <w:lvl w:ilvl="0" w:tplc="F5C87CCE">
      <w:start w:val="1"/>
      <w:numFmt w:val="decimal"/>
      <w:lvlText w:val="%1."/>
      <w:lvlJc w:val="left"/>
      <w:pPr>
        <w:tabs>
          <w:tab w:val="num" w:pos="1440"/>
        </w:tabs>
        <w:ind w:left="1440" w:hanging="720"/>
      </w:pPr>
      <w:rPr>
        <w:rFonts w:hint="default"/>
        <w:b/>
        <w:color w:val="auto"/>
      </w:rPr>
    </w:lvl>
    <w:lvl w:ilvl="1" w:tplc="79309EAC">
      <w:start w:val="1"/>
      <w:numFmt w:val="bullet"/>
      <w:lvlText w:val="o"/>
      <w:lvlJc w:val="left"/>
      <w:pPr>
        <w:tabs>
          <w:tab w:val="num" w:pos="2160"/>
        </w:tabs>
        <w:ind w:left="2160" w:hanging="720"/>
      </w:pPr>
      <w:rPr>
        <w:rFonts w:ascii="Courier New" w:hAnsi="Courier New" w:cs="Courier New" w:hint="default"/>
        <w:color w:val="auto"/>
      </w:rPr>
    </w:lvl>
    <w:lvl w:ilvl="2" w:tplc="9E940A26">
      <w:start w:val="1"/>
      <w:numFmt w:val="decimal"/>
      <w:lvlText w:val="%3."/>
      <w:lvlJc w:val="left"/>
      <w:pPr>
        <w:tabs>
          <w:tab w:val="num" w:pos="2880"/>
        </w:tabs>
        <w:ind w:left="2880" w:hanging="720"/>
      </w:pPr>
    </w:lvl>
    <w:lvl w:ilvl="3" w:tplc="B02AC8A2">
      <w:start w:val="1"/>
      <w:numFmt w:val="decimal"/>
      <w:lvlText w:val="%4."/>
      <w:lvlJc w:val="left"/>
      <w:pPr>
        <w:tabs>
          <w:tab w:val="num" w:pos="3600"/>
        </w:tabs>
        <w:ind w:left="3600" w:hanging="720"/>
      </w:pPr>
    </w:lvl>
    <w:lvl w:ilvl="4" w:tplc="943ADC58">
      <w:start w:val="1"/>
      <w:numFmt w:val="decimal"/>
      <w:lvlText w:val="%5."/>
      <w:lvlJc w:val="left"/>
      <w:pPr>
        <w:tabs>
          <w:tab w:val="num" w:pos="4320"/>
        </w:tabs>
        <w:ind w:left="4320" w:hanging="720"/>
      </w:pPr>
    </w:lvl>
    <w:lvl w:ilvl="5" w:tplc="97867354">
      <w:start w:val="1"/>
      <w:numFmt w:val="decimal"/>
      <w:lvlText w:val="%6."/>
      <w:lvlJc w:val="left"/>
      <w:pPr>
        <w:tabs>
          <w:tab w:val="num" w:pos="5040"/>
        </w:tabs>
        <w:ind w:left="5040" w:hanging="720"/>
      </w:pPr>
    </w:lvl>
    <w:lvl w:ilvl="6" w:tplc="F510F84A">
      <w:start w:val="1"/>
      <w:numFmt w:val="decimal"/>
      <w:lvlText w:val="%7."/>
      <w:lvlJc w:val="left"/>
      <w:pPr>
        <w:tabs>
          <w:tab w:val="num" w:pos="5760"/>
        </w:tabs>
        <w:ind w:left="5760" w:hanging="720"/>
      </w:pPr>
    </w:lvl>
    <w:lvl w:ilvl="7" w:tplc="F2569854">
      <w:start w:val="1"/>
      <w:numFmt w:val="decimal"/>
      <w:lvlText w:val="%8."/>
      <w:lvlJc w:val="left"/>
      <w:pPr>
        <w:tabs>
          <w:tab w:val="num" w:pos="6480"/>
        </w:tabs>
        <w:ind w:left="6480" w:hanging="720"/>
      </w:pPr>
    </w:lvl>
    <w:lvl w:ilvl="8" w:tplc="57583C40">
      <w:start w:val="1"/>
      <w:numFmt w:val="decimal"/>
      <w:lvlText w:val="%9."/>
      <w:lvlJc w:val="left"/>
      <w:pPr>
        <w:tabs>
          <w:tab w:val="num" w:pos="7200"/>
        </w:tabs>
        <w:ind w:left="7200" w:hanging="720"/>
      </w:pPr>
    </w:lvl>
  </w:abstractNum>
  <w:abstractNum w:abstractNumId="8" w15:restartNumberingAfterBreak="0">
    <w:nsid w:val="41B920A1"/>
    <w:multiLevelType w:val="hybridMultilevel"/>
    <w:tmpl w:val="BC5243B0"/>
    <w:lvl w:ilvl="0" w:tplc="48A08174">
      <w:start w:val="8"/>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1EA4DD5"/>
    <w:multiLevelType w:val="hybridMultilevel"/>
    <w:tmpl w:val="97D68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3209C"/>
    <w:multiLevelType w:val="hybridMultilevel"/>
    <w:tmpl w:val="F30A6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8702DC4">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6F2DA"/>
    <w:multiLevelType w:val="hybridMultilevel"/>
    <w:tmpl w:val="FFFFFFFF"/>
    <w:lvl w:ilvl="0" w:tplc="080E7184">
      <w:start w:val="1"/>
      <w:numFmt w:val="decimal"/>
      <w:lvlText w:val="%1."/>
      <w:lvlJc w:val="left"/>
      <w:pPr>
        <w:ind w:left="720" w:hanging="360"/>
      </w:pPr>
    </w:lvl>
    <w:lvl w:ilvl="1" w:tplc="3AA0697A">
      <w:start w:val="1"/>
      <w:numFmt w:val="lowerLetter"/>
      <w:lvlText w:val="%2."/>
      <w:lvlJc w:val="left"/>
      <w:pPr>
        <w:ind w:left="1440" w:hanging="360"/>
      </w:pPr>
    </w:lvl>
    <w:lvl w:ilvl="2" w:tplc="F19EDFFC">
      <w:start w:val="1"/>
      <w:numFmt w:val="lowerRoman"/>
      <w:lvlText w:val="%3."/>
      <w:lvlJc w:val="right"/>
      <w:pPr>
        <w:ind w:left="2160" w:hanging="180"/>
      </w:pPr>
    </w:lvl>
    <w:lvl w:ilvl="3" w:tplc="5BFC69B6">
      <w:start w:val="1"/>
      <w:numFmt w:val="decimal"/>
      <w:lvlText w:val="%4."/>
      <w:lvlJc w:val="left"/>
      <w:pPr>
        <w:ind w:left="2880" w:hanging="360"/>
      </w:pPr>
    </w:lvl>
    <w:lvl w:ilvl="4" w:tplc="09763D4E">
      <w:start w:val="1"/>
      <w:numFmt w:val="lowerLetter"/>
      <w:lvlText w:val="%5."/>
      <w:lvlJc w:val="left"/>
      <w:pPr>
        <w:ind w:left="3600" w:hanging="360"/>
      </w:pPr>
    </w:lvl>
    <w:lvl w:ilvl="5" w:tplc="3D44A27A">
      <w:start w:val="1"/>
      <w:numFmt w:val="lowerRoman"/>
      <w:lvlText w:val="%6."/>
      <w:lvlJc w:val="right"/>
      <w:pPr>
        <w:ind w:left="4320" w:hanging="180"/>
      </w:pPr>
    </w:lvl>
    <w:lvl w:ilvl="6" w:tplc="D56873A4">
      <w:start w:val="1"/>
      <w:numFmt w:val="decimal"/>
      <w:lvlText w:val="%7."/>
      <w:lvlJc w:val="left"/>
      <w:pPr>
        <w:ind w:left="5040" w:hanging="360"/>
      </w:pPr>
    </w:lvl>
    <w:lvl w:ilvl="7" w:tplc="FDD6BC48">
      <w:start w:val="1"/>
      <w:numFmt w:val="lowerLetter"/>
      <w:lvlText w:val="%8."/>
      <w:lvlJc w:val="left"/>
      <w:pPr>
        <w:ind w:left="5760" w:hanging="360"/>
      </w:pPr>
    </w:lvl>
    <w:lvl w:ilvl="8" w:tplc="BEE85DF2">
      <w:start w:val="1"/>
      <w:numFmt w:val="lowerRoman"/>
      <w:lvlText w:val="%9."/>
      <w:lvlJc w:val="right"/>
      <w:pPr>
        <w:ind w:left="6480" w:hanging="180"/>
      </w:pPr>
    </w:lvl>
  </w:abstractNum>
  <w:abstractNum w:abstractNumId="13" w15:restartNumberingAfterBreak="0">
    <w:nsid w:val="7F21670B"/>
    <w:multiLevelType w:val="hybridMultilevel"/>
    <w:tmpl w:val="532C369E"/>
    <w:lvl w:ilvl="0" w:tplc="365AA55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187386">
    <w:abstractNumId w:val="1"/>
  </w:num>
  <w:num w:numId="2" w16cid:durableId="1083841916">
    <w:abstractNumId w:val="12"/>
  </w:num>
  <w:num w:numId="3" w16cid:durableId="1530216683">
    <w:abstractNumId w:val="7"/>
  </w:num>
  <w:num w:numId="4" w16cid:durableId="2089955769">
    <w:abstractNumId w:val="6"/>
  </w:num>
  <w:num w:numId="5" w16cid:durableId="818351532">
    <w:abstractNumId w:val="3"/>
  </w:num>
  <w:num w:numId="6" w16cid:durableId="259221591">
    <w:abstractNumId w:val="11"/>
  </w:num>
  <w:num w:numId="7" w16cid:durableId="1308784266">
    <w:abstractNumId w:val="10"/>
  </w:num>
  <w:num w:numId="8" w16cid:durableId="459878316">
    <w:abstractNumId w:val="9"/>
  </w:num>
  <w:num w:numId="9" w16cid:durableId="1493566000">
    <w:abstractNumId w:val="4"/>
  </w:num>
  <w:num w:numId="10" w16cid:durableId="1844541787">
    <w:abstractNumId w:val="5"/>
  </w:num>
  <w:num w:numId="11" w16cid:durableId="1035886077">
    <w:abstractNumId w:val="0"/>
  </w:num>
  <w:num w:numId="12" w16cid:durableId="1794326969">
    <w:abstractNumId w:val="8"/>
  </w:num>
  <w:num w:numId="13" w16cid:durableId="1552309221">
    <w:abstractNumId w:val="13"/>
  </w:num>
  <w:num w:numId="14" w16cid:durableId="168107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92"/>
    <w:rsid w:val="00012A05"/>
    <w:rsid w:val="000248F4"/>
    <w:rsid w:val="000308E3"/>
    <w:rsid w:val="00040500"/>
    <w:rsid w:val="000735AF"/>
    <w:rsid w:val="00084627"/>
    <w:rsid w:val="000A242E"/>
    <w:rsid w:val="000A604F"/>
    <w:rsid w:val="000B04EB"/>
    <w:rsid w:val="000C4EEF"/>
    <w:rsid w:val="000D6C39"/>
    <w:rsid w:val="000E2287"/>
    <w:rsid w:val="000F152E"/>
    <w:rsid w:val="000F6BEA"/>
    <w:rsid w:val="0010352D"/>
    <w:rsid w:val="0012661B"/>
    <w:rsid w:val="00143529"/>
    <w:rsid w:val="001503E4"/>
    <w:rsid w:val="001629CC"/>
    <w:rsid w:val="001632C7"/>
    <w:rsid w:val="0016435C"/>
    <w:rsid w:val="00165318"/>
    <w:rsid w:val="00166E5F"/>
    <w:rsid w:val="00190DC6"/>
    <w:rsid w:val="001B0531"/>
    <w:rsid w:val="001C7861"/>
    <w:rsid w:val="001F7545"/>
    <w:rsid w:val="002308E8"/>
    <w:rsid w:val="00252ADE"/>
    <w:rsid w:val="002579ED"/>
    <w:rsid w:val="0026183C"/>
    <w:rsid w:val="002802A3"/>
    <w:rsid w:val="00283C34"/>
    <w:rsid w:val="002845F0"/>
    <w:rsid w:val="00296F80"/>
    <w:rsid w:val="002A02E6"/>
    <w:rsid w:val="002A3428"/>
    <w:rsid w:val="002B0CCC"/>
    <w:rsid w:val="002B3729"/>
    <w:rsid w:val="002C57C3"/>
    <w:rsid w:val="002E0B3F"/>
    <w:rsid w:val="002E4B6B"/>
    <w:rsid w:val="00311EC2"/>
    <w:rsid w:val="0032119C"/>
    <w:rsid w:val="00327F44"/>
    <w:rsid w:val="00350E40"/>
    <w:rsid w:val="00353372"/>
    <w:rsid w:val="00355A27"/>
    <w:rsid w:val="00360985"/>
    <w:rsid w:val="00361556"/>
    <w:rsid w:val="00362D14"/>
    <w:rsid w:val="003668C0"/>
    <w:rsid w:val="00366C63"/>
    <w:rsid w:val="003A2D37"/>
    <w:rsid w:val="003B60F2"/>
    <w:rsid w:val="003C1CB4"/>
    <w:rsid w:val="004076D7"/>
    <w:rsid w:val="0042043E"/>
    <w:rsid w:val="004237CD"/>
    <w:rsid w:val="00430867"/>
    <w:rsid w:val="00446009"/>
    <w:rsid w:val="00462799"/>
    <w:rsid w:val="004634A7"/>
    <w:rsid w:val="0046544E"/>
    <w:rsid w:val="0046724B"/>
    <w:rsid w:val="004674A9"/>
    <w:rsid w:val="00472D85"/>
    <w:rsid w:val="00486D76"/>
    <w:rsid w:val="0048704E"/>
    <w:rsid w:val="004C3A43"/>
    <w:rsid w:val="004C66F6"/>
    <w:rsid w:val="0050251B"/>
    <w:rsid w:val="0052486E"/>
    <w:rsid w:val="00527F2B"/>
    <w:rsid w:val="00530AC7"/>
    <w:rsid w:val="00533155"/>
    <w:rsid w:val="00541A25"/>
    <w:rsid w:val="0055546A"/>
    <w:rsid w:val="0057473A"/>
    <w:rsid w:val="00576EC1"/>
    <w:rsid w:val="0058286C"/>
    <w:rsid w:val="005A2575"/>
    <w:rsid w:val="005D7923"/>
    <w:rsid w:val="005E521F"/>
    <w:rsid w:val="005F4661"/>
    <w:rsid w:val="00636F79"/>
    <w:rsid w:val="00645B85"/>
    <w:rsid w:val="00654E1F"/>
    <w:rsid w:val="006570FB"/>
    <w:rsid w:val="006713B0"/>
    <w:rsid w:val="00672131"/>
    <w:rsid w:val="006838DB"/>
    <w:rsid w:val="006B34AB"/>
    <w:rsid w:val="006D6F4E"/>
    <w:rsid w:val="00711EA1"/>
    <w:rsid w:val="007242A6"/>
    <w:rsid w:val="0072586C"/>
    <w:rsid w:val="00731922"/>
    <w:rsid w:val="00754473"/>
    <w:rsid w:val="00755D8B"/>
    <w:rsid w:val="00761894"/>
    <w:rsid w:val="00763206"/>
    <w:rsid w:val="00773C4A"/>
    <w:rsid w:val="0078725A"/>
    <w:rsid w:val="0079128E"/>
    <w:rsid w:val="007927E9"/>
    <w:rsid w:val="007F0F1D"/>
    <w:rsid w:val="00805F94"/>
    <w:rsid w:val="00864621"/>
    <w:rsid w:val="008677CD"/>
    <w:rsid w:val="0089033A"/>
    <w:rsid w:val="008A15E4"/>
    <w:rsid w:val="008D70B1"/>
    <w:rsid w:val="00900D74"/>
    <w:rsid w:val="00910367"/>
    <w:rsid w:val="00913DBB"/>
    <w:rsid w:val="00916FDF"/>
    <w:rsid w:val="009244EB"/>
    <w:rsid w:val="00932DC7"/>
    <w:rsid w:val="00945FA9"/>
    <w:rsid w:val="00947ABC"/>
    <w:rsid w:val="00964508"/>
    <w:rsid w:val="00966134"/>
    <w:rsid w:val="00966954"/>
    <w:rsid w:val="009677C1"/>
    <w:rsid w:val="0097016B"/>
    <w:rsid w:val="00975E65"/>
    <w:rsid w:val="0098350C"/>
    <w:rsid w:val="009A5CC6"/>
    <w:rsid w:val="009A71F8"/>
    <w:rsid w:val="009A72ED"/>
    <w:rsid w:val="009A7557"/>
    <w:rsid w:val="009B422C"/>
    <w:rsid w:val="009C32BE"/>
    <w:rsid w:val="009D06EA"/>
    <w:rsid w:val="00A04407"/>
    <w:rsid w:val="00A12785"/>
    <w:rsid w:val="00A2544F"/>
    <w:rsid w:val="00A42D0B"/>
    <w:rsid w:val="00A96F56"/>
    <w:rsid w:val="00AB104C"/>
    <w:rsid w:val="00B0487D"/>
    <w:rsid w:val="00B10E9C"/>
    <w:rsid w:val="00B1700D"/>
    <w:rsid w:val="00B375DC"/>
    <w:rsid w:val="00B44599"/>
    <w:rsid w:val="00BB01C0"/>
    <w:rsid w:val="00BB3EC1"/>
    <w:rsid w:val="00BC22FC"/>
    <w:rsid w:val="00BC62C9"/>
    <w:rsid w:val="00BD2B64"/>
    <w:rsid w:val="00BF6408"/>
    <w:rsid w:val="00C31BCA"/>
    <w:rsid w:val="00C509BD"/>
    <w:rsid w:val="00C5329D"/>
    <w:rsid w:val="00C56D9B"/>
    <w:rsid w:val="00C74666"/>
    <w:rsid w:val="00C74AB9"/>
    <w:rsid w:val="00CA134B"/>
    <w:rsid w:val="00CA2DA6"/>
    <w:rsid w:val="00CB206C"/>
    <w:rsid w:val="00CB5B04"/>
    <w:rsid w:val="00CB5C54"/>
    <w:rsid w:val="00CB7A75"/>
    <w:rsid w:val="00CC1855"/>
    <w:rsid w:val="00CC226D"/>
    <w:rsid w:val="00CC7ACA"/>
    <w:rsid w:val="00CD1737"/>
    <w:rsid w:val="00CD1A7E"/>
    <w:rsid w:val="00CD2DB4"/>
    <w:rsid w:val="00CE065C"/>
    <w:rsid w:val="00CE0D77"/>
    <w:rsid w:val="00CE1E4C"/>
    <w:rsid w:val="00CE4ED6"/>
    <w:rsid w:val="00D120A4"/>
    <w:rsid w:val="00D15CFF"/>
    <w:rsid w:val="00D21A4B"/>
    <w:rsid w:val="00D35462"/>
    <w:rsid w:val="00D44EBC"/>
    <w:rsid w:val="00D46CAA"/>
    <w:rsid w:val="00D6047B"/>
    <w:rsid w:val="00D65EF6"/>
    <w:rsid w:val="00D6639D"/>
    <w:rsid w:val="00D66CC6"/>
    <w:rsid w:val="00D765A7"/>
    <w:rsid w:val="00D840EB"/>
    <w:rsid w:val="00DC645D"/>
    <w:rsid w:val="00DD1CE9"/>
    <w:rsid w:val="00E12A19"/>
    <w:rsid w:val="00E15824"/>
    <w:rsid w:val="00E218C8"/>
    <w:rsid w:val="00E375DC"/>
    <w:rsid w:val="00E60EBF"/>
    <w:rsid w:val="00E63556"/>
    <w:rsid w:val="00E71D9F"/>
    <w:rsid w:val="00E72CA4"/>
    <w:rsid w:val="00E857F7"/>
    <w:rsid w:val="00EA3FB1"/>
    <w:rsid w:val="00EA534F"/>
    <w:rsid w:val="00EC0077"/>
    <w:rsid w:val="00EC147C"/>
    <w:rsid w:val="00EC308B"/>
    <w:rsid w:val="00ED6402"/>
    <w:rsid w:val="00ED745A"/>
    <w:rsid w:val="00EE1888"/>
    <w:rsid w:val="00EE304E"/>
    <w:rsid w:val="00EF3399"/>
    <w:rsid w:val="00F01F14"/>
    <w:rsid w:val="00F13406"/>
    <w:rsid w:val="00F17891"/>
    <w:rsid w:val="00F35658"/>
    <w:rsid w:val="00F65992"/>
    <w:rsid w:val="00F65FEA"/>
    <w:rsid w:val="00F839F0"/>
    <w:rsid w:val="00F9232E"/>
    <w:rsid w:val="00FA2841"/>
    <w:rsid w:val="00FD0A30"/>
    <w:rsid w:val="01282927"/>
    <w:rsid w:val="037A5477"/>
    <w:rsid w:val="058CB301"/>
    <w:rsid w:val="068AC6B2"/>
    <w:rsid w:val="06BFDF93"/>
    <w:rsid w:val="06C1A349"/>
    <w:rsid w:val="070129D7"/>
    <w:rsid w:val="074AC78E"/>
    <w:rsid w:val="086ABC05"/>
    <w:rsid w:val="09ECB168"/>
    <w:rsid w:val="0AF3F46C"/>
    <w:rsid w:val="0B020992"/>
    <w:rsid w:val="0B37266F"/>
    <w:rsid w:val="0B5D9EA2"/>
    <w:rsid w:val="0B6BD31C"/>
    <w:rsid w:val="0E407C07"/>
    <w:rsid w:val="0E67E2CC"/>
    <w:rsid w:val="0F5995B1"/>
    <w:rsid w:val="10734F69"/>
    <w:rsid w:val="1087E4D0"/>
    <w:rsid w:val="111B0DC5"/>
    <w:rsid w:val="126FD349"/>
    <w:rsid w:val="12E322FD"/>
    <w:rsid w:val="1328C17F"/>
    <w:rsid w:val="132E0F91"/>
    <w:rsid w:val="1341E9DC"/>
    <w:rsid w:val="13F1E4D0"/>
    <w:rsid w:val="13F37336"/>
    <w:rsid w:val="14E30D8E"/>
    <w:rsid w:val="154B556E"/>
    <w:rsid w:val="165300A8"/>
    <w:rsid w:val="16ACDFF9"/>
    <w:rsid w:val="1AAE1D41"/>
    <w:rsid w:val="1B6D5D01"/>
    <w:rsid w:val="1BDD7935"/>
    <w:rsid w:val="1C91C85F"/>
    <w:rsid w:val="1DA277A7"/>
    <w:rsid w:val="1DB8E65A"/>
    <w:rsid w:val="1F2735DB"/>
    <w:rsid w:val="1F352DF4"/>
    <w:rsid w:val="22343CAD"/>
    <w:rsid w:val="22530FDC"/>
    <w:rsid w:val="253A46BB"/>
    <w:rsid w:val="25CA4D06"/>
    <w:rsid w:val="266F156B"/>
    <w:rsid w:val="274F925D"/>
    <w:rsid w:val="296DD41E"/>
    <w:rsid w:val="2996320A"/>
    <w:rsid w:val="2AD4AAD7"/>
    <w:rsid w:val="2B8AA111"/>
    <w:rsid w:val="2C7CF308"/>
    <w:rsid w:val="2D1E630E"/>
    <w:rsid w:val="31555EDF"/>
    <w:rsid w:val="321CF5EA"/>
    <w:rsid w:val="32D79B3C"/>
    <w:rsid w:val="34146C8F"/>
    <w:rsid w:val="365393CC"/>
    <w:rsid w:val="367B6EFE"/>
    <w:rsid w:val="37354FB6"/>
    <w:rsid w:val="38C09B36"/>
    <w:rsid w:val="3998869D"/>
    <w:rsid w:val="39B021E9"/>
    <w:rsid w:val="3A9A5F7E"/>
    <w:rsid w:val="3C1905C1"/>
    <w:rsid w:val="3CB926DD"/>
    <w:rsid w:val="3D29D2C1"/>
    <w:rsid w:val="3E8E7D53"/>
    <w:rsid w:val="3EAC816C"/>
    <w:rsid w:val="3FFC8B0E"/>
    <w:rsid w:val="41C1FA80"/>
    <w:rsid w:val="41F6085C"/>
    <w:rsid w:val="432978CC"/>
    <w:rsid w:val="43583CB6"/>
    <w:rsid w:val="4359F206"/>
    <w:rsid w:val="44D646A2"/>
    <w:rsid w:val="4511B4C9"/>
    <w:rsid w:val="451317D0"/>
    <w:rsid w:val="46D5C069"/>
    <w:rsid w:val="47AE5EA4"/>
    <w:rsid w:val="486E9850"/>
    <w:rsid w:val="49F7A5EF"/>
    <w:rsid w:val="4A0A68B1"/>
    <w:rsid w:val="4A61D798"/>
    <w:rsid w:val="4AA9A9B1"/>
    <w:rsid w:val="4BB5E089"/>
    <w:rsid w:val="4C94DE0F"/>
    <w:rsid w:val="4CE71572"/>
    <w:rsid w:val="4D2E54CF"/>
    <w:rsid w:val="4DC7ED44"/>
    <w:rsid w:val="4DCA203C"/>
    <w:rsid w:val="4E106A07"/>
    <w:rsid w:val="4EA5966E"/>
    <w:rsid w:val="4EB2F455"/>
    <w:rsid w:val="4F3A354D"/>
    <w:rsid w:val="50311192"/>
    <w:rsid w:val="51254013"/>
    <w:rsid w:val="51EA3426"/>
    <w:rsid w:val="53FF9159"/>
    <w:rsid w:val="5491AC1D"/>
    <w:rsid w:val="5516BEDD"/>
    <w:rsid w:val="563D42D2"/>
    <w:rsid w:val="56620F78"/>
    <w:rsid w:val="567883A5"/>
    <w:rsid w:val="56D99D9C"/>
    <w:rsid w:val="56E45A1E"/>
    <w:rsid w:val="57EFEC59"/>
    <w:rsid w:val="57F562DD"/>
    <w:rsid w:val="590C9228"/>
    <w:rsid w:val="5924AE49"/>
    <w:rsid w:val="5B05F07B"/>
    <w:rsid w:val="5B86DB0D"/>
    <w:rsid w:val="5CB31402"/>
    <w:rsid w:val="5D894392"/>
    <w:rsid w:val="5D932802"/>
    <w:rsid w:val="5DC46622"/>
    <w:rsid w:val="5F5A0ED3"/>
    <w:rsid w:val="6089BD9C"/>
    <w:rsid w:val="6192E790"/>
    <w:rsid w:val="61A8B528"/>
    <w:rsid w:val="61D92E62"/>
    <w:rsid w:val="6257AEBF"/>
    <w:rsid w:val="62AC4114"/>
    <w:rsid w:val="62BF5554"/>
    <w:rsid w:val="636378B5"/>
    <w:rsid w:val="63B7C781"/>
    <w:rsid w:val="63D47D00"/>
    <w:rsid w:val="64405C15"/>
    <w:rsid w:val="665376AD"/>
    <w:rsid w:val="66BD0B05"/>
    <w:rsid w:val="6742C4D6"/>
    <w:rsid w:val="67808B21"/>
    <w:rsid w:val="68815C16"/>
    <w:rsid w:val="6881E31E"/>
    <w:rsid w:val="68867669"/>
    <w:rsid w:val="69892EA6"/>
    <w:rsid w:val="6BA4ACDC"/>
    <w:rsid w:val="6BCD2AC9"/>
    <w:rsid w:val="6DDD01EE"/>
    <w:rsid w:val="6DF67B9F"/>
    <w:rsid w:val="6E4CA95F"/>
    <w:rsid w:val="6E681CD2"/>
    <w:rsid w:val="6F0C40C1"/>
    <w:rsid w:val="6F72C346"/>
    <w:rsid w:val="6F86440B"/>
    <w:rsid w:val="6FF75DCC"/>
    <w:rsid w:val="70B8F62A"/>
    <w:rsid w:val="73BC4EEF"/>
    <w:rsid w:val="74A30F8A"/>
    <w:rsid w:val="74C3C1B5"/>
    <w:rsid w:val="7565CAF7"/>
    <w:rsid w:val="75AD507B"/>
    <w:rsid w:val="76018D84"/>
    <w:rsid w:val="76AEEE2A"/>
    <w:rsid w:val="77AD163D"/>
    <w:rsid w:val="78885EE9"/>
    <w:rsid w:val="794EFCA4"/>
    <w:rsid w:val="7B2F5C2B"/>
    <w:rsid w:val="7B75D009"/>
    <w:rsid w:val="7CE263A6"/>
    <w:rsid w:val="7E988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4103D"/>
  <w15:chartTrackingRefBased/>
  <w15:docId w15:val="{DB013D54-419C-49DF-BBBC-1EBFFF9E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C6"/>
    <w:pPr>
      <w:spacing w:after="0" w:line="240" w:lineRule="auto"/>
    </w:pPr>
    <w:rPr>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00D7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00D7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900D74"/>
    <w:rPr>
      <w:rFonts w:cs="Times New Roman"/>
      <w:vertAlign w:val="superscript"/>
    </w:rPr>
  </w:style>
  <w:style w:type="table" w:customStyle="1" w:styleId="ListTable321">
    <w:name w:val="List Table 321"/>
    <w:basedOn w:val="TableNormal"/>
    <w:next w:val="ListTable3"/>
    <w:uiPriority w:val="48"/>
    <w:rsid w:val="00900D74"/>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0D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EE304E"/>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Header">
    <w:name w:val="header"/>
    <w:basedOn w:val="Normal"/>
    <w:link w:val="HeaderChar"/>
    <w:uiPriority w:val="99"/>
    <w:unhideWhenUsed/>
    <w:rsid w:val="00D6047B"/>
    <w:pPr>
      <w:tabs>
        <w:tab w:val="center" w:pos="4680"/>
        <w:tab w:val="right" w:pos="9360"/>
      </w:tabs>
    </w:pPr>
  </w:style>
  <w:style w:type="character" w:customStyle="1" w:styleId="HeaderChar">
    <w:name w:val="Header Char"/>
    <w:basedOn w:val="DefaultParagraphFont"/>
    <w:link w:val="Header"/>
    <w:uiPriority w:val="99"/>
    <w:rsid w:val="00D6047B"/>
    <w:rPr>
      <w:sz w:val="24"/>
      <w:szCs w:val="24"/>
    </w:rPr>
  </w:style>
  <w:style w:type="paragraph" w:styleId="Footer">
    <w:name w:val="footer"/>
    <w:basedOn w:val="Normal"/>
    <w:link w:val="FooterChar"/>
    <w:uiPriority w:val="99"/>
    <w:unhideWhenUsed/>
    <w:rsid w:val="00D6047B"/>
    <w:pPr>
      <w:tabs>
        <w:tab w:val="center" w:pos="4680"/>
        <w:tab w:val="right" w:pos="9360"/>
      </w:tabs>
    </w:pPr>
  </w:style>
  <w:style w:type="character" w:customStyle="1" w:styleId="FooterChar">
    <w:name w:val="Footer Char"/>
    <w:basedOn w:val="DefaultParagraphFont"/>
    <w:link w:val="Footer"/>
    <w:uiPriority w:val="99"/>
    <w:rsid w:val="00D6047B"/>
    <w:rPr>
      <w:sz w:val="24"/>
      <w:szCs w:val="24"/>
    </w:rPr>
  </w:style>
  <w:style w:type="table" w:customStyle="1" w:styleId="TableGrid2">
    <w:name w:val="Table Grid2"/>
    <w:basedOn w:val="TableNormal"/>
    <w:next w:val="TableGrid"/>
    <w:uiPriority w:val="39"/>
    <w:rsid w:val="00F134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Grid">
    <w:name w:val="Table Grid"/>
    <w:basedOn w:val="TableNormal"/>
    <w:uiPriority w:val="39"/>
    <w:rsid w:val="00F1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7F2B"/>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2287"/>
    <w:pPr>
      <w:spacing w:after="0" w:line="240" w:lineRule="auto"/>
    </w:pPr>
    <w:rPr>
      <w:sz w:val="24"/>
      <w:szCs w:val="24"/>
    </w:rPr>
  </w:style>
  <w:style w:type="character" w:styleId="Hyperlink">
    <w:name w:val="Hyperlink"/>
    <w:basedOn w:val="DefaultParagraphFont"/>
    <w:uiPriority w:val="99"/>
    <w:rsid w:val="00165318"/>
    <w:rPr>
      <w:rFonts w:cs="Times New Roman"/>
      <w:color w:val="0000FF"/>
      <w:u w:val="single"/>
    </w:rPr>
  </w:style>
  <w:style w:type="character" w:customStyle="1" w:styleId="ListParagraphChar">
    <w:name w:val="List Paragraph Char"/>
    <w:basedOn w:val="DefaultParagraphFont"/>
    <w:link w:val="ListParagraph"/>
    <w:uiPriority w:val="34"/>
    <w:locked/>
    <w:rsid w:val="00165318"/>
    <w:rPr>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A3428"/>
    <w:rPr>
      <w:color w:val="605E5C"/>
      <w:shd w:val="clear" w:color="auto" w:fill="E1DFDD"/>
    </w:rPr>
  </w:style>
  <w:style w:type="character" w:customStyle="1" w:styleId="ui-provider">
    <w:name w:val="ui-provider"/>
    <w:basedOn w:val="DefaultParagraphFont"/>
    <w:rsid w:val="003B60F2"/>
  </w:style>
  <w:style w:type="paragraph" w:styleId="CommentSubject">
    <w:name w:val="annotation subject"/>
    <w:basedOn w:val="CommentText"/>
    <w:next w:val="CommentText"/>
    <w:link w:val="CommentSubjectChar"/>
    <w:uiPriority w:val="99"/>
    <w:semiHidden/>
    <w:unhideWhenUsed/>
    <w:rsid w:val="00E375DC"/>
    <w:rPr>
      <w:b/>
      <w:bCs/>
    </w:rPr>
  </w:style>
  <w:style w:type="character" w:customStyle="1" w:styleId="CommentSubjectChar">
    <w:name w:val="Comment Subject Char"/>
    <w:basedOn w:val="CommentTextChar"/>
    <w:link w:val="CommentSubject"/>
    <w:uiPriority w:val="99"/>
    <w:semiHidden/>
    <w:rsid w:val="00E37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gov/sites/default/files/2024-02/46060_DOE_GDO_Low_Cost_Grid_Resilience_Projects_RELEASE_50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management/doe-buy-america-requirement-waiver-reques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Awolowo, Ollie@Energy</DisplayName>
        <AccountId>15997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77DC7-9902-48EB-B3FA-8F5806026052}">
  <ds:schemaRefs>
    <ds:schemaRef ds:uri="http://schemas.microsoft.com/sharepoint/v3/contenttype/forms"/>
  </ds:schemaRefs>
</ds:datastoreItem>
</file>

<file path=customXml/itemProps2.xml><?xml version="1.0" encoding="utf-8"?>
<ds:datastoreItem xmlns:ds="http://schemas.openxmlformats.org/officeDocument/2006/customXml" ds:itemID="{5F457883-5336-4359-8AA0-8D70EFEDD5A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515A347-5BBC-4919-8957-A0C54E78EEA2}">
  <ds:schemaRefs>
    <ds:schemaRef ds:uri="http://schemas.openxmlformats.org/officeDocument/2006/bibliography"/>
  </ds:schemaRefs>
</ds:datastoreItem>
</file>

<file path=customXml/itemProps4.xml><?xml version="1.0" encoding="utf-8"?>
<ds:datastoreItem xmlns:ds="http://schemas.openxmlformats.org/officeDocument/2006/customXml" ds:itemID="{AA5DA616-5FB8-42AE-B532-C740FC75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1270</Words>
  <Characters>7088</Characters>
  <Application>Microsoft Office Word</Application>
  <DocSecurity>0</DocSecurity>
  <Lines>159</Lines>
  <Paragraphs>55</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 Maninder@Energy</dc:creator>
  <cp:keywords/>
  <dc:description/>
  <cp:lastModifiedBy>Williams, Laura@Energy</cp:lastModifiedBy>
  <cp:revision>68</cp:revision>
  <dcterms:created xsi:type="dcterms:W3CDTF">2024-05-23T19:16:00Z</dcterms:created>
  <dcterms:modified xsi:type="dcterms:W3CDTF">2024-05-30T18:27:00Z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30800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1aa01770a2b02b3aee06382cfc1f457852443d364679b39dc4f074b43013a7f1</vt:lpwstr>
  </property>
</Properties>
</file>