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61E" w14:textId="5198BA25" w:rsidR="00620F92" w:rsidRPr="00E118E0" w:rsidRDefault="005947A9" w:rsidP="00655A8E">
      <w:pPr>
        <w:jc w:val="center"/>
        <w:rPr>
          <w:rFonts w:ascii="Arial" w:hAnsi="Arial" w:cs="Arial"/>
          <w:b/>
          <w:bCs/>
        </w:rPr>
      </w:pPr>
      <w:r>
        <w:rPr>
          <w:rFonts w:ascii="Arial" w:hAnsi="Arial" w:cs="Arial"/>
          <w:b/>
          <w:bCs/>
        </w:rPr>
        <w:t>GFO</w:t>
      </w:r>
      <w:r w:rsidR="00620F92" w:rsidRPr="00E118E0">
        <w:rPr>
          <w:rFonts w:ascii="Arial" w:hAnsi="Arial" w:cs="Arial"/>
          <w:b/>
          <w:bCs/>
        </w:rPr>
        <w:t>-21-</w:t>
      </w:r>
      <w:r>
        <w:rPr>
          <w:rFonts w:ascii="Arial" w:hAnsi="Arial" w:cs="Arial"/>
          <w:b/>
          <w:bCs/>
        </w:rPr>
        <w:t>901</w:t>
      </w:r>
    </w:p>
    <w:p w14:paraId="46AF8355" w14:textId="75152DE0" w:rsidR="00620F92" w:rsidRPr="00E118E0" w:rsidRDefault="00443574" w:rsidP="00655A8E">
      <w:pPr>
        <w:jc w:val="center"/>
        <w:rPr>
          <w:rFonts w:ascii="Arial" w:hAnsi="Arial" w:cs="Arial"/>
          <w:b/>
          <w:bCs/>
        </w:rPr>
      </w:pPr>
      <w:r w:rsidRPr="00443574">
        <w:rPr>
          <w:rFonts w:ascii="Arial" w:hAnsi="Arial" w:cs="Arial"/>
          <w:b/>
          <w:bCs/>
        </w:rPr>
        <w:t>Cost Share for Federal Clean Energy Funding Opportunities</w:t>
      </w:r>
    </w:p>
    <w:p w14:paraId="551E3BB5" w14:textId="77777777" w:rsidR="00A80F03" w:rsidRPr="00E118E0" w:rsidRDefault="00A80F03" w:rsidP="00655A8E">
      <w:pPr>
        <w:jc w:val="center"/>
        <w:rPr>
          <w:rFonts w:ascii="Arial" w:hAnsi="Arial" w:cs="Arial"/>
          <w:b/>
          <w:bCs/>
        </w:rPr>
      </w:pPr>
    </w:p>
    <w:p w14:paraId="564E1B96" w14:textId="316ABBC4" w:rsidR="00620F92" w:rsidRPr="00E118E0" w:rsidRDefault="00620F92" w:rsidP="00655A8E">
      <w:pPr>
        <w:jc w:val="center"/>
        <w:rPr>
          <w:rFonts w:ascii="Arial" w:hAnsi="Arial" w:cs="Arial"/>
          <w:b/>
          <w:bCs/>
        </w:rPr>
      </w:pPr>
      <w:r w:rsidRPr="00E118E0">
        <w:rPr>
          <w:rFonts w:ascii="Arial" w:hAnsi="Arial" w:cs="Arial"/>
          <w:b/>
          <w:bCs/>
        </w:rPr>
        <w:t xml:space="preserve">Addendum </w:t>
      </w:r>
      <w:r w:rsidR="00083715">
        <w:rPr>
          <w:rFonts w:ascii="Arial" w:hAnsi="Arial" w:cs="Arial"/>
          <w:b/>
          <w:bCs/>
        </w:rPr>
        <w:t>30</w:t>
      </w:r>
    </w:p>
    <w:p w14:paraId="0D851CD1" w14:textId="35983673" w:rsidR="00620F92" w:rsidRPr="00E118E0" w:rsidRDefault="004E4099" w:rsidP="00655A8E">
      <w:pPr>
        <w:jc w:val="center"/>
        <w:rPr>
          <w:rFonts w:ascii="Arial" w:hAnsi="Arial" w:cs="Arial"/>
          <w:b/>
          <w:bCs/>
        </w:rPr>
      </w:pPr>
      <w:r>
        <w:rPr>
          <w:rFonts w:ascii="Arial" w:hAnsi="Arial" w:cs="Arial"/>
          <w:b/>
          <w:bCs/>
        </w:rPr>
        <w:t>June</w:t>
      </w:r>
      <w:r w:rsidR="001901C5">
        <w:rPr>
          <w:rFonts w:ascii="Arial" w:hAnsi="Arial" w:cs="Arial"/>
          <w:b/>
          <w:bCs/>
        </w:rPr>
        <w:t xml:space="preserve"> 13</w:t>
      </w:r>
      <w:r w:rsidR="00C26ABA">
        <w:rPr>
          <w:rFonts w:ascii="Arial" w:hAnsi="Arial" w:cs="Arial"/>
          <w:b/>
          <w:bCs/>
        </w:rPr>
        <w:t>, 2024</w:t>
      </w:r>
    </w:p>
    <w:p w14:paraId="46AF30CD" w14:textId="77777777" w:rsidR="00620F92" w:rsidRPr="00E118E0" w:rsidRDefault="00620F92" w:rsidP="00620F92">
      <w:pPr>
        <w:jc w:val="center"/>
        <w:rPr>
          <w:rFonts w:ascii="Arial" w:hAnsi="Arial" w:cs="Arial"/>
          <w:b/>
          <w:bCs/>
        </w:rPr>
      </w:pPr>
    </w:p>
    <w:p w14:paraId="259559D6" w14:textId="31957562" w:rsidR="00620F92" w:rsidRPr="00E118E0" w:rsidRDefault="00620F92" w:rsidP="00655A8E">
      <w:pPr>
        <w:pStyle w:val="Default"/>
      </w:pPr>
      <w:r w:rsidRPr="00E118E0">
        <w:t xml:space="preserve">The purpose of this addendum is to </w:t>
      </w:r>
      <w:r w:rsidR="00782B87" w:rsidRPr="00E118E0">
        <w:t xml:space="preserve">notify potential applicants of changes that have been made to </w:t>
      </w:r>
      <w:r w:rsidR="00443574">
        <w:t>GFO</w:t>
      </w:r>
      <w:r w:rsidR="00782B87" w:rsidRPr="00E118E0">
        <w:t>-21-</w:t>
      </w:r>
      <w:r w:rsidR="00443574">
        <w:t>901</w:t>
      </w:r>
      <w:r w:rsidR="00782B87" w:rsidRPr="00E118E0">
        <w:t xml:space="preserve">. The addendum includes the following revisions to the </w:t>
      </w:r>
      <w:r w:rsidR="00D2177B">
        <w:t>Solicitation Manual</w:t>
      </w:r>
      <w:r w:rsidRPr="00E118E0">
        <w:t>.</w:t>
      </w:r>
      <w:r w:rsidR="00782B87" w:rsidRPr="00E118E0">
        <w:t xml:space="preserve"> </w:t>
      </w:r>
      <w:r w:rsidR="00782B87" w:rsidRPr="00E118E0">
        <w:rPr>
          <w:rFonts w:eastAsia="Arial"/>
        </w:rPr>
        <w:t xml:space="preserve">Added language appears in </w:t>
      </w:r>
      <w:r w:rsidR="00782B87" w:rsidRPr="00E118E0">
        <w:rPr>
          <w:rFonts w:eastAsia="Arial"/>
          <w:b/>
          <w:bCs/>
          <w:u w:val="single"/>
        </w:rPr>
        <w:t>bold underline</w:t>
      </w:r>
      <w:r w:rsidR="00782B87" w:rsidRPr="00E118E0">
        <w:rPr>
          <w:rFonts w:eastAsia="Arial"/>
        </w:rPr>
        <w:t xml:space="preserve">, and deleted language appears in </w:t>
      </w:r>
      <w:r w:rsidR="00782B87" w:rsidRPr="00E118E0">
        <w:rPr>
          <w:rFonts w:eastAsia="Arial"/>
          <w:strike/>
        </w:rPr>
        <w:t>strikethrough</w:t>
      </w:r>
      <w:r w:rsidR="00782B87" w:rsidRPr="00E118E0">
        <w:rPr>
          <w:rFonts w:eastAsia="Arial"/>
        </w:rPr>
        <w:t xml:space="preserve"> and within square brackets.</w:t>
      </w:r>
    </w:p>
    <w:p w14:paraId="6DA43E1B" w14:textId="6341BDEC" w:rsidR="00620F92" w:rsidRPr="00E118E0" w:rsidRDefault="00620F92" w:rsidP="00655A8E">
      <w:pPr>
        <w:pStyle w:val="Default"/>
        <w:ind w:right="-720"/>
      </w:pPr>
    </w:p>
    <w:p w14:paraId="6C1FF387" w14:textId="31F1CCAC" w:rsidR="00782B87" w:rsidRPr="00E118E0" w:rsidRDefault="00D2177B" w:rsidP="00655A8E">
      <w:pPr>
        <w:pStyle w:val="Default"/>
        <w:ind w:right="-720"/>
        <w:rPr>
          <w:b/>
          <w:bCs/>
        </w:rPr>
      </w:pPr>
      <w:r>
        <w:rPr>
          <w:b/>
          <w:bCs/>
        </w:rPr>
        <w:t>Solicitation Manual</w:t>
      </w:r>
    </w:p>
    <w:p w14:paraId="1BE9250D" w14:textId="77777777" w:rsidR="00782B87" w:rsidRPr="00E118E0" w:rsidRDefault="00782B87" w:rsidP="00655A8E">
      <w:pPr>
        <w:pStyle w:val="Default"/>
        <w:ind w:right="-720"/>
      </w:pPr>
    </w:p>
    <w:p w14:paraId="50EF8A11" w14:textId="6BF87872" w:rsidR="00620F92" w:rsidRDefault="00620F92" w:rsidP="00655A8E">
      <w:pPr>
        <w:pStyle w:val="Default"/>
        <w:numPr>
          <w:ilvl w:val="0"/>
          <w:numId w:val="2"/>
        </w:numPr>
        <w:ind w:right="-720"/>
        <w:rPr>
          <w:b/>
          <w:bCs/>
        </w:rPr>
      </w:pPr>
      <w:r w:rsidRPr="00E118E0">
        <w:rPr>
          <w:b/>
          <w:bCs/>
        </w:rPr>
        <w:t xml:space="preserve">Page </w:t>
      </w:r>
      <w:r w:rsidR="001D7758">
        <w:rPr>
          <w:b/>
          <w:bCs/>
        </w:rPr>
        <w:t>4</w:t>
      </w:r>
      <w:r w:rsidR="00C51DB1">
        <w:rPr>
          <w:b/>
          <w:bCs/>
        </w:rPr>
        <w:t>5</w:t>
      </w:r>
      <w:r w:rsidR="00782B87" w:rsidRPr="00E118E0">
        <w:rPr>
          <w:b/>
          <w:bCs/>
        </w:rPr>
        <w:t xml:space="preserve">, </w:t>
      </w:r>
      <w:r w:rsidR="002108D5">
        <w:rPr>
          <w:b/>
          <w:bCs/>
        </w:rPr>
        <w:t xml:space="preserve">Table: </w:t>
      </w:r>
      <w:r w:rsidR="00506D3B">
        <w:rPr>
          <w:b/>
          <w:bCs/>
        </w:rPr>
        <w:t>Screening Criteria</w:t>
      </w:r>
    </w:p>
    <w:p w14:paraId="4016F4B7" w14:textId="67C53DA3" w:rsidR="00782B87" w:rsidRDefault="00506D3B" w:rsidP="00655A8E">
      <w:pPr>
        <w:pStyle w:val="Default"/>
        <w:ind w:left="360" w:right="-720"/>
      </w:pPr>
      <w:r>
        <w:t>Criteria ‘F.’ and ‘G.’ removed</w:t>
      </w:r>
    </w:p>
    <w:p w14:paraId="2CDDEDE5" w14:textId="77777777" w:rsidR="003B75DC" w:rsidRPr="00E118E0" w:rsidRDefault="003B75DC" w:rsidP="00655A8E">
      <w:pPr>
        <w:pStyle w:val="Default"/>
        <w:ind w:left="360" w:right="-720"/>
        <w:rPr>
          <w:sz w:val="12"/>
          <w:szCs w:val="1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7231"/>
        <w:gridCol w:w="2119"/>
      </w:tblGrid>
      <w:tr w:rsidR="00F76ED0" w:rsidRPr="00C31C1D" w14:paraId="213662E8" w14:textId="77777777" w:rsidTr="00207B10">
        <w:trPr>
          <w:trHeight w:val="586"/>
          <w:tblHeader/>
        </w:trPr>
        <w:tc>
          <w:tcPr>
            <w:tcW w:w="7231" w:type="dxa"/>
            <w:shd w:val="clear" w:color="auto" w:fill="D9D9D9" w:themeFill="background1" w:themeFillShade="D9"/>
            <w:vAlign w:val="center"/>
          </w:tcPr>
          <w:p w14:paraId="5698657A" w14:textId="77777777" w:rsidR="00F76ED0" w:rsidRPr="00FC390E" w:rsidRDefault="00F76ED0" w:rsidP="00207B10">
            <w:pPr>
              <w:jc w:val="center"/>
              <w:rPr>
                <w:b/>
                <w:caps/>
              </w:rPr>
            </w:pPr>
            <w:r w:rsidRPr="00FC390E">
              <w:rPr>
                <w:b/>
                <w:caps/>
              </w:rPr>
              <w:t xml:space="preserve">Screening Criteria </w:t>
            </w:r>
          </w:p>
          <w:p w14:paraId="2F79CC6B" w14:textId="77777777" w:rsidR="00F76ED0" w:rsidRPr="00DD6604" w:rsidRDefault="00F76ED0" w:rsidP="00207B10">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6EA3E934" w14:textId="77777777" w:rsidR="00F76ED0" w:rsidRPr="00C31C1D" w:rsidRDefault="00F76ED0" w:rsidP="00207B10">
            <w:pPr>
              <w:jc w:val="center"/>
              <w:rPr>
                <w:b/>
              </w:rPr>
            </w:pPr>
            <w:r w:rsidRPr="2D81A584">
              <w:rPr>
                <w:b/>
              </w:rPr>
              <w:t>Pass/Fail</w:t>
            </w:r>
          </w:p>
        </w:tc>
      </w:tr>
      <w:tr w:rsidR="00F76ED0" w:rsidRPr="00976218" w14:paraId="14622D2C" w14:textId="77777777" w:rsidTr="00207B10">
        <w:tc>
          <w:tcPr>
            <w:tcW w:w="7231" w:type="dxa"/>
            <w:tcBorders>
              <w:top w:val="single" w:sz="8" w:space="0" w:color="000000" w:themeColor="text1"/>
              <w:left w:val="single" w:sz="4" w:space="0" w:color="000000" w:themeColor="text1"/>
              <w:bottom w:val="single" w:sz="4" w:space="0" w:color="auto"/>
              <w:right w:val="single" w:sz="4" w:space="0" w:color="000000" w:themeColor="text1"/>
            </w:tcBorders>
          </w:tcPr>
          <w:p w14:paraId="5A144031" w14:textId="77777777" w:rsidR="00F76ED0" w:rsidRPr="00976218" w:rsidRDefault="00F76ED0" w:rsidP="00F76ED0">
            <w:pPr>
              <w:pStyle w:val="ListParagraph"/>
              <w:numPr>
                <w:ilvl w:val="0"/>
                <w:numId w:val="8"/>
              </w:numPr>
              <w:spacing w:after="120"/>
              <w:contextualSpacing w:val="0"/>
              <w:rPr>
                <w:strike/>
              </w:rPr>
            </w:pPr>
            <w:r w:rsidRPr="00976218">
              <w:rPr>
                <w:strike/>
              </w:rPr>
              <w:t>The requested Energy Commission cost share funding meets the requirements specified in the Eligible Federal Funding Opportunities section (Section II.A.) of this solicitation.</w:t>
            </w:r>
          </w:p>
        </w:tc>
        <w:tc>
          <w:tcPr>
            <w:tcW w:w="2119" w:type="dxa"/>
            <w:tcBorders>
              <w:top w:val="single" w:sz="8" w:space="0" w:color="000000" w:themeColor="text1"/>
              <w:left w:val="single" w:sz="4" w:space="0" w:color="000000" w:themeColor="text1"/>
              <w:bottom w:val="single" w:sz="4" w:space="0" w:color="auto"/>
              <w:right w:val="single" w:sz="4" w:space="0" w:color="000000" w:themeColor="text1"/>
            </w:tcBorders>
          </w:tcPr>
          <w:p w14:paraId="55EF8CB0" w14:textId="77777777" w:rsidR="00F76ED0" w:rsidRPr="00976218" w:rsidRDefault="00F76ED0" w:rsidP="00207B10">
            <w:pPr>
              <w:keepLines/>
              <w:jc w:val="both"/>
              <w:rPr>
                <w:strike/>
                <w:sz w:val="20"/>
              </w:rPr>
            </w:pPr>
            <w:r w:rsidRPr="00976218">
              <w:rPr>
                <w:strike/>
                <w:color w:val="2B579A"/>
                <w:sz w:val="20"/>
                <w:shd w:val="clear" w:color="auto" w:fill="E6E6E6"/>
              </w:rPr>
              <w:fldChar w:fldCharType="begin">
                <w:ffData>
                  <w:name w:val="Check30"/>
                  <w:enabled/>
                  <w:calcOnExit w:val="0"/>
                  <w:checkBox>
                    <w:sizeAuto/>
                    <w:default w:val="0"/>
                  </w:checkBox>
                </w:ffData>
              </w:fldChar>
            </w:r>
            <w:r w:rsidRPr="00976218">
              <w:rPr>
                <w:strike/>
                <w:sz w:val="20"/>
              </w:rPr>
              <w:instrText xml:space="preserve"> FORMCHECKBOX </w:instrText>
            </w:r>
            <w:r w:rsidR="001901C5">
              <w:rPr>
                <w:strike/>
                <w:color w:val="2B579A"/>
                <w:sz w:val="20"/>
                <w:shd w:val="clear" w:color="auto" w:fill="E6E6E6"/>
              </w:rPr>
            </w:r>
            <w:r w:rsidR="001901C5">
              <w:rPr>
                <w:strike/>
                <w:color w:val="2B579A"/>
                <w:sz w:val="20"/>
                <w:shd w:val="clear" w:color="auto" w:fill="E6E6E6"/>
              </w:rPr>
              <w:fldChar w:fldCharType="separate"/>
            </w:r>
            <w:r w:rsidRPr="00976218">
              <w:rPr>
                <w:strike/>
                <w:color w:val="2B579A"/>
                <w:sz w:val="20"/>
                <w:shd w:val="clear" w:color="auto" w:fill="E6E6E6"/>
              </w:rPr>
              <w:fldChar w:fldCharType="end"/>
            </w:r>
            <w:r w:rsidRPr="00976218">
              <w:rPr>
                <w:strike/>
                <w:sz w:val="20"/>
              </w:rPr>
              <w:t xml:space="preserve"> Pass   </w:t>
            </w:r>
            <w:r w:rsidRPr="00976218">
              <w:rPr>
                <w:strike/>
                <w:color w:val="2B579A"/>
                <w:sz w:val="20"/>
                <w:shd w:val="clear" w:color="auto" w:fill="E6E6E6"/>
              </w:rPr>
              <w:fldChar w:fldCharType="begin">
                <w:ffData>
                  <w:name w:val="Check30"/>
                  <w:enabled/>
                  <w:calcOnExit w:val="0"/>
                  <w:checkBox>
                    <w:sizeAuto/>
                    <w:default w:val="0"/>
                  </w:checkBox>
                </w:ffData>
              </w:fldChar>
            </w:r>
            <w:r w:rsidRPr="00976218">
              <w:rPr>
                <w:strike/>
                <w:sz w:val="20"/>
              </w:rPr>
              <w:instrText xml:space="preserve"> FORMCHECKBOX </w:instrText>
            </w:r>
            <w:r w:rsidR="001901C5">
              <w:rPr>
                <w:strike/>
                <w:color w:val="2B579A"/>
                <w:sz w:val="20"/>
                <w:shd w:val="clear" w:color="auto" w:fill="E6E6E6"/>
              </w:rPr>
            </w:r>
            <w:r w:rsidR="001901C5">
              <w:rPr>
                <w:strike/>
                <w:color w:val="2B579A"/>
                <w:sz w:val="20"/>
                <w:shd w:val="clear" w:color="auto" w:fill="E6E6E6"/>
              </w:rPr>
              <w:fldChar w:fldCharType="separate"/>
            </w:r>
            <w:r w:rsidRPr="00976218">
              <w:rPr>
                <w:strike/>
                <w:color w:val="2B579A"/>
                <w:sz w:val="20"/>
                <w:shd w:val="clear" w:color="auto" w:fill="E6E6E6"/>
              </w:rPr>
              <w:fldChar w:fldCharType="end"/>
            </w:r>
            <w:r w:rsidRPr="00976218">
              <w:rPr>
                <w:strike/>
                <w:sz w:val="20"/>
              </w:rPr>
              <w:t xml:space="preserve"> Fail</w:t>
            </w:r>
          </w:p>
          <w:p w14:paraId="61F52390" w14:textId="77777777" w:rsidR="00F76ED0" w:rsidRPr="00976218" w:rsidRDefault="00F76ED0" w:rsidP="00207B10">
            <w:pPr>
              <w:keepLines/>
              <w:jc w:val="both"/>
              <w:rPr>
                <w:strike/>
                <w:sz w:val="20"/>
              </w:rPr>
            </w:pPr>
          </w:p>
        </w:tc>
      </w:tr>
      <w:tr w:rsidR="00F76ED0" w:rsidRPr="00976218" w14:paraId="67015905" w14:textId="77777777" w:rsidTr="00207B10">
        <w:tc>
          <w:tcPr>
            <w:tcW w:w="7231" w:type="dxa"/>
          </w:tcPr>
          <w:p w14:paraId="156BAD01" w14:textId="77777777" w:rsidR="00F76ED0" w:rsidRPr="00976218" w:rsidRDefault="00F76ED0" w:rsidP="00F76ED0">
            <w:pPr>
              <w:pStyle w:val="ListParagraph"/>
              <w:numPr>
                <w:ilvl w:val="0"/>
                <w:numId w:val="8"/>
              </w:numPr>
              <w:spacing w:after="120"/>
              <w:contextualSpacing w:val="0"/>
              <w:jc w:val="both"/>
              <w:rPr>
                <w:strike/>
                <w:noProof/>
              </w:rPr>
            </w:pPr>
            <w:r w:rsidRPr="00976218">
              <w:rPr>
                <w:strike/>
              </w:rPr>
              <w:t xml:space="preserve">The Application includes Commitment Letters that total to an amount showing that the Energy Commission is at maximum providing 50% of the total Cost Share. </w:t>
            </w:r>
          </w:p>
        </w:tc>
        <w:tc>
          <w:tcPr>
            <w:tcW w:w="2119" w:type="dxa"/>
          </w:tcPr>
          <w:p w14:paraId="5ED8C5CB" w14:textId="77777777" w:rsidR="00F76ED0" w:rsidRPr="00976218" w:rsidRDefault="00F76ED0" w:rsidP="00207B10">
            <w:pPr>
              <w:keepLines/>
              <w:jc w:val="both"/>
              <w:rPr>
                <w:strike/>
                <w:noProof/>
              </w:rPr>
            </w:pPr>
            <w:r w:rsidRPr="00976218">
              <w:rPr>
                <w:strike/>
                <w:color w:val="2B579A"/>
                <w:sz w:val="20"/>
                <w:shd w:val="clear" w:color="auto" w:fill="E6E6E6"/>
              </w:rPr>
              <w:fldChar w:fldCharType="begin">
                <w:ffData>
                  <w:name w:val="Check30"/>
                  <w:enabled/>
                  <w:calcOnExit w:val="0"/>
                  <w:checkBox>
                    <w:sizeAuto/>
                    <w:default w:val="0"/>
                  </w:checkBox>
                </w:ffData>
              </w:fldChar>
            </w:r>
            <w:r w:rsidRPr="00976218">
              <w:rPr>
                <w:strike/>
                <w:sz w:val="20"/>
              </w:rPr>
              <w:instrText xml:space="preserve"> FORMCHECKBOX </w:instrText>
            </w:r>
            <w:r w:rsidR="001901C5">
              <w:rPr>
                <w:strike/>
                <w:color w:val="2B579A"/>
                <w:sz w:val="20"/>
                <w:shd w:val="clear" w:color="auto" w:fill="E6E6E6"/>
              </w:rPr>
            </w:r>
            <w:r w:rsidR="001901C5">
              <w:rPr>
                <w:strike/>
                <w:color w:val="2B579A"/>
                <w:sz w:val="20"/>
                <w:shd w:val="clear" w:color="auto" w:fill="E6E6E6"/>
              </w:rPr>
              <w:fldChar w:fldCharType="separate"/>
            </w:r>
            <w:r w:rsidRPr="00976218">
              <w:rPr>
                <w:strike/>
                <w:color w:val="2B579A"/>
                <w:sz w:val="20"/>
                <w:shd w:val="clear" w:color="auto" w:fill="E6E6E6"/>
              </w:rPr>
              <w:fldChar w:fldCharType="end"/>
            </w:r>
            <w:r w:rsidRPr="00976218">
              <w:rPr>
                <w:strike/>
                <w:sz w:val="20"/>
              </w:rPr>
              <w:t xml:space="preserve"> </w:t>
            </w:r>
            <w:r w:rsidRPr="00976218">
              <w:rPr>
                <w:strike/>
                <w:noProof/>
              </w:rPr>
              <w:t xml:space="preserve">Pass   </w:t>
            </w:r>
            <w:r w:rsidRPr="00976218">
              <w:rPr>
                <w:strike/>
                <w:color w:val="2B579A"/>
                <w:sz w:val="20"/>
                <w:shd w:val="clear" w:color="auto" w:fill="E6E6E6"/>
              </w:rPr>
              <w:fldChar w:fldCharType="begin">
                <w:ffData>
                  <w:name w:val="Check30"/>
                  <w:enabled/>
                  <w:calcOnExit w:val="0"/>
                  <w:checkBox>
                    <w:sizeAuto/>
                    <w:default w:val="0"/>
                  </w:checkBox>
                </w:ffData>
              </w:fldChar>
            </w:r>
            <w:r w:rsidRPr="00976218">
              <w:rPr>
                <w:strike/>
                <w:sz w:val="20"/>
              </w:rPr>
              <w:instrText xml:space="preserve"> FORMCHECKBOX </w:instrText>
            </w:r>
            <w:r w:rsidR="001901C5">
              <w:rPr>
                <w:strike/>
                <w:color w:val="2B579A"/>
                <w:sz w:val="20"/>
                <w:shd w:val="clear" w:color="auto" w:fill="E6E6E6"/>
              </w:rPr>
            </w:r>
            <w:r w:rsidR="001901C5">
              <w:rPr>
                <w:strike/>
                <w:color w:val="2B579A"/>
                <w:sz w:val="20"/>
                <w:shd w:val="clear" w:color="auto" w:fill="E6E6E6"/>
              </w:rPr>
              <w:fldChar w:fldCharType="separate"/>
            </w:r>
            <w:r w:rsidRPr="00976218">
              <w:rPr>
                <w:strike/>
                <w:color w:val="2B579A"/>
                <w:sz w:val="20"/>
                <w:shd w:val="clear" w:color="auto" w:fill="E6E6E6"/>
              </w:rPr>
              <w:fldChar w:fldCharType="end"/>
            </w:r>
            <w:r w:rsidRPr="00976218">
              <w:rPr>
                <w:strike/>
                <w:sz w:val="20"/>
              </w:rPr>
              <w:t xml:space="preserve"> </w:t>
            </w:r>
            <w:r w:rsidRPr="00976218">
              <w:rPr>
                <w:strike/>
                <w:noProof/>
              </w:rPr>
              <w:t>Fail</w:t>
            </w:r>
          </w:p>
          <w:p w14:paraId="3D28F30F" w14:textId="77777777" w:rsidR="00F76ED0" w:rsidRPr="00976218" w:rsidRDefault="00F76ED0" w:rsidP="00207B10">
            <w:pPr>
              <w:keepLines/>
              <w:jc w:val="both"/>
              <w:rPr>
                <w:strike/>
                <w:noProof/>
              </w:rPr>
            </w:pPr>
          </w:p>
        </w:tc>
      </w:tr>
    </w:tbl>
    <w:p w14:paraId="3B393C65" w14:textId="77777777" w:rsidR="00D71511" w:rsidRDefault="00D71511" w:rsidP="00D71511">
      <w:pPr>
        <w:pStyle w:val="Default"/>
        <w:ind w:left="360" w:right="-720"/>
        <w:rPr>
          <w:b/>
          <w:bCs/>
        </w:rPr>
      </w:pPr>
    </w:p>
    <w:p w14:paraId="1D8EA202" w14:textId="77777777" w:rsidR="00D71511" w:rsidRDefault="00D71511" w:rsidP="00D71511">
      <w:pPr>
        <w:pStyle w:val="Default"/>
        <w:ind w:left="360" w:right="-720"/>
        <w:rPr>
          <w:b/>
          <w:bCs/>
        </w:rPr>
      </w:pPr>
    </w:p>
    <w:p w14:paraId="056DE2FF" w14:textId="5836B295" w:rsidR="0073204F" w:rsidRPr="00D71511" w:rsidRDefault="00B07607" w:rsidP="00D71511">
      <w:pPr>
        <w:pStyle w:val="Default"/>
        <w:numPr>
          <w:ilvl w:val="0"/>
          <w:numId w:val="2"/>
        </w:numPr>
        <w:ind w:right="-720"/>
        <w:rPr>
          <w:b/>
          <w:bCs/>
        </w:rPr>
      </w:pPr>
      <w:r w:rsidRPr="00D71511">
        <w:rPr>
          <w:b/>
          <w:bCs/>
        </w:rPr>
        <w:t xml:space="preserve">Page </w:t>
      </w:r>
      <w:r w:rsidR="00A108A6">
        <w:rPr>
          <w:b/>
          <w:bCs/>
        </w:rPr>
        <w:t>19</w:t>
      </w:r>
      <w:r w:rsidRPr="00D71511">
        <w:rPr>
          <w:b/>
          <w:bCs/>
        </w:rPr>
        <w:t>, Table: Funding Opportunities Eligible for Energy Commission Cost Share</w:t>
      </w:r>
    </w:p>
    <w:p w14:paraId="1C16952C" w14:textId="767293EF" w:rsidR="00B07607" w:rsidRDefault="00D71511" w:rsidP="00D71511">
      <w:pPr>
        <w:pStyle w:val="Default"/>
        <w:ind w:left="360" w:right="-720"/>
      </w:pPr>
      <w:r w:rsidRPr="00D71511">
        <w:t>‘Recommended’ added to minimum and maximum CEC Cost Share award amounts.</w:t>
      </w:r>
    </w:p>
    <w:p w14:paraId="43801D78" w14:textId="77777777" w:rsidR="009743E0" w:rsidRPr="00D71511" w:rsidRDefault="009743E0" w:rsidP="00D71511">
      <w:pPr>
        <w:pStyle w:val="Default"/>
        <w:ind w:left="360" w:right="-720"/>
      </w:pPr>
    </w:p>
    <w:tbl>
      <w:tblPr>
        <w:tblStyle w:val="TableGrid4"/>
        <w:tblW w:w="5872" w:type="pct"/>
        <w:tblInd w:w="-815" w:type="dxa"/>
        <w:tblLayout w:type="fixed"/>
        <w:tblLook w:val="04A0" w:firstRow="1" w:lastRow="0" w:firstColumn="1" w:lastColumn="0" w:noHBand="0" w:noVBand="1"/>
      </w:tblPr>
      <w:tblGrid>
        <w:gridCol w:w="1884"/>
        <w:gridCol w:w="1441"/>
        <w:gridCol w:w="1805"/>
        <w:gridCol w:w="1891"/>
        <w:gridCol w:w="1533"/>
        <w:gridCol w:w="2427"/>
      </w:tblGrid>
      <w:tr w:rsidR="00975E95" w:rsidRPr="008C0101" w14:paraId="3C5A2B16" w14:textId="77777777" w:rsidTr="00207B10">
        <w:tc>
          <w:tcPr>
            <w:tcW w:w="858" w:type="pct"/>
            <w:shd w:val="clear" w:color="auto" w:fill="D9D9D9" w:themeFill="background1" w:themeFillShade="D9"/>
          </w:tcPr>
          <w:p w14:paraId="057AFB73" w14:textId="77777777" w:rsidR="00975E95" w:rsidRPr="008C0101" w:rsidRDefault="00975E95" w:rsidP="00207B10">
            <w:pPr>
              <w:rPr>
                <w:rFonts w:eastAsia="Arial"/>
              </w:rPr>
            </w:pPr>
            <w:r w:rsidRPr="008C0101">
              <w:rPr>
                <w:rFonts w:eastAsia="Arial"/>
                <w:b/>
              </w:rPr>
              <w:t>Funding Opportunity Announcement (FOA) Number and Title</w:t>
            </w:r>
          </w:p>
        </w:tc>
        <w:tc>
          <w:tcPr>
            <w:tcW w:w="656" w:type="pct"/>
            <w:shd w:val="clear" w:color="auto" w:fill="D9D9D9" w:themeFill="background1" w:themeFillShade="D9"/>
          </w:tcPr>
          <w:p w14:paraId="5A0D0EEE" w14:textId="77777777" w:rsidR="00975E95" w:rsidRPr="008C0101" w:rsidRDefault="00975E95" w:rsidP="00207B10">
            <w:pPr>
              <w:rPr>
                <w:rFonts w:eastAsia="Arial"/>
                <w:szCs w:val="22"/>
              </w:rPr>
            </w:pPr>
            <w:r w:rsidRPr="008C0101">
              <w:rPr>
                <w:rFonts w:eastAsia="Arial"/>
                <w:b/>
                <w:szCs w:val="22"/>
              </w:rPr>
              <w:t>CEC Application Due Date (Phase One – Pre Federal Award)</w:t>
            </w:r>
          </w:p>
        </w:tc>
        <w:tc>
          <w:tcPr>
            <w:tcW w:w="822" w:type="pct"/>
            <w:shd w:val="clear" w:color="auto" w:fill="D9D9D9" w:themeFill="background1" w:themeFillShade="D9"/>
          </w:tcPr>
          <w:p w14:paraId="42029FBC" w14:textId="2E51E7F0" w:rsidR="00975E95" w:rsidRPr="008C0101" w:rsidRDefault="00975E95" w:rsidP="00207B10">
            <w:pPr>
              <w:spacing w:line="259" w:lineRule="auto"/>
              <w:rPr>
                <w:rFonts w:eastAsia="Arial"/>
                <w:b/>
              </w:rPr>
            </w:pPr>
            <w:r w:rsidRPr="00961432">
              <w:rPr>
                <w:rFonts w:eastAsia="Arial"/>
                <w:b/>
                <w:u w:val="single"/>
              </w:rPr>
              <w:t xml:space="preserve">Recommended </w:t>
            </w:r>
            <w:r w:rsidRPr="008C0101">
              <w:rPr>
                <w:rFonts w:eastAsia="Arial"/>
                <w:b/>
              </w:rPr>
              <w:t>Minimum CEC Cost Share Award*</w:t>
            </w:r>
          </w:p>
          <w:p w14:paraId="79B6B43A" w14:textId="77777777" w:rsidR="00975E95" w:rsidRPr="008C0101" w:rsidRDefault="00975E95" w:rsidP="00207B10">
            <w:pPr>
              <w:rPr>
                <w:rFonts w:eastAsia="Arial"/>
                <w:b/>
                <w:szCs w:val="22"/>
              </w:rPr>
            </w:pPr>
          </w:p>
        </w:tc>
        <w:tc>
          <w:tcPr>
            <w:tcW w:w="861" w:type="pct"/>
            <w:shd w:val="clear" w:color="auto" w:fill="D9D9D9" w:themeFill="background1" w:themeFillShade="D9"/>
          </w:tcPr>
          <w:p w14:paraId="712D1977" w14:textId="19A8AF83" w:rsidR="00975E95" w:rsidRPr="008C0101" w:rsidRDefault="00975E95" w:rsidP="00207B10">
            <w:pPr>
              <w:spacing w:line="259" w:lineRule="auto"/>
              <w:rPr>
                <w:rFonts w:eastAsia="Arial"/>
                <w:b/>
              </w:rPr>
            </w:pPr>
            <w:r w:rsidRPr="00961432">
              <w:rPr>
                <w:rFonts w:eastAsia="Arial"/>
                <w:b/>
                <w:u w:val="single"/>
              </w:rPr>
              <w:t>Recommended</w:t>
            </w:r>
            <w:r>
              <w:rPr>
                <w:rFonts w:eastAsia="Arial"/>
                <w:b/>
              </w:rPr>
              <w:t xml:space="preserve"> </w:t>
            </w:r>
            <w:r w:rsidRPr="008C0101">
              <w:rPr>
                <w:rFonts w:eastAsia="Arial"/>
                <w:b/>
              </w:rPr>
              <w:t>Maximum CEC Cost Share Award*</w:t>
            </w:r>
          </w:p>
        </w:tc>
        <w:tc>
          <w:tcPr>
            <w:tcW w:w="698" w:type="pct"/>
            <w:shd w:val="clear" w:color="auto" w:fill="D9D9D9" w:themeFill="background1" w:themeFillShade="D9"/>
          </w:tcPr>
          <w:p w14:paraId="6A36E8EF" w14:textId="77777777" w:rsidR="00975E95" w:rsidRPr="008C0101" w:rsidRDefault="00975E95" w:rsidP="00207B10">
            <w:pPr>
              <w:rPr>
                <w:rFonts w:eastAsia="Arial"/>
                <w:b/>
              </w:rPr>
            </w:pPr>
            <w:r>
              <w:rPr>
                <w:rFonts w:eastAsia="Arial"/>
                <w:b/>
              </w:rPr>
              <w:t>Maximum Total CEC Cost Share Across Awards</w:t>
            </w:r>
          </w:p>
        </w:tc>
        <w:tc>
          <w:tcPr>
            <w:tcW w:w="1105" w:type="pct"/>
            <w:shd w:val="clear" w:color="auto" w:fill="D9D9D9" w:themeFill="background1" w:themeFillShade="D9"/>
          </w:tcPr>
          <w:p w14:paraId="5792F8A8" w14:textId="77777777" w:rsidR="00975E95" w:rsidRPr="008C0101" w:rsidRDefault="00975E95" w:rsidP="00207B10">
            <w:pPr>
              <w:rPr>
                <w:rFonts w:eastAsia="Arial"/>
                <w:b/>
              </w:rPr>
            </w:pPr>
            <w:r>
              <w:rPr>
                <w:rFonts w:eastAsia="Arial"/>
                <w:b/>
              </w:rPr>
              <w:t>Eligible Topic Area/Areas of Interest</w:t>
            </w:r>
          </w:p>
        </w:tc>
      </w:tr>
      <w:tr w:rsidR="00975E95" w:rsidRPr="002C0F88" w14:paraId="330A4820" w14:textId="77777777" w:rsidTr="00207B10">
        <w:tc>
          <w:tcPr>
            <w:tcW w:w="858" w:type="pct"/>
          </w:tcPr>
          <w:p w14:paraId="6A33AD9A"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DE-FOA0003214</w:t>
            </w:r>
          </w:p>
          <w:p w14:paraId="5B97D924"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Bipartisan Infrastructure Law (BIL) – Joint Office of Energy and Transportation: Communities Taking Charge Accelerator</w:t>
            </w:r>
          </w:p>
        </w:tc>
        <w:tc>
          <w:tcPr>
            <w:tcW w:w="656" w:type="pct"/>
          </w:tcPr>
          <w:p w14:paraId="6B721F01"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June 28, 2024</w:t>
            </w:r>
          </w:p>
        </w:tc>
        <w:tc>
          <w:tcPr>
            <w:tcW w:w="822" w:type="pct"/>
          </w:tcPr>
          <w:p w14:paraId="141C5CE8"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$250,000</w:t>
            </w:r>
          </w:p>
        </w:tc>
        <w:tc>
          <w:tcPr>
            <w:tcW w:w="861" w:type="pct"/>
          </w:tcPr>
          <w:p w14:paraId="1F24E75B"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$1,000,000</w:t>
            </w:r>
          </w:p>
        </w:tc>
        <w:tc>
          <w:tcPr>
            <w:tcW w:w="698" w:type="pct"/>
          </w:tcPr>
          <w:p w14:paraId="65CC54F0"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$1,000,000</w:t>
            </w:r>
          </w:p>
        </w:tc>
        <w:tc>
          <w:tcPr>
            <w:tcW w:w="1105" w:type="pct"/>
          </w:tcPr>
          <w:p w14:paraId="6AE374F2" w14:textId="77777777" w:rsidR="00975E95" w:rsidRPr="002C0F88" w:rsidRDefault="00975E95" w:rsidP="00207B10">
            <w:pPr>
              <w:rPr>
                <w:color w:val="201F1E"/>
                <w:szCs w:val="22"/>
                <w:bdr w:val="none" w:sz="0" w:space="0" w:color="auto" w:frame="1"/>
              </w:rPr>
            </w:pPr>
            <w:r w:rsidRPr="002C0F88">
              <w:rPr>
                <w:color w:val="201F1E"/>
                <w:szCs w:val="22"/>
                <w:bdr w:val="none" w:sz="0" w:space="0" w:color="auto" w:frame="1"/>
              </w:rPr>
              <w:t>Topic Area 3: Managed Charging for Clean Reliable Energy</w:t>
            </w:r>
          </w:p>
        </w:tc>
      </w:tr>
    </w:tbl>
    <w:p w14:paraId="5AE77C24" w14:textId="12B834A2" w:rsidR="00782B87" w:rsidRDefault="00782B87" w:rsidP="00655A8E">
      <w:pPr>
        <w:rPr>
          <w:rFonts w:ascii="Arial" w:hAnsi="Arial" w:cs="Arial"/>
          <w:bCs/>
          <w:iCs/>
        </w:rPr>
      </w:pPr>
    </w:p>
    <w:p w14:paraId="3E36F94B" w14:textId="77777777" w:rsidR="009743E0" w:rsidRDefault="009743E0" w:rsidP="00655A8E">
      <w:pPr>
        <w:rPr>
          <w:rFonts w:ascii="Arial" w:hAnsi="Arial" w:cs="Arial"/>
          <w:bCs/>
          <w:iCs/>
        </w:rPr>
      </w:pPr>
    </w:p>
    <w:p w14:paraId="2045E8E8" w14:textId="77777777" w:rsidR="00D71511" w:rsidRDefault="00D71511" w:rsidP="00655A8E">
      <w:pPr>
        <w:rPr>
          <w:rFonts w:ascii="Arial" w:hAnsi="Arial" w:cs="Arial"/>
          <w:bCs/>
          <w:iCs/>
        </w:rPr>
      </w:pPr>
    </w:p>
    <w:p w14:paraId="3C25E89C" w14:textId="039683C7" w:rsidR="00326E29" w:rsidRPr="00D71511" w:rsidRDefault="00326E29" w:rsidP="00326E29">
      <w:pPr>
        <w:pStyle w:val="Default"/>
        <w:numPr>
          <w:ilvl w:val="0"/>
          <w:numId w:val="2"/>
        </w:numPr>
        <w:ind w:right="-720"/>
        <w:rPr>
          <w:b/>
          <w:bCs/>
        </w:rPr>
      </w:pPr>
      <w:r w:rsidRPr="00D71511">
        <w:rPr>
          <w:b/>
          <w:bCs/>
        </w:rPr>
        <w:lastRenderedPageBreak/>
        <w:t xml:space="preserve">Page </w:t>
      </w:r>
      <w:r>
        <w:rPr>
          <w:b/>
          <w:bCs/>
        </w:rPr>
        <w:t>4</w:t>
      </w:r>
      <w:r w:rsidR="00212F4A">
        <w:rPr>
          <w:b/>
          <w:bCs/>
        </w:rPr>
        <w:t>3</w:t>
      </w:r>
      <w:r w:rsidRPr="00D71511">
        <w:rPr>
          <w:b/>
          <w:bCs/>
        </w:rPr>
        <w:t xml:space="preserve">, </w:t>
      </w:r>
      <w:r w:rsidR="00310B5D">
        <w:rPr>
          <w:b/>
          <w:bCs/>
        </w:rPr>
        <w:t>Clarification Interviews and Opportunity to Cure Administrative Errors</w:t>
      </w:r>
    </w:p>
    <w:p w14:paraId="14A46B7A" w14:textId="04742E0C" w:rsidR="00D71511" w:rsidRPr="009743E0" w:rsidRDefault="00310B5D" w:rsidP="00326E29">
      <w:pPr>
        <w:rPr>
          <w:rFonts w:ascii="Arial" w:eastAsia="Calibri" w:hAnsi="Arial" w:cs="Arial"/>
          <w:color w:val="000000"/>
        </w:rPr>
      </w:pPr>
      <w:r w:rsidRPr="009743E0">
        <w:rPr>
          <w:rFonts w:ascii="Arial" w:eastAsia="Calibri" w:hAnsi="Arial" w:cs="Arial"/>
          <w:color w:val="000000"/>
        </w:rPr>
        <w:t>Language was added to the</w:t>
      </w:r>
      <w:r w:rsidR="00B705FC" w:rsidRPr="009743E0">
        <w:rPr>
          <w:rFonts w:ascii="Arial" w:eastAsia="Calibri" w:hAnsi="Arial" w:cs="Arial"/>
          <w:color w:val="000000"/>
        </w:rPr>
        <w:t xml:space="preserve"> solicitation manual to allow for staff to perform clarification interviews or other forms of communication in order to </w:t>
      </w:r>
      <w:r w:rsidR="008E3102" w:rsidRPr="009743E0">
        <w:rPr>
          <w:rFonts w:ascii="Arial" w:eastAsia="Calibri" w:hAnsi="Arial" w:cs="Arial"/>
          <w:color w:val="000000"/>
        </w:rPr>
        <w:t>fix or clarify minor or administrative errors.</w:t>
      </w:r>
    </w:p>
    <w:p w14:paraId="7BC595C7" w14:textId="77777777" w:rsidR="00D71511" w:rsidRDefault="00D71511" w:rsidP="00655A8E">
      <w:pPr>
        <w:rPr>
          <w:rFonts w:ascii="Arial" w:hAnsi="Arial" w:cs="Arial"/>
          <w:bCs/>
          <w:iCs/>
        </w:rPr>
      </w:pPr>
    </w:p>
    <w:p w14:paraId="026A109E" w14:textId="77777777" w:rsidR="003766A3" w:rsidRPr="009743E0" w:rsidRDefault="003766A3" w:rsidP="009743E0">
      <w:pPr>
        <w:pStyle w:val="ListParagraph"/>
        <w:numPr>
          <w:ilvl w:val="0"/>
          <w:numId w:val="14"/>
        </w:numPr>
        <w:spacing w:after="120"/>
        <w:contextualSpacing w:val="0"/>
        <w:rPr>
          <w:b/>
          <w:sz w:val="22"/>
          <w:u w:val="single"/>
        </w:rPr>
      </w:pPr>
      <w:r w:rsidRPr="009743E0">
        <w:rPr>
          <w:b/>
          <w:sz w:val="22"/>
          <w:u w:val="single"/>
        </w:rPr>
        <w:t>Clarification Interviews</w:t>
      </w:r>
    </w:p>
    <w:p w14:paraId="3A0C2DCE" w14:textId="77777777" w:rsidR="003766A3" w:rsidRPr="009743E0" w:rsidRDefault="003766A3" w:rsidP="003766A3">
      <w:pPr>
        <w:rPr>
          <w:rFonts w:ascii="Arial" w:hAnsi="Arial" w:cs="Arial"/>
          <w:b/>
          <w:sz w:val="22"/>
          <w:szCs w:val="22"/>
          <w:u w:val="single"/>
        </w:rPr>
      </w:pPr>
      <w:r w:rsidRPr="009743E0">
        <w:rPr>
          <w:rFonts w:ascii="Arial" w:hAnsi="Arial" w:cs="Arial"/>
          <w:b/>
          <w:sz w:val="22"/>
          <w:szCs w:val="22"/>
          <w:u w:val="single"/>
        </w:rPr>
        <w:t xml:space="preserve">The Evaluation Committee may conduct optional Clarification </w:t>
      </w:r>
      <w:r w:rsidRPr="0056246B">
        <w:rPr>
          <w:rFonts w:ascii="Arial" w:hAnsi="Arial" w:cs="Arial"/>
          <w:b/>
          <w:sz w:val="22"/>
          <w:szCs w:val="22"/>
          <w:u w:val="single"/>
        </w:rPr>
        <w:t xml:space="preserve">Interviews (via phone call or emails) </w:t>
      </w:r>
      <w:r w:rsidRPr="009743E0">
        <w:rPr>
          <w:rFonts w:ascii="Arial" w:hAnsi="Arial" w:cs="Arial"/>
          <w:b/>
          <w:sz w:val="22"/>
          <w:szCs w:val="22"/>
          <w:u w:val="single"/>
        </w:rPr>
        <w:t>with applicants to clarify and/or verify information submitted in the application. However, these interviews may not be used to change or add to the content of the original application.  Applicants will not be reimbursed for time spent answering clarifying questions.</w:t>
      </w:r>
    </w:p>
    <w:p w14:paraId="0045F85B" w14:textId="77777777" w:rsidR="003766A3" w:rsidRPr="009743E0" w:rsidRDefault="003766A3" w:rsidP="003766A3">
      <w:pPr>
        <w:pStyle w:val="ListParagraph"/>
        <w:jc w:val="both"/>
        <w:rPr>
          <w:b/>
          <w:sz w:val="22"/>
          <w:u w:val="single"/>
        </w:rPr>
      </w:pPr>
    </w:p>
    <w:p w14:paraId="17556E3D" w14:textId="77777777" w:rsidR="003766A3" w:rsidRPr="009743E0" w:rsidRDefault="003766A3" w:rsidP="009743E0">
      <w:pPr>
        <w:numPr>
          <w:ilvl w:val="0"/>
          <w:numId w:val="14"/>
        </w:numPr>
        <w:tabs>
          <w:tab w:val="num" w:pos="360"/>
        </w:tabs>
        <w:spacing w:after="120"/>
        <w:rPr>
          <w:rFonts w:ascii="Arial" w:hAnsi="Arial" w:cs="Arial"/>
          <w:b/>
          <w:sz w:val="22"/>
          <w:szCs w:val="22"/>
          <w:u w:val="single"/>
        </w:rPr>
      </w:pPr>
      <w:r w:rsidRPr="009743E0">
        <w:rPr>
          <w:rFonts w:ascii="Arial" w:hAnsi="Arial" w:cs="Arial"/>
          <w:b/>
          <w:sz w:val="22"/>
          <w:szCs w:val="22"/>
          <w:u w:val="single"/>
        </w:rPr>
        <w:t>Opportunity to Cure Administrative Errors</w:t>
      </w:r>
    </w:p>
    <w:p w14:paraId="4372CFF6"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p>
    <w:p w14:paraId="26A0E23F" w14:textId="77777777" w:rsidR="003766A3" w:rsidRPr="009743E0" w:rsidRDefault="003766A3" w:rsidP="003766A3">
      <w:pPr>
        <w:textAlignment w:val="baseline"/>
        <w:rPr>
          <w:rFonts w:ascii="Arial" w:hAnsi="Arial" w:cs="Arial"/>
          <w:b/>
          <w:sz w:val="22"/>
          <w:szCs w:val="22"/>
          <w:u w:val="single"/>
        </w:rPr>
      </w:pPr>
    </w:p>
    <w:p w14:paraId="05145AB0"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78E7D692" w14:textId="77777777" w:rsidR="003766A3" w:rsidRPr="009743E0" w:rsidRDefault="003766A3" w:rsidP="003766A3">
      <w:pPr>
        <w:textAlignment w:val="baseline"/>
        <w:rPr>
          <w:rFonts w:ascii="Arial" w:hAnsi="Arial" w:cs="Arial"/>
          <w:b/>
          <w:sz w:val="22"/>
          <w:szCs w:val="22"/>
          <w:u w:val="single"/>
        </w:rPr>
      </w:pPr>
    </w:p>
    <w:p w14:paraId="711F8790" w14:textId="77777777" w:rsidR="003766A3" w:rsidRPr="009743E0" w:rsidRDefault="003766A3" w:rsidP="003766A3">
      <w:pPr>
        <w:numPr>
          <w:ilvl w:val="0"/>
          <w:numId w:val="10"/>
        </w:numPr>
        <w:ind w:left="720"/>
        <w:textAlignment w:val="baseline"/>
        <w:rPr>
          <w:rFonts w:ascii="Arial" w:hAnsi="Arial" w:cs="Arial"/>
          <w:b/>
          <w:sz w:val="22"/>
          <w:szCs w:val="22"/>
          <w:u w:val="single"/>
        </w:rPr>
      </w:pPr>
      <w:r w:rsidRPr="009743E0">
        <w:rPr>
          <w:rFonts w:ascii="Arial" w:hAnsi="Arial" w:cs="Arial"/>
          <w:b/>
          <w:sz w:val="22"/>
          <w:szCs w:val="22"/>
          <w:u w:val="single"/>
        </w:rPr>
        <w:t>Scanning and submitting every other page in a document instead of every page.   </w:t>
      </w:r>
    </w:p>
    <w:p w14:paraId="61A08823" w14:textId="77777777" w:rsidR="003766A3" w:rsidRPr="009743E0" w:rsidRDefault="003766A3" w:rsidP="003766A3">
      <w:pPr>
        <w:numPr>
          <w:ilvl w:val="0"/>
          <w:numId w:val="10"/>
        </w:numPr>
        <w:ind w:left="720"/>
        <w:textAlignment w:val="baseline"/>
        <w:rPr>
          <w:rFonts w:ascii="Arial" w:hAnsi="Arial" w:cs="Arial"/>
          <w:b/>
          <w:sz w:val="22"/>
          <w:szCs w:val="22"/>
          <w:u w:val="single"/>
        </w:rPr>
      </w:pPr>
      <w:r w:rsidRPr="009743E0">
        <w:rPr>
          <w:rFonts w:ascii="Arial" w:hAnsi="Arial" w:cs="Arial"/>
          <w:b/>
          <w:sz w:val="22"/>
          <w:szCs w:val="22"/>
          <w:u w:val="single"/>
        </w:rPr>
        <w:t>Submitting the wrong document.   </w:t>
      </w:r>
    </w:p>
    <w:p w14:paraId="6693850C" w14:textId="77777777" w:rsidR="003766A3" w:rsidRPr="009743E0" w:rsidRDefault="003766A3" w:rsidP="003766A3">
      <w:pPr>
        <w:numPr>
          <w:ilvl w:val="0"/>
          <w:numId w:val="10"/>
        </w:numPr>
        <w:ind w:left="720"/>
        <w:textAlignment w:val="baseline"/>
        <w:rPr>
          <w:rFonts w:ascii="Arial" w:hAnsi="Arial" w:cs="Arial"/>
          <w:b/>
          <w:sz w:val="22"/>
          <w:szCs w:val="22"/>
          <w:u w:val="single"/>
        </w:rPr>
      </w:pPr>
      <w:r w:rsidRPr="009743E0">
        <w:rPr>
          <w:rFonts w:ascii="Arial" w:hAnsi="Arial" w:cs="Arial"/>
          <w:b/>
          <w:sz w:val="22"/>
          <w:szCs w:val="22"/>
          <w:u w:val="single"/>
        </w:rPr>
        <w:t>Leaving out a document.   </w:t>
      </w:r>
    </w:p>
    <w:p w14:paraId="44641180" w14:textId="77777777" w:rsidR="003766A3" w:rsidRPr="009743E0" w:rsidRDefault="003766A3" w:rsidP="003766A3">
      <w:pPr>
        <w:textAlignment w:val="baseline"/>
        <w:rPr>
          <w:rFonts w:ascii="Arial" w:hAnsi="Arial" w:cs="Arial"/>
          <w:b/>
          <w:sz w:val="22"/>
          <w:szCs w:val="22"/>
          <w:u w:val="single"/>
        </w:rPr>
      </w:pPr>
    </w:p>
    <w:p w14:paraId="4E0023CE"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p>
    <w:p w14:paraId="766A7A89" w14:textId="77777777" w:rsidR="003766A3" w:rsidRPr="009743E0" w:rsidRDefault="003766A3" w:rsidP="003766A3">
      <w:pPr>
        <w:textAlignment w:val="baseline"/>
        <w:rPr>
          <w:rFonts w:ascii="Arial" w:hAnsi="Arial" w:cs="Arial"/>
          <w:b/>
          <w:sz w:val="22"/>
          <w:szCs w:val="22"/>
          <w:u w:val="single"/>
        </w:rPr>
      </w:pPr>
    </w:p>
    <w:p w14:paraId="6DEBDEC4"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p>
    <w:p w14:paraId="0CCDEEEE" w14:textId="77777777" w:rsidR="003766A3" w:rsidRPr="009743E0" w:rsidRDefault="003766A3" w:rsidP="003766A3">
      <w:pPr>
        <w:ind w:left="720" w:hanging="360"/>
        <w:textAlignment w:val="baseline"/>
        <w:rPr>
          <w:rFonts w:ascii="Arial" w:hAnsi="Arial" w:cs="Arial"/>
          <w:b/>
          <w:sz w:val="22"/>
          <w:szCs w:val="22"/>
          <w:u w:val="single"/>
        </w:rPr>
      </w:pPr>
    </w:p>
    <w:p w14:paraId="5353DF53" w14:textId="77777777" w:rsidR="003766A3" w:rsidRPr="009743E0" w:rsidRDefault="003766A3" w:rsidP="003766A3">
      <w:pPr>
        <w:numPr>
          <w:ilvl w:val="0"/>
          <w:numId w:val="11"/>
        </w:numPr>
        <w:textAlignment w:val="baseline"/>
        <w:rPr>
          <w:rFonts w:ascii="Arial" w:hAnsi="Arial" w:cs="Arial"/>
          <w:b/>
          <w:sz w:val="22"/>
          <w:szCs w:val="22"/>
          <w:u w:val="single"/>
        </w:rPr>
      </w:pPr>
      <w:r w:rsidRPr="009743E0">
        <w:rPr>
          <w:rFonts w:ascii="Arial" w:hAnsi="Arial" w:cs="Arial"/>
          <w:b/>
          <w:sz w:val="22"/>
          <w:szCs w:val="22"/>
          <w:u w:val="single"/>
        </w:rPr>
        <w:t>The funds have a deadline that does not allow time to fix the error.   </w:t>
      </w:r>
    </w:p>
    <w:p w14:paraId="53AB5C33" w14:textId="77777777" w:rsidR="003766A3" w:rsidRPr="009743E0" w:rsidRDefault="003766A3" w:rsidP="003766A3">
      <w:pPr>
        <w:numPr>
          <w:ilvl w:val="0"/>
          <w:numId w:val="12"/>
        </w:numPr>
        <w:textAlignment w:val="baseline"/>
        <w:rPr>
          <w:rFonts w:ascii="Arial" w:hAnsi="Arial" w:cs="Arial"/>
          <w:b/>
          <w:sz w:val="22"/>
          <w:szCs w:val="22"/>
          <w:u w:val="single"/>
        </w:rPr>
      </w:pPr>
      <w:r w:rsidRPr="009743E0">
        <w:rPr>
          <w:rFonts w:ascii="Arial" w:hAnsi="Arial" w:cs="Arial"/>
          <w:b/>
          <w:sz w:val="22"/>
          <w:szCs w:val="22"/>
          <w:u w:val="single"/>
        </w:rPr>
        <w:t>The application has been screened out or does not receive a passing score for reasons unrelated to the administrative error, making irrelevant any efforts to fix the error.   </w:t>
      </w:r>
    </w:p>
    <w:p w14:paraId="6FFD03B1" w14:textId="77777777" w:rsidR="003766A3" w:rsidRPr="009743E0" w:rsidRDefault="003766A3" w:rsidP="003766A3">
      <w:pPr>
        <w:numPr>
          <w:ilvl w:val="0"/>
          <w:numId w:val="12"/>
        </w:numPr>
        <w:textAlignment w:val="baseline"/>
        <w:rPr>
          <w:rFonts w:ascii="Arial" w:hAnsi="Arial" w:cs="Arial"/>
          <w:b/>
          <w:sz w:val="22"/>
          <w:szCs w:val="22"/>
          <w:u w:val="single"/>
        </w:rPr>
      </w:pPr>
      <w:r w:rsidRPr="009743E0">
        <w:rPr>
          <w:rFonts w:ascii="Arial" w:hAnsi="Arial" w:cs="Arial"/>
          <w:b/>
          <w:sz w:val="22"/>
          <w:szCs w:val="22"/>
          <w:u w:val="single"/>
        </w:rPr>
        <w:t>The applicant brings the error to the CEC’s attention too late in the solicitation process (e.g., after awards have been approved at a Business Meeting).   </w:t>
      </w:r>
    </w:p>
    <w:p w14:paraId="58837E1B" w14:textId="77777777" w:rsidR="003766A3" w:rsidRPr="009743E0" w:rsidRDefault="003766A3" w:rsidP="003766A3">
      <w:pPr>
        <w:textAlignment w:val="baseline"/>
        <w:rPr>
          <w:rFonts w:ascii="Arial" w:hAnsi="Arial" w:cs="Arial"/>
          <w:b/>
          <w:sz w:val="22"/>
          <w:szCs w:val="22"/>
          <w:u w:val="single"/>
        </w:rPr>
      </w:pPr>
    </w:p>
    <w:p w14:paraId="4789C5B9"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lastRenderedPageBreak/>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 and the obligation is on the applicant to ensure the proper contact(s) are listed and available to respond.  The Evaluation Committee will not consider any materials submitted after the deadline.   </w:t>
      </w:r>
    </w:p>
    <w:p w14:paraId="0B7323FA" w14:textId="77777777" w:rsidR="003766A3" w:rsidRPr="009743E0" w:rsidRDefault="003766A3" w:rsidP="003766A3">
      <w:pPr>
        <w:textAlignment w:val="baseline"/>
        <w:rPr>
          <w:rFonts w:ascii="Arial" w:hAnsi="Arial" w:cs="Arial"/>
          <w:b/>
          <w:sz w:val="22"/>
          <w:szCs w:val="22"/>
          <w:u w:val="single"/>
        </w:rPr>
      </w:pPr>
    </w:p>
    <w:p w14:paraId="5B37D229"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 </w:t>
      </w:r>
    </w:p>
    <w:p w14:paraId="07864C69" w14:textId="77777777" w:rsidR="003766A3" w:rsidRPr="009743E0" w:rsidRDefault="003766A3" w:rsidP="003766A3">
      <w:pPr>
        <w:textAlignment w:val="baseline"/>
        <w:rPr>
          <w:rFonts w:ascii="Arial" w:hAnsi="Arial" w:cs="Arial"/>
          <w:b/>
          <w:sz w:val="22"/>
          <w:szCs w:val="22"/>
          <w:u w:val="single"/>
        </w:rPr>
      </w:pPr>
    </w:p>
    <w:p w14:paraId="462DFFA2" w14:textId="77777777" w:rsidR="003766A3" w:rsidRPr="009743E0" w:rsidRDefault="003766A3" w:rsidP="003766A3">
      <w:pPr>
        <w:textAlignment w:val="baseline"/>
        <w:rPr>
          <w:rFonts w:ascii="Arial" w:hAnsi="Arial" w:cs="Arial"/>
          <w:b/>
          <w:sz w:val="22"/>
          <w:szCs w:val="22"/>
          <w:u w:val="single"/>
        </w:rPr>
      </w:pPr>
      <w:r w:rsidRPr="009743E0">
        <w:rPr>
          <w:rFonts w:ascii="Arial" w:hAnsi="Arial" w:cs="Arial"/>
          <w:b/>
          <w:sz w:val="22"/>
          <w:szCs w:val="22"/>
          <w:u w:val="single"/>
        </w:rPr>
        <w:t>Applicants must include the following certification along with the materials it submits to fix an administrative error and must explain why the materials were not provided due to an inadvertent administrative error:  </w:t>
      </w:r>
    </w:p>
    <w:p w14:paraId="6DB4B920" w14:textId="77777777" w:rsidR="003766A3" w:rsidRPr="009743E0" w:rsidRDefault="003766A3" w:rsidP="003766A3">
      <w:pPr>
        <w:textAlignment w:val="baseline"/>
        <w:rPr>
          <w:rFonts w:ascii="Arial" w:hAnsi="Arial" w:cs="Arial"/>
          <w:b/>
          <w:sz w:val="22"/>
          <w:szCs w:val="22"/>
          <w:u w:val="single"/>
        </w:rPr>
      </w:pPr>
    </w:p>
    <w:p w14:paraId="492EE135" w14:textId="77777777" w:rsidR="003766A3" w:rsidRPr="009743E0" w:rsidRDefault="003766A3" w:rsidP="003766A3">
      <w:pPr>
        <w:ind w:left="720"/>
        <w:textAlignment w:val="baseline"/>
        <w:rPr>
          <w:rFonts w:ascii="Arial" w:hAnsi="Arial" w:cs="Arial"/>
          <w:b/>
          <w:sz w:val="22"/>
          <w:szCs w:val="22"/>
          <w:u w:val="single"/>
        </w:rPr>
      </w:pPr>
      <w:r w:rsidRPr="009743E0">
        <w:rPr>
          <w:rFonts w:ascii="Arial" w:hAnsi="Arial" w:cs="Arial"/>
          <w:b/>
          <w:sz w:val="22"/>
          <w:szCs w:val="22"/>
          <w:u w:val="single"/>
        </w:rPr>
        <w:t>“I certify on behalf of the applicant that the materials provided herein existed at the time of the application deadline, have not been modified since, and were not originally provided due to an inadvertent administrative error as described herein.”   </w:t>
      </w:r>
    </w:p>
    <w:p w14:paraId="26828D57" w14:textId="77777777" w:rsidR="003766A3" w:rsidRPr="009743E0" w:rsidRDefault="003766A3" w:rsidP="003766A3">
      <w:pPr>
        <w:textAlignment w:val="baseline"/>
        <w:rPr>
          <w:rFonts w:ascii="Arial" w:hAnsi="Arial" w:cs="Arial"/>
          <w:b/>
          <w:sz w:val="22"/>
          <w:szCs w:val="22"/>
          <w:u w:val="single"/>
        </w:rPr>
      </w:pPr>
    </w:p>
    <w:p w14:paraId="79750956" w14:textId="77777777" w:rsidR="003766A3" w:rsidRPr="009743E0" w:rsidRDefault="003766A3" w:rsidP="003766A3">
      <w:pPr>
        <w:jc w:val="both"/>
        <w:rPr>
          <w:rFonts w:ascii="Arial" w:hAnsi="Arial" w:cs="Arial"/>
          <w:b/>
          <w:sz w:val="22"/>
          <w:szCs w:val="22"/>
          <w:u w:val="single"/>
        </w:rPr>
      </w:pPr>
      <w:r w:rsidRPr="009743E0">
        <w:rPr>
          <w:rFonts w:ascii="Arial" w:hAnsi="Arial" w:cs="Arial"/>
          <w:b/>
          <w:sz w:val="22"/>
          <w:szCs w:val="22"/>
          <w:u w:val="single"/>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p>
    <w:p w14:paraId="0CEBF897" w14:textId="77777777" w:rsidR="00D71511" w:rsidRDefault="00D71511" w:rsidP="00655A8E">
      <w:pPr>
        <w:rPr>
          <w:rFonts w:ascii="Arial" w:hAnsi="Arial" w:cs="Arial"/>
          <w:bCs/>
          <w:iCs/>
        </w:rPr>
      </w:pPr>
    </w:p>
    <w:p w14:paraId="1B0C504D" w14:textId="77777777" w:rsidR="00D71511" w:rsidRDefault="00D71511" w:rsidP="00655A8E">
      <w:pPr>
        <w:rPr>
          <w:rFonts w:ascii="Arial" w:hAnsi="Arial" w:cs="Arial"/>
          <w:bCs/>
          <w:iCs/>
        </w:rPr>
      </w:pPr>
    </w:p>
    <w:p w14:paraId="3C21FAB3" w14:textId="77777777" w:rsidR="009743E0" w:rsidRDefault="009743E0" w:rsidP="00655A8E">
      <w:pPr>
        <w:rPr>
          <w:rFonts w:ascii="Arial" w:hAnsi="Arial" w:cs="Arial"/>
          <w:lang w:val="fr-FR"/>
        </w:rPr>
      </w:pPr>
    </w:p>
    <w:p w14:paraId="2D7EA669" w14:textId="77777777" w:rsidR="009743E0" w:rsidRDefault="009743E0" w:rsidP="00655A8E">
      <w:pPr>
        <w:rPr>
          <w:rFonts w:ascii="Arial" w:hAnsi="Arial" w:cs="Arial"/>
          <w:lang w:val="fr-FR"/>
        </w:rPr>
      </w:pPr>
    </w:p>
    <w:p w14:paraId="01C4D744" w14:textId="7E9B7905" w:rsidR="006D1097" w:rsidRPr="00C36953" w:rsidRDefault="00C36953" w:rsidP="00655A8E">
      <w:pPr>
        <w:rPr>
          <w:rFonts w:ascii="Arial" w:hAnsi="Arial" w:cs="Arial"/>
          <w:lang w:val="fr-FR"/>
        </w:rPr>
      </w:pPr>
      <w:r w:rsidRPr="00C36953">
        <w:rPr>
          <w:rFonts w:ascii="Arial" w:hAnsi="Arial" w:cs="Arial"/>
          <w:lang w:val="fr-FR"/>
        </w:rPr>
        <w:t>Marissa Su</w:t>
      </w:r>
      <w:r>
        <w:rPr>
          <w:rFonts w:ascii="Arial" w:hAnsi="Arial" w:cs="Arial"/>
          <w:lang w:val="fr-FR"/>
        </w:rPr>
        <w:t>tton</w:t>
      </w:r>
    </w:p>
    <w:p w14:paraId="45C35E8E" w14:textId="47AAE29F" w:rsidR="00620F92" w:rsidRPr="00C36953" w:rsidRDefault="00620F92" w:rsidP="00655A8E">
      <w:pPr>
        <w:rPr>
          <w:rFonts w:ascii="Arial" w:hAnsi="Arial" w:cs="Arial"/>
          <w:lang w:val="fr-FR"/>
        </w:rPr>
      </w:pPr>
      <w:r w:rsidRPr="00C36953">
        <w:rPr>
          <w:rFonts w:ascii="Arial" w:hAnsi="Arial" w:cs="Arial"/>
          <w:lang w:val="fr-FR"/>
        </w:rPr>
        <w:t>Commission Agreement Officer</w:t>
      </w:r>
    </w:p>
    <w:sectPr w:rsidR="00620F92" w:rsidRPr="00C36953" w:rsidSect="00DA5EE3">
      <w:headerReference w:type="first" r:id="rId11"/>
      <w:footerReference w:type="first" r:id="rId12"/>
      <w:pgSz w:w="12240" w:h="15840"/>
      <w:pgMar w:top="1440" w:right="1440" w:bottom="1440" w:left="1440" w:header="43" w:footer="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BC46" w14:textId="77777777" w:rsidR="008E6C72" w:rsidRDefault="008E6C72" w:rsidP="00F86D2B">
      <w:r>
        <w:separator/>
      </w:r>
    </w:p>
  </w:endnote>
  <w:endnote w:type="continuationSeparator" w:id="0">
    <w:p w14:paraId="0D50B4EF" w14:textId="77777777" w:rsidR="008E6C72" w:rsidRDefault="008E6C72" w:rsidP="00F86D2B">
      <w:r>
        <w:continuationSeparator/>
      </w:r>
    </w:p>
  </w:endnote>
  <w:endnote w:type="continuationNotice" w:id="1">
    <w:p w14:paraId="05FEB339" w14:textId="77777777" w:rsidR="008E6C72" w:rsidRDefault="008E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0F97" w14:textId="5944B963" w:rsidR="00083715" w:rsidRPr="00881871" w:rsidRDefault="00881871" w:rsidP="00E118E0">
    <w:pPr>
      <w:pStyle w:val="Footer"/>
      <w:tabs>
        <w:tab w:val="clear" w:pos="4320"/>
        <w:tab w:val="center" w:pos="4680"/>
      </w:tabs>
      <w:rPr>
        <w:rFonts w:ascii="Arial" w:hAnsi="Arial" w:cs="Arial"/>
        <w:sz w:val="22"/>
        <w:szCs w:val="22"/>
      </w:rPr>
    </w:pPr>
    <w:r w:rsidRPr="00881871">
      <w:rPr>
        <w:rFonts w:ascii="Arial" w:hAnsi="Arial" w:cs="Arial"/>
        <w:sz w:val="22"/>
        <w:szCs w:val="22"/>
      </w:rPr>
      <w:tab/>
      <w:t xml:space="preserve">Page </w:t>
    </w:r>
    <w:r w:rsidRPr="00881871">
      <w:rPr>
        <w:rFonts w:ascii="Arial" w:hAnsi="Arial" w:cs="Arial"/>
        <w:sz w:val="22"/>
        <w:szCs w:val="22"/>
      </w:rPr>
      <w:fldChar w:fldCharType="begin"/>
    </w:r>
    <w:r w:rsidRPr="00881871">
      <w:rPr>
        <w:rFonts w:ascii="Arial" w:hAnsi="Arial" w:cs="Arial"/>
        <w:sz w:val="22"/>
        <w:szCs w:val="22"/>
      </w:rPr>
      <w:instrText xml:space="preserve"> PAGE  \* Arabic  \* MERGEFORMAT </w:instrText>
    </w:r>
    <w:r w:rsidRPr="00881871">
      <w:rPr>
        <w:rFonts w:ascii="Arial" w:hAnsi="Arial" w:cs="Arial"/>
        <w:sz w:val="22"/>
        <w:szCs w:val="22"/>
      </w:rPr>
      <w:fldChar w:fldCharType="separate"/>
    </w:r>
    <w:r w:rsidRPr="00881871">
      <w:rPr>
        <w:rFonts w:ascii="Arial" w:hAnsi="Arial" w:cs="Arial"/>
        <w:sz w:val="22"/>
        <w:szCs w:val="22"/>
      </w:rPr>
      <w:t>2</w:t>
    </w:r>
    <w:r w:rsidRPr="00881871">
      <w:rPr>
        <w:rFonts w:ascii="Arial" w:hAnsi="Arial" w:cs="Arial"/>
        <w:sz w:val="22"/>
        <w:szCs w:val="22"/>
      </w:rPr>
      <w:fldChar w:fldCharType="end"/>
    </w:r>
    <w:r w:rsidRPr="00881871">
      <w:rPr>
        <w:rFonts w:ascii="Arial" w:hAnsi="Arial" w:cs="Arial"/>
        <w:sz w:val="22"/>
        <w:szCs w:val="22"/>
      </w:rPr>
      <w:t xml:space="preserve"> of </w:t>
    </w:r>
    <w:r w:rsidRPr="00881871">
      <w:rPr>
        <w:rFonts w:ascii="Arial" w:hAnsi="Arial" w:cs="Arial"/>
        <w:sz w:val="22"/>
        <w:szCs w:val="22"/>
      </w:rPr>
      <w:fldChar w:fldCharType="begin"/>
    </w:r>
    <w:r w:rsidRPr="00881871">
      <w:rPr>
        <w:rFonts w:ascii="Arial" w:hAnsi="Arial" w:cs="Arial"/>
        <w:sz w:val="22"/>
        <w:szCs w:val="22"/>
      </w:rPr>
      <w:instrText xml:space="preserve"> NUMPAGES  \* Arabic  \* MERGEFORMAT </w:instrText>
    </w:r>
    <w:r w:rsidRPr="00881871">
      <w:rPr>
        <w:rFonts w:ascii="Arial" w:hAnsi="Arial" w:cs="Arial"/>
        <w:sz w:val="22"/>
        <w:szCs w:val="22"/>
      </w:rPr>
      <w:fldChar w:fldCharType="separate"/>
    </w:r>
    <w:r w:rsidRPr="00881871">
      <w:rPr>
        <w:rFonts w:ascii="Arial" w:hAnsi="Arial" w:cs="Arial"/>
        <w:sz w:val="22"/>
        <w:szCs w:val="22"/>
      </w:rPr>
      <w:t>6</w:t>
    </w:r>
    <w:r w:rsidRPr="00881871">
      <w:rPr>
        <w:rFonts w:ascii="Arial" w:hAnsi="Arial" w:cs="Arial"/>
        <w:sz w:val="22"/>
        <w:szCs w:val="22"/>
      </w:rPr>
      <w:fldChar w:fldCharType="end"/>
    </w:r>
    <w:r w:rsidRPr="00881871">
      <w:rPr>
        <w:rFonts w:ascii="Arial" w:hAnsi="Arial" w:cs="Arial"/>
        <w:sz w:val="22"/>
        <w:szCs w:val="22"/>
      </w:rPr>
      <w:tab/>
      <w:t xml:space="preserve">                             </w:t>
    </w:r>
    <w:r w:rsidR="00E118E0">
      <w:rPr>
        <w:rFonts w:ascii="Arial" w:hAnsi="Arial" w:cs="Arial"/>
        <w:sz w:val="22"/>
        <w:szCs w:val="22"/>
      </w:rPr>
      <w:t xml:space="preserve">            </w:t>
    </w:r>
    <w:r w:rsidR="00400496">
      <w:rPr>
        <w:rFonts w:ascii="Arial" w:hAnsi="Arial" w:cs="Arial"/>
        <w:sz w:val="22"/>
        <w:szCs w:val="22"/>
      </w:rPr>
      <w:t>GFO</w:t>
    </w:r>
    <w:r w:rsidRPr="00881871">
      <w:rPr>
        <w:rFonts w:ascii="Arial" w:hAnsi="Arial" w:cs="Arial"/>
        <w:sz w:val="22"/>
        <w:szCs w:val="22"/>
      </w:rPr>
      <w:t>-21-</w:t>
    </w:r>
    <w:r w:rsidR="00400496">
      <w:rPr>
        <w:rFonts w:ascii="Arial" w:hAnsi="Arial" w:cs="Arial"/>
        <w:sz w:val="22"/>
        <w:szCs w:val="22"/>
      </w:rPr>
      <w:t>901</w:t>
    </w:r>
    <w:r w:rsidR="00E118E0">
      <w:rPr>
        <w:rFonts w:ascii="Arial" w:hAnsi="Arial" w:cs="Arial"/>
        <w:sz w:val="22"/>
        <w:szCs w:val="22"/>
      </w:rPr>
      <w:t>-</w:t>
    </w:r>
    <w:r w:rsidR="00083715">
      <w:rPr>
        <w:rFonts w:ascii="Arial" w:hAnsi="Arial" w:cs="Arial"/>
        <w:sz w:val="22"/>
        <w:szCs w:val="22"/>
      </w:rPr>
      <w:t>30</w:t>
    </w:r>
  </w:p>
  <w:p w14:paraId="7D1CC783" w14:textId="77777777" w:rsidR="00881871" w:rsidRPr="00CE248B" w:rsidRDefault="00881871" w:rsidP="00881871">
    <w:pPr>
      <w:pStyle w:val="Footer"/>
    </w:pPr>
  </w:p>
  <w:p w14:paraId="3FB80B95" w14:textId="6EE5179D" w:rsidR="00655A8E" w:rsidRDefault="00655A8E" w:rsidP="002D11A5">
    <w:pPr>
      <w:pStyle w:val="Footer"/>
      <w:ind w:hanging="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4DA64" w14:textId="77777777" w:rsidR="008E6C72" w:rsidRDefault="008E6C72" w:rsidP="00F86D2B">
      <w:r>
        <w:separator/>
      </w:r>
    </w:p>
  </w:footnote>
  <w:footnote w:type="continuationSeparator" w:id="0">
    <w:p w14:paraId="2E9F4632" w14:textId="77777777" w:rsidR="008E6C72" w:rsidRDefault="008E6C72" w:rsidP="00F86D2B">
      <w:r>
        <w:continuationSeparator/>
      </w:r>
    </w:p>
  </w:footnote>
  <w:footnote w:type="continuationNotice" w:id="1">
    <w:p w14:paraId="5E65D243" w14:textId="77777777" w:rsidR="008E6C72" w:rsidRDefault="008E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B231" w14:textId="77777777" w:rsidR="00655A8E" w:rsidRDefault="00655A8E" w:rsidP="002D11A5">
    <w:pPr>
      <w:pStyle w:val="Header"/>
      <w:ind w:hanging="1800"/>
    </w:pPr>
  </w:p>
  <w:p w14:paraId="4323C9A8" w14:textId="4A197524" w:rsidR="00655A8E" w:rsidRDefault="00655A8E" w:rsidP="002D11A5">
    <w:pPr>
      <w:pStyle w:val="Header"/>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84"/>
    <w:multiLevelType w:val="hybridMultilevel"/>
    <w:tmpl w:val="04989390"/>
    <w:lvl w:ilvl="0" w:tplc="91C49DE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36F"/>
    <w:multiLevelType w:val="hybridMultilevel"/>
    <w:tmpl w:val="B9D6F4A8"/>
    <w:lvl w:ilvl="0" w:tplc="F4FAA1DA">
      <w:start w:val="1"/>
      <w:numFmt w:val="lowerLetter"/>
      <w:lvlText w:val="%1."/>
      <w:lvlJc w:val="left"/>
      <w:pPr>
        <w:ind w:left="-360" w:hanging="360"/>
      </w:pPr>
      <w:rPr>
        <w:b w:val="0"/>
        <w:i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start w:val="1"/>
      <w:numFmt w:val="lowerRoman"/>
      <w:lvlText w:val="%6."/>
      <w:lvlJc w:val="right"/>
      <w:pPr>
        <w:ind w:left="3240" w:hanging="180"/>
      </w:pPr>
    </w:lvl>
    <w:lvl w:ilvl="6" w:tplc="0409000F">
      <w:start w:val="1"/>
      <w:numFmt w:val="decimal"/>
      <w:lvlText w:val="%7."/>
      <w:lvlJc w:val="left"/>
      <w:pPr>
        <w:ind w:left="3960" w:hanging="360"/>
      </w:pPr>
    </w:lvl>
    <w:lvl w:ilvl="7" w:tplc="04090019">
      <w:start w:val="1"/>
      <w:numFmt w:val="lowerLetter"/>
      <w:lvlText w:val="%8."/>
      <w:lvlJc w:val="left"/>
      <w:pPr>
        <w:ind w:left="4680" w:hanging="360"/>
      </w:pPr>
    </w:lvl>
    <w:lvl w:ilvl="8" w:tplc="0409001B">
      <w:start w:val="1"/>
      <w:numFmt w:val="lowerRoman"/>
      <w:lvlText w:val="%9."/>
      <w:lvlJc w:val="right"/>
      <w:pPr>
        <w:ind w:left="5400" w:hanging="180"/>
      </w:pPr>
    </w:lvl>
  </w:abstractNum>
  <w:abstractNum w:abstractNumId="4"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E83796"/>
    <w:multiLevelType w:val="hybridMultilevel"/>
    <w:tmpl w:val="2C92250A"/>
    <w:lvl w:ilvl="0" w:tplc="DE6683F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1F720F"/>
    <w:multiLevelType w:val="hybridMultilevel"/>
    <w:tmpl w:val="91781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6729C"/>
    <w:multiLevelType w:val="hybridMultilevel"/>
    <w:tmpl w:val="589E2974"/>
    <w:lvl w:ilvl="0" w:tplc="078E4F2A">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4E392D"/>
    <w:multiLevelType w:val="hybridMultilevel"/>
    <w:tmpl w:val="9996B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2" w15:restartNumberingAfterBreak="0">
    <w:nsid w:val="7BBD5767"/>
    <w:multiLevelType w:val="hybridMultilevel"/>
    <w:tmpl w:val="B3B85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2584317">
    <w:abstractNumId w:val="2"/>
  </w:num>
  <w:num w:numId="2" w16cid:durableId="1330937078">
    <w:abstractNumId w:val="6"/>
  </w:num>
  <w:num w:numId="3" w16cid:durableId="1558777577">
    <w:abstractNumId w:val="7"/>
  </w:num>
  <w:num w:numId="4" w16cid:durableId="1236890620">
    <w:abstractNumId w:val="12"/>
  </w:num>
  <w:num w:numId="5" w16cid:durableId="1753508063">
    <w:abstractNumId w:val="3"/>
  </w:num>
  <w:num w:numId="6" w16cid:durableId="247542717">
    <w:abstractNumId w:val="4"/>
  </w:num>
  <w:num w:numId="7" w16cid:durableId="1271427085">
    <w:abstractNumId w:val="10"/>
  </w:num>
  <w:num w:numId="8" w16cid:durableId="1094664071">
    <w:abstractNumId w:val="8"/>
  </w:num>
  <w:num w:numId="9" w16cid:durableId="17097223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297052">
    <w:abstractNumId w:val="1"/>
  </w:num>
  <w:num w:numId="11" w16cid:durableId="1012028545">
    <w:abstractNumId w:val="9"/>
  </w:num>
  <w:num w:numId="12" w16cid:durableId="324750062">
    <w:abstractNumId w:val="5"/>
  </w:num>
  <w:num w:numId="13" w16cid:durableId="1193618289">
    <w:abstractNumId w:val="11"/>
  </w:num>
  <w:num w:numId="14" w16cid:durableId="16325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1D87"/>
    <w:rsid w:val="00015969"/>
    <w:rsid w:val="00020EA8"/>
    <w:rsid w:val="00026DEF"/>
    <w:rsid w:val="00027125"/>
    <w:rsid w:val="00035F4D"/>
    <w:rsid w:val="000557AC"/>
    <w:rsid w:val="00055D91"/>
    <w:rsid w:val="00063265"/>
    <w:rsid w:val="00083715"/>
    <w:rsid w:val="0009064B"/>
    <w:rsid w:val="000A0D55"/>
    <w:rsid w:val="000A1124"/>
    <w:rsid w:val="000D2CC7"/>
    <w:rsid w:val="000E31D6"/>
    <w:rsid w:val="00111611"/>
    <w:rsid w:val="00113622"/>
    <w:rsid w:val="0013466C"/>
    <w:rsid w:val="00144DE1"/>
    <w:rsid w:val="0014731B"/>
    <w:rsid w:val="001501DB"/>
    <w:rsid w:val="0016481B"/>
    <w:rsid w:val="001901C5"/>
    <w:rsid w:val="001A7ADE"/>
    <w:rsid w:val="001B5906"/>
    <w:rsid w:val="001D58A5"/>
    <w:rsid w:val="001D5D15"/>
    <w:rsid w:val="001D7758"/>
    <w:rsid w:val="001F62F3"/>
    <w:rsid w:val="002050A5"/>
    <w:rsid w:val="002108D5"/>
    <w:rsid w:val="00212F4A"/>
    <w:rsid w:val="002308D5"/>
    <w:rsid w:val="0028180C"/>
    <w:rsid w:val="002A2635"/>
    <w:rsid w:val="002A5F7A"/>
    <w:rsid w:val="002C27C4"/>
    <w:rsid w:val="002D11A5"/>
    <w:rsid w:val="002D5486"/>
    <w:rsid w:val="00300FB1"/>
    <w:rsid w:val="0030476D"/>
    <w:rsid w:val="00306C82"/>
    <w:rsid w:val="00310B5D"/>
    <w:rsid w:val="00326E29"/>
    <w:rsid w:val="00333391"/>
    <w:rsid w:val="00334343"/>
    <w:rsid w:val="00345E8C"/>
    <w:rsid w:val="00347B06"/>
    <w:rsid w:val="00361BC9"/>
    <w:rsid w:val="00367E02"/>
    <w:rsid w:val="003766A3"/>
    <w:rsid w:val="0039589D"/>
    <w:rsid w:val="003A357A"/>
    <w:rsid w:val="003B13A0"/>
    <w:rsid w:val="003B75DC"/>
    <w:rsid w:val="003E0D2D"/>
    <w:rsid w:val="003E404F"/>
    <w:rsid w:val="003E53E4"/>
    <w:rsid w:val="003F0295"/>
    <w:rsid w:val="00400496"/>
    <w:rsid w:val="00405136"/>
    <w:rsid w:val="00406939"/>
    <w:rsid w:val="00412528"/>
    <w:rsid w:val="004154F8"/>
    <w:rsid w:val="00415DE9"/>
    <w:rsid w:val="004220FD"/>
    <w:rsid w:val="00430859"/>
    <w:rsid w:val="00437D5F"/>
    <w:rsid w:val="00443574"/>
    <w:rsid w:val="004504D5"/>
    <w:rsid w:val="004A1AAA"/>
    <w:rsid w:val="004A3789"/>
    <w:rsid w:val="004A4C18"/>
    <w:rsid w:val="004D128F"/>
    <w:rsid w:val="004D6D9E"/>
    <w:rsid w:val="004E4099"/>
    <w:rsid w:val="004E7972"/>
    <w:rsid w:val="004F5B50"/>
    <w:rsid w:val="0050519F"/>
    <w:rsid w:val="00506D3B"/>
    <w:rsid w:val="00512FB4"/>
    <w:rsid w:val="00524EA9"/>
    <w:rsid w:val="005253DA"/>
    <w:rsid w:val="00527817"/>
    <w:rsid w:val="00537D23"/>
    <w:rsid w:val="00542152"/>
    <w:rsid w:val="00545BCE"/>
    <w:rsid w:val="005568CA"/>
    <w:rsid w:val="0056246B"/>
    <w:rsid w:val="00577D95"/>
    <w:rsid w:val="005947A9"/>
    <w:rsid w:val="005D60F4"/>
    <w:rsid w:val="005E6FA2"/>
    <w:rsid w:val="005F165F"/>
    <w:rsid w:val="00603231"/>
    <w:rsid w:val="00612689"/>
    <w:rsid w:val="00620F92"/>
    <w:rsid w:val="006511D6"/>
    <w:rsid w:val="0065330E"/>
    <w:rsid w:val="00655A8E"/>
    <w:rsid w:val="00666F32"/>
    <w:rsid w:val="00672555"/>
    <w:rsid w:val="0069350C"/>
    <w:rsid w:val="006A57AF"/>
    <w:rsid w:val="006B13F0"/>
    <w:rsid w:val="006D1097"/>
    <w:rsid w:val="006D3827"/>
    <w:rsid w:val="006E146A"/>
    <w:rsid w:val="007134AE"/>
    <w:rsid w:val="007202BB"/>
    <w:rsid w:val="007211FC"/>
    <w:rsid w:val="007315FB"/>
    <w:rsid w:val="0073204F"/>
    <w:rsid w:val="00751C0F"/>
    <w:rsid w:val="00761F8B"/>
    <w:rsid w:val="007638E2"/>
    <w:rsid w:val="00772562"/>
    <w:rsid w:val="0077265A"/>
    <w:rsid w:val="00777798"/>
    <w:rsid w:val="00780124"/>
    <w:rsid w:val="0078154A"/>
    <w:rsid w:val="00782B87"/>
    <w:rsid w:val="00783717"/>
    <w:rsid w:val="00784D10"/>
    <w:rsid w:val="007B1932"/>
    <w:rsid w:val="007F2A31"/>
    <w:rsid w:val="00810BB2"/>
    <w:rsid w:val="0081533B"/>
    <w:rsid w:val="008163DA"/>
    <w:rsid w:val="00826E03"/>
    <w:rsid w:val="008328DC"/>
    <w:rsid w:val="00846985"/>
    <w:rsid w:val="00856425"/>
    <w:rsid w:val="00881871"/>
    <w:rsid w:val="00891104"/>
    <w:rsid w:val="00891290"/>
    <w:rsid w:val="00892782"/>
    <w:rsid w:val="008946BB"/>
    <w:rsid w:val="008C410B"/>
    <w:rsid w:val="008E1433"/>
    <w:rsid w:val="008E3102"/>
    <w:rsid w:val="008E3926"/>
    <w:rsid w:val="008E6C72"/>
    <w:rsid w:val="008E7852"/>
    <w:rsid w:val="008F4457"/>
    <w:rsid w:val="00910710"/>
    <w:rsid w:val="0092077F"/>
    <w:rsid w:val="00922DAF"/>
    <w:rsid w:val="00930D5E"/>
    <w:rsid w:val="009407F5"/>
    <w:rsid w:val="009637FE"/>
    <w:rsid w:val="009743E0"/>
    <w:rsid w:val="00975E95"/>
    <w:rsid w:val="00992F60"/>
    <w:rsid w:val="009A203B"/>
    <w:rsid w:val="009A39EA"/>
    <w:rsid w:val="009E6C35"/>
    <w:rsid w:val="009E754B"/>
    <w:rsid w:val="009F018F"/>
    <w:rsid w:val="00A01E39"/>
    <w:rsid w:val="00A108A6"/>
    <w:rsid w:val="00A15FA8"/>
    <w:rsid w:val="00A17202"/>
    <w:rsid w:val="00A270DB"/>
    <w:rsid w:val="00A3384C"/>
    <w:rsid w:val="00A35812"/>
    <w:rsid w:val="00A36CF5"/>
    <w:rsid w:val="00A6325D"/>
    <w:rsid w:val="00A73089"/>
    <w:rsid w:val="00A80ED1"/>
    <w:rsid w:val="00A80F03"/>
    <w:rsid w:val="00A8431B"/>
    <w:rsid w:val="00AC6A7D"/>
    <w:rsid w:val="00AC7C34"/>
    <w:rsid w:val="00AD21FC"/>
    <w:rsid w:val="00AE05B9"/>
    <w:rsid w:val="00B07607"/>
    <w:rsid w:val="00B3208A"/>
    <w:rsid w:val="00B4197B"/>
    <w:rsid w:val="00B705FC"/>
    <w:rsid w:val="00B71179"/>
    <w:rsid w:val="00B768B2"/>
    <w:rsid w:val="00B80DD2"/>
    <w:rsid w:val="00B80E72"/>
    <w:rsid w:val="00B84D31"/>
    <w:rsid w:val="00B906E9"/>
    <w:rsid w:val="00B9523A"/>
    <w:rsid w:val="00BA1317"/>
    <w:rsid w:val="00BA3F4C"/>
    <w:rsid w:val="00BB5DCD"/>
    <w:rsid w:val="00C00C96"/>
    <w:rsid w:val="00C01C97"/>
    <w:rsid w:val="00C03527"/>
    <w:rsid w:val="00C1039B"/>
    <w:rsid w:val="00C26ABA"/>
    <w:rsid w:val="00C35A6C"/>
    <w:rsid w:val="00C36953"/>
    <w:rsid w:val="00C51DB1"/>
    <w:rsid w:val="00C532B2"/>
    <w:rsid w:val="00C67037"/>
    <w:rsid w:val="00C7128C"/>
    <w:rsid w:val="00C80A51"/>
    <w:rsid w:val="00C96BDD"/>
    <w:rsid w:val="00CA31DB"/>
    <w:rsid w:val="00CB6376"/>
    <w:rsid w:val="00CC5FB0"/>
    <w:rsid w:val="00CF5770"/>
    <w:rsid w:val="00CF79E0"/>
    <w:rsid w:val="00D2177B"/>
    <w:rsid w:val="00D2292E"/>
    <w:rsid w:val="00D32C3D"/>
    <w:rsid w:val="00D431C2"/>
    <w:rsid w:val="00D43B83"/>
    <w:rsid w:val="00D552BE"/>
    <w:rsid w:val="00D660DF"/>
    <w:rsid w:val="00D71511"/>
    <w:rsid w:val="00D90B2E"/>
    <w:rsid w:val="00DA5EE3"/>
    <w:rsid w:val="00DA66D7"/>
    <w:rsid w:val="00DD0707"/>
    <w:rsid w:val="00DD488A"/>
    <w:rsid w:val="00E00162"/>
    <w:rsid w:val="00E118E0"/>
    <w:rsid w:val="00E12624"/>
    <w:rsid w:val="00E210F6"/>
    <w:rsid w:val="00E475F2"/>
    <w:rsid w:val="00E566A4"/>
    <w:rsid w:val="00E87F46"/>
    <w:rsid w:val="00E92FCD"/>
    <w:rsid w:val="00E94A29"/>
    <w:rsid w:val="00E95AA9"/>
    <w:rsid w:val="00EA2133"/>
    <w:rsid w:val="00EA7BDE"/>
    <w:rsid w:val="00ED18F1"/>
    <w:rsid w:val="00EF1403"/>
    <w:rsid w:val="00F10885"/>
    <w:rsid w:val="00F10DFF"/>
    <w:rsid w:val="00F22AD4"/>
    <w:rsid w:val="00F7450F"/>
    <w:rsid w:val="00F76ED0"/>
    <w:rsid w:val="00F869BC"/>
    <w:rsid w:val="00F86D2B"/>
    <w:rsid w:val="00F90F6B"/>
    <w:rsid w:val="00F947AC"/>
    <w:rsid w:val="00F95D8D"/>
    <w:rsid w:val="00F967DF"/>
    <w:rsid w:val="00FA7242"/>
    <w:rsid w:val="00FC0FAB"/>
    <w:rsid w:val="00FC11EC"/>
    <w:rsid w:val="00FD2A93"/>
    <w:rsid w:val="00FD4580"/>
    <w:rsid w:val="00FF773E"/>
    <w:rsid w:val="0CDE3617"/>
    <w:rsid w:val="3CA15936"/>
    <w:rsid w:val="6737570A"/>
    <w:rsid w:val="7430D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1FB2D7A3-85D8-4202-8BD4-486328E7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782B87"/>
    <w:pPr>
      <w:ind w:left="720"/>
      <w:contextualSpacing/>
    </w:pPr>
    <w:rPr>
      <w:rFonts w:ascii="Arial" w:eastAsiaTheme="minorHAnsi" w:hAnsi="Arial" w:cs="Arial"/>
      <w:szCs w:val="22"/>
    </w:rPr>
  </w:style>
  <w:style w:type="character" w:styleId="UnresolvedMention">
    <w:name w:val="Unresolved Mention"/>
    <w:basedOn w:val="DefaultParagraphFont"/>
    <w:uiPriority w:val="99"/>
    <w:semiHidden/>
    <w:unhideWhenUsed/>
    <w:rsid w:val="00782B87"/>
    <w:rPr>
      <w:color w:val="605E5C"/>
      <w:shd w:val="clear" w:color="auto" w:fill="E1DFDD"/>
    </w:rPr>
  </w:style>
  <w:style w:type="table" w:customStyle="1" w:styleId="TableGrid4">
    <w:name w:val="Table Grid4"/>
    <w:basedOn w:val="TableNormal"/>
    <w:next w:val="TableGrid"/>
    <w:uiPriority w:val="59"/>
    <w:rsid w:val="00F10885"/>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766A3"/>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MediaLengthInSeconds xmlns="785685f2-c2e1-4352-89aa-3faca8eaba52" xsi:nil="true"/>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8882BBCB-8223-4FBC-B4C8-1308C091A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infopath/2007/PartnerControls"/>
    <ds:schemaRef ds:uri="http://purl.org/dc/dcmitype/"/>
    <ds:schemaRef ds:uri="http://purl.org/dc/elements/1.1/"/>
    <ds:schemaRef ds:uri="5067c814-4b34-462c-a21d-c185ff6548d2"/>
    <ds:schemaRef ds:uri="785685f2-c2e1-4352-89aa-3faca8eaba52"/>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950</Words>
  <Characters>5419</Characters>
  <Application>Microsoft Office Word</Application>
  <DocSecurity>0</DocSecurity>
  <Lines>45</Lines>
  <Paragraphs>12</Paragraphs>
  <ScaleCrop>false</ScaleCrop>
  <Company>Wobschall Design</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Sutton, Marissa@Energy</cp:lastModifiedBy>
  <cp:revision>108</cp:revision>
  <cp:lastPrinted>2019-04-08T16:38:00Z</cp:lastPrinted>
  <dcterms:created xsi:type="dcterms:W3CDTF">2022-10-18T15:46:00Z</dcterms:created>
  <dcterms:modified xsi:type="dcterms:W3CDTF">2024-06-12T17:14:00Z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812400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