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69CE" w14:textId="112CB5CA" w:rsidR="0019201F" w:rsidRPr="00F5007B" w:rsidRDefault="0019201F" w:rsidP="00F5007B">
      <w:pPr>
        <w:spacing w:after="80" w:line="240" w:lineRule="auto"/>
        <w:jc w:val="center"/>
        <w:rPr>
          <w:rFonts w:ascii="Tahoma" w:hAnsi="Tahoma" w:cs="Tahoma"/>
          <w:b/>
          <w:bCs/>
          <w:sz w:val="24"/>
          <w:szCs w:val="24"/>
        </w:rPr>
      </w:pPr>
      <w:r w:rsidRPr="00F5007B">
        <w:rPr>
          <w:rFonts w:ascii="Tahoma" w:hAnsi="Tahoma" w:cs="Tahoma"/>
          <w:b/>
          <w:bCs/>
          <w:sz w:val="24"/>
          <w:szCs w:val="24"/>
        </w:rPr>
        <w:t>Questions and Answers</w:t>
      </w:r>
      <w:r w:rsidR="00451BB0">
        <w:rPr>
          <w:rFonts w:ascii="Tahoma" w:hAnsi="Tahoma" w:cs="Tahoma"/>
          <w:b/>
          <w:bCs/>
          <w:sz w:val="24"/>
          <w:szCs w:val="24"/>
        </w:rPr>
        <w:t>, Addendum 02</w:t>
      </w:r>
    </w:p>
    <w:p w14:paraId="0389DF67" w14:textId="77FFDCB6" w:rsidR="0019201F" w:rsidRPr="00F5007B" w:rsidRDefault="0019201F" w:rsidP="00F5007B">
      <w:pPr>
        <w:spacing w:after="80" w:line="240" w:lineRule="auto"/>
        <w:jc w:val="center"/>
        <w:rPr>
          <w:rFonts w:ascii="Tahoma" w:hAnsi="Tahoma" w:cs="Tahoma"/>
          <w:b/>
          <w:bCs/>
          <w:sz w:val="24"/>
          <w:szCs w:val="24"/>
        </w:rPr>
      </w:pPr>
      <w:r w:rsidRPr="00F5007B">
        <w:rPr>
          <w:rFonts w:ascii="Tahoma" w:hAnsi="Tahoma" w:cs="Tahoma"/>
          <w:b/>
          <w:bCs/>
          <w:sz w:val="24"/>
          <w:szCs w:val="24"/>
        </w:rPr>
        <w:t>GFO-23-</w:t>
      </w:r>
      <w:r w:rsidR="009B38AF" w:rsidRPr="00F5007B">
        <w:rPr>
          <w:rFonts w:ascii="Tahoma" w:hAnsi="Tahoma" w:cs="Tahoma"/>
          <w:b/>
          <w:bCs/>
          <w:sz w:val="24"/>
          <w:szCs w:val="24"/>
        </w:rPr>
        <w:t>404</w:t>
      </w:r>
    </w:p>
    <w:p w14:paraId="5B4C248B" w14:textId="025C6DC6" w:rsidR="0019201F" w:rsidRPr="00F5007B" w:rsidRDefault="009B38AF" w:rsidP="00F5007B">
      <w:pPr>
        <w:spacing w:after="80" w:line="240" w:lineRule="auto"/>
        <w:jc w:val="center"/>
        <w:rPr>
          <w:rFonts w:ascii="Tahoma" w:hAnsi="Tahoma" w:cs="Tahoma"/>
          <w:b/>
          <w:bCs/>
          <w:sz w:val="24"/>
          <w:szCs w:val="24"/>
        </w:rPr>
      </w:pPr>
      <w:r w:rsidRPr="00F5007B">
        <w:rPr>
          <w:rFonts w:ascii="Tahoma" w:hAnsi="Tahoma" w:cs="Tahoma"/>
          <w:b/>
          <w:bCs/>
          <w:sz w:val="24"/>
          <w:szCs w:val="24"/>
        </w:rPr>
        <w:t>Equitable Building Decarbonization Program Direct Install</w:t>
      </w:r>
      <w:r w:rsidR="004F1BDB" w:rsidRPr="00F5007B">
        <w:rPr>
          <w:rFonts w:ascii="Tahoma" w:hAnsi="Tahoma" w:cs="Tahoma"/>
          <w:b/>
          <w:bCs/>
          <w:sz w:val="24"/>
          <w:szCs w:val="24"/>
        </w:rPr>
        <w:t xml:space="preserve"> P</w:t>
      </w:r>
      <w:r w:rsidR="009553FE" w:rsidRPr="00F5007B">
        <w:rPr>
          <w:rFonts w:ascii="Tahoma" w:hAnsi="Tahoma" w:cs="Tahoma"/>
          <w:b/>
          <w:bCs/>
          <w:sz w:val="24"/>
          <w:szCs w:val="24"/>
        </w:rPr>
        <w:t>rogram</w:t>
      </w:r>
    </w:p>
    <w:p w14:paraId="2C078E63" w14:textId="722616B0" w:rsidR="00862442" w:rsidRPr="00F5007B" w:rsidRDefault="002F1915" w:rsidP="00F5007B">
      <w:pPr>
        <w:spacing w:after="240" w:line="240" w:lineRule="auto"/>
        <w:jc w:val="center"/>
        <w:rPr>
          <w:rFonts w:ascii="Tahoma" w:hAnsi="Tahoma" w:cs="Tahoma"/>
          <w:b/>
          <w:bCs/>
          <w:sz w:val="24"/>
          <w:szCs w:val="24"/>
        </w:rPr>
      </w:pPr>
      <w:r>
        <w:rPr>
          <w:rFonts w:ascii="Tahoma" w:hAnsi="Tahoma" w:cs="Tahoma"/>
          <w:b/>
          <w:bCs/>
          <w:sz w:val="24"/>
          <w:szCs w:val="24"/>
        </w:rPr>
        <w:t>May 31</w:t>
      </w:r>
      <w:r w:rsidR="0019201F" w:rsidRPr="00F5007B">
        <w:rPr>
          <w:rFonts w:ascii="Tahoma" w:hAnsi="Tahoma" w:cs="Tahoma"/>
          <w:b/>
          <w:bCs/>
          <w:sz w:val="24"/>
          <w:szCs w:val="24"/>
        </w:rPr>
        <w:t>, 2024</w:t>
      </w:r>
      <w:r w:rsidR="00D91441">
        <w:rPr>
          <w:rFonts w:ascii="Tahoma" w:hAnsi="Tahoma" w:cs="Tahoma"/>
          <w:b/>
          <w:bCs/>
          <w:sz w:val="24"/>
          <w:szCs w:val="24"/>
        </w:rPr>
        <w:t xml:space="preserve"> </w:t>
      </w:r>
      <w:r w:rsidR="00D91441" w:rsidRPr="009D24EF">
        <w:rPr>
          <w:rFonts w:ascii="Tahoma" w:hAnsi="Tahoma" w:cs="Tahoma"/>
          <w:b/>
          <w:bCs/>
          <w:sz w:val="24"/>
          <w:szCs w:val="24"/>
          <w:u w:val="single"/>
        </w:rPr>
        <w:t xml:space="preserve">(Amended June </w:t>
      </w:r>
      <w:r w:rsidR="009D24EF" w:rsidRPr="591A001F">
        <w:rPr>
          <w:rFonts w:ascii="Tahoma" w:hAnsi="Tahoma" w:cs="Tahoma"/>
          <w:b/>
          <w:bCs/>
          <w:sz w:val="24"/>
          <w:szCs w:val="24"/>
          <w:u w:val="single"/>
        </w:rPr>
        <w:t>1</w:t>
      </w:r>
      <w:r w:rsidR="00CD3303">
        <w:rPr>
          <w:rFonts w:ascii="Tahoma" w:hAnsi="Tahoma" w:cs="Tahoma"/>
          <w:b/>
          <w:bCs/>
          <w:sz w:val="24"/>
          <w:szCs w:val="24"/>
          <w:u w:val="single"/>
        </w:rPr>
        <w:t>7</w:t>
      </w:r>
      <w:r w:rsidR="009D24EF" w:rsidRPr="009D24EF">
        <w:rPr>
          <w:rFonts w:ascii="Tahoma" w:hAnsi="Tahoma" w:cs="Tahoma"/>
          <w:b/>
          <w:bCs/>
          <w:sz w:val="24"/>
          <w:szCs w:val="24"/>
          <w:u w:val="single"/>
        </w:rPr>
        <w:t>, 2024)</w:t>
      </w:r>
    </w:p>
    <w:p w14:paraId="0DE932E3" w14:textId="7B463FAB" w:rsidR="0095030F" w:rsidRPr="00092E3B" w:rsidRDefault="00F5007B" w:rsidP="00F5007B">
      <w:pPr>
        <w:spacing w:after="240"/>
        <w:rPr>
          <w:rStyle w:val="normaltextrun"/>
          <w:rFonts w:ascii="Tahoma" w:hAnsi="Tahoma" w:cs="Tahoma"/>
          <w:b/>
          <w:color w:val="000000" w:themeColor="text1"/>
          <w:u w:val="single"/>
        </w:rPr>
      </w:pPr>
      <w:r w:rsidRPr="672F3096">
        <w:rPr>
          <w:rStyle w:val="normaltextrun"/>
          <w:rFonts w:ascii="Tahoma" w:hAnsi="Tahoma" w:cs="Tahoma"/>
          <w:color w:val="000000" w:themeColor="text1"/>
        </w:rPr>
        <w:t>The following answers are based on California Energy Commission (CEC) staff’s interpretation of the questions received regarding Grant Funding Opportunity 23-404 for the Equitable Building Decarbonization Direct Install Program</w:t>
      </w:r>
      <w:r w:rsidR="00135E1C" w:rsidRPr="672F3096">
        <w:rPr>
          <w:rStyle w:val="normaltextrun"/>
          <w:rFonts w:ascii="Tahoma" w:hAnsi="Tahoma" w:cs="Tahoma"/>
          <w:color w:val="000000" w:themeColor="text1"/>
        </w:rPr>
        <w:t xml:space="preserve">. </w:t>
      </w:r>
      <w:r w:rsidR="009752DC" w:rsidRPr="672F3096">
        <w:rPr>
          <w:rStyle w:val="normaltextrun"/>
          <w:rFonts w:ascii="Tahoma" w:hAnsi="Tahoma" w:cs="Tahoma"/>
          <w:color w:val="000000" w:themeColor="text1"/>
        </w:rPr>
        <w:t xml:space="preserve">Some questions have been edited for clarity </w:t>
      </w:r>
      <w:r w:rsidR="003F0238" w:rsidRPr="672F3096">
        <w:rPr>
          <w:rStyle w:val="normaltextrun"/>
          <w:rFonts w:ascii="Tahoma" w:hAnsi="Tahoma" w:cs="Tahoma"/>
          <w:color w:val="000000" w:themeColor="text1"/>
        </w:rPr>
        <w:t xml:space="preserve">or </w:t>
      </w:r>
      <w:r w:rsidR="00524232" w:rsidRPr="672F3096">
        <w:rPr>
          <w:rStyle w:val="normaltextrun"/>
          <w:rFonts w:ascii="Tahoma" w:hAnsi="Tahoma" w:cs="Tahoma"/>
          <w:color w:val="000000" w:themeColor="text1"/>
        </w:rPr>
        <w:t>combined</w:t>
      </w:r>
      <w:r w:rsidR="00E36B77" w:rsidRPr="672F3096">
        <w:rPr>
          <w:rStyle w:val="normaltextrun"/>
          <w:rFonts w:ascii="Tahoma" w:hAnsi="Tahoma" w:cs="Tahoma"/>
          <w:color w:val="000000" w:themeColor="text1"/>
        </w:rPr>
        <w:t xml:space="preserve"> with other similar questions. </w:t>
      </w:r>
      <w:r w:rsidRPr="672F3096">
        <w:rPr>
          <w:rStyle w:val="normaltextrun"/>
          <w:rFonts w:ascii="Tahoma" w:hAnsi="Tahoma" w:cs="Tahoma"/>
          <w:color w:val="000000" w:themeColor="text1"/>
        </w:rPr>
        <w:t>Questions and answers are grouped by topic.</w:t>
      </w:r>
      <w:r w:rsidR="009752DC" w:rsidRPr="672F3096">
        <w:rPr>
          <w:rStyle w:val="normaltextrun"/>
          <w:rFonts w:ascii="Tahoma" w:hAnsi="Tahoma" w:cs="Tahoma"/>
          <w:color w:val="000000" w:themeColor="text1"/>
        </w:rPr>
        <w:t xml:space="preserve"> </w:t>
      </w:r>
      <w:r w:rsidR="0095030F" w:rsidRPr="672F3096">
        <w:rPr>
          <w:rStyle w:val="normaltextrun"/>
          <w:rFonts w:ascii="Tahoma" w:hAnsi="Tahoma" w:cs="Tahoma"/>
          <w:b/>
          <w:color w:val="000000" w:themeColor="text1"/>
          <w:u w:val="single"/>
        </w:rPr>
        <w:t xml:space="preserve">This amended </w:t>
      </w:r>
      <w:r w:rsidR="005921FF" w:rsidRPr="672F3096">
        <w:rPr>
          <w:rStyle w:val="normaltextrun"/>
          <w:rFonts w:ascii="Tahoma" w:hAnsi="Tahoma" w:cs="Tahoma"/>
          <w:b/>
          <w:color w:val="000000" w:themeColor="text1"/>
          <w:u w:val="single"/>
        </w:rPr>
        <w:t>version</w:t>
      </w:r>
      <w:r w:rsidR="0095030F" w:rsidRPr="672F3096">
        <w:rPr>
          <w:rStyle w:val="normaltextrun"/>
          <w:rFonts w:ascii="Tahoma" w:hAnsi="Tahoma" w:cs="Tahoma"/>
          <w:b/>
          <w:color w:val="000000" w:themeColor="text1"/>
          <w:u w:val="single"/>
        </w:rPr>
        <w:t xml:space="preserve"> </w:t>
      </w:r>
      <w:r w:rsidR="252C6294" w:rsidRPr="39013554">
        <w:rPr>
          <w:rStyle w:val="normaltextrun"/>
          <w:rFonts w:ascii="Tahoma" w:hAnsi="Tahoma" w:cs="Tahoma"/>
          <w:b/>
          <w:bCs/>
          <w:color w:val="000000" w:themeColor="text1"/>
          <w:u w:val="single"/>
        </w:rPr>
        <w:t xml:space="preserve">includes revisions </w:t>
      </w:r>
      <w:r w:rsidR="252C6294" w:rsidRPr="7A55EFCA">
        <w:rPr>
          <w:rStyle w:val="normaltextrun"/>
          <w:rFonts w:ascii="Tahoma" w:hAnsi="Tahoma" w:cs="Tahoma"/>
          <w:b/>
          <w:bCs/>
          <w:color w:val="000000" w:themeColor="text1"/>
          <w:u w:val="single"/>
        </w:rPr>
        <w:t xml:space="preserve">to the answers to </w:t>
      </w:r>
      <w:r w:rsidR="252C6294" w:rsidRPr="300EC116">
        <w:rPr>
          <w:rStyle w:val="normaltextrun"/>
          <w:rFonts w:ascii="Tahoma" w:hAnsi="Tahoma" w:cs="Tahoma"/>
          <w:b/>
          <w:bCs/>
          <w:color w:val="000000" w:themeColor="text1"/>
          <w:u w:val="single"/>
        </w:rPr>
        <w:t xml:space="preserve">Questions </w:t>
      </w:r>
      <w:r w:rsidR="252C6294" w:rsidRPr="1A8EC655">
        <w:rPr>
          <w:rStyle w:val="normaltextrun"/>
          <w:rFonts w:ascii="Tahoma" w:hAnsi="Tahoma" w:cs="Tahoma"/>
          <w:b/>
          <w:bCs/>
          <w:color w:val="000000" w:themeColor="text1"/>
          <w:u w:val="single"/>
        </w:rPr>
        <w:t>28</w:t>
      </w:r>
      <w:r w:rsidR="00DE3B04">
        <w:rPr>
          <w:rStyle w:val="normaltextrun"/>
          <w:rFonts w:ascii="Tahoma" w:hAnsi="Tahoma" w:cs="Tahoma"/>
          <w:b/>
          <w:bCs/>
          <w:color w:val="000000" w:themeColor="text1"/>
          <w:u w:val="single"/>
        </w:rPr>
        <w:t>, 39, 44, 45,</w:t>
      </w:r>
      <w:r w:rsidR="252C6294" w:rsidRPr="1A8EC655">
        <w:rPr>
          <w:rStyle w:val="normaltextrun"/>
          <w:rFonts w:ascii="Tahoma" w:hAnsi="Tahoma" w:cs="Tahoma"/>
          <w:b/>
          <w:bCs/>
          <w:color w:val="000000" w:themeColor="text1"/>
          <w:u w:val="single"/>
        </w:rPr>
        <w:t xml:space="preserve"> and </w:t>
      </w:r>
      <w:r w:rsidR="252C6294" w:rsidRPr="151B5706">
        <w:rPr>
          <w:rStyle w:val="normaltextrun"/>
          <w:rFonts w:ascii="Tahoma" w:hAnsi="Tahoma" w:cs="Tahoma"/>
          <w:b/>
          <w:bCs/>
          <w:color w:val="000000" w:themeColor="text1"/>
          <w:u w:val="single"/>
        </w:rPr>
        <w:t>4</w:t>
      </w:r>
      <w:r w:rsidR="00DE3B04">
        <w:rPr>
          <w:rStyle w:val="normaltextrun"/>
          <w:rFonts w:ascii="Tahoma" w:hAnsi="Tahoma" w:cs="Tahoma"/>
          <w:b/>
          <w:bCs/>
          <w:color w:val="000000" w:themeColor="text1"/>
          <w:u w:val="single"/>
        </w:rPr>
        <w:t>8</w:t>
      </w:r>
      <w:r w:rsidR="252C6294" w:rsidRPr="43D72044">
        <w:rPr>
          <w:rStyle w:val="normaltextrun"/>
          <w:rFonts w:ascii="Tahoma" w:hAnsi="Tahoma" w:cs="Tahoma"/>
          <w:b/>
          <w:bCs/>
          <w:color w:val="000000" w:themeColor="text1"/>
          <w:u w:val="single"/>
        </w:rPr>
        <w:t>, and also</w:t>
      </w:r>
      <w:r w:rsidR="252C6294" w:rsidRPr="151B5706">
        <w:rPr>
          <w:rStyle w:val="normaltextrun"/>
          <w:rFonts w:ascii="Tahoma" w:hAnsi="Tahoma" w:cs="Tahoma"/>
          <w:b/>
          <w:bCs/>
          <w:color w:val="000000" w:themeColor="text1"/>
          <w:u w:val="single"/>
        </w:rPr>
        <w:t xml:space="preserve"> </w:t>
      </w:r>
      <w:r w:rsidR="0095030F" w:rsidRPr="1A8EC655">
        <w:rPr>
          <w:rStyle w:val="normaltextrun"/>
          <w:rFonts w:ascii="Tahoma" w:hAnsi="Tahoma" w:cs="Tahoma"/>
          <w:b/>
          <w:bCs/>
          <w:color w:val="000000" w:themeColor="text1"/>
          <w:u w:val="single"/>
        </w:rPr>
        <w:t>includes</w:t>
      </w:r>
      <w:r w:rsidR="0095030F" w:rsidRPr="672F3096">
        <w:rPr>
          <w:rStyle w:val="normaltextrun"/>
          <w:rFonts w:ascii="Tahoma" w:hAnsi="Tahoma" w:cs="Tahoma"/>
          <w:b/>
          <w:color w:val="000000" w:themeColor="text1"/>
          <w:u w:val="single"/>
        </w:rPr>
        <w:t xml:space="preserve"> one additional question </w:t>
      </w:r>
      <w:r w:rsidR="00E12DA0" w:rsidRPr="672F3096">
        <w:rPr>
          <w:rStyle w:val="normaltextrun"/>
          <w:rFonts w:ascii="Tahoma" w:hAnsi="Tahoma" w:cs="Tahoma"/>
          <w:b/>
          <w:color w:val="000000" w:themeColor="text1"/>
          <w:u w:val="single"/>
        </w:rPr>
        <w:t>(</w:t>
      </w:r>
      <w:r w:rsidR="00E12DA0" w:rsidRPr="5A7D27EA">
        <w:rPr>
          <w:rStyle w:val="normaltextrun"/>
          <w:rFonts w:ascii="Tahoma" w:hAnsi="Tahoma" w:cs="Tahoma"/>
          <w:b/>
          <w:bCs/>
          <w:color w:val="000000" w:themeColor="text1"/>
          <w:u w:val="single"/>
        </w:rPr>
        <w:t>Q</w:t>
      </w:r>
      <w:r w:rsidR="6F48D9D0" w:rsidRPr="5A7D27EA">
        <w:rPr>
          <w:rStyle w:val="normaltextrun"/>
          <w:rFonts w:ascii="Tahoma" w:hAnsi="Tahoma" w:cs="Tahoma"/>
          <w:b/>
          <w:bCs/>
          <w:color w:val="000000" w:themeColor="text1"/>
          <w:u w:val="single"/>
        </w:rPr>
        <w:t xml:space="preserve">uestion </w:t>
      </w:r>
      <w:r w:rsidR="00E12DA0" w:rsidRPr="5A7D27EA">
        <w:rPr>
          <w:rStyle w:val="normaltextrun"/>
          <w:rFonts w:ascii="Tahoma" w:hAnsi="Tahoma" w:cs="Tahoma"/>
          <w:b/>
          <w:bCs/>
          <w:color w:val="000000" w:themeColor="text1"/>
          <w:u w:val="single"/>
        </w:rPr>
        <w:t>100</w:t>
      </w:r>
      <w:r w:rsidR="00E12DA0" w:rsidRPr="672F3096">
        <w:rPr>
          <w:rStyle w:val="normaltextrun"/>
          <w:rFonts w:ascii="Tahoma" w:hAnsi="Tahoma" w:cs="Tahoma"/>
          <w:b/>
          <w:color w:val="000000" w:themeColor="text1"/>
          <w:u w:val="single"/>
        </w:rPr>
        <w:t xml:space="preserve">). </w:t>
      </w:r>
      <w:r w:rsidR="00E12DA0" w:rsidRPr="126D5B2F">
        <w:rPr>
          <w:rStyle w:val="normaltextrun"/>
          <w:rFonts w:ascii="Tahoma" w:hAnsi="Tahoma" w:cs="Tahoma"/>
          <w:b/>
          <w:bCs/>
          <w:color w:val="000000" w:themeColor="text1"/>
          <w:u w:val="single"/>
        </w:rPr>
        <w:t xml:space="preserve">There are no other changes </w:t>
      </w:r>
      <w:r w:rsidR="002D532D" w:rsidRPr="126D5B2F">
        <w:rPr>
          <w:rStyle w:val="normaltextrun"/>
          <w:rFonts w:ascii="Tahoma" w:hAnsi="Tahoma" w:cs="Tahoma"/>
          <w:b/>
          <w:bCs/>
          <w:color w:val="000000" w:themeColor="text1"/>
          <w:u w:val="single"/>
        </w:rPr>
        <w:t xml:space="preserve">to this document </w:t>
      </w:r>
      <w:r w:rsidR="008E3660" w:rsidRPr="126D5B2F">
        <w:rPr>
          <w:rStyle w:val="normaltextrun"/>
          <w:rFonts w:ascii="Tahoma" w:hAnsi="Tahoma" w:cs="Tahoma"/>
          <w:b/>
          <w:bCs/>
          <w:color w:val="000000" w:themeColor="text1"/>
          <w:u w:val="single"/>
        </w:rPr>
        <w:t>compared to the original version</w:t>
      </w:r>
      <w:r w:rsidR="005921FF" w:rsidRPr="126D5B2F">
        <w:rPr>
          <w:rStyle w:val="normaltextrun"/>
          <w:rFonts w:ascii="Tahoma" w:hAnsi="Tahoma" w:cs="Tahoma"/>
          <w:b/>
          <w:bCs/>
          <w:color w:val="000000" w:themeColor="text1"/>
          <w:u w:val="single"/>
        </w:rPr>
        <w:t xml:space="preserve"> </w:t>
      </w:r>
      <w:r w:rsidR="00F5196B" w:rsidRPr="126D5B2F">
        <w:rPr>
          <w:rStyle w:val="normaltextrun"/>
          <w:rFonts w:ascii="Tahoma" w:hAnsi="Tahoma" w:cs="Tahoma"/>
          <w:b/>
          <w:bCs/>
          <w:color w:val="000000" w:themeColor="text1"/>
          <w:u w:val="single"/>
        </w:rPr>
        <w:t>released on May 31, 2024</w:t>
      </w:r>
      <w:r w:rsidR="00092E3B" w:rsidRPr="126D5B2F">
        <w:rPr>
          <w:rStyle w:val="normaltextrun"/>
          <w:rFonts w:ascii="Tahoma" w:hAnsi="Tahoma" w:cs="Tahoma"/>
          <w:b/>
          <w:bCs/>
          <w:color w:val="000000" w:themeColor="text1"/>
          <w:u w:val="single"/>
        </w:rPr>
        <w:t xml:space="preserve">. </w:t>
      </w:r>
    </w:p>
    <w:p w14:paraId="08328BEA" w14:textId="5ED3A4CF" w:rsidR="009F3F00" w:rsidRPr="001E5266" w:rsidRDefault="00D63FD2" w:rsidP="001E5266">
      <w:pPr>
        <w:pStyle w:val="Heading1"/>
      </w:pPr>
      <w:r w:rsidRPr="001E5266">
        <w:t>Application Format</w:t>
      </w:r>
      <w:r w:rsidR="003D7AD7">
        <w:t xml:space="preserve"> and Organization</w:t>
      </w:r>
    </w:p>
    <w:p w14:paraId="7C1DA1B9" w14:textId="07F675E0" w:rsidR="00B31EBC" w:rsidRPr="004C5D8F" w:rsidRDefault="00B31EBC" w:rsidP="00A66DE1">
      <w:pPr>
        <w:ind w:left="720" w:hanging="720"/>
        <w:rPr>
          <w:rFonts w:ascii="Tahoma" w:hAnsi="Tahoma" w:cs="Tahoma"/>
          <w:b/>
          <w:bCs/>
        </w:rPr>
      </w:pPr>
      <w:r w:rsidRPr="004C5D8F">
        <w:rPr>
          <w:rFonts w:ascii="Tahoma" w:hAnsi="Tahoma" w:cs="Tahoma"/>
          <w:b/>
        </w:rPr>
        <w:t>Q1:</w:t>
      </w:r>
      <w:r w:rsidR="00ED73CC" w:rsidRPr="004C5D8F">
        <w:rPr>
          <w:rFonts w:ascii="Tahoma" w:hAnsi="Tahoma" w:cs="Tahoma"/>
          <w:b/>
          <w:bCs/>
        </w:rPr>
        <w:tab/>
      </w:r>
      <w:r w:rsidRPr="004C5D8F">
        <w:rPr>
          <w:rFonts w:ascii="Tahoma" w:hAnsi="Tahoma" w:cs="Tahoma"/>
          <w:b/>
          <w:bCs/>
        </w:rPr>
        <w:t xml:space="preserve">Do font size and spacing requirements apply to figures, tables, </w:t>
      </w:r>
      <w:r w:rsidR="0019768B" w:rsidRPr="004C5D8F">
        <w:rPr>
          <w:rFonts w:ascii="Tahoma" w:hAnsi="Tahoma" w:cs="Tahoma"/>
          <w:b/>
          <w:bCs/>
        </w:rPr>
        <w:t xml:space="preserve">graphics, </w:t>
      </w:r>
      <w:r w:rsidRPr="004C5D8F">
        <w:rPr>
          <w:rFonts w:ascii="Tahoma" w:hAnsi="Tahoma" w:cs="Tahoma"/>
          <w:b/>
          <w:bCs/>
        </w:rPr>
        <w:t>and text boxes?</w:t>
      </w:r>
    </w:p>
    <w:p w14:paraId="59EEF8F9" w14:textId="653391B0" w:rsidR="00B31EBC" w:rsidRPr="004C5D8F" w:rsidRDefault="00B31EBC" w:rsidP="00F5007B">
      <w:pPr>
        <w:ind w:left="720" w:hanging="720"/>
        <w:rPr>
          <w:rFonts w:ascii="Tahoma" w:hAnsi="Tahoma" w:cs="Tahoma"/>
        </w:rPr>
      </w:pPr>
      <w:r w:rsidRPr="004C5D8F">
        <w:rPr>
          <w:rFonts w:ascii="Tahoma" w:hAnsi="Tahoma" w:cs="Tahoma"/>
        </w:rPr>
        <w:t xml:space="preserve">A1: </w:t>
      </w:r>
      <w:r w:rsidR="00E9153D" w:rsidRPr="004C5D8F">
        <w:rPr>
          <w:rFonts w:ascii="Tahoma" w:hAnsi="Tahoma" w:cs="Tahoma"/>
        </w:rPr>
        <w:tab/>
      </w:r>
      <w:r w:rsidR="00C74254" w:rsidRPr="004C5D8F">
        <w:rPr>
          <w:rFonts w:ascii="Tahoma" w:hAnsi="Tahoma" w:cs="Tahoma"/>
        </w:rPr>
        <w:t xml:space="preserve">Text boxes </w:t>
      </w:r>
      <w:r w:rsidR="00FD41C4" w:rsidRPr="004C5D8F">
        <w:rPr>
          <w:rFonts w:ascii="Tahoma" w:hAnsi="Tahoma" w:cs="Tahoma"/>
        </w:rPr>
        <w:t xml:space="preserve">must follow the font size and spacing requirements described in the </w:t>
      </w:r>
      <w:r w:rsidR="000806B8" w:rsidRPr="004C5D8F">
        <w:rPr>
          <w:rFonts w:ascii="Tahoma" w:hAnsi="Tahoma" w:cs="Tahoma"/>
        </w:rPr>
        <w:t>S</w:t>
      </w:r>
      <w:r w:rsidR="00FD41C4" w:rsidRPr="004C5D8F">
        <w:rPr>
          <w:rFonts w:ascii="Tahoma" w:hAnsi="Tahoma" w:cs="Tahoma"/>
        </w:rPr>
        <w:t xml:space="preserve">olicitation </w:t>
      </w:r>
      <w:r w:rsidR="000806B8" w:rsidRPr="004C5D8F">
        <w:rPr>
          <w:rFonts w:ascii="Tahoma" w:hAnsi="Tahoma" w:cs="Tahoma"/>
        </w:rPr>
        <w:t>M</w:t>
      </w:r>
      <w:r w:rsidR="00FD41C4" w:rsidRPr="004C5D8F">
        <w:rPr>
          <w:rFonts w:ascii="Tahoma" w:hAnsi="Tahoma" w:cs="Tahoma"/>
        </w:rPr>
        <w:t xml:space="preserve">anual (11-point Arial, single spaced, blank line between paragraphs). Figures, tables, and graphics are not required to </w:t>
      </w:r>
      <w:r w:rsidR="006F5E47" w:rsidRPr="004C5D8F">
        <w:rPr>
          <w:rFonts w:ascii="Tahoma" w:hAnsi="Tahoma" w:cs="Tahoma"/>
        </w:rPr>
        <w:t>follow these requirements.</w:t>
      </w:r>
    </w:p>
    <w:p w14:paraId="4669F44A" w14:textId="61CA8F2E" w:rsidR="00594228" w:rsidRPr="004C5D8F" w:rsidRDefault="00594228" w:rsidP="00A66DE1">
      <w:pPr>
        <w:ind w:left="720" w:hanging="720"/>
        <w:rPr>
          <w:rFonts w:ascii="Tahoma" w:hAnsi="Tahoma" w:cs="Tahoma"/>
          <w:b/>
          <w:bCs/>
        </w:rPr>
      </w:pPr>
      <w:r w:rsidRPr="004C5D8F">
        <w:rPr>
          <w:rFonts w:ascii="Tahoma" w:hAnsi="Tahoma" w:cs="Tahoma"/>
          <w:b/>
        </w:rPr>
        <w:t>Q2:</w:t>
      </w:r>
      <w:r w:rsidRPr="004C5D8F">
        <w:rPr>
          <w:rFonts w:ascii="Tahoma" w:hAnsi="Tahoma" w:cs="Tahoma"/>
          <w:b/>
          <w:bCs/>
        </w:rPr>
        <w:t xml:space="preserve"> </w:t>
      </w:r>
      <w:r w:rsidR="00ED73CC" w:rsidRPr="004C5D8F">
        <w:rPr>
          <w:rFonts w:ascii="Tahoma" w:hAnsi="Tahoma" w:cs="Tahoma"/>
          <w:b/>
          <w:bCs/>
        </w:rPr>
        <w:tab/>
        <w:t>Is front matter (cover letter, cover page, table of contents, list of acronyms, etc.) excluded from any page count?</w:t>
      </w:r>
    </w:p>
    <w:p w14:paraId="682171B9" w14:textId="39D4E429" w:rsidR="00ED73CC" w:rsidRPr="004C5D8F" w:rsidRDefault="00ED73CC" w:rsidP="00A66DE1">
      <w:pPr>
        <w:ind w:left="720" w:hanging="720"/>
        <w:rPr>
          <w:rFonts w:ascii="Tahoma" w:hAnsi="Tahoma" w:cs="Tahoma"/>
        </w:rPr>
      </w:pPr>
      <w:r w:rsidRPr="004C5D8F">
        <w:rPr>
          <w:rFonts w:ascii="Tahoma" w:hAnsi="Tahoma" w:cs="Tahoma"/>
        </w:rPr>
        <w:t xml:space="preserve">A2: </w:t>
      </w:r>
      <w:r w:rsidR="009D6A0A" w:rsidRPr="004C5D8F">
        <w:rPr>
          <w:rFonts w:ascii="Tahoma" w:hAnsi="Tahoma" w:cs="Tahoma"/>
        </w:rPr>
        <w:tab/>
      </w:r>
      <w:r w:rsidR="006E00F7" w:rsidRPr="00805A25">
        <w:rPr>
          <w:rFonts w:ascii="Tahoma" w:hAnsi="Tahoma" w:cs="Tahoma"/>
        </w:rPr>
        <w:t>Addendum 01</w:t>
      </w:r>
      <w:r w:rsidR="006E00F7">
        <w:rPr>
          <w:rFonts w:ascii="Tahoma" w:hAnsi="Tahoma" w:cs="Tahoma"/>
        </w:rPr>
        <w:t xml:space="preserve"> increases the maximum length of the Program Narrative from 40 pages to 45 pages. This </w:t>
      </w:r>
      <w:r w:rsidR="00501273">
        <w:rPr>
          <w:rFonts w:ascii="Tahoma" w:hAnsi="Tahoma" w:cs="Tahoma"/>
        </w:rPr>
        <w:t>page count</w:t>
      </w:r>
      <w:r w:rsidR="006E00F7">
        <w:rPr>
          <w:rFonts w:ascii="Tahoma" w:hAnsi="Tahoma" w:cs="Tahoma"/>
        </w:rPr>
        <w:t xml:space="preserve"> includes any front matter. </w:t>
      </w:r>
    </w:p>
    <w:p w14:paraId="6D02D51A" w14:textId="0B3B28A9" w:rsidR="00BF69D7" w:rsidRPr="004C5D8F" w:rsidRDefault="00BF69D7" w:rsidP="00A66DE1">
      <w:pPr>
        <w:ind w:left="720" w:hanging="720"/>
        <w:rPr>
          <w:rFonts w:ascii="Tahoma" w:hAnsi="Tahoma" w:cs="Tahoma"/>
          <w:b/>
        </w:rPr>
      </w:pPr>
      <w:r w:rsidRPr="004C5D8F">
        <w:rPr>
          <w:rFonts w:ascii="Tahoma" w:hAnsi="Tahoma" w:cs="Tahoma"/>
          <w:b/>
        </w:rPr>
        <w:t>Q</w:t>
      </w:r>
      <w:r w:rsidR="00514106" w:rsidRPr="004C5D8F">
        <w:rPr>
          <w:rFonts w:ascii="Tahoma" w:hAnsi="Tahoma" w:cs="Tahoma"/>
          <w:b/>
        </w:rPr>
        <w:t>3</w:t>
      </w:r>
      <w:r w:rsidRPr="004C5D8F">
        <w:rPr>
          <w:rFonts w:ascii="Tahoma" w:hAnsi="Tahoma" w:cs="Tahoma"/>
          <w:b/>
        </w:rPr>
        <w:t>:</w:t>
      </w:r>
      <w:r w:rsidRPr="004C5D8F">
        <w:rPr>
          <w:rFonts w:ascii="Tahoma" w:hAnsi="Tahoma" w:cs="Tahoma"/>
          <w:b/>
        </w:rPr>
        <w:tab/>
        <w:t xml:space="preserve">Resumes and </w:t>
      </w:r>
      <w:r w:rsidR="00A50335" w:rsidRPr="004C5D8F">
        <w:rPr>
          <w:rFonts w:ascii="Tahoma" w:hAnsi="Tahoma" w:cs="Tahoma"/>
          <w:b/>
        </w:rPr>
        <w:t>Letters of Commitment/Support</w:t>
      </w:r>
      <w:r w:rsidRPr="004C5D8F">
        <w:rPr>
          <w:rFonts w:ascii="Tahoma" w:hAnsi="Tahoma" w:cs="Tahoma"/>
          <w:b/>
        </w:rPr>
        <w:t xml:space="preserve"> are limited to </w:t>
      </w:r>
      <w:r w:rsidR="009127A4" w:rsidRPr="004C5D8F">
        <w:rPr>
          <w:rFonts w:ascii="Tahoma" w:hAnsi="Tahoma" w:cs="Tahoma"/>
          <w:b/>
        </w:rPr>
        <w:t>two</w:t>
      </w:r>
      <w:r w:rsidRPr="004C5D8F">
        <w:rPr>
          <w:rFonts w:ascii="Tahoma" w:hAnsi="Tahoma" w:cs="Tahoma"/>
          <w:b/>
        </w:rPr>
        <w:t xml:space="preserve"> pages. This is per resume </w:t>
      </w:r>
      <w:r w:rsidR="00A50335" w:rsidRPr="004C5D8F">
        <w:rPr>
          <w:rFonts w:ascii="Tahoma" w:hAnsi="Tahoma" w:cs="Tahoma"/>
          <w:b/>
        </w:rPr>
        <w:t>and per letter, correct? Is there a limit on the number of resumes and letters that can be provided?</w:t>
      </w:r>
    </w:p>
    <w:p w14:paraId="58CDB111" w14:textId="2C9C4492" w:rsidR="00A50335" w:rsidRPr="004C5D8F" w:rsidRDefault="00A50335" w:rsidP="00A66DE1">
      <w:pPr>
        <w:ind w:left="720" w:hanging="720"/>
        <w:rPr>
          <w:rFonts w:ascii="Tahoma" w:hAnsi="Tahoma" w:cs="Tahoma"/>
          <w:bCs/>
        </w:rPr>
      </w:pPr>
      <w:r w:rsidRPr="004C5D8F">
        <w:rPr>
          <w:rFonts w:ascii="Tahoma" w:hAnsi="Tahoma" w:cs="Tahoma"/>
          <w:bCs/>
        </w:rPr>
        <w:t>A</w:t>
      </w:r>
      <w:r w:rsidR="00793355" w:rsidRPr="004C5D8F">
        <w:rPr>
          <w:rFonts w:ascii="Tahoma" w:hAnsi="Tahoma" w:cs="Tahoma"/>
          <w:bCs/>
        </w:rPr>
        <w:t>3</w:t>
      </w:r>
      <w:r w:rsidRPr="004C5D8F">
        <w:rPr>
          <w:rFonts w:ascii="Tahoma" w:hAnsi="Tahoma" w:cs="Tahoma"/>
          <w:bCs/>
        </w:rPr>
        <w:t>:</w:t>
      </w:r>
      <w:r w:rsidRPr="004C5D8F">
        <w:rPr>
          <w:rFonts w:ascii="Tahoma" w:hAnsi="Tahoma" w:cs="Tahoma"/>
          <w:bCs/>
        </w:rPr>
        <w:tab/>
      </w:r>
      <w:r w:rsidR="00A07D24" w:rsidRPr="004C5D8F">
        <w:rPr>
          <w:rFonts w:ascii="Tahoma" w:hAnsi="Tahoma" w:cs="Tahoma"/>
          <w:bCs/>
        </w:rPr>
        <w:t xml:space="preserve">Correct, </w:t>
      </w:r>
      <w:r w:rsidR="009127A4" w:rsidRPr="004C5D8F">
        <w:rPr>
          <w:rFonts w:ascii="Tahoma" w:hAnsi="Tahoma" w:cs="Tahoma"/>
          <w:bCs/>
        </w:rPr>
        <w:t>resumes and Letters of Commitment/Support are limited to a maximum of two pages each. There is not a limit on the number of resumes or Letters of Commitment/Support that may be provided.</w:t>
      </w:r>
    </w:p>
    <w:p w14:paraId="27D0682A" w14:textId="3B42ADF8" w:rsidR="005232A8" w:rsidRPr="004C5D8F" w:rsidRDefault="005232A8" w:rsidP="00A66DE1">
      <w:pPr>
        <w:ind w:left="720" w:hanging="720"/>
        <w:rPr>
          <w:rFonts w:ascii="Tahoma" w:hAnsi="Tahoma" w:cs="Tahoma"/>
          <w:b/>
          <w:bCs/>
        </w:rPr>
      </w:pPr>
      <w:r w:rsidRPr="004C5D8F">
        <w:rPr>
          <w:rFonts w:ascii="Tahoma" w:hAnsi="Tahoma" w:cs="Tahoma"/>
          <w:b/>
        </w:rPr>
        <w:t>Q</w:t>
      </w:r>
      <w:r w:rsidR="00793355" w:rsidRPr="004C5D8F">
        <w:rPr>
          <w:rFonts w:ascii="Tahoma" w:hAnsi="Tahoma" w:cs="Tahoma"/>
          <w:b/>
        </w:rPr>
        <w:t>4</w:t>
      </w:r>
      <w:r w:rsidRPr="004C5D8F">
        <w:rPr>
          <w:rFonts w:ascii="Tahoma" w:hAnsi="Tahoma" w:cs="Tahoma"/>
          <w:b/>
        </w:rPr>
        <w:t>:</w:t>
      </w:r>
      <w:r w:rsidRPr="004C5D8F">
        <w:rPr>
          <w:rFonts w:ascii="Tahoma" w:hAnsi="Tahoma" w:cs="Tahoma"/>
          <w:b/>
          <w:bCs/>
        </w:rPr>
        <w:t xml:space="preserve"> </w:t>
      </w:r>
      <w:r w:rsidR="009E0768" w:rsidRPr="004C5D8F">
        <w:rPr>
          <w:rFonts w:ascii="Tahoma" w:hAnsi="Tahoma" w:cs="Tahoma"/>
          <w:b/>
          <w:bCs/>
        </w:rPr>
        <w:tab/>
        <w:t>Are page numbers required only in the Program Narrative or for all attachments as well?</w:t>
      </w:r>
    </w:p>
    <w:p w14:paraId="2488999F" w14:textId="4EDDFBF8" w:rsidR="009E0768" w:rsidRPr="004C5D8F" w:rsidRDefault="009E0768" w:rsidP="00A66DE1">
      <w:pPr>
        <w:ind w:left="720" w:hanging="720"/>
        <w:rPr>
          <w:rFonts w:ascii="Tahoma" w:hAnsi="Tahoma" w:cs="Tahoma"/>
        </w:rPr>
      </w:pPr>
      <w:r w:rsidRPr="004C5D8F">
        <w:rPr>
          <w:rFonts w:ascii="Tahoma" w:hAnsi="Tahoma" w:cs="Tahoma"/>
        </w:rPr>
        <w:t>A</w:t>
      </w:r>
      <w:r w:rsidR="00793355" w:rsidRPr="004C5D8F">
        <w:rPr>
          <w:rFonts w:ascii="Tahoma" w:hAnsi="Tahoma" w:cs="Tahoma"/>
        </w:rPr>
        <w:t>4</w:t>
      </w:r>
      <w:r w:rsidRPr="004C5D8F">
        <w:rPr>
          <w:rFonts w:ascii="Tahoma" w:hAnsi="Tahoma" w:cs="Tahoma"/>
        </w:rPr>
        <w:t>:</w:t>
      </w:r>
      <w:r w:rsidR="00F22A0F" w:rsidRPr="004C5D8F">
        <w:rPr>
          <w:rFonts w:ascii="Tahoma" w:hAnsi="Tahoma" w:cs="Tahoma"/>
        </w:rPr>
        <w:tab/>
      </w:r>
      <w:r w:rsidR="0074799C" w:rsidRPr="004C5D8F">
        <w:rPr>
          <w:rFonts w:ascii="Tahoma" w:hAnsi="Tahoma" w:cs="Tahoma"/>
        </w:rPr>
        <w:t>Applicants are required to insert page numbers only in the Program Narrative.</w:t>
      </w:r>
      <w:r w:rsidR="008D7BBD" w:rsidRPr="004C5D8F">
        <w:rPr>
          <w:rFonts w:ascii="Tahoma" w:hAnsi="Tahoma" w:cs="Tahoma"/>
        </w:rPr>
        <w:t xml:space="preserve"> </w:t>
      </w:r>
      <w:r w:rsidR="000F03C9" w:rsidRPr="004C5D8F">
        <w:rPr>
          <w:rFonts w:ascii="Tahoma" w:hAnsi="Tahoma" w:cs="Tahoma"/>
        </w:rPr>
        <w:t>A</w:t>
      </w:r>
      <w:r w:rsidR="00190695" w:rsidRPr="004C5D8F">
        <w:rPr>
          <w:rFonts w:ascii="Tahoma" w:hAnsi="Tahoma" w:cs="Tahoma"/>
        </w:rPr>
        <w:t xml:space="preserve">ttachments provided by the CEC </w:t>
      </w:r>
      <w:r w:rsidR="000F03C9" w:rsidRPr="004C5D8F">
        <w:rPr>
          <w:rFonts w:ascii="Tahoma" w:hAnsi="Tahoma" w:cs="Tahoma"/>
        </w:rPr>
        <w:t xml:space="preserve">in Microsoft Word </w:t>
      </w:r>
      <w:r w:rsidR="00190695" w:rsidRPr="004C5D8F">
        <w:rPr>
          <w:rFonts w:ascii="Tahoma" w:hAnsi="Tahoma" w:cs="Tahoma"/>
        </w:rPr>
        <w:t xml:space="preserve">already have page numbers </w:t>
      </w:r>
      <w:r w:rsidR="008D7BBD" w:rsidRPr="004C5D8F">
        <w:rPr>
          <w:rFonts w:ascii="Tahoma" w:hAnsi="Tahoma" w:cs="Tahoma"/>
        </w:rPr>
        <w:t>included</w:t>
      </w:r>
      <w:r w:rsidR="00B925BA">
        <w:rPr>
          <w:rFonts w:ascii="Tahoma" w:hAnsi="Tahoma" w:cs="Tahoma"/>
        </w:rPr>
        <w:t xml:space="preserve"> </w:t>
      </w:r>
      <w:r w:rsidR="008917B5">
        <w:rPr>
          <w:rFonts w:ascii="Tahoma" w:hAnsi="Tahoma" w:cs="Tahoma"/>
        </w:rPr>
        <w:t xml:space="preserve">in the template </w:t>
      </w:r>
      <w:r w:rsidR="00B925BA">
        <w:rPr>
          <w:rFonts w:ascii="Tahoma" w:hAnsi="Tahoma" w:cs="Tahoma"/>
        </w:rPr>
        <w:t>and those should be maintained</w:t>
      </w:r>
      <w:r w:rsidR="00190695" w:rsidRPr="004C5D8F">
        <w:rPr>
          <w:rFonts w:ascii="Tahoma" w:hAnsi="Tahoma" w:cs="Tahoma"/>
        </w:rPr>
        <w:t xml:space="preserve">. </w:t>
      </w:r>
    </w:p>
    <w:p w14:paraId="2823A52C" w14:textId="38D3BD6C" w:rsidR="009E0768" w:rsidRPr="004C5D8F" w:rsidRDefault="009E0768" w:rsidP="00A66DE1">
      <w:pPr>
        <w:ind w:left="720" w:hanging="720"/>
        <w:rPr>
          <w:rFonts w:ascii="Tahoma" w:hAnsi="Tahoma" w:cs="Tahoma"/>
          <w:b/>
          <w:bCs/>
        </w:rPr>
      </w:pPr>
      <w:r w:rsidRPr="004C5D8F">
        <w:rPr>
          <w:rFonts w:ascii="Tahoma" w:hAnsi="Tahoma" w:cs="Tahoma"/>
          <w:b/>
        </w:rPr>
        <w:t>Q</w:t>
      </w:r>
      <w:r w:rsidR="00793355" w:rsidRPr="004C5D8F">
        <w:rPr>
          <w:rFonts w:ascii="Tahoma" w:hAnsi="Tahoma" w:cs="Tahoma"/>
          <w:b/>
        </w:rPr>
        <w:t>5</w:t>
      </w:r>
      <w:r w:rsidRPr="004C5D8F">
        <w:rPr>
          <w:rFonts w:ascii="Tahoma" w:hAnsi="Tahoma" w:cs="Tahoma"/>
          <w:b/>
        </w:rPr>
        <w:t>:</w:t>
      </w:r>
      <w:r w:rsidRPr="004C5D8F">
        <w:rPr>
          <w:rFonts w:ascii="Tahoma" w:hAnsi="Tahoma" w:cs="Tahoma"/>
          <w:b/>
          <w:bCs/>
        </w:rPr>
        <w:t xml:space="preserve"> </w:t>
      </w:r>
      <w:r w:rsidRPr="004C5D8F">
        <w:rPr>
          <w:rFonts w:ascii="Tahoma" w:hAnsi="Tahoma" w:cs="Tahoma"/>
          <w:b/>
          <w:bCs/>
        </w:rPr>
        <w:tab/>
      </w:r>
      <w:r w:rsidR="00CF2635" w:rsidRPr="004C5D8F">
        <w:rPr>
          <w:rFonts w:ascii="Tahoma" w:hAnsi="Tahoma" w:cs="Tahoma"/>
          <w:b/>
          <w:bCs/>
        </w:rPr>
        <w:t>In the Program Narrative, are only the headings required or are the criteria below the headers required?</w:t>
      </w:r>
      <w:r w:rsidR="00B30D6D" w:rsidRPr="004C5D8F">
        <w:rPr>
          <w:rFonts w:ascii="Tahoma" w:hAnsi="Tahoma" w:cs="Tahoma"/>
          <w:b/>
          <w:bCs/>
        </w:rPr>
        <w:t xml:space="preserve"> </w:t>
      </w:r>
    </w:p>
    <w:p w14:paraId="3AAC65B8" w14:textId="3572CED4" w:rsidR="00A66DE1" w:rsidRPr="004C5D8F" w:rsidRDefault="00B30D6D" w:rsidP="00A66DE1">
      <w:pPr>
        <w:ind w:left="720" w:hanging="720"/>
        <w:rPr>
          <w:rFonts w:ascii="Tahoma" w:hAnsi="Tahoma" w:cs="Tahoma"/>
        </w:rPr>
      </w:pPr>
      <w:r w:rsidRPr="004C5D8F">
        <w:rPr>
          <w:rFonts w:ascii="Tahoma" w:hAnsi="Tahoma" w:cs="Tahoma"/>
        </w:rPr>
        <w:t>A</w:t>
      </w:r>
      <w:r w:rsidR="00793355" w:rsidRPr="004C5D8F">
        <w:rPr>
          <w:rFonts w:ascii="Tahoma" w:hAnsi="Tahoma" w:cs="Tahoma"/>
        </w:rPr>
        <w:t>5</w:t>
      </w:r>
      <w:r w:rsidRPr="004C5D8F">
        <w:rPr>
          <w:rFonts w:ascii="Tahoma" w:hAnsi="Tahoma" w:cs="Tahoma"/>
        </w:rPr>
        <w:t xml:space="preserve">: </w:t>
      </w:r>
      <w:r w:rsidRPr="004C5D8F">
        <w:rPr>
          <w:rFonts w:ascii="Tahoma" w:hAnsi="Tahoma" w:cs="Tahoma"/>
        </w:rPr>
        <w:tab/>
      </w:r>
      <w:r w:rsidR="006D143B" w:rsidRPr="004C5D8F">
        <w:rPr>
          <w:rFonts w:ascii="Tahoma" w:hAnsi="Tahoma" w:cs="Tahoma"/>
        </w:rPr>
        <w:t xml:space="preserve">The Program Narrative must include the headers </w:t>
      </w:r>
      <w:r w:rsidR="00142AEB" w:rsidRPr="004C5D8F">
        <w:rPr>
          <w:rFonts w:ascii="Tahoma" w:hAnsi="Tahoma" w:cs="Tahoma"/>
        </w:rPr>
        <w:t xml:space="preserve">shown in the </w:t>
      </w:r>
      <w:r w:rsidR="000806B8" w:rsidRPr="004C5D8F">
        <w:rPr>
          <w:rFonts w:ascii="Tahoma" w:hAnsi="Tahoma" w:cs="Tahoma"/>
        </w:rPr>
        <w:t>S</w:t>
      </w:r>
      <w:r w:rsidR="00142AEB" w:rsidRPr="004C5D8F">
        <w:rPr>
          <w:rFonts w:ascii="Tahoma" w:hAnsi="Tahoma" w:cs="Tahoma"/>
        </w:rPr>
        <w:t xml:space="preserve">olicitation </w:t>
      </w:r>
      <w:r w:rsidR="000806B8" w:rsidRPr="004C5D8F">
        <w:rPr>
          <w:rFonts w:ascii="Tahoma" w:hAnsi="Tahoma" w:cs="Tahoma"/>
        </w:rPr>
        <w:t>M</w:t>
      </w:r>
      <w:r w:rsidR="00142AEB" w:rsidRPr="004C5D8F">
        <w:rPr>
          <w:rFonts w:ascii="Tahoma" w:hAnsi="Tahoma" w:cs="Tahoma"/>
        </w:rPr>
        <w:t>anual</w:t>
      </w:r>
      <w:r w:rsidR="00B03F63" w:rsidRPr="004C5D8F">
        <w:rPr>
          <w:rFonts w:ascii="Tahoma" w:hAnsi="Tahoma" w:cs="Tahoma"/>
        </w:rPr>
        <w:t xml:space="preserve">, for example, “Team Experience and Qualifications,” “Team Roles and Internal Controls,” etc. </w:t>
      </w:r>
      <w:r w:rsidR="00142AEB" w:rsidRPr="004C5D8F">
        <w:rPr>
          <w:rFonts w:ascii="Tahoma" w:hAnsi="Tahoma" w:cs="Tahoma"/>
        </w:rPr>
        <w:t xml:space="preserve"> Applicants</w:t>
      </w:r>
      <w:r w:rsidR="00B03F63" w:rsidRPr="004C5D8F">
        <w:rPr>
          <w:rFonts w:ascii="Tahoma" w:hAnsi="Tahoma" w:cs="Tahoma"/>
        </w:rPr>
        <w:t xml:space="preserve"> must </w:t>
      </w:r>
      <w:r w:rsidR="000B12CE" w:rsidRPr="004C5D8F">
        <w:rPr>
          <w:rFonts w:ascii="Tahoma" w:hAnsi="Tahoma" w:cs="Tahoma"/>
        </w:rPr>
        <w:t>respond to the criteria listed below each header, but are not required to copy/paste the criteria themselves.</w:t>
      </w:r>
    </w:p>
    <w:p w14:paraId="3CA86AAF" w14:textId="77777777" w:rsidR="00A51FAA" w:rsidRPr="004C5D8F" w:rsidRDefault="00A51FAA" w:rsidP="00A51FAA">
      <w:pPr>
        <w:jc w:val="center"/>
        <w:rPr>
          <w:rFonts w:ascii="Tahoma" w:hAnsi="Tahoma" w:cs="Tahoma"/>
        </w:rPr>
      </w:pPr>
    </w:p>
    <w:p w14:paraId="0EB108CA" w14:textId="1FD67639" w:rsidR="003D7AD7" w:rsidRPr="004C5D8F" w:rsidRDefault="003D7AD7" w:rsidP="00A66DE1">
      <w:pPr>
        <w:ind w:left="720" w:hanging="720"/>
        <w:rPr>
          <w:rFonts w:ascii="Tahoma" w:hAnsi="Tahoma" w:cs="Tahoma"/>
          <w:b/>
          <w:bCs/>
        </w:rPr>
      </w:pPr>
      <w:r w:rsidRPr="004C5D8F">
        <w:rPr>
          <w:rFonts w:ascii="Tahoma" w:hAnsi="Tahoma" w:cs="Tahoma"/>
          <w:b/>
        </w:rPr>
        <w:t>Q</w:t>
      </w:r>
      <w:r w:rsidR="0037680E" w:rsidRPr="004C5D8F">
        <w:rPr>
          <w:rFonts w:ascii="Tahoma" w:hAnsi="Tahoma" w:cs="Tahoma"/>
          <w:b/>
        </w:rPr>
        <w:t>6</w:t>
      </w:r>
      <w:r w:rsidRPr="004C5D8F">
        <w:rPr>
          <w:rFonts w:ascii="Tahoma" w:hAnsi="Tahoma" w:cs="Tahoma"/>
          <w:b/>
        </w:rPr>
        <w:t>:</w:t>
      </w:r>
      <w:r w:rsidRPr="004C5D8F">
        <w:rPr>
          <w:rFonts w:ascii="Tahoma" w:hAnsi="Tahoma" w:cs="Tahoma"/>
          <w:b/>
          <w:bCs/>
        </w:rPr>
        <w:tab/>
      </w:r>
      <w:r w:rsidR="00B32E3B" w:rsidRPr="004C5D8F">
        <w:rPr>
          <w:rFonts w:ascii="Tahoma" w:hAnsi="Tahoma" w:cs="Tahoma"/>
          <w:b/>
          <w:bCs/>
        </w:rPr>
        <w:t xml:space="preserve">“Initial Community Focus Areas” appears as its own category in the Evaluation Criteria table </w:t>
      </w:r>
      <w:r w:rsidR="00FB00A6" w:rsidRPr="004C5D8F">
        <w:rPr>
          <w:rFonts w:ascii="Tahoma" w:hAnsi="Tahoma" w:cs="Tahoma"/>
          <w:b/>
          <w:bCs/>
        </w:rPr>
        <w:t>(pages 39-40 of the Solicitation Manual),</w:t>
      </w:r>
      <w:r w:rsidR="00B32E3B" w:rsidRPr="004C5D8F">
        <w:rPr>
          <w:rFonts w:ascii="Tahoma" w:hAnsi="Tahoma" w:cs="Tahoma"/>
          <w:b/>
          <w:bCs/>
        </w:rPr>
        <w:t xml:space="preserve"> but under Application Organization it appears as a subsection to Program Implementation</w:t>
      </w:r>
      <w:r w:rsidR="00227929" w:rsidRPr="004C5D8F">
        <w:rPr>
          <w:rFonts w:ascii="Tahoma" w:hAnsi="Tahoma" w:cs="Tahoma"/>
          <w:b/>
          <w:bCs/>
        </w:rPr>
        <w:t xml:space="preserve"> (pages 24-26)</w:t>
      </w:r>
      <w:r w:rsidR="00B32E3B" w:rsidRPr="004C5D8F">
        <w:rPr>
          <w:rFonts w:ascii="Tahoma" w:hAnsi="Tahoma" w:cs="Tahoma"/>
          <w:b/>
          <w:bCs/>
        </w:rPr>
        <w:t xml:space="preserve">. Should that category have its own section </w:t>
      </w:r>
      <w:r w:rsidR="00227929" w:rsidRPr="004C5D8F">
        <w:rPr>
          <w:rFonts w:ascii="Tahoma" w:hAnsi="Tahoma" w:cs="Tahoma"/>
          <w:b/>
          <w:bCs/>
        </w:rPr>
        <w:t xml:space="preserve">of the Program Narrative, </w:t>
      </w:r>
      <w:r w:rsidR="00B32E3B" w:rsidRPr="004C5D8F">
        <w:rPr>
          <w:rFonts w:ascii="Tahoma" w:hAnsi="Tahoma" w:cs="Tahoma"/>
          <w:b/>
          <w:bCs/>
        </w:rPr>
        <w:t>before Program Implementation?</w:t>
      </w:r>
    </w:p>
    <w:p w14:paraId="76254D12" w14:textId="46727B7D" w:rsidR="00227929" w:rsidRPr="004C5D8F" w:rsidRDefault="00227929" w:rsidP="00A66DE1">
      <w:pPr>
        <w:ind w:left="720" w:hanging="720"/>
        <w:rPr>
          <w:rFonts w:ascii="Tahoma" w:hAnsi="Tahoma" w:cs="Tahoma"/>
        </w:rPr>
      </w:pPr>
      <w:r w:rsidRPr="004C5D8F">
        <w:rPr>
          <w:rFonts w:ascii="Tahoma" w:hAnsi="Tahoma" w:cs="Tahoma"/>
        </w:rPr>
        <w:t>A</w:t>
      </w:r>
      <w:r w:rsidR="0037680E" w:rsidRPr="004C5D8F">
        <w:rPr>
          <w:rFonts w:ascii="Tahoma" w:hAnsi="Tahoma" w:cs="Tahoma"/>
        </w:rPr>
        <w:t>6</w:t>
      </w:r>
      <w:r w:rsidR="00985FDD" w:rsidRPr="004C5D8F">
        <w:rPr>
          <w:rFonts w:ascii="Tahoma" w:hAnsi="Tahoma" w:cs="Tahoma"/>
        </w:rPr>
        <w:t>:</w:t>
      </w:r>
      <w:r w:rsidR="00985FDD" w:rsidRPr="004C5D8F">
        <w:rPr>
          <w:rFonts w:ascii="Tahoma" w:hAnsi="Tahoma" w:cs="Tahoma"/>
        </w:rPr>
        <w:tab/>
      </w:r>
      <w:r w:rsidR="00DF46DF" w:rsidRPr="004C5D8F">
        <w:rPr>
          <w:rFonts w:ascii="Tahoma" w:hAnsi="Tahoma" w:cs="Tahoma"/>
        </w:rPr>
        <w:t>T</w:t>
      </w:r>
      <w:r w:rsidR="004B0E4A" w:rsidRPr="004C5D8F">
        <w:rPr>
          <w:rFonts w:ascii="Tahoma" w:hAnsi="Tahoma" w:cs="Tahoma"/>
        </w:rPr>
        <w:t xml:space="preserve">he </w:t>
      </w:r>
      <w:r w:rsidR="00F51ECE" w:rsidRPr="004C5D8F">
        <w:rPr>
          <w:rFonts w:ascii="Tahoma" w:hAnsi="Tahoma" w:cs="Tahoma"/>
        </w:rPr>
        <w:t>a</w:t>
      </w:r>
      <w:r w:rsidR="004B0E4A" w:rsidRPr="004C5D8F">
        <w:rPr>
          <w:rFonts w:ascii="Tahoma" w:hAnsi="Tahoma" w:cs="Tahoma"/>
        </w:rPr>
        <w:t>pplicant’s proposed Initial Community Focus Areas</w:t>
      </w:r>
      <w:r w:rsidR="00985FDD" w:rsidRPr="004C5D8F">
        <w:rPr>
          <w:rFonts w:ascii="Tahoma" w:hAnsi="Tahoma" w:cs="Tahoma"/>
        </w:rPr>
        <w:t xml:space="preserve"> should be included in the </w:t>
      </w:r>
      <w:r w:rsidR="000A503C" w:rsidRPr="004C5D8F">
        <w:rPr>
          <w:rFonts w:ascii="Tahoma" w:hAnsi="Tahoma" w:cs="Tahoma"/>
        </w:rPr>
        <w:t xml:space="preserve">Program Implementation section of the Program Narrative as indicated </w:t>
      </w:r>
      <w:r w:rsidR="004B0E4A" w:rsidRPr="004C5D8F">
        <w:rPr>
          <w:rFonts w:ascii="Tahoma" w:hAnsi="Tahoma" w:cs="Tahoma"/>
        </w:rPr>
        <w:t>in the Solicitation Manual.</w:t>
      </w:r>
    </w:p>
    <w:p w14:paraId="6F0185CC" w14:textId="77777777" w:rsidR="00A66DE1" w:rsidRPr="004C5D8F" w:rsidRDefault="00A66DE1" w:rsidP="00A66DE1">
      <w:pPr>
        <w:ind w:left="720" w:hanging="720"/>
        <w:rPr>
          <w:rFonts w:ascii="Tahoma" w:hAnsi="Tahoma" w:cs="Tahoma"/>
        </w:rPr>
      </w:pPr>
    </w:p>
    <w:p w14:paraId="04841312" w14:textId="089700F9" w:rsidR="00057E73" w:rsidRPr="004C5D8F" w:rsidRDefault="008755A2" w:rsidP="001E5266">
      <w:pPr>
        <w:pStyle w:val="Heading1"/>
      </w:pPr>
      <w:r w:rsidRPr="004C5D8F">
        <w:t>Applicant Eligibility</w:t>
      </w:r>
      <w:r w:rsidR="007F7515" w:rsidRPr="004C5D8F">
        <w:t xml:space="preserve"> and Team Composition</w:t>
      </w:r>
    </w:p>
    <w:p w14:paraId="5FEE0BEE" w14:textId="7751C8EC" w:rsidR="00D766B0" w:rsidRPr="004C5D8F" w:rsidRDefault="00D766B0" w:rsidP="00A66DE1">
      <w:pPr>
        <w:ind w:left="720" w:hanging="720"/>
        <w:rPr>
          <w:rFonts w:ascii="Tahoma" w:hAnsi="Tahoma" w:cs="Tahoma"/>
          <w:b/>
          <w:bCs/>
        </w:rPr>
      </w:pPr>
      <w:r w:rsidRPr="004C5D8F">
        <w:rPr>
          <w:rFonts w:ascii="Tahoma" w:hAnsi="Tahoma" w:cs="Tahoma"/>
          <w:b/>
        </w:rPr>
        <w:t>Q</w:t>
      </w:r>
      <w:r w:rsidR="007F44DE">
        <w:rPr>
          <w:rFonts w:ascii="Tahoma" w:hAnsi="Tahoma" w:cs="Tahoma"/>
          <w:b/>
        </w:rPr>
        <w:t>7</w:t>
      </w:r>
      <w:r w:rsidRPr="004C5D8F">
        <w:rPr>
          <w:rFonts w:ascii="Tahoma" w:hAnsi="Tahoma" w:cs="Tahoma"/>
          <w:b/>
        </w:rPr>
        <w:t>:</w:t>
      </w:r>
      <w:r w:rsidRPr="004C5D8F">
        <w:rPr>
          <w:rFonts w:ascii="Tahoma" w:hAnsi="Tahoma" w:cs="Tahoma"/>
          <w:b/>
          <w:bCs/>
        </w:rPr>
        <w:t xml:space="preserve"> </w:t>
      </w:r>
      <w:r w:rsidR="008755A2" w:rsidRPr="004C5D8F">
        <w:rPr>
          <w:rFonts w:ascii="Tahoma" w:hAnsi="Tahoma" w:cs="Tahoma"/>
          <w:b/>
          <w:bCs/>
        </w:rPr>
        <w:tab/>
      </w:r>
      <w:r w:rsidR="00EF7318" w:rsidRPr="004C5D8F">
        <w:rPr>
          <w:rFonts w:ascii="Tahoma" w:hAnsi="Tahoma" w:cs="Tahoma"/>
          <w:b/>
          <w:bCs/>
        </w:rPr>
        <w:t>Can a Community Choice Aggregator be a main applicant?</w:t>
      </w:r>
    </w:p>
    <w:p w14:paraId="7931B708" w14:textId="6F7D5061" w:rsidR="00EF7318" w:rsidRPr="004C5D8F" w:rsidRDefault="00EF7318" w:rsidP="00A66DE1">
      <w:pPr>
        <w:ind w:left="720" w:hanging="720"/>
        <w:rPr>
          <w:rFonts w:ascii="Tahoma" w:hAnsi="Tahoma" w:cs="Tahoma"/>
        </w:rPr>
      </w:pPr>
      <w:r w:rsidRPr="004C5D8F">
        <w:rPr>
          <w:rFonts w:ascii="Tahoma" w:hAnsi="Tahoma" w:cs="Tahoma"/>
        </w:rPr>
        <w:t>A</w:t>
      </w:r>
      <w:r w:rsidR="007F44DE">
        <w:rPr>
          <w:rFonts w:ascii="Tahoma" w:hAnsi="Tahoma" w:cs="Tahoma"/>
        </w:rPr>
        <w:t>7</w:t>
      </w:r>
      <w:r w:rsidRPr="004C5D8F">
        <w:rPr>
          <w:rFonts w:ascii="Tahoma" w:hAnsi="Tahoma" w:cs="Tahoma"/>
        </w:rPr>
        <w:t xml:space="preserve">: </w:t>
      </w:r>
      <w:r w:rsidRPr="004C5D8F">
        <w:rPr>
          <w:rFonts w:ascii="Tahoma" w:hAnsi="Tahoma" w:cs="Tahoma"/>
        </w:rPr>
        <w:tab/>
        <w:t>Yes.</w:t>
      </w:r>
    </w:p>
    <w:p w14:paraId="07604A3F" w14:textId="29E667BE" w:rsidR="00EF7318" w:rsidRPr="004C5D8F" w:rsidRDefault="00EF7318" w:rsidP="00A66DE1">
      <w:pPr>
        <w:ind w:left="720" w:hanging="720"/>
        <w:rPr>
          <w:rFonts w:ascii="Tahoma" w:hAnsi="Tahoma" w:cs="Tahoma"/>
          <w:b/>
          <w:bCs/>
        </w:rPr>
      </w:pPr>
      <w:r w:rsidRPr="004C5D8F">
        <w:rPr>
          <w:rFonts w:ascii="Tahoma" w:hAnsi="Tahoma" w:cs="Tahoma"/>
          <w:b/>
        </w:rPr>
        <w:t>Q</w:t>
      </w:r>
      <w:r w:rsidR="00B176DD">
        <w:rPr>
          <w:rFonts w:ascii="Tahoma" w:hAnsi="Tahoma" w:cs="Tahoma"/>
          <w:b/>
        </w:rPr>
        <w:t>8</w:t>
      </w:r>
      <w:r w:rsidRPr="004C5D8F">
        <w:rPr>
          <w:rFonts w:ascii="Tahoma" w:hAnsi="Tahoma" w:cs="Tahoma"/>
          <w:b/>
        </w:rPr>
        <w:t>:</w:t>
      </w:r>
      <w:r w:rsidRPr="004C5D8F">
        <w:rPr>
          <w:rFonts w:ascii="Tahoma" w:hAnsi="Tahoma" w:cs="Tahoma"/>
          <w:b/>
          <w:bCs/>
        </w:rPr>
        <w:t xml:space="preserve"> </w:t>
      </w:r>
      <w:r w:rsidRPr="004C5D8F">
        <w:rPr>
          <w:rFonts w:ascii="Tahoma" w:hAnsi="Tahoma" w:cs="Tahoma"/>
          <w:b/>
          <w:bCs/>
        </w:rPr>
        <w:tab/>
      </w:r>
      <w:r w:rsidR="00C211B8" w:rsidRPr="004C5D8F">
        <w:rPr>
          <w:rFonts w:ascii="Tahoma" w:hAnsi="Tahoma" w:cs="Tahoma"/>
          <w:b/>
          <w:bCs/>
        </w:rPr>
        <w:t>Could a Community Choice Aggregator be considered a C</w:t>
      </w:r>
      <w:r w:rsidR="00DC7CFC" w:rsidRPr="004C5D8F">
        <w:rPr>
          <w:rFonts w:ascii="Tahoma" w:hAnsi="Tahoma" w:cs="Tahoma"/>
          <w:b/>
          <w:bCs/>
        </w:rPr>
        <w:t>ommunity-Based Organization</w:t>
      </w:r>
      <w:r w:rsidR="001C436C" w:rsidRPr="004C5D8F">
        <w:rPr>
          <w:rFonts w:ascii="Tahoma" w:hAnsi="Tahoma" w:cs="Tahoma"/>
          <w:b/>
          <w:bCs/>
        </w:rPr>
        <w:t xml:space="preserve"> (CBO)</w:t>
      </w:r>
      <w:r w:rsidR="00C211B8" w:rsidRPr="004C5D8F">
        <w:rPr>
          <w:rFonts w:ascii="Tahoma" w:hAnsi="Tahoma" w:cs="Tahoma"/>
          <w:b/>
          <w:bCs/>
        </w:rPr>
        <w:t>?</w:t>
      </w:r>
    </w:p>
    <w:p w14:paraId="6D5404FF" w14:textId="70076A3A" w:rsidR="00C211B8" w:rsidRPr="004C5D8F" w:rsidRDefault="00C211B8" w:rsidP="00A66DE1">
      <w:pPr>
        <w:ind w:left="720" w:hanging="720"/>
        <w:rPr>
          <w:rFonts w:ascii="Tahoma" w:hAnsi="Tahoma" w:cs="Tahoma"/>
        </w:rPr>
      </w:pPr>
      <w:r w:rsidRPr="004C5D8F">
        <w:rPr>
          <w:rFonts w:ascii="Tahoma" w:hAnsi="Tahoma" w:cs="Tahoma"/>
        </w:rPr>
        <w:t>A</w:t>
      </w:r>
      <w:r w:rsidR="00B176DD">
        <w:rPr>
          <w:rFonts w:ascii="Tahoma" w:hAnsi="Tahoma" w:cs="Tahoma"/>
        </w:rPr>
        <w:t>8</w:t>
      </w:r>
      <w:r w:rsidRPr="004C5D8F">
        <w:rPr>
          <w:rFonts w:ascii="Tahoma" w:hAnsi="Tahoma" w:cs="Tahoma"/>
        </w:rPr>
        <w:t>:</w:t>
      </w:r>
      <w:r w:rsidRPr="004C5D8F">
        <w:rPr>
          <w:rFonts w:ascii="Tahoma" w:hAnsi="Tahoma" w:cs="Tahoma"/>
          <w:b/>
          <w:bCs/>
        </w:rPr>
        <w:t xml:space="preserve"> </w:t>
      </w:r>
      <w:r w:rsidRPr="004C5D8F">
        <w:rPr>
          <w:rFonts w:ascii="Tahoma" w:hAnsi="Tahoma" w:cs="Tahoma"/>
          <w:b/>
          <w:bCs/>
        </w:rPr>
        <w:tab/>
      </w:r>
      <w:r w:rsidR="001C436C" w:rsidRPr="004C5D8F">
        <w:rPr>
          <w:rFonts w:ascii="Tahoma" w:hAnsi="Tahoma" w:cs="Tahoma"/>
        </w:rPr>
        <w:t>As defined in the EBD Direct Install Guidelines, “CBOs include nonprofit organizations, tribal entities, or governmental entities with demonstrated effectiveness representing underresourced or tribal communities and providing support and services to individuals in the community.”</w:t>
      </w:r>
      <w:r w:rsidR="00F33EFF" w:rsidRPr="004C5D8F">
        <w:rPr>
          <w:rFonts w:ascii="Tahoma" w:hAnsi="Tahoma" w:cs="Tahoma"/>
        </w:rPr>
        <w:t xml:space="preserve"> </w:t>
      </w:r>
      <w:r w:rsidR="00B6550F" w:rsidRPr="004C5D8F">
        <w:rPr>
          <w:rFonts w:ascii="Tahoma" w:hAnsi="Tahoma" w:cs="Tahoma"/>
        </w:rPr>
        <w:t xml:space="preserve">Any entity that meets this definition may be considered a CBO. In the Program Narrative, </w:t>
      </w:r>
      <w:r w:rsidR="00F51ECE" w:rsidRPr="004C5D8F">
        <w:rPr>
          <w:rFonts w:ascii="Tahoma" w:hAnsi="Tahoma" w:cs="Tahoma"/>
        </w:rPr>
        <w:t>a</w:t>
      </w:r>
      <w:r w:rsidR="00B6550F" w:rsidRPr="004C5D8F">
        <w:rPr>
          <w:rFonts w:ascii="Tahoma" w:hAnsi="Tahoma" w:cs="Tahoma"/>
        </w:rPr>
        <w:t xml:space="preserve">pplicants must </w:t>
      </w:r>
      <w:r w:rsidR="000F7885" w:rsidRPr="004C5D8F">
        <w:rPr>
          <w:rFonts w:ascii="Tahoma" w:hAnsi="Tahoma" w:cs="Tahoma"/>
        </w:rPr>
        <w:t xml:space="preserve">explain the </w:t>
      </w:r>
      <w:r w:rsidR="00B63816" w:rsidRPr="004C5D8F">
        <w:rPr>
          <w:rFonts w:ascii="Tahoma" w:hAnsi="Tahoma" w:cs="Tahoma"/>
        </w:rPr>
        <w:t xml:space="preserve">relevant </w:t>
      </w:r>
      <w:r w:rsidR="000F7885" w:rsidRPr="004C5D8F">
        <w:rPr>
          <w:rFonts w:ascii="Tahoma" w:hAnsi="Tahoma" w:cs="Tahoma"/>
        </w:rPr>
        <w:t>experience</w:t>
      </w:r>
      <w:r w:rsidR="0053776C" w:rsidRPr="004C5D8F">
        <w:rPr>
          <w:rFonts w:ascii="Tahoma" w:hAnsi="Tahoma" w:cs="Tahoma"/>
        </w:rPr>
        <w:t xml:space="preserve">, </w:t>
      </w:r>
      <w:r w:rsidR="000F7885" w:rsidRPr="004C5D8F">
        <w:rPr>
          <w:rFonts w:ascii="Tahoma" w:hAnsi="Tahoma" w:cs="Tahoma"/>
        </w:rPr>
        <w:t>qualifications</w:t>
      </w:r>
      <w:r w:rsidR="0053776C" w:rsidRPr="004C5D8F">
        <w:rPr>
          <w:rFonts w:ascii="Tahoma" w:hAnsi="Tahoma" w:cs="Tahoma"/>
        </w:rPr>
        <w:t>, and proposed roles</w:t>
      </w:r>
      <w:r w:rsidR="000F7885" w:rsidRPr="004C5D8F">
        <w:rPr>
          <w:rFonts w:ascii="Tahoma" w:hAnsi="Tahoma" w:cs="Tahoma"/>
        </w:rPr>
        <w:t xml:space="preserve"> of all team members, </w:t>
      </w:r>
      <w:r w:rsidR="0053776C" w:rsidRPr="004C5D8F">
        <w:rPr>
          <w:rFonts w:ascii="Tahoma" w:hAnsi="Tahoma" w:cs="Tahoma"/>
        </w:rPr>
        <w:t>including CBOs.</w:t>
      </w:r>
      <w:r w:rsidR="00C717B3" w:rsidRPr="004C5D8F">
        <w:rPr>
          <w:rFonts w:ascii="Tahoma" w:hAnsi="Tahoma" w:cs="Tahoma"/>
        </w:rPr>
        <w:t xml:space="preserve"> </w:t>
      </w:r>
    </w:p>
    <w:p w14:paraId="12F58850" w14:textId="4538267F" w:rsidR="00F010CC" w:rsidRPr="004C5D8F" w:rsidRDefault="00F010CC" w:rsidP="00F010CC">
      <w:pPr>
        <w:tabs>
          <w:tab w:val="left" w:pos="720"/>
        </w:tabs>
        <w:ind w:left="720" w:hanging="720"/>
        <w:rPr>
          <w:rFonts w:ascii="Tahoma" w:hAnsi="Tahoma" w:cs="Tahoma"/>
          <w:b/>
          <w:bCs/>
        </w:rPr>
      </w:pPr>
      <w:r w:rsidRPr="004C5D8F">
        <w:rPr>
          <w:rFonts w:ascii="Tahoma" w:hAnsi="Tahoma" w:cs="Tahoma"/>
          <w:b/>
        </w:rPr>
        <w:t>Q</w:t>
      </w:r>
      <w:r w:rsidR="00006D10">
        <w:rPr>
          <w:rFonts w:ascii="Tahoma" w:hAnsi="Tahoma" w:cs="Tahoma"/>
          <w:b/>
        </w:rPr>
        <w:t>9</w:t>
      </w:r>
      <w:r w:rsidRPr="004C5D8F">
        <w:rPr>
          <w:rFonts w:ascii="Tahoma" w:hAnsi="Tahoma" w:cs="Tahoma"/>
          <w:b/>
        </w:rPr>
        <w:t>:</w:t>
      </w:r>
      <w:r w:rsidRPr="004C5D8F">
        <w:rPr>
          <w:rFonts w:ascii="Tahoma" w:hAnsi="Tahoma" w:cs="Tahoma"/>
          <w:b/>
          <w:bCs/>
        </w:rPr>
        <w:tab/>
        <w:t>Should installation contractors (e.g. HVAC contractors) be considered subcontractors or vendors?</w:t>
      </w:r>
    </w:p>
    <w:p w14:paraId="707B31A3" w14:textId="79D8C4C5" w:rsidR="00F010CC" w:rsidRPr="004C5D8F" w:rsidRDefault="00F010CC" w:rsidP="00F010CC">
      <w:pPr>
        <w:tabs>
          <w:tab w:val="left" w:pos="720"/>
        </w:tabs>
        <w:ind w:left="720" w:hanging="720"/>
        <w:rPr>
          <w:rFonts w:ascii="Tahoma" w:hAnsi="Tahoma" w:cs="Tahoma"/>
        </w:rPr>
      </w:pPr>
      <w:r w:rsidRPr="004C5D8F">
        <w:rPr>
          <w:rFonts w:ascii="Tahoma" w:hAnsi="Tahoma" w:cs="Tahoma"/>
        </w:rPr>
        <w:t>A</w:t>
      </w:r>
      <w:r w:rsidR="00006D10">
        <w:rPr>
          <w:rFonts w:ascii="Tahoma" w:hAnsi="Tahoma" w:cs="Tahoma"/>
        </w:rPr>
        <w:t>9</w:t>
      </w:r>
      <w:r w:rsidRPr="004C5D8F">
        <w:rPr>
          <w:rFonts w:ascii="Tahoma" w:hAnsi="Tahoma" w:cs="Tahoma"/>
        </w:rPr>
        <w:t>:</w:t>
      </w:r>
      <w:r w:rsidRPr="004C5D8F">
        <w:rPr>
          <w:rFonts w:ascii="Tahoma" w:hAnsi="Tahoma" w:cs="Tahoma"/>
        </w:rPr>
        <w:tab/>
        <w:t>A subcontractor is defined in the solicitation as “</w:t>
      </w:r>
      <w:r w:rsidRPr="004C5D8F">
        <w:rPr>
          <w:rFonts w:ascii="Tahoma" w:hAnsi="Tahoma" w:cs="Tahoma"/>
          <w:spacing w:val="-3"/>
        </w:rPr>
        <w:t xml:space="preserve">a person or entity that receives grant funds directly from the Recipient and is entrusted by the Recipient to make decisions about how to conduct some of the EBD Direct Install Program activities.” </w:t>
      </w:r>
      <w:r w:rsidRPr="004C5D8F">
        <w:rPr>
          <w:rFonts w:ascii="Tahoma" w:hAnsi="Tahoma" w:cs="Tahoma"/>
        </w:rPr>
        <w:t xml:space="preserve">A vendor is defined as “a person or entity that sells goods and services to the Recipient, subcontractor, or any lower-tiered level of sub-subcontractor, in exchange for some of the grant funds, and does not make decisions about how to perform the grant’s activities.” Contractors who perform building retrofits may be defined as either “subcontractors” or “vendors” depending on their specific role </w:t>
      </w:r>
      <w:r w:rsidR="007813E8">
        <w:rPr>
          <w:rFonts w:ascii="Tahoma" w:hAnsi="Tahoma" w:cs="Tahoma"/>
        </w:rPr>
        <w:t>and decision</w:t>
      </w:r>
      <w:r w:rsidR="00F90621">
        <w:rPr>
          <w:rFonts w:ascii="Tahoma" w:hAnsi="Tahoma" w:cs="Tahoma"/>
        </w:rPr>
        <w:t>-</w:t>
      </w:r>
      <w:r w:rsidR="007813E8">
        <w:rPr>
          <w:rFonts w:ascii="Tahoma" w:hAnsi="Tahoma" w:cs="Tahoma"/>
        </w:rPr>
        <w:t xml:space="preserve">making authority </w:t>
      </w:r>
      <w:r w:rsidRPr="004C5D8F">
        <w:rPr>
          <w:rFonts w:ascii="Tahoma" w:hAnsi="Tahoma" w:cs="Tahoma"/>
        </w:rPr>
        <w:t>in the program.</w:t>
      </w:r>
    </w:p>
    <w:p w14:paraId="1174222C" w14:textId="017445E5" w:rsidR="007F7515" w:rsidRPr="004C5D8F" w:rsidRDefault="007F7515" w:rsidP="007F7515">
      <w:pPr>
        <w:rPr>
          <w:rFonts w:ascii="Tahoma" w:hAnsi="Tahoma" w:cs="Tahoma"/>
          <w:b/>
          <w:bCs/>
        </w:rPr>
      </w:pPr>
      <w:r w:rsidRPr="004C5D8F">
        <w:rPr>
          <w:rFonts w:ascii="Tahoma" w:hAnsi="Tahoma" w:cs="Tahoma"/>
          <w:b/>
        </w:rPr>
        <w:t>Q</w:t>
      </w:r>
      <w:r w:rsidR="008F46C2">
        <w:rPr>
          <w:rFonts w:ascii="Tahoma" w:hAnsi="Tahoma" w:cs="Tahoma"/>
          <w:b/>
        </w:rPr>
        <w:t>10</w:t>
      </w:r>
      <w:r w:rsidRPr="004C5D8F">
        <w:rPr>
          <w:rFonts w:ascii="Tahoma" w:hAnsi="Tahoma" w:cs="Tahoma"/>
          <w:b/>
        </w:rPr>
        <w:t>:</w:t>
      </w:r>
      <w:r w:rsidRPr="004C5D8F">
        <w:rPr>
          <w:rFonts w:ascii="Tahoma" w:hAnsi="Tahoma" w:cs="Tahoma"/>
        </w:rPr>
        <w:t xml:space="preserve"> </w:t>
      </w:r>
      <w:r w:rsidRPr="004C5D8F">
        <w:tab/>
      </w:r>
      <w:r w:rsidRPr="004C5D8F">
        <w:rPr>
          <w:rFonts w:ascii="Tahoma" w:hAnsi="Tahoma" w:cs="Tahoma"/>
          <w:b/>
          <w:bCs/>
        </w:rPr>
        <w:t>Do all vendors need to be named in the application?</w:t>
      </w:r>
    </w:p>
    <w:p w14:paraId="2D6EDF2A" w14:textId="2C6AD97C" w:rsidR="007F7515" w:rsidRPr="004C5D8F" w:rsidRDefault="007F7515" w:rsidP="007F7515">
      <w:pPr>
        <w:ind w:left="720" w:hanging="720"/>
        <w:rPr>
          <w:rFonts w:ascii="Tahoma" w:hAnsi="Tahoma" w:cs="Tahoma"/>
        </w:rPr>
      </w:pPr>
      <w:r w:rsidRPr="004C5D8F">
        <w:rPr>
          <w:rFonts w:ascii="Tahoma" w:hAnsi="Tahoma" w:cs="Tahoma"/>
        </w:rPr>
        <w:t>A</w:t>
      </w:r>
      <w:r w:rsidR="008F46C2">
        <w:rPr>
          <w:rFonts w:ascii="Tahoma" w:hAnsi="Tahoma" w:cs="Tahoma"/>
        </w:rPr>
        <w:t>10</w:t>
      </w:r>
      <w:r w:rsidRPr="004C5D8F">
        <w:rPr>
          <w:rFonts w:ascii="Tahoma" w:hAnsi="Tahoma" w:cs="Tahoma"/>
        </w:rPr>
        <w:t xml:space="preserve">: </w:t>
      </w:r>
      <w:r w:rsidRPr="004C5D8F">
        <w:tab/>
      </w:r>
      <w:r w:rsidRPr="004C5D8F">
        <w:rPr>
          <w:rFonts w:ascii="Tahoma" w:hAnsi="Tahoma" w:cs="Tahoma"/>
        </w:rPr>
        <w:t>No</w:t>
      </w:r>
      <w:r w:rsidR="00AC0D96" w:rsidRPr="004C5D8F">
        <w:rPr>
          <w:rFonts w:ascii="Tahoma" w:hAnsi="Tahoma" w:cs="Tahoma"/>
        </w:rPr>
        <w:t xml:space="preserve">, </w:t>
      </w:r>
      <w:r w:rsidR="00F51ECE" w:rsidRPr="004C5D8F">
        <w:rPr>
          <w:rFonts w:ascii="Tahoma" w:hAnsi="Tahoma" w:cs="Tahoma"/>
        </w:rPr>
        <w:t>a</w:t>
      </w:r>
      <w:r w:rsidRPr="004C5D8F">
        <w:rPr>
          <w:rFonts w:ascii="Tahoma" w:hAnsi="Tahoma" w:cs="Tahoma"/>
        </w:rPr>
        <w:t xml:space="preserve">pplicants are not required to </w:t>
      </w:r>
      <w:r w:rsidR="00F84F88" w:rsidRPr="004C5D8F">
        <w:rPr>
          <w:rFonts w:ascii="Tahoma" w:hAnsi="Tahoma" w:cs="Tahoma"/>
        </w:rPr>
        <w:t>name</w:t>
      </w:r>
      <w:r w:rsidRPr="004C5D8F">
        <w:rPr>
          <w:rFonts w:ascii="Tahoma" w:hAnsi="Tahoma" w:cs="Tahoma"/>
        </w:rPr>
        <w:t xml:space="preserve"> all vendors in the application. Applicants may insert “TBD”</w:t>
      </w:r>
      <w:r w:rsidR="00AE10B2" w:rsidRPr="004C5D8F">
        <w:rPr>
          <w:rFonts w:ascii="Tahoma" w:hAnsi="Tahoma" w:cs="Tahoma"/>
        </w:rPr>
        <w:t xml:space="preserve"> (To Be Determined)</w:t>
      </w:r>
      <w:r w:rsidRPr="004C5D8F">
        <w:rPr>
          <w:rFonts w:ascii="Tahoma" w:hAnsi="Tahoma" w:cs="Tahoma"/>
        </w:rPr>
        <w:t xml:space="preserve"> in the </w:t>
      </w:r>
      <w:r w:rsidR="00AC0D96" w:rsidRPr="004C5D8F">
        <w:rPr>
          <w:rFonts w:ascii="Tahoma" w:hAnsi="Tahoma" w:cs="Tahoma"/>
        </w:rPr>
        <w:t>“</w:t>
      </w:r>
      <w:r w:rsidRPr="004C5D8F">
        <w:rPr>
          <w:rFonts w:ascii="Tahoma" w:hAnsi="Tahoma" w:cs="Tahoma"/>
        </w:rPr>
        <w:t>Subcontractor o</w:t>
      </w:r>
      <w:r w:rsidR="00AC0D96" w:rsidRPr="004C5D8F">
        <w:rPr>
          <w:rFonts w:ascii="Tahoma" w:hAnsi="Tahoma" w:cs="Tahoma"/>
        </w:rPr>
        <w:t>r</w:t>
      </w:r>
      <w:r w:rsidRPr="004C5D8F">
        <w:rPr>
          <w:rFonts w:ascii="Tahoma" w:hAnsi="Tahoma" w:cs="Tahoma"/>
        </w:rPr>
        <w:t xml:space="preserve"> Vendor Name</w:t>
      </w:r>
      <w:r w:rsidR="00AC0D96" w:rsidRPr="004C5D8F">
        <w:rPr>
          <w:rFonts w:ascii="Tahoma" w:hAnsi="Tahoma" w:cs="Tahoma"/>
        </w:rPr>
        <w:t>”</w:t>
      </w:r>
      <w:r w:rsidRPr="004C5D8F">
        <w:rPr>
          <w:rFonts w:ascii="Tahoma" w:hAnsi="Tahoma" w:cs="Tahoma"/>
        </w:rPr>
        <w:t xml:space="preserve"> column of the Subcontracts tab of the Budget Forms (Attachment 4) to reflect subcontractors/vendors that have not been identified at the time of the application. </w:t>
      </w:r>
    </w:p>
    <w:p w14:paraId="6494F375" w14:textId="77777777" w:rsidR="00A66DE1" w:rsidRPr="004C5D8F" w:rsidRDefault="00A66DE1" w:rsidP="00A66DE1">
      <w:pPr>
        <w:ind w:left="720" w:hanging="720"/>
        <w:rPr>
          <w:rFonts w:ascii="Tahoma" w:hAnsi="Tahoma" w:cs="Tahoma"/>
        </w:rPr>
      </w:pPr>
    </w:p>
    <w:p w14:paraId="44C28B67" w14:textId="339AE610" w:rsidR="00D81465" w:rsidRPr="004C5D8F" w:rsidRDefault="00FB6FEF" w:rsidP="001E5266">
      <w:pPr>
        <w:pStyle w:val="Heading1"/>
      </w:pPr>
      <w:r w:rsidRPr="004C5D8F">
        <w:t>Budget: Cost Categories</w:t>
      </w:r>
      <w:r w:rsidR="00A82415" w:rsidRPr="004C5D8F">
        <w:t xml:space="preserve"> and Allowable Costs</w:t>
      </w:r>
    </w:p>
    <w:p w14:paraId="39D811C5" w14:textId="46DC6619" w:rsidR="00057E73" w:rsidRPr="004C5D8F" w:rsidRDefault="00991865" w:rsidP="00A66DE1">
      <w:pPr>
        <w:ind w:left="720" w:hanging="720"/>
        <w:rPr>
          <w:rFonts w:ascii="Tahoma" w:hAnsi="Tahoma" w:cs="Tahoma"/>
          <w:b/>
          <w:bCs/>
        </w:rPr>
      </w:pPr>
      <w:r w:rsidRPr="004C5D8F">
        <w:rPr>
          <w:rFonts w:ascii="Tahoma" w:hAnsi="Tahoma" w:cs="Tahoma"/>
          <w:b/>
        </w:rPr>
        <w:t>Q</w:t>
      </w:r>
      <w:r w:rsidR="00C63082" w:rsidRPr="004C5D8F">
        <w:rPr>
          <w:rFonts w:ascii="Tahoma" w:hAnsi="Tahoma" w:cs="Tahoma"/>
          <w:b/>
        </w:rPr>
        <w:t>1</w:t>
      </w:r>
      <w:r w:rsidR="008F46C2">
        <w:rPr>
          <w:rFonts w:ascii="Tahoma" w:hAnsi="Tahoma" w:cs="Tahoma"/>
          <w:b/>
        </w:rPr>
        <w:t>1</w:t>
      </w:r>
      <w:r w:rsidRPr="004C5D8F">
        <w:rPr>
          <w:rFonts w:ascii="Tahoma" w:hAnsi="Tahoma" w:cs="Tahoma"/>
          <w:b/>
        </w:rPr>
        <w:t>:</w:t>
      </w:r>
      <w:r w:rsidRPr="004C5D8F">
        <w:rPr>
          <w:rFonts w:ascii="Tahoma" w:hAnsi="Tahoma" w:cs="Tahoma"/>
          <w:b/>
          <w:bCs/>
        </w:rPr>
        <w:tab/>
        <w:t>Is th</w:t>
      </w:r>
      <w:r w:rsidR="00325F48" w:rsidRPr="004C5D8F">
        <w:rPr>
          <w:rFonts w:ascii="Tahoma" w:hAnsi="Tahoma" w:cs="Tahoma"/>
          <w:b/>
          <w:bCs/>
        </w:rPr>
        <w:t xml:space="preserve">ere a cap on </w:t>
      </w:r>
      <w:r w:rsidR="0013048E" w:rsidRPr="004C5D8F">
        <w:rPr>
          <w:rFonts w:ascii="Tahoma" w:hAnsi="Tahoma" w:cs="Tahoma"/>
          <w:b/>
          <w:bCs/>
        </w:rPr>
        <w:t>P</w:t>
      </w:r>
      <w:r w:rsidR="00325F48" w:rsidRPr="004C5D8F">
        <w:rPr>
          <w:rFonts w:ascii="Tahoma" w:hAnsi="Tahoma" w:cs="Tahoma"/>
          <w:b/>
          <w:bCs/>
        </w:rPr>
        <w:t>roject-</w:t>
      </w:r>
      <w:r w:rsidR="0013048E" w:rsidRPr="004C5D8F">
        <w:rPr>
          <w:rFonts w:ascii="Tahoma" w:hAnsi="Tahoma" w:cs="Tahoma"/>
          <w:b/>
          <w:bCs/>
        </w:rPr>
        <w:t>R</w:t>
      </w:r>
      <w:r w:rsidR="00325F48" w:rsidRPr="004C5D8F">
        <w:rPr>
          <w:rFonts w:ascii="Tahoma" w:hAnsi="Tahoma" w:cs="Tahoma"/>
          <w:b/>
          <w:bCs/>
        </w:rPr>
        <w:t xml:space="preserve">elated </w:t>
      </w:r>
      <w:r w:rsidR="0013048E" w:rsidRPr="004C5D8F">
        <w:rPr>
          <w:rFonts w:ascii="Tahoma" w:hAnsi="Tahoma" w:cs="Tahoma"/>
          <w:b/>
          <w:bCs/>
        </w:rPr>
        <w:t>C</w:t>
      </w:r>
      <w:r w:rsidR="00325F48" w:rsidRPr="004C5D8F">
        <w:rPr>
          <w:rFonts w:ascii="Tahoma" w:hAnsi="Tahoma" w:cs="Tahoma"/>
          <w:b/>
          <w:bCs/>
        </w:rPr>
        <w:t>osts for the state portion of the funding, or only the federal portion?</w:t>
      </w:r>
    </w:p>
    <w:p w14:paraId="2AE1D059" w14:textId="45F47E5D" w:rsidR="00325F48" w:rsidRPr="004C5D8F" w:rsidRDefault="00325F48" w:rsidP="00A66DE1">
      <w:pPr>
        <w:ind w:left="720" w:hanging="720"/>
        <w:rPr>
          <w:rFonts w:ascii="Tahoma" w:hAnsi="Tahoma" w:cs="Tahoma"/>
        </w:rPr>
      </w:pPr>
      <w:r w:rsidRPr="004C5D8F">
        <w:rPr>
          <w:rFonts w:ascii="Tahoma" w:hAnsi="Tahoma" w:cs="Tahoma"/>
        </w:rPr>
        <w:t>A</w:t>
      </w:r>
      <w:r w:rsidR="00C63082" w:rsidRPr="004C5D8F">
        <w:rPr>
          <w:rFonts w:ascii="Tahoma" w:hAnsi="Tahoma" w:cs="Tahoma"/>
        </w:rPr>
        <w:t>1</w:t>
      </w:r>
      <w:r w:rsidR="008F46C2">
        <w:rPr>
          <w:rFonts w:ascii="Tahoma" w:hAnsi="Tahoma" w:cs="Tahoma"/>
        </w:rPr>
        <w:t>1</w:t>
      </w:r>
      <w:r w:rsidRPr="004C5D8F">
        <w:rPr>
          <w:rFonts w:ascii="Tahoma" w:hAnsi="Tahoma" w:cs="Tahoma"/>
        </w:rPr>
        <w:t xml:space="preserve">: </w:t>
      </w:r>
      <w:r w:rsidRPr="004C5D8F">
        <w:rPr>
          <w:rFonts w:ascii="Tahoma" w:hAnsi="Tahoma" w:cs="Tahoma"/>
        </w:rPr>
        <w:tab/>
      </w:r>
      <w:r w:rsidR="00165AAA" w:rsidRPr="004C5D8F">
        <w:rPr>
          <w:rFonts w:ascii="Tahoma" w:hAnsi="Tahoma" w:cs="Tahoma"/>
        </w:rPr>
        <w:t xml:space="preserve">For federal funds, the cap on </w:t>
      </w:r>
      <w:r w:rsidR="0013048E" w:rsidRPr="004C5D8F">
        <w:rPr>
          <w:rFonts w:ascii="Tahoma" w:hAnsi="Tahoma" w:cs="Tahoma"/>
        </w:rPr>
        <w:t>P</w:t>
      </w:r>
      <w:r w:rsidR="00165AAA" w:rsidRPr="004C5D8F">
        <w:rPr>
          <w:rFonts w:ascii="Tahoma" w:hAnsi="Tahoma" w:cs="Tahoma"/>
        </w:rPr>
        <w:t>roject-</w:t>
      </w:r>
      <w:r w:rsidR="0013048E" w:rsidRPr="004C5D8F">
        <w:rPr>
          <w:rFonts w:ascii="Tahoma" w:hAnsi="Tahoma" w:cs="Tahoma"/>
        </w:rPr>
        <w:t>R</w:t>
      </w:r>
      <w:r w:rsidR="00165AAA" w:rsidRPr="004C5D8F">
        <w:rPr>
          <w:rFonts w:ascii="Tahoma" w:hAnsi="Tahoma" w:cs="Tahoma"/>
        </w:rPr>
        <w:t xml:space="preserve">elated </w:t>
      </w:r>
      <w:r w:rsidR="006C5A10" w:rsidRPr="004C5D8F">
        <w:rPr>
          <w:rFonts w:ascii="Tahoma" w:hAnsi="Tahoma" w:cs="Tahoma"/>
        </w:rPr>
        <w:t>C</w:t>
      </w:r>
      <w:r w:rsidR="00165AAA" w:rsidRPr="004C5D8F">
        <w:rPr>
          <w:rFonts w:ascii="Tahoma" w:hAnsi="Tahoma" w:cs="Tahoma"/>
        </w:rPr>
        <w:t>osts is 8</w:t>
      </w:r>
      <w:r w:rsidR="00DB578E">
        <w:rPr>
          <w:rFonts w:ascii="Tahoma" w:hAnsi="Tahoma" w:cs="Tahoma"/>
        </w:rPr>
        <w:t xml:space="preserve"> percent</w:t>
      </w:r>
      <w:r w:rsidR="00165AAA" w:rsidRPr="004C5D8F">
        <w:rPr>
          <w:rFonts w:ascii="Tahoma" w:hAnsi="Tahoma" w:cs="Tahoma"/>
        </w:rPr>
        <w:t xml:space="preserve"> of the </w:t>
      </w:r>
      <w:r w:rsidR="00364158" w:rsidRPr="004C5D8F">
        <w:rPr>
          <w:rFonts w:ascii="Tahoma" w:hAnsi="Tahoma" w:cs="Tahoma"/>
        </w:rPr>
        <w:t xml:space="preserve">Recipient’s </w:t>
      </w:r>
      <w:r w:rsidR="00165AAA" w:rsidRPr="004C5D8F">
        <w:rPr>
          <w:rFonts w:ascii="Tahoma" w:hAnsi="Tahoma" w:cs="Tahoma"/>
        </w:rPr>
        <w:t>total budget</w:t>
      </w:r>
      <w:r w:rsidR="008B067B">
        <w:rPr>
          <w:rFonts w:ascii="Tahoma" w:hAnsi="Tahoma" w:cs="Tahoma"/>
        </w:rPr>
        <w:t xml:space="preserve"> (federal funds only)</w:t>
      </w:r>
      <w:r w:rsidR="00165AAA" w:rsidRPr="004C5D8F">
        <w:rPr>
          <w:rFonts w:ascii="Tahoma" w:hAnsi="Tahoma" w:cs="Tahoma"/>
        </w:rPr>
        <w:t xml:space="preserve">. </w:t>
      </w:r>
      <w:r w:rsidRPr="004C5D8F">
        <w:rPr>
          <w:rFonts w:ascii="Tahoma" w:hAnsi="Tahoma" w:cs="Tahoma"/>
        </w:rPr>
        <w:t>The</w:t>
      </w:r>
      <w:r w:rsidR="00165AAA" w:rsidRPr="004C5D8F">
        <w:rPr>
          <w:rFonts w:ascii="Tahoma" w:hAnsi="Tahoma" w:cs="Tahoma"/>
        </w:rPr>
        <w:t xml:space="preserve">re is no cap on </w:t>
      </w:r>
      <w:r w:rsidR="00B63816" w:rsidRPr="004C5D8F">
        <w:rPr>
          <w:rFonts w:ascii="Tahoma" w:hAnsi="Tahoma" w:cs="Tahoma"/>
        </w:rPr>
        <w:t>P</w:t>
      </w:r>
      <w:r w:rsidR="00165AAA" w:rsidRPr="004C5D8F">
        <w:rPr>
          <w:rFonts w:ascii="Tahoma" w:hAnsi="Tahoma" w:cs="Tahoma"/>
        </w:rPr>
        <w:t>roject-</w:t>
      </w:r>
      <w:r w:rsidR="00B63816" w:rsidRPr="004C5D8F">
        <w:rPr>
          <w:rFonts w:ascii="Tahoma" w:hAnsi="Tahoma" w:cs="Tahoma"/>
        </w:rPr>
        <w:t>R</w:t>
      </w:r>
      <w:r w:rsidR="00165AAA" w:rsidRPr="004C5D8F">
        <w:rPr>
          <w:rFonts w:ascii="Tahoma" w:hAnsi="Tahoma" w:cs="Tahoma"/>
        </w:rPr>
        <w:t xml:space="preserve">elated </w:t>
      </w:r>
      <w:r w:rsidR="00B63816" w:rsidRPr="004C5D8F">
        <w:rPr>
          <w:rFonts w:ascii="Tahoma" w:hAnsi="Tahoma" w:cs="Tahoma"/>
        </w:rPr>
        <w:t>C</w:t>
      </w:r>
      <w:r w:rsidR="00165AAA" w:rsidRPr="004C5D8F">
        <w:rPr>
          <w:rFonts w:ascii="Tahoma" w:hAnsi="Tahoma" w:cs="Tahoma"/>
        </w:rPr>
        <w:t>osts for the state portion of funding.</w:t>
      </w:r>
    </w:p>
    <w:p w14:paraId="3A1669B8" w14:textId="140D4AF9" w:rsidR="007C6FC4" w:rsidRPr="004C5D8F" w:rsidRDefault="007C6FC4" w:rsidP="00A66DE1">
      <w:pPr>
        <w:ind w:left="720" w:hanging="720"/>
        <w:rPr>
          <w:rFonts w:ascii="Tahoma" w:hAnsi="Tahoma" w:cs="Tahoma"/>
          <w:b/>
          <w:bCs/>
        </w:rPr>
      </w:pPr>
      <w:r w:rsidRPr="004C5D8F">
        <w:rPr>
          <w:rFonts w:ascii="Tahoma" w:hAnsi="Tahoma" w:cs="Tahoma"/>
          <w:b/>
        </w:rPr>
        <w:t>Q</w:t>
      </w:r>
      <w:r w:rsidR="007A4874" w:rsidRPr="004C5D8F">
        <w:rPr>
          <w:rFonts w:ascii="Tahoma" w:hAnsi="Tahoma" w:cs="Tahoma"/>
          <w:b/>
        </w:rPr>
        <w:t>1</w:t>
      </w:r>
      <w:r w:rsidR="00905F55">
        <w:rPr>
          <w:rFonts w:ascii="Tahoma" w:hAnsi="Tahoma" w:cs="Tahoma"/>
          <w:b/>
        </w:rPr>
        <w:t>2</w:t>
      </w:r>
      <w:r w:rsidRPr="004C5D8F">
        <w:rPr>
          <w:rFonts w:ascii="Tahoma" w:hAnsi="Tahoma" w:cs="Tahoma"/>
          <w:b/>
        </w:rPr>
        <w:t>:</w:t>
      </w:r>
      <w:r w:rsidRPr="004C5D8F">
        <w:rPr>
          <w:rFonts w:ascii="Tahoma" w:hAnsi="Tahoma" w:cs="Tahoma"/>
          <w:b/>
          <w:bCs/>
        </w:rPr>
        <w:t xml:space="preserve"> </w:t>
      </w:r>
      <w:r w:rsidRPr="004C5D8F">
        <w:rPr>
          <w:rFonts w:ascii="Tahoma" w:hAnsi="Tahoma" w:cs="Tahoma"/>
          <w:b/>
          <w:bCs/>
        </w:rPr>
        <w:tab/>
      </w:r>
      <w:r w:rsidR="00FA03A3" w:rsidRPr="004C5D8F">
        <w:rPr>
          <w:rFonts w:ascii="Tahoma" w:hAnsi="Tahoma" w:cs="Tahoma"/>
          <w:b/>
          <w:bCs/>
        </w:rPr>
        <w:t xml:space="preserve">What is the cap on </w:t>
      </w:r>
      <w:r w:rsidR="00ED0C4E" w:rsidRPr="004C5D8F">
        <w:rPr>
          <w:rFonts w:ascii="Tahoma" w:hAnsi="Tahoma" w:cs="Tahoma"/>
          <w:b/>
          <w:bCs/>
        </w:rPr>
        <w:t>o</w:t>
      </w:r>
      <w:r w:rsidR="00FA03A3" w:rsidRPr="004C5D8F">
        <w:rPr>
          <w:rFonts w:ascii="Tahoma" w:hAnsi="Tahoma" w:cs="Tahoma"/>
          <w:b/>
          <w:bCs/>
        </w:rPr>
        <w:t xml:space="preserve">utreach and </w:t>
      </w:r>
      <w:r w:rsidR="00ED0C4E" w:rsidRPr="004C5D8F">
        <w:rPr>
          <w:rFonts w:ascii="Tahoma" w:hAnsi="Tahoma" w:cs="Tahoma"/>
          <w:b/>
          <w:bCs/>
        </w:rPr>
        <w:t>e</w:t>
      </w:r>
      <w:r w:rsidR="00FA03A3" w:rsidRPr="004C5D8F">
        <w:rPr>
          <w:rFonts w:ascii="Tahoma" w:hAnsi="Tahoma" w:cs="Tahoma"/>
          <w:b/>
          <w:bCs/>
        </w:rPr>
        <w:t>ngagement costs?</w:t>
      </w:r>
    </w:p>
    <w:p w14:paraId="27CFF666" w14:textId="2C85B782" w:rsidR="00FA03A3" w:rsidRPr="004C5D8F" w:rsidRDefault="00FA03A3" w:rsidP="00A66DE1">
      <w:pPr>
        <w:ind w:left="720" w:hanging="720"/>
        <w:rPr>
          <w:rFonts w:ascii="Tahoma" w:hAnsi="Tahoma" w:cs="Tahoma"/>
        </w:rPr>
      </w:pPr>
      <w:r w:rsidRPr="004C5D8F">
        <w:rPr>
          <w:rFonts w:ascii="Tahoma" w:hAnsi="Tahoma" w:cs="Tahoma"/>
        </w:rPr>
        <w:t>A</w:t>
      </w:r>
      <w:r w:rsidR="007A4874" w:rsidRPr="004C5D8F">
        <w:rPr>
          <w:rFonts w:ascii="Tahoma" w:hAnsi="Tahoma" w:cs="Tahoma"/>
        </w:rPr>
        <w:t>1</w:t>
      </w:r>
      <w:r w:rsidR="00905F55">
        <w:rPr>
          <w:rFonts w:ascii="Tahoma" w:hAnsi="Tahoma" w:cs="Tahoma"/>
        </w:rPr>
        <w:t>2</w:t>
      </w:r>
      <w:r w:rsidRPr="004C5D8F">
        <w:rPr>
          <w:rFonts w:ascii="Tahoma" w:hAnsi="Tahoma" w:cs="Tahoma"/>
        </w:rPr>
        <w:t>:</w:t>
      </w:r>
      <w:r w:rsidRPr="004C5D8F">
        <w:rPr>
          <w:rFonts w:ascii="Tahoma" w:hAnsi="Tahoma" w:cs="Tahoma"/>
        </w:rPr>
        <w:tab/>
        <w:t xml:space="preserve">Outreach and </w:t>
      </w:r>
      <w:r w:rsidR="00ED0C4E" w:rsidRPr="004C5D8F">
        <w:rPr>
          <w:rFonts w:ascii="Tahoma" w:hAnsi="Tahoma" w:cs="Tahoma"/>
        </w:rPr>
        <w:t>e</w:t>
      </w:r>
      <w:r w:rsidRPr="004C5D8F">
        <w:rPr>
          <w:rFonts w:ascii="Tahoma" w:hAnsi="Tahoma" w:cs="Tahoma"/>
        </w:rPr>
        <w:t xml:space="preserve">ngagement costs are </w:t>
      </w:r>
      <w:r w:rsidR="0013048E" w:rsidRPr="004C5D8F">
        <w:rPr>
          <w:rFonts w:ascii="Tahoma" w:hAnsi="Tahoma" w:cs="Tahoma"/>
        </w:rPr>
        <w:t xml:space="preserve">considered Project-Related Costs. </w:t>
      </w:r>
      <w:r w:rsidR="00B132C2" w:rsidRPr="004C5D8F">
        <w:rPr>
          <w:rFonts w:ascii="Tahoma" w:hAnsi="Tahoma" w:cs="Tahoma"/>
        </w:rPr>
        <w:t xml:space="preserve">For federal funds, the sum of all Project-Related Costs must not exceed 8% of the Recipient’s total budget. There is no separate cap on </w:t>
      </w:r>
      <w:r w:rsidR="00ED0C4E" w:rsidRPr="004C5D8F">
        <w:rPr>
          <w:rFonts w:ascii="Tahoma" w:hAnsi="Tahoma" w:cs="Tahoma"/>
        </w:rPr>
        <w:t>o</w:t>
      </w:r>
      <w:r w:rsidR="00B132C2" w:rsidRPr="004C5D8F">
        <w:rPr>
          <w:rFonts w:ascii="Tahoma" w:hAnsi="Tahoma" w:cs="Tahoma"/>
        </w:rPr>
        <w:t xml:space="preserve">utreach and </w:t>
      </w:r>
      <w:r w:rsidR="00ED0C4E" w:rsidRPr="004C5D8F">
        <w:rPr>
          <w:rFonts w:ascii="Tahoma" w:hAnsi="Tahoma" w:cs="Tahoma"/>
        </w:rPr>
        <w:t>e</w:t>
      </w:r>
      <w:r w:rsidR="00B132C2" w:rsidRPr="004C5D8F">
        <w:rPr>
          <w:rFonts w:ascii="Tahoma" w:hAnsi="Tahoma" w:cs="Tahoma"/>
        </w:rPr>
        <w:t xml:space="preserve">ngagement </w:t>
      </w:r>
      <w:r w:rsidR="00ED0C4E" w:rsidRPr="004C5D8F">
        <w:rPr>
          <w:rFonts w:ascii="Tahoma" w:hAnsi="Tahoma" w:cs="Tahoma"/>
        </w:rPr>
        <w:t xml:space="preserve">costs </w:t>
      </w:r>
      <w:r w:rsidR="00B132C2" w:rsidRPr="004C5D8F">
        <w:rPr>
          <w:rFonts w:ascii="Tahoma" w:hAnsi="Tahoma" w:cs="Tahoma"/>
        </w:rPr>
        <w:t xml:space="preserve">within the Project-Related </w:t>
      </w:r>
      <w:r w:rsidR="00ED0C4E" w:rsidRPr="004C5D8F">
        <w:rPr>
          <w:rFonts w:ascii="Tahoma" w:hAnsi="Tahoma" w:cs="Tahoma"/>
        </w:rPr>
        <w:t>C</w:t>
      </w:r>
      <w:r w:rsidR="00B132C2" w:rsidRPr="004C5D8F">
        <w:rPr>
          <w:rFonts w:ascii="Tahoma" w:hAnsi="Tahoma" w:cs="Tahoma"/>
        </w:rPr>
        <w:t>ost category.</w:t>
      </w:r>
      <w:r w:rsidR="00ED0C4E" w:rsidRPr="004C5D8F">
        <w:rPr>
          <w:rFonts w:ascii="Tahoma" w:hAnsi="Tahoma" w:cs="Tahoma"/>
        </w:rPr>
        <w:t xml:space="preserve"> For state funds, there is no cap on Project-Related Costs</w:t>
      </w:r>
      <w:r w:rsidR="00C57D87" w:rsidRPr="004C5D8F">
        <w:rPr>
          <w:rFonts w:ascii="Tahoma" w:hAnsi="Tahoma" w:cs="Tahoma"/>
        </w:rPr>
        <w:t xml:space="preserve"> or on outreach and engagement costs.</w:t>
      </w:r>
      <w:r w:rsidR="00B132C2" w:rsidRPr="004C5D8F">
        <w:rPr>
          <w:rFonts w:ascii="Tahoma" w:hAnsi="Tahoma" w:cs="Tahoma"/>
        </w:rPr>
        <w:t xml:space="preserve"> </w:t>
      </w:r>
      <w:r w:rsidR="00B02922" w:rsidRPr="004C5D8F">
        <w:rPr>
          <w:rFonts w:ascii="Tahoma" w:hAnsi="Tahoma" w:cs="Tahoma"/>
        </w:rPr>
        <w:t xml:space="preserve">In the Program Narrative (Budget Narrative section), </w:t>
      </w:r>
      <w:r w:rsidR="00F51ECE" w:rsidRPr="004C5D8F">
        <w:rPr>
          <w:rFonts w:ascii="Tahoma" w:hAnsi="Tahoma" w:cs="Tahoma"/>
        </w:rPr>
        <w:t>a</w:t>
      </w:r>
      <w:r w:rsidR="00B02922" w:rsidRPr="004C5D8F">
        <w:rPr>
          <w:rFonts w:ascii="Tahoma" w:hAnsi="Tahoma" w:cs="Tahoma"/>
        </w:rPr>
        <w:t>pplicants must justify the reasonableness of their proposed budget.</w:t>
      </w:r>
      <w:r w:rsidRPr="004C5D8F">
        <w:rPr>
          <w:rFonts w:ascii="Tahoma" w:hAnsi="Tahoma" w:cs="Tahoma"/>
        </w:rPr>
        <w:t xml:space="preserve"> </w:t>
      </w:r>
    </w:p>
    <w:p w14:paraId="436BB848" w14:textId="5717E1C3" w:rsidR="00C57D87" w:rsidRPr="004C5D8F" w:rsidRDefault="00C57D87" w:rsidP="00A66DE1">
      <w:pPr>
        <w:ind w:left="720" w:hanging="720"/>
        <w:rPr>
          <w:rFonts w:ascii="Tahoma" w:hAnsi="Tahoma" w:cs="Tahoma"/>
          <w:b/>
          <w:bCs/>
        </w:rPr>
      </w:pPr>
      <w:r w:rsidRPr="004C5D8F">
        <w:rPr>
          <w:rFonts w:ascii="Tahoma" w:hAnsi="Tahoma" w:cs="Tahoma"/>
          <w:b/>
        </w:rPr>
        <w:t>Q</w:t>
      </w:r>
      <w:r w:rsidR="008F7365" w:rsidRPr="004C5D8F">
        <w:rPr>
          <w:rFonts w:ascii="Tahoma" w:hAnsi="Tahoma" w:cs="Tahoma"/>
          <w:b/>
        </w:rPr>
        <w:t>1</w:t>
      </w:r>
      <w:r w:rsidR="000F7268">
        <w:rPr>
          <w:rFonts w:ascii="Tahoma" w:hAnsi="Tahoma" w:cs="Tahoma"/>
          <w:b/>
        </w:rPr>
        <w:t>3</w:t>
      </w:r>
      <w:r w:rsidRPr="004C5D8F">
        <w:rPr>
          <w:rFonts w:ascii="Tahoma" w:hAnsi="Tahoma" w:cs="Tahoma"/>
          <w:b/>
        </w:rPr>
        <w:t>:</w:t>
      </w:r>
      <w:r w:rsidRPr="004C5D8F">
        <w:rPr>
          <w:rFonts w:ascii="Tahoma" w:hAnsi="Tahoma" w:cs="Tahoma"/>
          <w:b/>
          <w:bCs/>
        </w:rPr>
        <w:tab/>
      </w:r>
      <w:r w:rsidR="003C6EE0" w:rsidRPr="004C5D8F">
        <w:rPr>
          <w:rFonts w:ascii="Tahoma" w:hAnsi="Tahoma" w:cs="Tahoma"/>
          <w:b/>
          <w:bCs/>
        </w:rPr>
        <w:t>Didn’t the draft solicitation include outreach and engagement costs in the Administrative Cost category?</w:t>
      </w:r>
    </w:p>
    <w:p w14:paraId="37E8822C" w14:textId="07DF4376" w:rsidR="003C6EE0" w:rsidRPr="004C5D8F" w:rsidRDefault="003C6EE0" w:rsidP="00A66DE1">
      <w:pPr>
        <w:ind w:left="720" w:hanging="720"/>
        <w:rPr>
          <w:rFonts w:ascii="Tahoma" w:hAnsi="Tahoma" w:cs="Tahoma"/>
        </w:rPr>
      </w:pPr>
      <w:r w:rsidRPr="004C5D8F">
        <w:rPr>
          <w:rFonts w:ascii="Tahoma" w:hAnsi="Tahoma" w:cs="Tahoma"/>
        </w:rPr>
        <w:t>A</w:t>
      </w:r>
      <w:r w:rsidR="008F7365" w:rsidRPr="004C5D8F">
        <w:rPr>
          <w:rFonts w:ascii="Tahoma" w:hAnsi="Tahoma" w:cs="Tahoma"/>
        </w:rPr>
        <w:t>1</w:t>
      </w:r>
      <w:r w:rsidR="000F7268">
        <w:rPr>
          <w:rFonts w:ascii="Tahoma" w:hAnsi="Tahoma" w:cs="Tahoma"/>
        </w:rPr>
        <w:t>3</w:t>
      </w:r>
      <w:r w:rsidRPr="004C5D8F">
        <w:rPr>
          <w:rFonts w:ascii="Tahoma" w:hAnsi="Tahoma" w:cs="Tahoma"/>
        </w:rPr>
        <w:t>:</w:t>
      </w:r>
      <w:r w:rsidRPr="004C5D8F">
        <w:rPr>
          <w:rFonts w:ascii="Tahoma" w:hAnsi="Tahoma" w:cs="Tahoma"/>
        </w:rPr>
        <w:tab/>
        <w:t>Yes</w:t>
      </w:r>
      <w:r w:rsidR="00C122E0">
        <w:rPr>
          <w:rFonts w:ascii="Tahoma" w:hAnsi="Tahoma" w:cs="Tahoma"/>
        </w:rPr>
        <w:t>.</w:t>
      </w:r>
      <w:r w:rsidRPr="004C5D8F">
        <w:rPr>
          <w:rFonts w:ascii="Tahoma" w:hAnsi="Tahoma" w:cs="Tahoma"/>
        </w:rPr>
        <w:t xml:space="preserve"> </w:t>
      </w:r>
      <w:r w:rsidR="005B785E">
        <w:rPr>
          <w:rFonts w:ascii="Tahoma" w:hAnsi="Tahoma" w:cs="Tahoma"/>
        </w:rPr>
        <w:t>Based upon public input, CE</w:t>
      </w:r>
      <w:r w:rsidR="00551981">
        <w:rPr>
          <w:rFonts w:ascii="Tahoma" w:hAnsi="Tahoma" w:cs="Tahoma"/>
        </w:rPr>
        <w:t xml:space="preserve">C </w:t>
      </w:r>
      <w:r w:rsidR="00855A70">
        <w:rPr>
          <w:rFonts w:ascii="Tahoma" w:hAnsi="Tahoma" w:cs="Tahoma"/>
        </w:rPr>
        <w:t>amended the language between draft and final</w:t>
      </w:r>
      <w:r w:rsidR="00223FE0">
        <w:rPr>
          <w:rFonts w:ascii="Tahoma" w:hAnsi="Tahoma" w:cs="Tahoma"/>
        </w:rPr>
        <w:t xml:space="preserve"> solicitation</w:t>
      </w:r>
      <w:r w:rsidR="00855A70">
        <w:rPr>
          <w:rFonts w:ascii="Tahoma" w:hAnsi="Tahoma" w:cs="Tahoma"/>
        </w:rPr>
        <w:t xml:space="preserve"> to </w:t>
      </w:r>
      <w:r w:rsidR="005D371F">
        <w:rPr>
          <w:rFonts w:ascii="Tahoma" w:hAnsi="Tahoma" w:cs="Tahoma"/>
        </w:rPr>
        <w:t>state</w:t>
      </w:r>
      <w:r w:rsidRPr="004C5D8F">
        <w:rPr>
          <w:rFonts w:ascii="Tahoma" w:hAnsi="Tahoma" w:cs="Tahoma"/>
        </w:rPr>
        <w:t xml:space="preserve"> </w:t>
      </w:r>
      <w:r w:rsidR="00275160">
        <w:rPr>
          <w:rFonts w:ascii="Tahoma" w:hAnsi="Tahoma" w:cs="Tahoma"/>
        </w:rPr>
        <w:t xml:space="preserve">that </w:t>
      </w:r>
      <w:r w:rsidRPr="004C5D8F">
        <w:rPr>
          <w:rFonts w:ascii="Tahoma" w:hAnsi="Tahoma" w:cs="Tahoma"/>
        </w:rPr>
        <w:t>outreach and engagement costs are considered Project-Related Costs, not Administrative Costs.</w:t>
      </w:r>
      <w:r w:rsidR="00A712FF" w:rsidRPr="004C5D8F">
        <w:rPr>
          <w:rFonts w:ascii="Tahoma" w:hAnsi="Tahoma" w:cs="Tahoma"/>
        </w:rPr>
        <w:t xml:space="preserve"> Applications must be developed based on the final solicitation, not the draft solicitation.</w:t>
      </w:r>
      <w:r w:rsidRPr="004C5D8F">
        <w:rPr>
          <w:rFonts w:ascii="Tahoma" w:hAnsi="Tahoma" w:cs="Tahoma"/>
        </w:rPr>
        <w:t xml:space="preserve"> </w:t>
      </w:r>
    </w:p>
    <w:p w14:paraId="3928B269" w14:textId="6E8E86F4" w:rsidR="00760C49" w:rsidRPr="004C5D8F" w:rsidRDefault="00760C49" w:rsidP="00A66DE1">
      <w:pPr>
        <w:ind w:left="720" w:hanging="720"/>
        <w:rPr>
          <w:rFonts w:ascii="Tahoma" w:hAnsi="Tahoma" w:cs="Tahoma"/>
          <w:b/>
          <w:bCs/>
        </w:rPr>
      </w:pPr>
      <w:r w:rsidRPr="004C5D8F">
        <w:rPr>
          <w:rFonts w:ascii="Tahoma" w:hAnsi="Tahoma" w:cs="Tahoma"/>
          <w:b/>
        </w:rPr>
        <w:t>Q1</w:t>
      </w:r>
      <w:r w:rsidR="000F7268">
        <w:rPr>
          <w:rFonts w:ascii="Tahoma" w:hAnsi="Tahoma" w:cs="Tahoma"/>
          <w:b/>
        </w:rPr>
        <w:t>4</w:t>
      </w:r>
      <w:r w:rsidRPr="004C5D8F">
        <w:rPr>
          <w:rFonts w:ascii="Tahoma" w:hAnsi="Tahoma" w:cs="Tahoma"/>
          <w:b/>
        </w:rPr>
        <w:t>:</w:t>
      </w:r>
      <w:r w:rsidRPr="004C5D8F">
        <w:rPr>
          <w:rFonts w:ascii="Tahoma" w:hAnsi="Tahoma" w:cs="Tahoma"/>
          <w:b/>
          <w:bCs/>
        </w:rPr>
        <w:tab/>
      </w:r>
      <w:r w:rsidR="001A1360" w:rsidRPr="004C5D8F">
        <w:rPr>
          <w:rFonts w:ascii="Tahoma" w:hAnsi="Tahoma" w:cs="Tahoma"/>
          <w:b/>
          <w:bCs/>
        </w:rPr>
        <w:t xml:space="preserve">What cost categories do the following costs fit into: </w:t>
      </w:r>
      <w:r w:rsidR="00CF2216" w:rsidRPr="004C5D8F">
        <w:rPr>
          <w:rFonts w:ascii="Tahoma" w:hAnsi="Tahoma" w:cs="Tahoma"/>
          <w:b/>
          <w:bCs/>
        </w:rPr>
        <w:t xml:space="preserve">(a) </w:t>
      </w:r>
      <w:r w:rsidR="001A1360" w:rsidRPr="004C5D8F">
        <w:rPr>
          <w:rFonts w:ascii="Tahoma" w:hAnsi="Tahoma" w:cs="Tahoma"/>
          <w:b/>
          <w:bCs/>
        </w:rPr>
        <w:t xml:space="preserve">home assessments, </w:t>
      </w:r>
      <w:r w:rsidR="00CF2216" w:rsidRPr="004C5D8F">
        <w:rPr>
          <w:rFonts w:ascii="Tahoma" w:hAnsi="Tahoma" w:cs="Tahoma"/>
          <w:b/>
          <w:bCs/>
        </w:rPr>
        <w:t xml:space="preserve">(b) </w:t>
      </w:r>
      <w:r w:rsidR="001A1360" w:rsidRPr="004C5D8F">
        <w:rPr>
          <w:rFonts w:ascii="Tahoma" w:hAnsi="Tahoma" w:cs="Tahoma"/>
          <w:b/>
          <w:bCs/>
        </w:rPr>
        <w:t>model</w:t>
      </w:r>
      <w:r w:rsidR="002223F4" w:rsidRPr="004C5D8F">
        <w:rPr>
          <w:rFonts w:ascii="Tahoma" w:hAnsi="Tahoma" w:cs="Tahoma"/>
          <w:b/>
          <w:bCs/>
        </w:rPr>
        <w:t>ing of</w:t>
      </w:r>
      <w:r w:rsidR="001A1360" w:rsidRPr="004C5D8F">
        <w:rPr>
          <w:rFonts w:ascii="Tahoma" w:hAnsi="Tahoma" w:cs="Tahoma"/>
          <w:b/>
          <w:bCs/>
        </w:rPr>
        <w:t xml:space="preserve"> energy savings for </w:t>
      </w:r>
      <w:r w:rsidR="00CF2216" w:rsidRPr="004C5D8F">
        <w:rPr>
          <w:rFonts w:ascii="Tahoma" w:hAnsi="Tahoma" w:cs="Tahoma"/>
          <w:b/>
          <w:bCs/>
        </w:rPr>
        <w:t xml:space="preserve">homes receiving HOMES funds, (c) Home Energy Rating System (HERS) field verification and diagnostic testing, (d) </w:t>
      </w:r>
      <w:r w:rsidR="00B5154A" w:rsidRPr="004C5D8F">
        <w:rPr>
          <w:rFonts w:ascii="Tahoma" w:hAnsi="Tahoma" w:cs="Tahoma"/>
          <w:b/>
          <w:bCs/>
        </w:rPr>
        <w:t>tracking of actual bill savings</w:t>
      </w:r>
      <w:r w:rsidR="00CF2216" w:rsidRPr="004C5D8F">
        <w:rPr>
          <w:rFonts w:ascii="Tahoma" w:hAnsi="Tahoma" w:cs="Tahoma"/>
          <w:b/>
          <w:bCs/>
        </w:rPr>
        <w:t>?</w:t>
      </w:r>
    </w:p>
    <w:p w14:paraId="34C9784E" w14:textId="5872157E" w:rsidR="00CF2216" w:rsidRPr="004C5D8F" w:rsidRDefault="00CF2216" w:rsidP="00A66DE1">
      <w:pPr>
        <w:ind w:left="720" w:hanging="720"/>
        <w:rPr>
          <w:rFonts w:ascii="Tahoma" w:hAnsi="Tahoma" w:cs="Tahoma"/>
        </w:rPr>
      </w:pPr>
      <w:r w:rsidRPr="004C5D8F">
        <w:rPr>
          <w:rFonts w:ascii="Tahoma" w:hAnsi="Tahoma" w:cs="Tahoma"/>
        </w:rPr>
        <w:t>A1</w:t>
      </w:r>
      <w:r w:rsidR="000F7268">
        <w:rPr>
          <w:rFonts w:ascii="Tahoma" w:hAnsi="Tahoma" w:cs="Tahoma"/>
        </w:rPr>
        <w:t>4</w:t>
      </w:r>
      <w:r w:rsidRPr="004C5D8F">
        <w:rPr>
          <w:rFonts w:ascii="Tahoma" w:hAnsi="Tahoma" w:cs="Tahoma"/>
        </w:rPr>
        <w:t xml:space="preserve">: </w:t>
      </w:r>
      <w:r w:rsidRPr="004C5D8F">
        <w:rPr>
          <w:rFonts w:ascii="Tahoma" w:hAnsi="Tahoma" w:cs="Tahoma"/>
        </w:rPr>
        <w:tab/>
      </w:r>
      <w:r w:rsidR="007E1E7D" w:rsidRPr="004C5D8F">
        <w:rPr>
          <w:rFonts w:ascii="Tahoma" w:hAnsi="Tahoma" w:cs="Tahoma"/>
        </w:rPr>
        <w:t>(a) Home assessments</w:t>
      </w:r>
      <w:r w:rsidR="00B1250E" w:rsidRPr="004C5D8F">
        <w:rPr>
          <w:rFonts w:ascii="Tahoma" w:hAnsi="Tahoma" w:cs="Tahoma"/>
        </w:rPr>
        <w:t>: Project Costs</w:t>
      </w:r>
    </w:p>
    <w:p w14:paraId="325D294E" w14:textId="31CD482F" w:rsidR="00B1250E" w:rsidRPr="004C5D8F" w:rsidRDefault="00B1250E" w:rsidP="00A66DE1">
      <w:pPr>
        <w:ind w:left="720" w:hanging="720"/>
        <w:rPr>
          <w:rFonts w:ascii="Tahoma" w:hAnsi="Tahoma" w:cs="Tahoma"/>
        </w:rPr>
      </w:pPr>
      <w:r w:rsidRPr="004C5D8F">
        <w:rPr>
          <w:rFonts w:ascii="Tahoma" w:hAnsi="Tahoma" w:cs="Tahoma"/>
        </w:rPr>
        <w:tab/>
        <w:t xml:space="preserve">(b) </w:t>
      </w:r>
      <w:r w:rsidR="004F184C" w:rsidRPr="004C5D8F">
        <w:rPr>
          <w:rFonts w:ascii="Tahoma" w:hAnsi="Tahoma" w:cs="Tahoma"/>
        </w:rPr>
        <w:t>Modeling of energy savings:</w:t>
      </w:r>
      <w:r w:rsidR="002223F4" w:rsidRPr="004C5D8F">
        <w:rPr>
          <w:rFonts w:ascii="Tahoma" w:hAnsi="Tahoma" w:cs="Tahoma"/>
        </w:rPr>
        <w:t xml:space="preserve"> Project-Related Costs</w:t>
      </w:r>
    </w:p>
    <w:p w14:paraId="778099AF" w14:textId="7F701DDF" w:rsidR="004F184C" w:rsidRPr="004C5D8F" w:rsidRDefault="004F184C" w:rsidP="00A66DE1">
      <w:pPr>
        <w:ind w:left="720" w:hanging="720"/>
        <w:rPr>
          <w:rFonts w:ascii="Tahoma" w:hAnsi="Tahoma" w:cs="Tahoma"/>
        </w:rPr>
      </w:pPr>
      <w:r w:rsidRPr="004C5D8F">
        <w:rPr>
          <w:rFonts w:ascii="Tahoma" w:hAnsi="Tahoma" w:cs="Tahoma"/>
        </w:rPr>
        <w:tab/>
        <w:t>(c) HERS field verification and diagnostic testing: Project Costs</w:t>
      </w:r>
    </w:p>
    <w:p w14:paraId="264EF0A7" w14:textId="525E0CC2" w:rsidR="004F184C" w:rsidRPr="004C5D8F" w:rsidRDefault="004F184C" w:rsidP="00A66DE1">
      <w:pPr>
        <w:tabs>
          <w:tab w:val="left" w:pos="720"/>
        </w:tabs>
        <w:ind w:left="1080" w:hanging="810"/>
        <w:rPr>
          <w:rFonts w:ascii="Tahoma" w:hAnsi="Tahoma" w:cs="Tahoma"/>
        </w:rPr>
      </w:pPr>
      <w:r w:rsidRPr="004C5D8F">
        <w:rPr>
          <w:rFonts w:ascii="Tahoma" w:hAnsi="Tahoma" w:cs="Tahoma"/>
        </w:rPr>
        <w:tab/>
        <w:t xml:space="preserve">(d) </w:t>
      </w:r>
      <w:r w:rsidR="00B5154A" w:rsidRPr="004C5D8F">
        <w:rPr>
          <w:rFonts w:ascii="Tahoma" w:hAnsi="Tahoma" w:cs="Tahoma"/>
        </w:rPr>
        <w:t xml:space="preserve">Tracking of actual bill savings: </w:t>
      </w:r>
      <w:r w:rsidR="002223F4" w:rsidRPr="004C5D8F">
        <w:rPr>
          <w:rFonts w:ascii="Tahoma" w:hAnsi="Tahoma" w:cs="Tahoma"/>
        </w:rPr>
        <w:t>T</w:t>
      </w:r>
      <w:r w:rsidR="00B5154A" w:rsidRPr="004C5D8F">
        <w:rPr>
          <w:rFonts w:ascii="Tahoma" w:hAnsi="Tahoma" w:cs="Tahoma"/>
        </w:rPr>
        <w:t xml:space="preserve">his will be completed by </w:t>
      </w:r>
      <w:r w:rsidR="002223F4" w:rsidRPr="004C5D8F">
        <w:rPr>
          <w:rFonts w:ascii="Tahoma" w:hAnsi="Tahoma" w:cs="Tahoma"/>
        </w:rPr>
        <w:t xml:space="preserve">the </w:t>
      </w:r>
      <w:r w:rsidR="00B5154A" w:rsidRPr="004C5D8F">
        <w:rPr>
          <w:rFonts w:ascii="Tahoma" w:hAnsi="Tahoma" w:cs="Tahoma"/>
        </w:rPr>
        <w:t xml:space="preserve">CEC or through a separate contract, and is not </w:t>
      </w:r>
      <w:r w:rsidR="002223F4" w:rsidRPr="004C5D8F">
        <w:rPr>
          <w:rFonts w:ascii="Tahoma" w:hAnsi="Tahoma" w:cs="Tahoma"/>
        </w:rPr>
        <w:t>part of the Scope of Work of this solicitation.</w:t>
      </w:r>
    </w:p>
    <w:p w14:paraId="7020686A" w14:textId="00BC2C3D" w:rsidR="00535CD4" w:rsidRPr="004C5D8F" w:rsidRDefault="00535CD4" w:rsidP="00A66DE1">
      <w:pPr>
        <w:tabs>
          <w:tab w:val="left" w:pos="720"/>
        </w:tabs>
        <w:ind w:left="720" w:hanging="720"/>
        <w:rPr>
          <w:rFonts w:ascii="Tahoma" w:hAnsi="Tahoma" w:cs="Tahoma"/>
          <w:b/>
          <w:bCs/>
        </w:rPr>
      </w:pPr>
      <w:r w:rsidRPr="004C5D8F">
        <w:rPr>
          <w:rFonts w:ascii="Tahoma" w:hAnsi="Tahoma" w:cs="Tahoma"/>
          <w:b/>
        </w:rPr>
        <w:t>Q1</w:t>
      </w:r>
      <w:r w:rsidR="00E358D6">
        <w:rPr>
          <w:rFonts w:ascii="Tahoma" w:hAnsi="Tahoma" w:cs="Tahoma"/>
          <w:b/>
        </w:rPr>
        <w:t>5</w:t>
      </w:r>
      <w:r w:rsidRPr="004C5D8F">
        <w:rPr>
          <w:rFonts w:ascii="Tahoma" w:hAnsi="Tahoma" w:cs="Tahoma"/>
          <w:b/>
        </w:rPr>
        <w:t>:</w:t>
      </w:r>
      <w:r w:rsidRPr="004C5D8F">
        <w:rPr>
          <w:rFonts w:ascii="Tahoma" w:hAnsi="Tahoma" w:cs="Tahoma"/>
          <w:b/>
          <w:bCs/>
        </w:rPr>
        <w:tab/>
      </w:r>
      <w:r w:rsidR="008654D0" w:rsidRPr="004C5D8F">
        <w:rPr>
          <w:rFonts w:ascii="Tahoma" w:hAnsi="Tahoma" w:cs="Tahoma"/>
          <w:b/>
          <w:bCs/>
        </w:rPr>
        <w:t>Does the 5% set-aside for manufactured and mobile homes apply to the total program budget, or only certain cost categories?</w:t>
      </w:r>
    </w:p>
    <w:p w14:paraId="099DC924" w14:textId="04FF3CF8" w:rsidR="008654D0" w:rsidRPr="004C5D8F" w:rsidRDefault="008654D0" w:rsidP="00A66DE1">
      <w:pPr>
        <w:tabs>
          <w:tab w:val="left" w:pos="720"/>
        </w:tabs>
        <w:ind w:left="720" w:hanging="720"/>
        <w:rPr>
          <w:rFonts w:ascii="Tahoma" w:hAnsi="Tahoma" w:cs="Tahoma"/>
        </w:rPr>
      </w:pPr>
      <w:r w:rsidRPr="004C5D8F">
        <w:rPr>
          <w:rFonts w:ascii="Tahoma" w:hAnsi="Tahoma" w:cs="Tahoma"/>
        </w:rPr>
        <w:t>A1</w:t>
      </w:r>
      <w:r w:rsidR="00E358D6">
        <w:rPr>
          <w:rFonts w:ascii="Tahoma" w:hAnsi="Tahoma" w:cs="Tahoma"/>
        </w:rPr>
        <w:t>5</w:t>
      </w:r>
      <w:r w:rsidRPr="004C5D8F">
        <w:rPr>
          <w:rFonts w:ascii="Tahoma" w:hAnsi="Tahoma" w:cs="Tahoma"/>
        </w:rPr>
        <w:t>:</w:t>
      </w:r>
      <w:r w:rsidRPr="004C5D8F">
        <w:rPr>
          <w:rFonts w:ascii="Tahoma" w:hAnsi="Tahoma" w:cs="Tahoma"/>
        </w:rPr>
        <w:tab/>
        <w:t>The 5% set-aside applies to Project and Project-Related Costs.</w:t>
      </w:r>
    </w:p>
    <w:p w14:paraId="037385FC" w14:textId="4AE07149" w:rsidR="00A66DE1" w:rsidRDefault="00A66DE1" w:rsidP="00310111">
      <w:pPr>
        <w:tabs>
          <w:tab w:val="left" w:pos="720"/>
        </w:tabs>
        <w:ind w:left="720" w:hanging="720"/>
        <w:rPr>
          <w:rFonts w:ascii="Tahoma" w:hAnsi="Tahoma" w:cs="Tahoma"/>
          <w:b/>
          <w:bCs/>
        </w:rPr>
      </w:pPr>
      <w:r w:rsidRPr="004C5D8F">
        <w:rPr>
          <w:rFonts w:ascii="Tahoma" w:hAnsi="Tahoma" w:cs="Tahoma"/>
          <w:b/>
        </w:rPr>
        <w:t>Q1</w:t>
      </w:r>
      <w:r w:rsidR="006C5402">
        <w:rPr>
          <w:rFonts w:ascii="Tahoma" w:hAnsi="Tahoma" w:cs="Tahoma"/>
          <w:b/>
        </w:rPr>
        <w:t>6</w:t>
      </w:r>
      <w:r w:rsidRPr="004C5D8F">
        <w:rPr>
          <w:rFonts w:ascii="Tahoma" w:hAnsi="Tahoma" w:cs="Tahoma"/>
          <w:b/>
        </w:rPr>
        <w:t>:</w:t>
      </w:r>
      <w:r w:rsidRPr="004C5D8F">
        <w:rPr>
          <w:rFonts w:ascii="Tahoma" w:hAnsi="Tahoma" w:cs="Tahoma"/>
          <w:b/>
          <w:bCs/>
        </w:rPr>
        <w:tab/>
      </w:r>
      <w:r w:rsidR="00C50B9C" w:rsidRPr="004C5D8F">
        <w:rPr>
          <w:rFonts w:ascii="Tahoma" w:hAnsi="Tahoma" w:cs="Tahoma"/>
          <w:b/>
          <w:bCs/>
        </w:rPr>
        <w:t xml:space="preserve">Attachment </w:t>
      </w:r>
      <w:r w:rsidR="0069038E" w:rsidRPr="004C5D8F">
        <w:rPr>
          <w:rFonts w:ascii="Tahoma" w:hAnsi="Tahoma" w:cs="Tahoma"/>
          <w:b/>
          <w:bCs/>
        </w:rPr>
        <w:t xml:space="preserve">4 includes the </w:t>
      </w:r>
      <w:r w:rsidR="00A96610" w:rsidRPr="004C5D8F">
        <w:rPr>
          <w:rFonts w:ascii="Tahoma" w:hAnsi="Tahoma" w:cs="Tahoma"/>
          <w:b/>
          <w:bCs/>
        </w:rPr>
        <w:t>statement</w:t>
      </w:r>
      <w:r w:rsidR="0069038E" w:rsidRPr="004C5D8F">
        <w:rPr>
          <w:rFonts w:ascii="Tahoma" w:hAnsi="Tahoma" w:cs="Tahoma"/>
          <w:b/>
          <w:bCs/>
        </w:rPr>
        <w:t xml:space="preserve"> “Permit costs and the expenses associated with obtaining permits are not reimbursable under this Agreement, with the exception of costs incurred by University of California Recipients and permits required for the installation of building retrofits pursuant to this program.”</w:t>
      </w:r>
      <w:r w:rsidR="00857DE0" w:rsidRPr="004C5D8F">
        <w:rPr>
          <w:rFonts w:ascii="Tahoma" w:hAnsi="Tahoma" w:cs="Tahoma"/>
          <w:b/>
          <w:bCs/>
        </w:rPr>
        <w:t xml:space="preserve"> Can Recipients other than University of California </w:t>
      </w:r>
      <w:r w:rsidR="00C50B9C" w:rsidRPr="004C5D8F">
        <w:rPr>
          <w:rFonts w:ascii="Tahoma" w:hAnsi="Tahoma" w:cs="Tahoma"/>
          <w:b/>
          <w:bCs/>
        </w:rPr>
        <w:t>be reimbursed for permitting</w:t>
      </w:r>
      <w:r w:rsidR="00C50B9C">
        <w:rPr>
          <w:rFonts w:ascii="Tahoma" w:hAnsi="Tahoma" w:cs="Tahoma"/>
          <w:b/>
          <w:bCs/>
        </w:rPr>
        <w:t xml:space="preserve"> costs related to building retrofits?</w:t>
      </w:r>
    </w:p>
    <w:p w14:paraId="0DE24FBE" w14:textId="28A53298" w:rsidR="00677E35" w:rsidRDefault="00677E35" w:rsidP="00A66DE1">
      <w:pPr>
        <w:tabs>
          <w:tab w:val="left" w:pos="720"/>
        </w:tabs>
        <w:ind w:left="720" w:hanging="720"/>
        <w:rPr>
          <w:rFonts w:ascii="Tahoma" w:hAnsi="Tahoma" w:cs="Tahoma"/>
        </w:rPr>
      </w:pPr>
      <w:r w:rsidRPr="00677E35">
        <w:rPr>
          <w:rFonts w:ascii="Tahoma" w:hAnsi="Tahoma" w:cs="Tahoma"/>
        </w:rPr>
        <w:t>A1</w:t>
      </w:r>
      <w:r w:rsidR="006C5402">
        <w:rPr>
          <w:rFonts w:ascii="Tahoma" w:hAnsi="Tahoma" w:cs="Tahoma"/>
        </w:rPr>
        <w:t>6</w:t>
      </w:r>
      <w:r w:rsidRPr="00677E35">
        <w:rPr>
          <w:rFonts w:ascii="Tahoma" w:hAnsi="Tahoma" w:cs="Tahoma"/>
        </w:rPr>
        <w:t xml:space="preserve">: </w:t>
      </w:r>
      <w:r w:rsidRPr="00677E35">
        <w:rPr>
          <w:rFonts w:ascii="Tahoma" w:hAnsi="Tahoma" w:cs="Tahoma"/>
        </w:rPr>
        <w:tab/>
        <w:t>Yes, permit</w:t>
      </w:r>
      <w:r w:rsidR="00540623">
        <w:rPr>
          <w:rFonts w:ascii="Tahoma" w:hAnsi="Tahoma" w:cs="Tahoma"/>
        </w:rPr>
        <w:t xml:space="preserve">ting costs required for the installation of </w:t>
      </w:r>
      <w:r w:rsidR="005F4DB1">
        <w:rPr>
          <w:rFonts w:ascii="Tahoma" w:hAnsi="Tahoma" w:cs="Tahoma"/>
        </w:rPr>
        <w:t xml:space="preserve">decarbonization </w:t>
      </w:r>
      <w:r w:rsidR="00540623">
        <w:rPr>
          <w:rFonts w:ascii="Tahoma" w:hAnsi="Tahoma" w:cs="Tahoma"/>
        </w:rPr>
        <w:t>building retrofits pursuant to this program are allowable costs for all Recipients. Permitting costs</w:t>
      </w:r>
      <w:r w:rsidRPr="00677E35">
        <w:rPr>
          <w:rFonts w:ascii="Tahoma" w:hAnsi="Tahoma" w:cs="Tahoma"/>
        </w:rPr>
        <w:t xml:space="preserve"> are considered Project Costs.</w:t>
      </w:r>
    </w:p>
    <w:p w14:paraId="71F13CBE" w14:textId="5CCDEBF9" w:rsidR="00A82415" w:rsidRPr="00E84F5F" w:rsidRDefault="00E84F5F" w:rsidP="00A66DE1">
      <w:pPr>
        <w:tabs>
          <w:tab w:val="left" w:pos="720"/>
        </w:tabs>
        <w:ind w:left="720" w:hanging="720"/>
        <w:rPr>
          <w:rFonts w:ascii="Tahoma" w:hAnsi="Tahoma" w:cs="Tahoma"/>
          <w:b/>
          <w:bCs/>
        </w:rPr>
      </w:pPr>
      <w:r w:rsidRPr="00805A25">
        <w:rPr>
          <w:rFonts w:ascii="Tahoma" w:hAnsi="Tahoma" w:cs="Tahoma"/>
          <w:b/>
          <w:bCs/>
        </w:rPr>
        <w:t>Q1</w:t>
      </w:r>
      <w:r w:rsidR="006C5402" w:rsidRPr="00805A25">
        <w:rPr>
          <w:rFonts w:ascii="Tahoma" w:hAnsi="Tahoma" w:cs="Tahoma"/>
          <w:b/>
          <w:bCs/>
        </w:rPr>
        <w:t>7</w:t>
      </w:r>
      <w:r w:rsidRPr="00805A25">
        <w:rPr>
          <w:rFonts w:ascii="Tahoma" w:hAnsi="Tahoma" w:cs="Tahoma"/>
          <w:b/>
          <w:bCs/>
        </w:rPr>
        <w:t>:</w:t>
      </w:r>
      <w:r w:rsidRPr="00805A25">
        <w:tab/>
      </w:r>
      <w:r w:rsidRPr="00805A25">
        <w:rPr>
          <w:rFonts w:ascii="Tahoma" w:hAnsi="Tahoma" w:cs="Tahoma"/>
          <w:b/>
          <w:bCs/>
        </w:rPr>
        <w:t>Are performance bonds an allowable cost?</w:t>
      </w:r>
    </w:p>
    <w:p w14:paraId="053D4346" w14:textId="409FD2C5" w:rsidR="00E84F5F" w:rsidRDefault="00E84F5F" w:rsidP="00A66DE1">
      <w:pPr>
        <w:tabs>
          <w:tab w:val="left" w:pos="720"/>
        </w:tabs>
        <w:ind w:left="720" w:hanging="720"/>
        <w:rPr>
          <w:rFonts w:ascii="Tahoma" w:hAnsi="Tahoma" w:cs="Tahoma"/>
        </w:rPr>
      </w:pPr>
      <w:r>
        <w:rPr>
          <w:rFonts w:ascii="Tahoma" w:hAnsi="Tahoma" w:cs="Tahoma"/>
        </w:rPr>
        <w:t>A1</w:t>
      </w:r>
      <w:r w:rsidR="006C5402">
        <w:rPr>
          <w:rFonts w:ascii="Tahoma" w:hAnsi="Tahoma" w:cs="Tahoma"/>
        </w:rPr>
        <w:t>7</w:t>
      </w:r>
      <w:r>
        <w:rPr>
          <w:rFonts w:ascii="Tahoma" w:hAnsi="Tahoma" w:cs="Tahoma"/>
        </w:rPr>
        <w:t>:</w:t>
      </w:r>
      <w:r>
        <w:tab/>
      </w:r>
      <w:r w:rsidR="003F2465" w:rsidRPr="003F2465">
        <w:rPr>
          <w:rFonts w:ascii="Tahoma" w:hAnsi="Tahoma" w:cs="Tahoma"/>
        </w:rPr>
        <w:t>If performance bonds are required as part of permitting, they may be eligible Project Costs. Otherwise, they may be eligible Administrative Costs</w:t>
      </w:r>
      <w:r w:rsidR="188643A1" w:rsidRPr="50C9DC1B">
        <w:rPr>
          <w:rFonts w:ascii="Tahoma" w:hAnsi="Tahoma" w:cs="Tahoma"/>
        </w:rPr>
        <w:t xml:space="preserve"> (see I</w:t>
      </w:r>
      <w:r w:rsidR="003F2465" w:rsidRPr="003F2465">
        <w:rPr>
          <w:rFonts w:ascii="Tahoma" w:hAnsi="Tahoma" w:cs="Tahoma"/>
        </w:rPr>
        <w:t>.</w:t>
      </w:r>
      <w:r w:rsidR="188643A1" w:rsidRPr="2E96F1F7">
        <w:rPr>
          <w:rFonts w:ascii="Tahoma" w:hAnsi="Tahoma" w:cs="Tahoma"/>
        </w:rPr>
        <w:t xml:space="preserve"> F. </w:t>
      </w:r>
      <w:r w:rsidR="188643A1" w:rsidRPr="604C2C43">
        <w:rPr>
          <w:rFonts w:ascii="Tahoma" w:hAnsi="Tahoma" w:cs="Tahoma"/>
        </w:rPr>
        <w:t>of the Solicitation Manual for further details</w:t>
      </w:r>
      <w:r w:rsidR="188643A1" w:rsidRPr="08ED28FC">
        <w:rPr>
          <w:rFonts w:ascii="Tahoma" w:hAnsi="Tahoma" w:cs="Tahoma"/>
        </w:rPr>
        <w:t>)</w:t>
      </w:r>
      <w:r w:rsidR="003F2465" w:rsidRPr="08ED28FC">
        <w:rPr>
          <w:rFonts w:ascii="Tahoma" w:hAnsi="Tahoma" w:cs="Tahoma"/>
        </w:rPr>
        <w:t>.</w:t>
      </w:r>
    </w:p>
    <w:p w14:paraId="0F2F0745" w14:textId="688B89A0" w:rsidR="007F0F23" w:rsidRPr="0012650F" w:rsidRDefault="007F0F23" w:rsidP="007F0F23">
      <w:pPr>
        <w:tabs>
          <w:tab w:val="left" w:pos="720"/>
        </w:tabs>
        <w:ind w:left="720" w:hanging="720"/>
        <w:rPr>
          <w:rFonts w:ascii="Tahoma" w:hAnsi="Tahoma" w:cs="Tahoma"/>
          <w:b/>
          <w:bCs/>
        </w:rPr>
      </w:pPr>
      <w:r w:rsidRPr="0012650F">
        <w:rPr>
          <w:rFonts w:ascii="Tahoma" w:hAnsi="Tahoma" w:cs="Tahoma"/>
          <w:b/>
        </w:rPr>
        <w:t>Q</w:t>
      </w:r>
      <w:r w:rsidR="005A1B5B" w:rsidRPr="0012650F">
        <w:rPr>
          <w:rFonts w:ascii="Tahoma" w:hAnsi="Tahoma" w:cs="Tahoma"/>
          <w:b/>
        </w:rPr>
        <w:t>1</w:t>
      </w:r>
      <w:r w:rsidR="002022E0">
        <w:rPr>
          <w:rFonts w:ascii="Tahoma" w:hAnsi="Tahoma" w:cs="Tahoma"/>
          <w:b/>
        </w:rPr>
        <w:t>8</w:t>
      </w:r>
      <w:r w:rsidRPr="0012650F">
        <w:rPr>
          <w:rFonts w:ascii="Tahoma" w:hAnsi="Tahoma" w:cs="Tahoma"/>
          <w:b/>
        </w:rPr>
        <w:t>:</w:t>
      </w:r>
      <w:r w:rsidRPr="0012650F">
        <w:rPr>
          <w:rFonts w:ascii="Tahoma" w:hAnsi="Tahoma" w:cs="Tahoma"/>
          <w:b/>
          <w:bCs/>
        </w:rPr>
        <w:t xml:space="preserve"> </w:t>
      </w:r>
      <w:r w:rsidRPr="0012650F">
        <w:rPr>
          <w:rFonts w:ascii="Tahoma" w:hAnsi="Tahoma" w:cs="Tahoma"/>
          <w:b/>
          <w:bCs/>
        </w:rPr>
        <w:tab/>
        <w:t>Is there a dollar cap on the amount of funds allocated to any one vendor?</w:t>
      </w:r>
    </w:p>
    <w:p w14:paraId="5BB6CEF9" w14:textId="42698CF1" w:rsidR="007F0F23" w:rsidRPr="0012650F" w:rsidRDefault="007F0F23" w:rsidP="007F0F23">
      <w:pPr>
        <w:tabs>
          <w:tab w:val="left" w:pos="720"/>
        </w:tabs>
        <w:ind w:left="720" w:hanging="720"/>
        <w:rPr>
          <w:rFonts w:ascii="Tahoma" w:hAnsi="Tahoma" w:cs="Tahoma"/>
        </w:rPr>
      </w:pPr>
      <w:r w:rsidRPr="0012650F">
        <w:rPr>
          <w:rFonts w:ascii="Tahoma" w:hAnsi="Tahoma" w:cs="Tahoma"/>
        </w:rPr>
        <w:t>A</w:t>
      </w:r>
      <w:r w:rsidR="005A1B5B" w:rsidRPr="0012650F">
        <w:rPr>
          <w:rFonts w:ascii="Tahoma" w:hAnsi="Tahoma" w:cs="Tahoma"/>
        </w:rPr>
        <w:t>1</w:t>
      </w:r>
      <w:r w:rsidR="002022E0">
        <w:rPr>
          <w:rFonts w:ascii="Tahoma" w:hAnsi="Tahoma" w:cs="Tahoma"/>
        </w:rPr>
        <w:t>8</w:t>
      </w:r>
      <w:r w:rsidRPr="0012650F">
        <w:rPr>
          <w:rFonts w:ascii="Tahoma" w:hAnsi="Tahoma" w:cs="Tahoma"/>
        </w:rPr>
        <w:t xml:space="preserve">: </w:t>
      </w:r>
      <w:r w:rsidRPr="0012650F">
        <w:rPr>
          <w:rFonts w:ascii="Tahoma" w:hAnsi="Tahoma" w:cs="Tahoma"/>
        </w:rPr>
        <w:tab/>
        <w:t>No.</w:t>
      </w:r>
    </w:p>
    <w:p w14:paraId="3B3F2BFF" w14:textId="45EFD352" w:rsidR="0058291D" w:rsidRPr="0012650F" w:rsidRDefault="0058291D" w:rsidP="0058291D">
      <w:pPr>
        <w:ind w:left="720" w:hanging="720"/>
        <w:rPr>
          <w:rFonts w:ascii="Tahoma" w:hAnsi="Tahoma" w:cs="Tahoma"/>
          <w:b/>
          <w:bCs/>
        </w:rPr>
      </w:pPr>
      <w:r w:rsidRPr="0012650F">
        <w:rPr>
          <w:rFonts w:ascii="Tahoma" w:hAnsi="Tahoma" w:cs="Tahoma"/>
          <w:b/>
        </w:rPr>
        <w:t>Q</w:t>
      </w:r>
      <w:r w:rsidR="005A1B5B" w:rsidRPr="0012650F">
        <w:rPr>
          <w:rFonts w:ascii="Tahoma" w:hAnsi="Tahoma" w:cs="Tahoma"/>
          <w:b/>
        </w:rPr>
        <w:t>1</w:t>
      </w:r>
      <w:r w:rsidR="002022E0">
        <w:rPr>
          <w:rFonts w:ascii="Tahoma" w:hAnsi="Tahoma" w:cs="Tahoma"/>
          <w:b/>
        </w:rPr>
        <w:t>9</w:t>
      </w:r>
      <w:r w:rsidRPr="0012650F">
        <w:rPr>
          <w:rFonts w:ascii="Tahoma" w:hAnsi="Tahoma" w:cs="Tahoma"/>
          <w:b/>
        </w:rPr>
        <w:t>:</w:t>
      </w:r>
      <w:r w:rsidRPr="0012650F">
        <w:rPr>
          <w:rFonts w:ascii="Tahoma" w:hAnsi="Tahoma" w:cs="Tahoma"/>
          <w:b/>
          <w:bCs/>
        </w:rPr>
        <w:tab/>
        <w:t>Is there a minimum match commitment required?</w:t>
      </w:r>
    </w:p>
    <w:p w14:paraId="5D8465B8" w14:textId="11338F31" w:rsidR="0058291D" w:rsidRPr="0012650F" w:rsidRDefault="0058291D" w:rsidP="0058291D">
      <w:pPr>
        <w:ind w:left="720" w:hanging="720"/>
        <w:rPr>
          <w:rFonts w:ascii="Tahoma" w:hAnsi="Tahoma" w:cs="Tahoma"/>
        </w:rPr>
      </w:pPr>
      <w:r w:rsidRPr="0012650F">
        <w:rPr>
          <w:rFonts w:ascii="Tahoma" w:hAnsi="Tahoma" w:cs="Tahoma"/>
        </w:rPr>
        <w:t>A</w:t>
      </w:r>
      <w:r w:rsidR="005A1B5B" w:rsidRPr="0012650F">
        <w:rPr>
          <w:rFonts w:ascii="Tahoma" w:hAnsi="Tahoma" w:cs="Tahoma"/>
        </w:rPr>
        <w:t>1</w:t>
      </w:r>
      <w:r w:rsidR="002022E0">
        <w:rPr>
          <w:rFonts w:ascii="Tahoma" w:hAnsi="Tahoma" w:cs="Tahoma"/>
        </w:rPr>
        <w:t>9</w:t>
      </w:r>
      <w:r w:rsidRPr="0012650F">
        <w:rPr>
          <w:rFonts w:ascii="Tahoma" w:hAnsi="Tahoma" w:cs="Tahoma"/>
        </w:rPr>
        <w:t>:</w:t>
      </w:r>
      <w:r w:rsidRPr="0012650F">
        <w:rPr>
          <w:rFonts w:ascii="Tahoma" w:hAnsi="Tahoma" w:cs="Tahoma"/>
        </w:rPr>
        <w:tab/>
        <w:t>No.</w:t>
      </w:r>
    </w:p>
    <w:p w14:paraId="2FD75BF1" w14:textId="2591D129" w:rsidR="006012E2" w:rsidRPr="00642FA8" w:rsidRDefault="006012E2" w:rsidP="0058291D">
      <w:pPr>
        <w:ind w:left="720" w:hanging="720"/>
        <w:rPr>
          <w:rFonts w:ascii="Tahoma" w:hAnsi="Tahoma" w:cs="Tahoma"/>
          <w:b/>
          <w:bCs/>
        </w:rPr>
      </w:pPr>
      <w:r w:rsidRPr="0012650F">
        <w:rPr>
          <w:rFonts w:ascii="Tahoma" w:hAnsi="Tahoma" w:cs="Tahoma"/>
          <w:b/>
        </w:rPr>
        <w:t>Q</w:t>
      </w:r>
      <w:r w:rsidR="003355B9">
        <w:rPr>
          <w:rFonts w:ascii="Tahoma" w:hAnsi="Tahoma" w:cs="Tahoma"/>
          <w:b/>
        </w:rPr>
        <w:t>20</w:t>
      </w:r>
      <w:r w:rsidRPr="0012650F">
        <w:rPr>
          <w:rFonts w:ascii="Tahoma" w:hAnsi="Tahoma" w:cs="Tahoma"/>
          <w:b/>
        </w:rPr>
        <w:t>:</w:t>
      </w:r>
      <w:r w:rsidRPr="00642FA8">
        <w:rPr>
          <w:rFonts w:ascii="Tahoma" w:hAnsi="Tahoma" w:cs="Tahoma"/>
          <w:b/>
          <w:bCs/>
        </w:rPr>
        <w:tab/>
      </w:r>
      <w:r w:rsidR="00834590" w:rsidRPr="00642FA8">
        <w:rPr>
          <w:rFonts w:ascii="Tahoma" w:hAnsi="Tahoma" w:cs="Tahoma"/>
          <w:b/>
          <w:bCs/>
        </w:rPr>
        <w:t xml:space="preserve">What funding sources can and can’t be counted as match contributions? For example, if </w:t>
      </w:r>
      <w:r w:rsidR="00642FA8" w:rsidRPr="00642FA8">
        <w:rPr>
          <w:rFonts w:ascii="Tahoma" w:hAnsi="Tahoma" w:cs="Tahoma"/>
          <w:b/>
          <w:bCs/>
        </w:rPr>
        <w:t xml:space="preserve">an installer installs a heat pump water heater using $1,000 of EBD funds and $2,000 of funding from another </w:t>
      </w:r>
      <w:r w:rsidR="00703D15">
        <w:rPr>
          <w:rFonts w:ascii="Tahoma" w:hAnsi="Tahoma" w:cs="Tahoma"/>
          <w:b/>
          <w:bCs/>
        </w:rPr>
        <w:t xml:space="preserve">(local, state, utility, or federal) </w:t>
      </w:r>
      <w:r w:rsidR="00642FA8" w:rsidRPr="00642FA8">
        <w:rPr>
          <w:rFonts w:ascii="Tahoma" w:hAnsi="Tahoma" w:cs="Tahoma"/>
          <w:b/>
          <w:bCs/>
        </w:rPr>
        <w:t>program, is that $2,000 considered a match contribution for purposes of this agreement?</w:t>
      </w:r>
    </w:p>
    <w:p w14:paraId="5C57FB87" w14:textId="3873C0F3" w:rsidR="005464D4" w:rsidRDefault="00642FA8" w:rsidP="00703D15">
      <w:pPr>
        <w:ind w:left="720" w:hanging="720"/>
        <w:rPr>
          <w:rFonts w:ascii="Tahoma" w:hAnsi="Tahoma" w:cs="Tahoma"/>
        </w:rPr>
      </w:pPr>
      <w:r>
        <w:rPr>
          <w:rFonts w:ascii="Tahoma" w:hAnsi="Tahoma" w:cs="Tahoma"/>
        </w:rPr>
        <w:t>A</w:t>
      </w:r>
      <w:r w:rsidR="003355B9">
        <w:rPr>
          <w:rFonts w:ascii="Tahoma" w:hAnsi="Tahoma" w:cs="Tahoma"/>
        </w:rPr>
        <w:t>20</w:t>
      </w:r>
      <w:r>
        <w:rPr>
          <w:rFonts w:ascii="Tahoma" w:hAnsi="Tahoma" w:cs="Tahoma"/>
        </w:rPr>
        <w:t>:</w:t>
      </w:r>
      <w:r>
        <w:rPr>
          <w:rFonts w:ascii="Tahoma" w:hAnsi="Tahoma" w:cs="Tahoma"/>
        </w:rPr>
        <w:tab/>
        <w:t xml:space="preserve">No, </w:t>
      </w:r>
      <w:r w:rsidR="00EF06FD">
        <w:rPr>
          <w:rFonts w:ascii="Tahoma" w:hAnsi="Tahoma" w:cs="Tahoma"/>
        </w:rPr>
        <w:t xml:space="preserve">layered incentives from other programs should not be entered into the Budget Forms as a match contribution. The </w:t>
      </w:r>
      <w:r w:rsidR="00F51ECE">
        <w:rPr>
          <w:rFonts w:ascii="Tahoma" w:hAnsi="Tahoma" w:cs="Tahoma"/>
        </w:rPr>
        <w:t>a</w:t>
      </w:r>
      <w:r w:rsidR="00EF06FD">
        <w:rPr>
          <w:rFonts w:ascii="Tahoma" w:hAnsi="Tahoma" w:cs="Tahoma"/>
        </w:rPr>
        <w:t xml:space="preserve">pplicant’s approach to layering and coordination with other programs should be described </w:t>
      </w:r>
      <w:r w:rsidR="006B2FF3">
        <w:rPr>
          <w:rFonts w:ascii="Tahoma" w:hAnsi="Tahoma" w:cs="Tahoma"/>
        </w:rPr>
        <w:t>in the Program Narrative. Please note that match funding is not required for this program.</w:t>
      </w:r>
    </w:p>
    <w:p w14:paraId="20AE45C3" w14:textId="2E494615" w:rsidR="003C28D9" w:rsidRDefault="000F2F79" w:rsidP="00703D15">
      <w:pPr>
        <w:ind w:left="720" w:hanging="720"/>
        <w:rPr>
          <w:rFonts w:ascii="Tahoma" w:hAnsi="Tahoma" w:cs="Tahoma"/>
          <w:b/>
          <w:bCs/>
        </w:rPr>
      </w:pPr>
      <w:r w:rsidRPr="00420F0A">
        <w:rPr>
          <w:rFonts w:ascii="Tahoma" w:hAnsi="Tahoma" w:cs="Tahoma"/>
          <w:b/>
          <w:bCs/>
        </w:rPr>
        <w:t>Q</w:t>
      </w:r>
      <w:r w:rsidR="004F1CC0" w:rsidRPr="00420F0A">
        <w:rPr>
          <w:rFonts w:ascii="Tahoma" w:hAnsi="Tahoma" w:cs="Tahoma"/>
          <w:b/>
          <w:bCs/>
        </w:rPr>
        <w:t>2</w:t>
      </w:r>
      <w:r w:rsidR="00D47ABF" w:rsidRPr="00420F0A">
        <w:rPr>
          <w:rFonts w:ascii="Tahoma" w:hAnsi="Tahoma" w:cs="Tahoma"/>
          <w:b/>
          <w:bCs/>
        </w:rPr>
        <w:t>1</w:t>
      </w:r>
      <w:r w:rsidR="003C28D9" w:rsidRPr="00420F0A">
        <w:rPr>
          <w:rFonts w:ascii="Tahoma" w:hAnsi="Tahoma" w:cs="Tahoma"/>
          <w:b/>
          <w:bCs/>
        </w:rPr>
        <w:t>:</w:t>
      </w:r>
      <w:r w:rsidR="003C28D9" w:rsidRPr="00B54F37">
        <w:tab/>
      </w:r>
      <w:r w:rsidR="003C28D9" w:rsidRPr="00420F0A">
        <w:rPr>
          <w:rFonts w:ascii="Tahoma" w:hAnsi="Tahoma" w:cs="Tahoma"/>
          <w:b/>
          <w:bCs/>
        </w:rPr>
        <w:t>Can advisory group members be compensated for their time? If so, what funding mechanisms are allowed</w:t>
      </w:r>
      <w:r w:rsidR="00A0123F" w:rsidRPr="00420F0A">
        <w:rPr>
          <w:rFonts w:ascii="Tahoma" w:hAnsi="Tahoma" w:cs="Tahoma"/>
          <w:b/>
          <w:bCs/>
        </w:rPr>
        <w:t>? For example, can we list them as a vendor and create an invoice for their time and pay them directly? Is there a limitation on utilizing gift cards or other methods of payment for ease of transaction?</w:t>
      </w:r>
    </w:p>
    <w:p w14:paraId="39304D59" w14:textId="61E27420" w:rsidR="000F2F79" w:rsidRDefault="000F2F79" w:rsidP="00703D15">
      <w:pPr>
        <w:ind w:left="720" w:hanging="720"/>
        <w:rPr>
          <w:rFonts w:ascii="Tahoma" w:hAnsi="Tahoma" w:cs="Tahoma"/>
        </w:rPr>
      </w:pPr>
      <w:r w:rsidRPr="000F2F79">
        <w:rPr>
          <w:rFonts w:ascii="Tahoma" w:hAnsi="Tahoma" w:cs="Tahoma"/>
        </w:rPr>
        <w:t>A</w:t>
      </w:r>
      <w:r w:rsidR="004F1CC0">
        <w:rPr>
          <w:rFonts w:ascii="Tahoma" w:hAnsi="Tahoma" w:cs="Tahoma"/>
        </w:rPr>
        <w:t>2</w:t>
      </w:r>
      <w:r w:rsidR="00D47ABF">
        <w:rPr>
          <w:rFonts w:ascii="Tahoma" w:hAnsi="Tahoma" w:cs="Tahoma"/>
        </w:rPr>
        <w:t>1</w:t>
      </w:r>
      <w:r w:rsidRPr="000F2F79">
        <w:rPr>
          <w:rFonts w:ascii="Tahoma" w:hAnsi="Tahoma" w:cs="Tahoma"/>
        </w:rPr>
        <w:t>:</w:t>
      </w:r>
      <w:r>
        <w:tab/>
      </w:r>
      <w:r w:rsidR="009169C3">
        <w:rPr>
          <w:rFonts w:ascii="Tahoma" w:hAnsi="Tahoma" w:cs="Tahoma"/>
        </w:rPr>
        <w:t>Yes, applicants may propose to compensate advisory group members</w:t>
      </w:r>
      <w:r w:rsidR="005D5FB9">
        <w:rPr>
          <w:rFonts w:ascii="Tahoma" w:hAnsi="Tahoma" w:cs="Tahoma"/>
        </w:rPr>
        <w:t xml:space="preserve"> as part of the budget proposal. </w:t>
      </w:r>
      <w:r w:rsidR="00B419D4">
        <w:rPr>
          <w:rFonts w:ascii="Tahoma" w:hAnsi="Tahoma" w:cs="Tahoma"/>
        </w:rPr>
        <w:t>If this is proposed, the CEC advises direct payment</w:t>
      </w:r>
      <w:r w:rsidR="001D1583">
        <w:rPr>
          <w:rFonts w:ascii="Tahoma" w:hAnsi="Tahoma" w:cs="Tahoma"/>
        </w:rPr>
        <w:t xml:space="preserve"> </w:t>
      </w:r>
      <w:r w:rsidR="26200AE0" w:rsidRPr="02118649">
        <w:rPr>
          <w:rFonts w:ascii="Tahoma" w:hAnsi="Tahoma" w:cs="Tahoma"/>
        </w:rPr>
        <w:t xml:space="preserve">in the form </w:t>
      </w:r>
      <w:r w:rsidR="00E00629">
        <w:rPr>
          <w:rFonts w:ascii="Tahoma" w:hAnsi="Tahoma" w:cs="Tahoma"/>
        </w:rPr>
        <w:t>of</w:t>
      </w:r>
      <w:r w:rsidR="26200AE0" w:rsidRPr="02118649">
        <w:rPr>
          <w:rFonts w:ascii="Tahoma" w:hAnsi="Tahoma" w:cs="Tahoma"/>
        </w:rPr>
        <w:t xml:space="preserve"> a stipend. </w:t>
      </w:r>
      <w:r w:rsidR="00133794">
        <w:rPr>
          <w:rFonts w:ascii="Tahoma" w:hAnsi="Tahoma" w:cs="Tahoma"/>
        </w:rPr>
        <w:t>Compensation of advisory group members is subject to CAM approval, and the CEC will ensure that the approach to compensation is consistent with state rules and across the three regions.</w:t>
      </w:r>
    </w:p>
    <w:p w14:paraId="1E2D7DDC" w14:textId="47CFEE3F" w:rsidR="000F2F79" w:rsidRPr="0012650F" w:rsidRDefault="000F2F79" w:rsidP="00703D15">
      <w:pPr>
        <w:ind w:left="720" w:hanging="720"/>
        <w:rPr>
          <w:rFonts w:ascii="Tahoma" w:hAnsi="Tahoma" w:cs="Tahoma"/>
          <w:b/>
          <w:bCs/>
        </w:rPr>
      </w:pPr>
      <w:r w:rsidRPr="0012650F">
        <w:rPr>
          <w:rFonts w:ascii="Tahoma" w:hAnsi="Tahoma" w:cs="Tahoma"/>
          <w:b/>
        </w:rPr>
        <w:t>Q</w:t>
      </w:r>
      <w:r w:rsidR="002957F0" w:rsidRPr="0012650F">
        <w:rPr>
          <w:rFonts w:ascii="Tahoma" w:hAnsi="Tahoma" w:cs="Tahoma"/>
          <w:b/>
        </w:rPr>
        <w:t>2</w:t>
      </w:r>
      <w:r w:rsidR="00D47ABF">
        <w:rPr>
          <w:rFonts w:ascii="Tahoma" w:hAnsi="Tahoma" w:cs="Tahoma"/>
          <w:b/>
        </w:rPr>
        <w:t>2</w:t>
      </w:r>
      <w:r w:rsidRPr="0012650F">
        <w:rPr>
          <w:rFonts w:ascii="Tahoma" w:hAnsi="Tahoma" w:cs="Tahoma"/>
          <w:b/>
        </w:rPr>
        <w:t>:</w:t>
      </w:r>
      <w:r w:rsidRPr="0012650F">
        <w:rPr>
          <w:rFonts w:ascii="Tahoma" w:hAnsi="Tahoma" w:cs="Tahoma"/>
          <w:b/>
          <w:bCs/>
        </w:rPr>
        <w:tab/>
      </w:r>
      <w:r w:rsidR="00E80DA1" w:rsidRPr="0012650F">
        <w:rPr>
          <w:rFonts w:ascii="Tahoma" w:hAnsi="Tahoma" w:cs="Tahoma"/>
          <w:b/>
          <w:bCs/>
        </w:rPr>
        <w:t>Please confirm only direct activities at the project site are covered under Task 5.12 and all rebate processing activities (documentation review, outreach to applicants/contractors, etc.) would be covered under Task 5.13.</w:t>
      </w:r>
    </w:p>
    <w:p w14:paraId="5C2B35F4" w14:textId="382711E4" w:rsidR="00A57B86" w:rsidRPr="0012650F" w:rsidRDefault="00A57B86" w:rsidP="00703D15">
      <w:pPr>
        <w:ind w:left="720" w:hanging="720"/>
        <w:rPr>
          <w:rFonts w:ascii="Tahoma" w:hAnsi="Tahoma" w:cs="Tahoma"/>
        </w:rPr>
      </w:pPr>
      <w:r w:rsidRPr="0012650F">
        <w:rPr>
          <w:rFonts w:ascii="Tahoma" w:hAnsi="Tahoma" w:cs="Tahoma"/>
        </w:rPr>
        <w:t>A</w:t>
      </w:r>
      <w:r w:rsidR="002957F0" w:rsidRPr="0012650F">
        <w:rPr>
          <w:rFonts w:ascii="Tahoma" w:hAnsi="Tahoma" w:cs="Tahoma"/>
        </w:rPr>
        <w:t>2</w:t>
      </w:r>
      <w:r w:rsidR="00D47ABF">
        <w:rPr>
          <w:rFonts w:ascii="Tahoma" w:hAnsi="Tahoma" w:cs="Tahoma"/>
        </w:rPr>
        <w:t>2</w:t>
      </w:r>
      <w:r w:rsidRPr="0012650F">
        <w:rPr>
          <w:rFonts w:ascii="Tahoma" w:hAnsi="Tahoma" w:cs="Tahoma"/>
        </w:rPr>
        <w:t>:</w:t>
      </w:r>
      <w:r w:rsidRPr="0012650F">
        <w:rPr>
          <w:rFonts w:ascii="Tahoma" w:hAnsi="Tahoma" w:cs="Tahoma"/>
        </w:rPr>
        <w:tab/>
      </w:r>
      <w:r w:rsidR="00C24BA5" w:rsidRPr="0012650F">
        <w:rPr>
          <w:rFonts w:ascii="Tahoma" w:hAnsi="Tahoma" w:cs="Tahoma"/>
        </w:rPr>
        <w:t xml:space="preserve">Correct, Task 5.12 only includes </w:t>
      </w:r>
      <w:r w:rsidR="001964F7" w:rsidRPr="0012650F">
        <w:rPr>
          <w:rFonts w:ascii="Tahoma" w:hAnsi="Tahoma" w:cs="Tahoma"/>
        </w:rPr>
        <w:t xml:space="preserve">the building retrofit itself, as well as required permitting. Project-related </w:t>
      </w:r>
      <w:r w:rsidR="00526ADD" w:rsidRPr="0012650F">
        <w:rPr>
          <w:rFonts w:ascii="Tahoma" w:hAnsi="Tahoma" w:cs="Tahoma"/>
        </w:rPr>
        <w:t>activities</w:t>
      </w:r>
      <w:r w:rsidR="001964F7" w:rsidRPr="0012650F">
        <w:rPr>
          <w:rFonts w:ascii="Tahoma" w:hAnsi="Tahoma" w:cs="Tahoma"/>
        </w:rPr>
        <w:t xml:space="preserve"> </w:t>
      </w:r>
      <w:r w:rsidR="00526ADD" w:rsidRPr="0012650F">
        <w:rPr>
          <w:rFonts w:ascii="Tahoma" w:hAnsi="Tahoma" w:cs="Tahoma"/>
        </w:rPr>
        <w:t>are covered under a variety of other tasks. For example,</w:t>
      </w:r>
      <w:r w:rsidR="00B11944" w:rsidRPr="0012650F">
        <w:rPr>
          <w:rFonts w:ascii="Tahoma" w:hAnsi="Tahoma" w:cs="Tahoma"/>
        </w:rPr>
        <w:t xml:space="preserve"> outreach is covered in Task 5.8,</w:t>
      </w:r>
      <w:r w:rsidR="00526ADD" w:rsidRPr="0012650F">
        <w:rPr>
          <w:rFonts w:ascii="Tahoma" w:hAnsi="Tahoma" w:cs="Tahoma"/>
        </w:rPr>
        <w:t xml:space="preserve"> income verification is </w:t>
      </w:r>
      <w:r w:rsidR="005740A4" w:rsidRPr="0012650F">
        <w:rPr>
          <w:rFonts w:ascii="Tahoma" w:hAnsi="Tahoma" w:cs="Tahoma"/>
        </w:rPr>
        <w:t xml:space="preserve">covered in Task </w:t>
      </w:r>
      <w:r w:rsidR="00157995" w:rsidRPr="0012650F">
        <w:rPr>
          <w:rFonts w:ascii="Tahoma" w:hAnsi="Tahoma" w:cs="Tahoma"/>
        </w:rPr>
        <w:t>5.9</w:t>
      </w:r>
      <w:r w:rsidR="00B11944" w:rsidRPr="0012650F">
        <w:rPr>
          <w:rFonts w:ascii="Tahoma" w:hAnsi="Tahoma" w:cs="Tahoma"/>
        </w:rPr>
        <w:t xml:space="preserve">, etc. Refer to the Scope of Work for details. </w:t>
      </w:r>
    </w:p>
    <w:p w14:paraId="214F63D8" w14:textId="1051BE39" w:rsidR="00EE45F8" w:rsidRPr="0012650F" w:rsidRDefault="00EE45F8" w:rsidP="00703D15">
      <w:pPr>
        <w:ind w:left="720" w:hanging="720"/>
        <w:rPr>
          <w:rFonts w:ascii="Tahoma" w:hAnsi="Tahoma" w:cs="Tahoma"/>
          <w:b/>
          <w:bCs/>
        </w:rPr>
      </w:pPr>
      <w:r w:rsidRPr="0012650F">
        <w:rPr>
          <w:rFonts w:ascii="Tahoma" w:hAnsi="Tahoma" w:cs="Tahoma"/>
          <w:b/>
        </w:rPr>
        <w:t>Q</w:t>
      </w:r>
      <w:r w:rsidR="002957F0" w:rsidRPr="0012650F">
        <w:rPr>
          <w:rFonts w:ascii="Tahoma" w:hAnsi="Tahoma" w:cs="Tahoma"/>
          <w:b/>
        </w:rPr>
        <w:t>2</w:t>
      </w:r>
      <w:r w:rsidR="00D47ABF">
        <w:rPr>
          <w:rFonts w:ascii="Tahoma" w:hAnsi="Tahoma" w:cs="Tahoma"/>
          <w:b/>
        </w:rPr>
        <w:t>3</w:t>
      </w:r>
      <w:r w:rsidRPr="0012650F">
        <w:rPr>
          <w:rFonts w:ascii="Tahoma" w:hAnsi="Tahoma" w:cs="Tahoma"/>
          <w:b/>
          <w:bCs/>
        </w:rPr>
        <w:t>:</w:t>
      </w:r>
      <w:r w:rsidRPr="0012650F">
        <w:rPr>
          <w:rFonts w:ascii="Tahoma" w:hAnsi="Tahoma" w:cs="Tahoma"/>
          <w:b/>
          <w:bCs/>
        </w:rPr>
        <w:tab/>
        <w:t>Would all check processing activity (once Recipient approves for payment) fall under Task 1.5 or Task 2?</w:t>
      </w:r>
    </w:p>
    <w:p w14:paraId="2C81481C" w14:textId="04FAAAAC" w:rsidR="00EE45F8" w:rsidRPr="0012650F" w:rsidRDefault="00EE45F8" w:rsidP="00703D15">
      <w:pPr>
        <w:ind w:left="720" w:hanging="720"/>
        <w:rPr>
          <w:rFonts w:ascii="Tahoma" w:hAnsi="Tahoma" w:cs="Tahoma"/>
        </w:rPr>
      </w:pPr>
      <w:r w:rsidRPr="0012650F">
        <w:rPr>
          <w:rFonts w:ascii="Tahoma" w:hAnsi="Tahoma" w:cs="Tahoma"/>
        </w:rPr>
        <w:t>A</w:t>
      </w:r>
      <w:r w:rsidR="002957F0" w:rsidRPr="0012650F">
        <w:rPr>
          <w:rFonts w:ascii="Tahoma" w:hAnsi="Tahoma" w:cs="Tahoma"/>
        </w:rPr>
        <w:t>2</w:t>
      </w:r>
      <w:r w:rsidR="00D47ABF">
        <w:rPr>
          <w:rFonts w:ascii="Tahoma" w:hAnsi="Tahoma" w:cs="Tahoma"/>
        </w:rPr>
        <w:t>3</w:t>
      </w:r>
      <w:r w:rsidRPr="0012650F">
        <w:rPr>
          <w:rFonts w:ascii="Tahoma" w:hAnsi="Tahoma" w:cs="Tahoma"/>
        </w:rPr>
        <w:t>:</w:t>
      </w:r>
      <w:r w:rsidRPr="0012650F">
        <w:rPr>
          <w:rFonts w:ascii="Tahoma" w:hAnsi="Tahoma" w:cs="Tahoma"/>
        </w:rPr>
        <w:tab/>
      </w:r>
      <w:r w:rsidR="001E0208" w:rsidRPr="0012650F">
        <w:rPr>
          <w:rFonts w:ascii="Tahoma" w:hAnsi="Tahoma" w:cs="Tahoma"/>
        </w:rPr>
        <w:t xml:space="preserve">Check processing activities </w:t>
      </w:r>
      <w:r w:rsidR="00653B3D" w:rsidRPr="0012650F">
        <w:rPr>
          <w:rFonts w:ascii="Tahoma" w:hAnsi="Tahoma" w:cs="Tahoma"/>
        </w:rPr>
        <w:t xml:space="preserve">fall </w:t>
      </w:r>
      <w:r w:rsidR="00321E39" w:rsidRPr="0012650F">
        <w:rPr>
          <w:rFonts w:ascii="Tahoma" w:hAnsi="Tahoma" w:cs="Tahoma"/>
        </w:rPr>
        <w:t>under</w:t>
      </w:r>
      <w:r w:rsidR="00653B3D" w:rsidRPr="0012650F">
        <w:rPr>
          <w:rFonts w:ascii="Tahoma" w:hAnsi="Tahoma" w:cs="Tahoma"/>
        </w:rPr>
        <w:t xml:space="preserve"> Task 2.</w:t>
      </w:r>
      <w:r w:rsidR="00D231E7" w:rsidRPr="0012650F">
        <w:rPr>
          <w:rFonts w:ascii="Tahoma" w:hAnsi="Tahoma" w:cs="Tahoma"/>
        </w:rPr>
        <w:t xml:space="preserve"> </w:t>
      </w:r>
    </w:p>
    <w:p w14:paraId="300E3F99" w14:textId="47B89110" w:rsidR="00E953B4" w:rsidRPr="0012650F" w:rsidRDefault="00E953B4" w:rsidP="00703D15">
      <w:pPr>
        <w:ind w:left="720" w:hanging="720"/>
        <w:rPr>
          <w:rFonts w:ascii="Tahoma" w:hAnsi="Tahoma" w:cs="Tahoma"/>
          <w:b/>
          <w:bCs/>
        </w:rPr>
      </w:pPr>
      <w:r w:rsidRPr="0012650F">
        <w:rPr>
          <w:rFonts w:ascii="Tahoma" w:hAnsi="Tahoma" w:cs="Tahoma"/>
          <w:b/>
        </w:rPr>
        <w:t>Q</w:t>
      </w:r>
      <w:r w:rsidR="002957F0" w:rsidRPr="0012650F">
        <w:rPr>
          <w:rFonts w:ascii="Tahoma" w:hAnsi="Tahoma" w:cs="Tahoma"/>
          <w:b/>
        </w:rPr>
        <w:t>2</w:t>
      </w:r>
      <w:r w:rsidR="00CE608E">
        <w:rPr>
          <w:rFonts w:ascii="Tahoma" w:hAnsi="Tahoma" w:cs="Tahoma"/>
          <w:b/>
        </w:rPr>
        <w:t>4</w:t>
      </w:r>
      <w:r w:rsidRPr="0012650F">
        <w:rPr>
          <w:rFonts w:ascii="Tahoma" w:hAnsi="Tahoma" w:cs="Tahoma"/>
          <w:b/>
        </w:rPr>
        <w:t>:</w:t>
      </w:r>
      <w:r w:rsidRPr="0012650F">
        <w:rPr>
          <w:rFonts w:ascii="Tahoma" w:hAnsi="Tahoma" w:cs="Tahoma"/>
          <w:b/>
          <w:bCs/>
        </w:rPr>
        <w:tab/>
        <w:t>Which task would initial fund reservation activities fall under?</w:t>
      </w:r>
      <w:r w:rsidR="0082459C" w:rsidRPr="0012650F">
        <w:rPr>
          <w:rFonts w:ascii="Tahoma" w:hAnsi="Tahoma" w:cs="Tahoma"/>
          <w:b/>
          <w:bCs/>
        </w:rPr>
        <w:t xml:space="preserve"> Task 2 or Task 5.11?</w:t>
      </w:r>
    </w:p>
    <w:p w14:paraId="365628CA" w14:textId="77117C8A" w:rsidR="0082459C" w:rsidRPr="0082459C" w:rsidRDefault="0082459C" w:rsidP="00703D15">
      <w:pPr>
        <w:ind w:left="720" w:hanging="720"/>
        <w:rPr>
          <w:rFonts w:ascii="Tahoma" w:hAnsi="Tahoma" w:cs="Tahoma"/>
        </w:rPr>
      </w:pPr>
      <w:r w:rsidRPr="0012650F">
        <w:rPr>
          <w:rFonts w:ascii="Tahoma" w:hAnsi="Tahoma" w:cs="Tahoma"/>
        </w:rPr>
        <w:t>A</w:t>
      </w:r>
      <w:r w:rsidR="002957F0" w:rsidRPr="0012650F">
        <w:rPr>
          <w:rFonts w:ascii="Tahoma" w:hAnsi="Tahoma" w:cs="Tahoma"/>
        </w:rPr>
        <w:t>2</w:t>
      </w:r>
      <w:r w:rsidR="00CE608E">
        <w:rPr>
          <w:rFonts w:ascii="Tahoma" w:hAnsi="Tahoma" w:cs="Tahoma"/>
        </w:rPr>
        <w:t>4</w:t>
      </w:r>
      <w:r w:rsidRPr="0012650F">
        <w:rPr>
          <w:rFonts w:ascii="Tahoma" w:hAnsi="Tahoma" w:cs="Tahoma"/>
        </w:rPr>
        <w:t>:</w:t>
      </w:r>
      <w:r w:rsidRPr="0012650F">
        <w:rPr>
          <w:rFonts w:ascii="Tahoma" w:hAnsi="Tahoma" w:cs="Tahoma"/>
        </w:rPr>
        <w:tab/>
      </w:r>
      <w:r w:rsidR="00DE0668" w:rsidRPr="0012650F">
        <w:rPr>
          <w:rFonts w:ascii="Tahoma" w:hAnsi="Tahoma" w:cs="Tahoma"/>
        </w:rPr>
        <w:t xml:space="preserve">Initial fund reservation activities </w:t>
      </w:r>
      <w:r w:rsidR="005630F5" w:rsidRPr="0012650F">
        <w:rPr>
          <w:rFonts w:ascii="Tahoma" w:hAnsi="Tahoma" w:cs="Tahoma"/>
        </w:rPr>
        <w:t>fall under Task 5.11</w:t>
      </w:r>
      <w:r w:rsidR="005630F5">
        <w:rPr>
          <w:rFonts w:ascii="Tahoma" w:hAnsi="Tahoma" w:cs="Tahoma"/>
        </w:rPr>
        <w:t>.</w:t>
      </w:r>
    </w:p>
    <w:p w14:paraId="3C41C9F2" w14:textId="77777777" w:rsidR="00703D15" w:rsidRDefault="00703D15" w:rsidP="00703D15">
      <w:pPr>
        <w:ind w:left="720" w:hanging="720"/>
        <w:rPr>
          <w:rFonts w:ascii="Tahoma" w:hAnsi="Tahoma" w:cs="Tahoma"/>
        </w:rPr>
      </w:pPr>
    </w:p>
    <w:p w14:paraId="3C0C7BEE" w14:textId="01F4A04E" w:rsidR="00EC2F59" w:rsidRPr="00EC2F59" w:rsidRDefault="00EC2F59" w:rsidP="001E5266">
      <w:pPr>
        <w:pStyle w:val="Heading1"/>
      </w:pPr>
      <w:r w:rsidRPr="00EC2F59">
        <w:t>Budget: Profit Restrictions</w:t>
      </w:r>
    </w:p>
    <w:p w14:paraId="72CF0857" w14:textId="0FE73FA3" w:rsidR="00DD6FE6" w:rsidRPr="00611B3A" w:rsidRDefault="00611B3A" w:rsidP="00A66DE1">
      <w:pPr>
        <w:tabs>
          <w:tab w:val="left" w:pos="720"/>
        </w:tabs>
        <w:ind w:left="720" w:hanging="720"/>
        <w:rPr>
          <w:rFonts w:ascii="Tahoma" w:hAnsi="Tahoma" w:cs="Tahoma"/>
          <w:b/>
          <w:bCs/>
        </w:rPr>
      </w:pPr>
      <w:r w:rsidRPr="00A34073">
        <w:rPr>
          <w:rFonts w:ascii="Tahoma" w:hAnsi="Tahoma" w:cs="Tahoma"/>
          <w:b/>
        </w:rPr>
        <w:t>Q</w:t>
      </w:r>
      <w:r w:rsidR="00A664DF">
        <w:rPr>
          <w:rFonts w:ascii="Tahoma" w:hAnsi="Tahoma" w:cs="Tahoma"/>
          <w:b/>
        </w:rPr>
        <w:t>25</w:t>
      </w:r>
      <w:r w:rsidR="00EC2F59" w:rsidRPr="00A34073">
        <w:rPr>
          <w:rFonts w:ascii="Tahoma" w:hAnsi="Tahoma" w:cs="Tahoma"/>
          <w:b/>
        </w:rPr>
        <w:t>:</w:t>
      </w:r>
      <w:r w:rsidR="00EC2F59" w:rsidRPr="00611B3A">
        <w:rPr>
          <w:rFonts w:ascii="Tahoma" w:hAnsi="Tahoma" w:cs="Tahoma"/>
          <w:b/>
          <w:bCs/>
        </w:rPr>
        <w:tab/>
      </w:r>
      <w:r w:rsidRPr="00611B3A">
        <w:rPr>
          <w:rFonts w:ascii="Tahoma" w:hAnsi="Tahoma" w:cs="Tahoma"/>
          <w:b/>
          <w:bCs/>
        </w:rPr>
        <w:t>Are vendors subject to the 10</w:t>
      </w:r>
      <w:r w:rsidR="00AB5874">
        <w:rPr>
          <w:rFonts w:ascii="Tahoma" w:hAnsi="Tahoma" w:cs="Tahoma"/>
          <w:b/>
          <w:bCs/>
        </w:rPr>
        <w:t xml:space="preserve"> percent</w:t>
      </w:r>
      <w:r w:rsidRPr="00611B3A">
        <w:rPr>
          <w:rFonts w:ascii="Tahoma" w:hAnsi="Tahoma" w:cs="Tahoma"/>
          <w:b/>
          <w:bCs/>
        </w:rPr>
        <w:t xml:space="preserve"> profit cap?</w:t>
      </w:r>
    </w:p>
    <w:p w14:paraId="2C12520B" w14:textId="6A1AA938" w:rsidR="00611B3A" w:rsidRDefault="0060344F" w:rsidP="00A66DE1">
      <w:pPr>
        <w:tabs>
          <w:tab w:val="left" w:pos="720"/>
        </w:tabs>
        <w:ind w:left="720" w:hanging="720"/>
        <w:rPr>
          <w:rFonts w:ascii="Tahoma" w:hAnsi="Tahoma" w:cs="Tahoma"/>
        </w:rPr>
      </w:pPr>
      <w:r>
        <w:rPr>
          <w:rFonts w:ascii="Tahoma" w:hAnsi="Tahoma" w:cs="Tahoma"/>
        </w:rPr>
        <w:t>A25</w:t>
      </w:r>
      <w:r w:rsidR="00611B3A">
        <w:rPr>
          <w:rFonts w:ascii="Tahoma" w:hAnsi="Tahoma" w:cs="Tahoma"/>
        </w:rPr>
        <w:t>:</w:t>
      </w:r>
      <w:r w:rsidR="00611B3A">
        <w:rPr>
          <w:rFonts w:ascii="Tahoma" w:hAnsi="Tahoma" w:cs="Tahoma"/>
        </w:rPr>
        <w:tab/>
      </w:r>
      <w:r w:rsidR="008F633B">
        <w:rPr>
          <w:rFonts w:ascii="Tahoma" w:hAnsi="Tahoma" w:cs="Tahoma"/>
        </w:rPr>
        <w:t xml:space="preserve">No. There </w:t>
      </w:r>
      <w:r w:rsidR="00611B3A">
        <w:rPr>
          <w:rFonts w:ascii="Tahoma" w:hAnsi="Tahoma" w:cs="Tahoma"/>
        </w:rPr>
        <w:t xml:space="preserve">is no </w:t>
      </w:r>
      <w:r w:rsidR="00303F75">
        <w:rPr>
          <w:rFonts w:ascii="Tahoma" w:hAnsi="Tahoma" w:cs="Tahoma"/>
        </w:rPr>
        <w:t>profit restriction for vendors</w:t>
      </w:r>
      <w:r w:rsidR="00E305F7">
        <w:rPr>
          <w:rFonts w:ascii="Tahoma" w:hAnsi="Tahoma" w:cs="Tahoma"/>
        </w:rPr>
        <w:t xml:space="preserve">. </w:t>
      </w:r>
      <w:r w:rsidR="008F633B">
        <w:rPr>
          <w:rFonts w:ascii="Tahoma" w:hAnsi="Tahoma" w:cs="Tahoma"/>
        </w:rPr>
        <w:t>However</w:t>
      </w:r>
      <w:r w:rsidR="00115776">
        <w:rPr>
          <w:rFonts w:ascii="Tahoma" w:hAnsi="Tahoma" w:cs="Tahoma"/>
        </w:rPr>
        <w:t xml:space="preserve">, </w:t>
      </w:r>
      <w:r w:rsidR="007C586D">
        <w:rPr>
          <w:rFonts w:ascii="Tahoma" w:hAnsi="Tahoma" w:cs="Tahoma"/>
        </w:rPr>
        <w:t>Recipients are</w:t>
      </w:r>
      <w:r w:rsidR="00115776">
        <w:rPr>
          <w:rFonts w:ascii="Tahoma" w:hAnsi="Tahoma" w:cs="Tahoma"/>
        </w:rPr>
        <w:t xml:space="preserve"> required to develop and implement cost-control mechanisms to ensure that costs paid to </w:t>
      </w:r>
      <w:r w:rsidR="007C586D">
        <w:rPr>
          <w:rFonts w:ascii="Tahoma" w:hAnsi="Tahoma" w:cs="Tahoma"/>
        </w:rPr>
        <w:t>vendors are reasonable.</w:t>
      </w:r>
    </w:p>
    <w:p w14:paraId="1EC2452B" w14:textId="44FBFD95" w:rsidR="009626C3" w:rsidRPr="009626C3" w:rsidRDefault="009626C3" w:rsidP="00A66DE1">
      <w:pPr>
        <w:tabs>
          <w:tab w:val="left" w:pos="720"/>
        </w:tabs>
        <w:ind w:left="720" w:hanging="720"/>
        <w:rPr>
          <w:rFonts w:ascii="Tahoma" w:hAnsi="Tahoma" w:cs="Tahoma"/>
          <w:b/>
          <w:bCs/>
        </w:rPr>
      </w:pPr>
      <w:r w:rsidRPr="00805A25">
        <w:rPr>
          <w:rFonts w:ascii="Tahoma" w:hAnsi="Tahoma" w:cs="Tahoma"/>
          <w:b/>
          <w:bCs/>
        </w:rPr>
        <w:t>Q</w:t>
      </w:r>
      <w:r w:rsidR="004E3E73" w:rsidRPr="00805A25">
        <w:rPr>
          <w:rFonts w:ascii="Tahoma" w:hAnsi="Tahoma" w:cs="Tahoma"/>
          <w:b/>
          <w:bCs/>
        </w:rPr>
        <w:t>26</w:t>
      </w:r>
      <w:r w:rsidRPr="00805A25">
        <w:rPr>
          <w:rFonts w:ascii="Tahoma" w:hAnsi="Tahoma" w:cs="Tahoma"/>
          <w:b/>
          <w:bCs/>
        </w:rPr>
        <w:t>:</w:t>
      </w:r>
      <w:r w:rsidRPr="00805A25">
        <w:tab/>
      </w:r>
      <w:r w:rsidRPr="00805A25">
        <w:rPr>
          <w:rFonts w:ascii="Tahoma" w:hAnsi="Tahoma" w:cs="Tahoma"/>
          <w:b/>
          <w:bCs/>
        </w:rPr>
        <w:t>How is “profit” defined?</w:t>
      </w:r>
    </w:p>
    <w:p w14:paraId="748C7A1B" w14:textId="55D035A8" w:rsidR="009626C3" w:rsidRDefault="009626C3" w:rsidP="00A66DE1">
      <w:pPr>
        <w:tabs>
          <w:tab w:val="left" w:pos="720"/>
        </w:tabs>
        <w:ind w:left="720" w:hanging="720"/>
        <w:rPr>
          <w:rFonts w:ascii="Tahoma" w:hAnsi="Tahoma" w:cs="Tahoma"/>
        </w:rPr>
      </w:pPr>
      <w:r>
        <w:rPr>
          <w:rFonts w:ascii="Tahoma" w:hAnsi="Tahoma" w:cs="Tahoma"/>
        </w:rPr>
        <w:t>A</w:t>
      </w:r>
      <w:r w:rsidR="004E3E73">
        <w:rPr>
          <w:rFonts w:ascii="Tahoma" w:hAnsi="Tahoma" w:cs="Tahoma"/>
        </w:rPr>
        <w:t>26</w:t>
      </w:r>
      <w:r>
        <w:rPr>
          <w:rFonts w:ascii="Tahoma" w:hAnsi="Tahoma" w:cs="Tahoma"/>
        </w:rPr>
        <w:t>:</w:t>
      </w:r>
      <w:r w:rsidR="00DF66BC">
        <w:tab/>
      </w:r>
      <w:r w:rsidR="00DF66BC" w:rsidRPr="00DF66BC">
        <w:rPr>
          <w:rFonts w:ascii="Tahoma" w:hAnsi="Tahoma" w:cs="Tahoma"/>
        </w:rPr>
        <w:t>Profit has its ordinary dictionary definition, i.e., net earnings</w:t>
      </w:r>
      <w:r w:rsidR="003120CB">
        <w:rPr>
          <w:rFonts w:ascii="Tahoma" w:hAnsi="Tahoma" w:cs="Tahoma"/>
        </w:rPr>
        <w:t xml:space="preserve"> or </w:t>
      </w:r>
      <w:r w:rsidR="0034426C">
        <w:rPr>
          <w:rFonts w:ascii="Tahoma" w:hAnsi="Tahoma" w:cs="Tahoma"/>
        </w:rPr>
        <w:t xml:space="preserve">the </w:t>
      </w:r>
      <w:r w:rsidR="00034164">
        <w:rPr>
          <w:rFonts w:ascii="Tahoma" w:hAnsi="Tahoma" w:cs="Tahoma"/>
        </w:rPr>
        <w:t>service or selling price</w:t>
      </w:r>
      <w:r w:rsidR="0069188D">
        <w:rPr>
          <w:rFonts w:ascii="Tahoma" w:hAnsi="Tahoma" w:cs="Tahoma"/>
        </w:rPr>
        <w:t xml:space="preserve"> minus </w:t>
      </w:r>
      <w:r w:rsidR="00F747F3">
        <w:rPr>
          <w:rFonts w:ascii="Tahoma" w:hAnsi="Tahoma" w:cs="Tahoma"/>
        </w:rPr>
        <w:t xml:space="preserve">expenses and </w:t>
      </w:r>
      <w:r w:rsidR="0069188D">
        <w:rPr>
          <w:rFonts w:ascii="Tahoma" w:hAnsi="Tahoma" w:cs="Tahoma"/>
        </w:rPr>
        <w:t>costs</w:t>
      </w:r>
      <w:r w:rsidR="00DF66BC" w:rsidRPr="00DF66BC">
        <w:rPr>
          <w:rFonts w:ascii="Tahoma" w:hAnsi="Tahoma" w:cs="Tahoma"/>
        </w:rPr>
        <w:t>. See A27 and A28 for more information about allowable subcontractor profit.</w:t>
      </w:r>
      <w:r w:rsidR="00F465C4">
        <w:rPr>
          <w:rFonts w:ascii="Tahoma" w:hAnsi="Tahoma" w:cs="Tahoma"/>
        </w:rPr>
        <w:t xml:space="preserve"> </w:t>
      </w:r>
    </w:p>
    <w:p w14:paraId="7D22B800" w14:textId="2FA5494E" w:rsidR="009626C3" w:rsidRPr="00A34073" w:rsidRDefault="009626C3" w:rsidP="00A66DE1">
      <w:pPr>
        <w:tabs>
          <w:tab w:val="left" w:pos="720"/>
        </w:tabs>
        <w:ind w:left="720" w:hanging="720"/>
        <w:rPr>
          <w:rFonts w:ascii="Tahoma" w:hAnsi="Tahoma" w:cs="Tahoma"/>
          <w:b/>
          <w:bCs/>
        </w:rPr>
      </w:pPr>
      <w:r w:rsidRPr="00A34073">
        <w:rPr>
          <w:rFonts w:ascii="Tahoma" w:hAnsi="Tahoma" w:cs="Tahoma"/>
          <w:b/>
        </w:rPr>
        <w:t>Q</w:t>
      </w:r>
      <w:r w:rsidR="00E64D77" w:rsidRPr="00A34073">
        <w:rPr>
          <w:rFonts w:ascii="Tahoma" w:hAnsi="Tahoma" w:cs="Tahoma"/>
          <w:b/>
        </w:rPr>
        <w:t>2</w:t>
      </w:r>
      <w:r w:rsidR="00B70358">
        <w:rPr>
          <w:rFonts w:ascii="Tahoma" w:hAnsi="Tahoma" w:cs="Tahoma"/>
          <w:b/>
        </w:rPr>
        <w:t>7</w:t>
      </w:r>
      <w:r w:rsidRPr="00A34073">
        <w:rPr>
          <w:rFonts w:ascii="Tahoma" w:hAnsi="Tahoma" w:cs="Tahoma"/>
          <w:b/>
        </w:rPr>
        <w:t>:</w:t>
      </w:r>
      <w:r w:rsidRPr="00A34073">
        <w:rPr>
          <w:rFonts w:ascii="Tahoma" w:hAnsi="Tahoma" w:cs="Tahoma"/>
          <w:b/>
          <w:bCs/>
        </w:rPr>
        <w:tab/>
      </w:r>
      <w:r w:rsidR="00587370" w:rsidRPr="00A34073">
        <w:rPr>
          <w:rFonts w:ascii="Tahoma" w:hAnsi="Tahoma" w:cs="Tahoma"/>
          <w:b/>
          <w:bCs/>
        </w:rPr>
        <w:t>Subcontractors are limited to 10</w:t>
      </w:r>
      <w:r w:rsidR="001C47B8">
        <w:rPr>
          <w:rFonts w:ascii="Tahoma" w:hAnsi="Tahoma" w:cs="Tahoma"/>
          <w:b/>
          <w:bCs/>
        </w:rPr>
        <w:t xml:space="preserve"> percent</w:t>
      </w:r>
      <w:r w:rsidR="00587370" w:rsidRPr="00A34073">
        <w:rPr>
          <w:rFonts w:ascii="Tahoma" w:hAnsi="Tahoma" w:cs="Tahoma"/>
          <w:b/>
          <w:bCs/>
        </w:rPr>
        <w:t xml:space="preserve"> profit. </w:t>
      </w:r>
      <w:r w:rsidRPr="00A34073">
        <w:rPr>
          <w:rFonts w:ascii="Tahoma" w:hAnsi="Tahoma" w:cs="Tahoma"/>
          <w:b/>
          <w:bCs/>
        </w:rPr>
        <w:t xml:space="preserve">What budget categories are eligible to form the basis of </w:t>
      </w:r>
      <w:r w:rsidR="00587370" w:rsidRPr="00A34073">
        <w:rPr>
          <w:rFonts w:ascii="Tahoma" w:hAnsi="Tahoma" w:cs="Tahoma"/>
          <w:b/>
          <w:bCs/>
        </w:rPr>
        <w:t>this 10</w:t>
      </w:r>
      <w:r w:rsidR="001C47B8">
        <w:rPr>
          <w:rFonts w:ascii="Tahoma" w:hAnsi="Tahoma" w:cs="Tahoma"/>
          <w:b/>
          <w:bCs/>
        </w:rPr>
        <w:t xml:space="preserve"> percent</w:t>
      </w:r>
      <w:r w:rsidR="00B37015" w:rsidRPr="00A34073">
        <w:rPr>
          <w:rFonts w:ascii="Tahoma" w:hAnsi="Tahoma" w:cs="Tahoma"/>
          <w:b/>
          <w:bCs/>
        </w:rPr>
        <w:t>?</w:t>
      </w:r>
    </w:p>
    <w:p w14:paraId="5E97088A" w14:textId="3B5C429D" w:rsidR="00B37015" w:rsidRPr="00A34073" w:rsidRDefault="00B37015" w:rsidP="00A66DE1">
      <w:pPr>
        <w:tabs>
          <w:tab w:val="left" w:pos="720"/>
        </w:tabs>
        <w:ind w:left="720" w:hanging="720"/>
        <w:rPr>
          <w:rFonts w:ascii="Tahoma" w:hAnsi="Tahoma" w:cs="Tahoma"/>
        </w:rPr>
      </w:pPr>
      <w:r w:rsidRPr="00A34073">
        <w:rPr>
          <w:rFonts w:ascii="Tahoma" w:hAnsi="Tahoma" w:cs="Tahoma"/>
        </w:rPr>
        <w:t>A</w:t>
      </w:r>
      <w:r w:rsidR="00E64D77" w:rsidRPr="00A34073">
        <w:rPr>
          <w:rFonts w:ascii="Tahoma" w:hAnsi="Tahoma" w:cs="Tahoma"/>
        </w:rPr>
        <w:t>2</w:t>
      </w:r>
      <w:r w:rsidR="00B70358">
        <w:rPr>
          <w:rFonts w:ascii="Tahoma" w:hAnsi="Tahoma" w:cs="Tahoma"/>
        </w:rPr>
        <w:t>7</w:t>
      </w:r>
      <w:r w:rsidRPr="00A34073">
        <w:rPr>
          <w:rFonts w:ascii="Tahoma" w:hAnsi="Tahoma" w:cs="Tahoma"/>
        </w:rPr>
        <w:t>:</w:t>
      </w:r>
      <w:r w:rsidR="0069718E" w:rsidRPr="00A34073">
        <w:rPr>
          <w:rFonts w:ascii="Tahoma" w:hAnsi="Tahoma" w:cs="Tahoma"/>
        </w:rPr>
        <w:tab/>
      </w:r>
      <w:r w:rsidR="00EB6550" w:rsidRPr="00A34073">
        <w:rPr>
          <w:rFonts w:ascii="Tahoma" w:hAnsi="Tahoma" w:cs="Tahoma"/>
        </w:rPr>
        <w:t>The basis of this 10</w:t>
      </w:r>
      <w:r w:rsidR="00B321DA">
        <w:rPr>
          <w:rFonts w:ascii="Tahoma" w:hAnsi="Tahoma" w:cs="Tahoma"/>
        </w:rPr>
        <w:t xml:space="preserve"> percent</w:t>
      </w:r>
      <w:r w:rsidR="00DF482E">
        <w:rPr>
          <w:rFonts w:ascii="Tahoma" w:hAnsi="Tahoma" w:cs="Tahoma"/>
        </w:rPr>
        <w:t xml:space="preserve"> profit</w:t>
      </w:r>
      <w:r w:rsidR="00EB6550" w:rsidRPr="00A34073">
        <w:rPr>
          <w:rFonts w:ascii="Tahoma" w:hAnsi="Tahoma" w:cs="Tahoma"/>
        </w:rPr>
        <w:t xml:space="preserve"> is all costs </w:t>
      </w:r>
      <w:r w:rsidR="003644EC" w:rsidRPr="00A34073">
        <w:rPr>
          <w:rFonts w:ascii="Tahoma" w:hAnsi="Tahoma" w:cs="Tahoma"/>
        </w:rPr>
        <w:t xml:space="preserve">incurred by the subcontractor </w:t>
      </w:r>
      <w:r w:rsidR="00EB6550" w:rsidRPr="00A34073">
        <w:rPr>
          <w:rFonts w:ascii="Tahoma" w:hAnsi="Tahoma" w:cs="Tahoma"/>
        </w:rPr>
        <w:t>that are eligible for reimbursement through the program</w:t>
      </w:r>
      <w:r w:rsidR="000B3CBE" w:rsidRPr="00A34073">
        <w:rPr>
          <w:rFonts w:ascii="Tahoma" w:hAnsi="Tahoma" w:cs="Tahoma"/>
        </w:rPr>
        <w:t xml:space="preserve"> (including Administrative, Project-Related, and Project Costs)</w:t>
      </w:r>
      <w:r w:rsidR="00EB6550" w:rsidRPr="00A34073">
        <w:rPr>
          <w:rFonts w:ascii="Tahoma" w:hAnsi="Tahoma" w:cs="Tahoma"/>
        </w:rPr>
        <w:t xml:space="preserve">, except for </w:t>
      </w:r>
      <w:r w:rsidR="006366C0" w:rsidRPr="00A34073">
        <w:rPr>
          <w:rFonts w:ascii="Tahoma" w:hAnsi="Tahoma" w:cs="Tahoma"/>
        </w:rPr>
        <w:t>any expenses further subcontracted to other entities (sub-subcontractors or vendors). For example, if a subcontractor has $100,000 in actual allowable costs but has further subcontracted $20,000 to another entity, then the subcontractor can only include up to 10</w:t>
      </w:r>
      <w:r w:rsidR="00040AC1">
        <w:rPr>
          <w:rFonts w:ascii="Tahoma" w:hAnsi="Tahoma" w:cs="Tahoma"/>
        </w:rPr>
        <w:t xml:space="preserve"> percent</w:t>
      </w:r>
      <w:r w:rsidR="006366C0" w:rsidRPr="00A34073">
        <w:rPr>
          <w:rFonts w:ascii="Tahoma" w:hAnsi="Tahoma" w:cs="Tahoma"/>
        </w:rPr>
        <w:t xml:space="preserve"> profit on $80,000</w:t>
      </w:r>
      <w:r w:rsidR="0029445A" w:rsidRPr="00A34073">
        <w:rPr>
          <w:rFonts w:ascii="Tahoma" w:hAnsi="Tahoma" w:cs="Tahoma"/>
        </w:rPr>
        <w:t xml:space="preserve"> ($100,000 minus $20,000).</w:t>
      </w:r>
      <w:r w:rsidR="00EB6550" w:rsidRPr="00A34073">
        <w:rPr>
          <w:rFonts w:ascii="Tahoma" w:hAnsi="Tahoma" w:cs="Tahoma"/>
        </w:rPr>
        <w:t xml:space="preserve"> </w:t>
      </w:r>
    </w:p>
    <w:p w14:paraId="67262B72" w14:textId="126DA760" w:rsidR="0029445A" w:rsidRDefault="00C23BC6" w:rsidP="00A66DE1">
      <w:pPr>
        <w:tabs>
          <w:tab w:val="left" w:pos="720"/>
        </w:tabs>
        <w:ind w:left="720" w:hanging="720"/>
        <w:rPr>
          <w:rFonts w:ascii="Tahoma" w:hAnsi="Tahoma" w:cs="Tahoma"/>
          <w:b/>
          <w:bCs/>
        </w:rPr>
      </w:pPr>
      <w:r w:rsidRPr="00A34073">
        <w:rPr>
          <w:rFonts w:ascii="Tahoma" w:hAnsi="Tahoma" w:cs="Tahoma"/>
          <w:b/>
        </w:rPr>
        <w:t>Q</w:t>
      </w:r>
      <w:r w:rsidR="008743F0" w:rsidRPr="00A34073">
        <w:rPr>
          <w:rFonts w:ascii="Tahoma" w:hAnsi="Tahoma" w:cs="Tahoma"/>
          <w:b/>
        </w:rPr>
        <w:t>2</w:t>
      </w:r>
      <w:r w:rsidR="007C72BE">
        <w:rPr>
          <w:rFonts w:ascii="Tahoma" w:hAnsi="Tahoma" w:cs="Tahoma"/>
          <w:b/>
        </w:rPr>
        <w:t>8</w:t>
      </w:r>
      <w:r w:rsidRPr="00A34073">
        <w:rPr>
          <w:rFonts w:ascii="Tahoma" w:hAnsi="Tahoma" w:cs="Tahoma"/>
          <w:b/>
        </w:rPr>
        <w:t>:</w:t>
      </w:r>
      <w:r w:rsidRPr="00A34073">
        <w:rPr>
          <w:rFonts w:ascii="Tahoma" w:hAnsi="Tahoma" w:cs="Tahoma"/>
          <w:b/>
          <w:bCs/>
        </w:rPr>
        <w:tab/>
      </w:r>
      <w:r w:rsidR="000B3CBE" w:rsidRPr="00A34073">
        <w:rPr>
          <w:rFonts w:ascii="Tahoma" w:hAnsi="Tahoma" w:cs="Tahoma"/>
          <w:b/>
          <w:bCs/>
        </w:rPr>
        <w:t>Can subcontractors take a profit on</w:t>
      </w:r>
      <w:r w:rsidR="00291A08" w:rsidRPr="00A34073">
        <w:rPr>
          <w:rFonts w:ascii="Tahoma" w:hAnsi="Tahoma" w:cs="Tahoma"/>
        </w:rPr>
        <w:t xml:space="preserve"> </w:t>
      </w:r>
      <w:r w:rsidR="00291A08" w:rsidRPr="00A34073">
        <w:rPr>
          <w:rFonts w:ascii="Tahoma" w:hAnsi="Tahoma" w:cs="Tahoma"/>
          <w:b/>
          <w:bCs/>
        </w:rPr>
        <w:t>Project Costs and Project-Related Costs?</w:t>
      </w:r>
      <w:r w:rsidR="000B3CBE" w:rsidRPr="00A34073">
        <w:rPr>
          <w:rFonts w:ascii="Tahoma" w:hAnsi="Tahoma" w:cs="Tahoma"/>
          <w:b/>
          <w:bCs/>
        </w:rPr>
        <w:t xml:space="preserve"> </w:t>
      </w:r>
      <w:r w:rsidR="00291A08" w:rsidRPr="00A34073">
        <w:rPr>
          <w:rFonts w:ascii="Tahoma" w:hAnsi="Tahoma" w:cs="Tahoma"/>
          <w:b/>
          <w:bCs/>
        </w:rPr>
        <w:t>If</w:t>
      </w:r>
      <w:r w:rsidR="00291A08">
        <w:rPr>
          <w:rFonts w:ascii="Tahoma" w:hAnsi="Tahoma" w:cs="Tahoma"/>
          <w:b/>
          <w:bCs/>
        </w:rPr>
        <w:t xml:space="preserve"> so, why is there an </w:t>
      </w:r>
      <w:r w:rsidR="00953921">
        <w:rPr>
          <w:rFonts w:ascii="Tahoma" w:hAnsi="Tahoma" w:cs="Tahoma"/>
          <w:b/>
          <w:bCs/>
        </w:rPr>
        <w:t xml:space="preserve">“N/A” in cells F17, G17, </w:t>
      </w:r>
      <w:r w:rsidR="004907BE">
        <w:rPr>
          <w:rFonts w:ascii="Tahoma" w:hAnsi="Tahoma" w:cs="Tahoma"/>
          <w:b/>
          <w:bCs/>
        </w:rPr>
        <w:t xml:space="preserve">I17, and J17 of the Category Budget tab </w:t>
      </w:r>
      <w:r w:rsidR="00BA66A8">
        <w:rPr>
          <w:rFonts w:ascii="Tahoma" w:hAnsi="Tahoma" w:cs="Tahoma"/>
          <w:b/>
          <w:bCs/>
        </w:rPr>
        <w:t>of the Budget Forms (Attachment 4)?</w:t>
      </w:r>
    </w:p>
    <w:p w14:paraId="574E3DF8" w14:textId="19BB0F2A" w:rsidR="006E5C27" w:rsidRDefault="00BA66A8" w:rsidP="00A66DE1">
      <w:pPr>
        <w:tabs>
          <w:tab w:val="left" w:pos="720"/>
        </w:tabs>
        <w:ind w:left="720" w:hanging="720"/>
        <w:rPr>
          <w:rFonts w:ascii="Tahoma" w:hAnsi="Tahoma" w:cs="Tahoma"/>
        </w:rPr>
      </w:pPr>
      <w:r w:rsidRPr="00BA66A8">
        <w:rPr>
          <w:rFonts w:ascii="Tahoma" w:hAnsi="Tahoma" w:cs="Tahoma"/>
        </w:rPr>
        <w:t>A</w:t>
      </w:r>
      <w:r w:rsidR="008743F0">
        <w:rPr>
          <w:rFonts w:ascii="Tahoma" w:hAnsi="Tahoma" w:cs="Tahoma"/>
        </w:rPr>
        <w:t>2</w:t>
      </w:r>
      <w:r w:rsidR="007C72BE">
        <w:rPr>
          <w:rFonts w:ascii="Tahoma" w:hAnsi="Tahoma" w:cs="Tahoma"/>
        </w:rPr>
        <w:t>8</w:t>
      </w:r>
      <w:r w:rsidRPr="00BA66A8">
        <w:rPr>
          <w:rFonts w:ascii="Tahoma" w:hAnsi="Tahoma" w:cs="Tahoma"/>
        </w:rPr>
        <w:t>:</w:t>
      </w:r>
      <w:r w:rsidRPr="00BA66A8">
        <w:rPr>
          <w:rFonts w:ascii="Tahoma" w:hAnsi="Tahoma" w:cs="Tahoma"/>
        </w:rPr>
        <w:tab/>
      </w:r>
      <w:r>
        <w:rPr>
          <w:rFonts w:ascii="Tahoma" w:hAnsi="Tahoma" w:cs="Tahoma"/>
        </w:rPr>
        <w:t>Yes, subcontractors may claim up to 10</w:t>
      </w:r>
      <w:r w:rsidR="00C46153">
        <w:rPr>
          <w:rFonts w:ascii="Tahoma" w:hAnsi="Tahoma" w:cs="Tahoma"/>
        </w:rPr>
        <w:t xml:space="preserve"> percent</w:t>
      </w:r>
      <w:r>
        <w:rPr>
          <w:rFonts w:ascii="Tahoma" w:hAnsi="Tahoma" w:cs="Tahoma"/>
        </w:rPr>
        <w:t xml:space="preserve"> profit on all </w:t>
      </w:r>
      <w:r w:rsidR="00A14B7A">
        <w:rPr>
          <w:rFonts w:ascii="Tahoma" w:hAnsi="Tahoma" w:cs="Tahoma"/>
        </w:rPr>
        <w:t xml:space="preserve">allowable costs, including Administrative, Project-Related, and Project Costs, with the exception of any expenses further subcontracted to other entities (see </w:t>
      </w:r>
      <w:r w:rsidR="004A5AB1" w:rsidRPr="00C528ED">
        <w:rPr>
          <w:rFonts w:ascii="Tahoma" w:hAnsi="Tahoma" w:cs="Tahoma"/>
        </w:rPr>
        <w:t>A</w:t>
      </w:r>
      <w:r w:rsidR="00C528ED">
        <w:rPr>
          <w:rFonts w:ascii="Tahoma" w:hAnsi="Tahoma" w:cs="Tahoma"/>
        </w:rPr>
        <w:t>27</w:t>
      </w:r>
      <w:r w:rsidR="004A5AB1">
        <w:rPr>
          <w:rFonts w:ascii="Tahoma" w:hAnsi="Tahoma" w:cs="Tahoma"/>
        </w:rPr>
        <w:t xml:space="preserve"> </w:t>
      </w:r>
      <w:r w:rsidR="005D7FB1">
        <w:rPr>
          <w:rFonts w:ascii="Tahoma" w:hAnsi="Tahoma" w:cs="Tahoma"/>
        </w:rPr>
        <w:t>above</w:t>
      </w:r>
      <w:r w:rsidR="00A14B7A">
        <w:rPr>
          <w:rFonts w:ascii="Tahoma" w:hAnsi="Tahoma" w:cs="Tahoma"/>
        </w:rPr>
        <w:t xml:space="preserve">). </w:t>
      </w:r>
      <w:r w:rsidR="0023744B">
        <w:rPr>
          <w:rFonts w:ascii="Tahoma" w:hAnsi="Tahoma" w:cs="Tahoma"/>
        </w:rPr>
        <w:t>[</w:t>
      </w:r>
      <w:r w:rsidR="00B936C4" w:rsidRPr="0023744B">
        <w:rPr>
          <w:rFonts w:ascii="Tahoma" w:hAnsi="Tahoma" w:cs="Tahoma"/>
          <w:strike/>
        </w:rPr>
        <w:t xml:space="preserve">The “N/A” in the cells </w:t>
      </w:r>
      <w:r w:rsidR="00193EC7" w:rsidRPr="0023744B">
        <w:rPr>
          <w:rFonts w:ascii="Tahoma" w:hAnsi="Tahoma" w:cs="Tahoma"/>
          <w:strike/>
        </w:rPr>
        <w:t>referenced</w:t>
      </w:r>
      <w:r w:rsidR="00B936C4" w:rsidRPr="0023744B">
        <w:rPr>
          <w:rFonts w:ascii="Tahoma" w:hAnsi="Tahoma" w:cs="Tahoma"/>
          <w:strike/>
        </w:rPr>
        <w:t xml:space="preserve"> in this question</w:t>
      </w:r>
      <w:r w:rsidR="00193EC7" w:rsidRPr="0023744B">
        <w:rPr>
          <w:rFonts w:ascii="Tahoma" w:hAnsi="Tahoma" w:cs="Tahoma"/>
          <w:strike/>
        </w:rPr>
        <w:t xml:space="preserve"> reflects the fact that Profit itself is categorized as an Administrative Cost</w:t>
      </w:r>
      <w:r w:rsidR="00FF035B" w:rsidRPr="0023744B">
        <w:rPr>
          <w:rFonts w:ascii="Tahoma" w:hAnsi="Tahoma" w:cs="Tahoma"/>
          <w:strike/>
        </w:rPr>
        <w:t>, regardless of the type of costs that form the basis of the 10</w:t>
      </w:r>
      <w:r w:rsidR="00295DF3" w:rsidRPr="0023744B">
        <w:rPr>
          <w:rFonts w:ascii="Tahoma" w:hAnsi="Tahoma" w:cs="Tahoma"/>
          <w:strike/>
        </w:rPr>
        <w:t xml:space="preserve"> percent</w:t>
      </w:r>
      <w:r w:rsidR="00143725" w:rsidRPr="0023744B">
        <w:rPr>
          <w:rFonts w:ascii="Tahoma" w:hAnsi="Tahoma" w:cs="Tahoma"/>
          <w:strike/>
        </w:rPr>
        <w:t xml:space="preserve">. </w:t>
      </w:r>
      <w:r w:rsidR="005F7571" w:rsidRPr="0023744B">
        <w:rPr>
          <w:rFonts w:ascii="Tahoma" w:hAnsi="Tahoma" w:cs="Tahoma"/>
          <w:strike/>
        </w:rPr>
        <w:t xml:space="preserve">Profit claimed </w:t>
      </w:r>
      <w:r w:rsidR="00ED47BB" w:rsidRPr="0023744B">
        <w:rPr>
          <w:rFonts w:ascii="Tahoma" w:hAnsi="Tahoma" w:cs="Tahoma"/>
          <w:strike/>
        </w:rPr>
        <w:t xml:space="preserve">by </w:t>
      </w:r>
      <w:r w:rsidR="00FD165A" w:rsidRPr="0023744B">
        <w:rPr>
          <w:rFonts w:ascii="Tahoma" w:hAnsi="Tahoma" w:cs="Tahoma"/>
          <w:strike/>
        </w:rPr>
        <w:t xml:space="preserve">a </w:t>
      </w:r>
      <w:r w:rsidR="00ED47BB" w:rsidRPr="0023744B">
        <w:rPr>
          <w:rFonts w:ascii="Tahoma" w:hAnsi="Tahoma" w:cs="Tahoma"/>
          <w:strike/>
        </w:rPr>
        <w:t xml:space="preserve">subcontractor </w:t>
      </w:r>
      <w:r w:rsidR="005F7571" w:rsidRPr="0023744B">
        <w:rPr>
          <w:rFonts w:ascii="Tahoma" w:hAnsi="Tahoma" w:cs="Tahoma"/>
          <w:strike/>
        </w:rPr>
        <w:t xml:space="preserve">must be entered in the Indirect Costs &amp; Profit tab of </w:t>
      </w:r>
      <w:r w:rsidR="00FD165A" w:rsidRPr="0023744B">
        <w:rPr>
          <w:rFonts w:ascii="Tahoma" w:hAnsi="Tahoma" w:cs="Tahoma"/>
          <w:strike/>
        </w:rPr>
        <w:t>the subcontractor’s</w:t>
      </w:r>
      <w:r w:rsidR="005F7571" w:rsidRPr="0023744B">
        <w:rPr>
          <w:rFonts w:ascii="Tahoma" w:hAnsi="Tahoma" w:cs="Tahoma"/>
          <w:strike/>
        </w:rPr>
        <w:t xml:space="preserve"> Budget Forms</w:t>
      </w:r>
      <w:r w:rsidR="005D7FB1" w:rsidRPr="0023744B">
        <w:rPr>
          <w:rFonts w:ascii="Tahoma" w:hAnsi="Tahoma" w:cs="Tahoma"/>
          <w:strike/>
        </w:rPr>
        <w:t>, and will automatically be reflected in the Category Budget tab as an Administrative Cost.</w:t>
      </w:r>
      <w:r w:rsidR="0023744B" w:rsidRPr="0023744B">
        <w:rPr>
          <w:rFonts w:ascii="Tahoma" w:hAnsi="Tahoma" w:cs="Tahoma"/>
          <w:strike/>
        </w:rPr>
        <w:t>]</w:t>
      </w:r>
      <w:r w:rsidR="00445E04" w:rsidRPr="0023744B">
        <w:rPr>
          <w:rFonts w:ascii="Tahoma" w:hAnsi="Tahoma" w:cs="Tahoma"/>
          <w:u w:val="single"/>
        </w:rPr>
        <w:t xml:space="preserve"> </w:t>
      </w:r>
      <w:r w:rsidR="00445E04" w:rsidRPr="00445E04">
        <w:rPr>
          <w:rFonts w:ascii="Tahoma" w:hAnsi="Tahoma" w:cs="Tahoma"/>
          <w:b/>
          <w:bCs/>
          <w:u w:val="single"/>
        </w:rPr>
        <w:t xml:space="preserve">Addendum 02 </w:t>
      </w:r>
      <w:r w:rsidR="00445E04">
        <w:rPr>
          <w:rFonts w:ascii="Tahoma" w:hAnsi="Tahoma" w:cs="Tahoma"/>
          <w:b/>
          <w:bCs/>
          <w:u w:val="single"/>
        </w:rPr>
        <w:t>revises the Budget Forms to allow Indirect Costs and Profit to be broken down by cost category</w:t>
      </w:r>
      <w:r w:rsidR="00BA6AA0">
        <w:rPr>
          <w:rFonts w:ascii="Tahoma" w:hAnsi="Tahoma" w:cs="Tahoma"/>
          <w:b/>
          <w:bCs/>
          <w:u w:val="single"/>
        </w:rPr>
        <w:t xml:space="preserve"> (to match the base cost)</w:t>
      </w:r>
      <w:r w:rsidR="00445E04">
        <w:rPr>
          <w:rFonts w:ascii="Tahoma" w:hAnsi="Tahoma" w:cs="Tahoma"/>
          <w:b/>
          <w:bCs/>
          <w:u w:val="single"/>
        </w:rPr>
        <w:t xml:space="preserve">, and updates the </w:t>
      </w:r>
      <w:r w:rsidR="00BA6AA0">
        <w:rPr>
          <w:rFonts w:ascii="Tahoma" w:hAnsi="Tahoma" w:cs="Tahoma"/>
          <w:b/>
          <w:bCs/>
          <w:u w:val="single"/>
        </w:rPr>
        <w:t>Category Budget tab accordingly. “N/A” no longer appears in the cel</w:t>
      </w:r>
      <w:r w:rsidR="000259EB">
        <w:rPr>
          <w:rFonts w:ascii="Tahoma" w:hAnsi="Tahoma" w:cs="Tahoma"/>
          <w:b/>
          <w:bCs/>
          <w:u w:val="single"/>
        </w:rPr>
        <w:t xml:space="preserve">ls mentioned in the question. </w:t>
      </w:r>
    </w:p>
    <w:p w14:paraId="3C88E4A9" w14:textId="16666699" w:rsidR="000C4360" w:rsidRPr="00A34073" w:rsidRDefault="000C4360" w:rsidP="00A66DE1">
      <w:pPr>
        <w:tabs>
          <w:tab w:val="left" w:pos="720"/>
        </w:tabs>
        <w:ind w:left="720" w:hanging="720"/>
        <w:rPr>
          <w:rFonts w:ascii="Tahoma" w:hAnsi="Tahoma" w:cs="Tahoma"/>
          <w:b/>
          <w:bCs/>
        </w:rPr>
      </w:pPr>
      <w:r w:rsidRPr="00A34073">
        <w:rPr>
          <w:rFonts w:ascii="Tahoma" w:hAnsi="Tahoma" w:cs="Tahoma"/>
          <w:b/>
        </w:rPr>
        <w:t>Q</w:t>
      </w:r>
      <w:r w:rsidR="008743F0" w:rsidRPr="00A34073">
        <w:rPr>
          <w:rFonts w:ascii="Tahoma" w:hAnsi="Tahoma" w:cs="Tahoma"/>
          <w:b/>
        </w:rPr>
        <w:t>2</w:t>
      </w:r>
      <w:r w:rsidR="00090063">
        <w:rPr>
          <w:rFonts w:ascii="Tahoma" w:hAnsi="Tahoma" w:cs="Tahoma"/>
          <w:b/>
        </w:rPr>
        <w:t>9</w:t>
      </w:r>
      <w:r w:rsidRPr="00A34073">
        <w:rPr>
          <w:rFonts w:ascii="Tahoma" w:hAnsi="Tahoma" w:cs="Tahoma"/>
          <w:b/>
        </w:rPr>
        <w:t>:</w:t>
      </w:r>
      <w:r w:rsidRPr="00A34073">
        <w:rPr>
          <w:rFonts w:ascii="Tahoma" w:hAnsi="Tahoma" w:cs="Tahoma"/>
          <w:b/>
          <w:bCs/>
        </w:rPr>
        <w:tab/>
        <w:t>How does the CEC envision market actors, contractors and trades actively participating and supporting this program successfully given the profit limitations?</w:t>
      </w:r>
    </w:p>
    <w:p w14:paraId="032AD94C" w14:textId="5B530AD3" w:rsidR="00F055B5" w:rsidRPr="00A34073" w:rsidRDefault="000C4360" w:rsidP="00A66DE1">
      <w:pPr>
        <w:tabs>
          <w:tab w:val="left" w:pos="720"/>
        </w:tabs>
        <w:ind w:left="720" w:hanging="720"/>
        <w:rPr>
          <w:rFonts w:ascii="Tahoma" w:hAnsi="Tahoma" w:cs="Tahoma"/>
        </w:rPr>
      </w:pPr>
      <w:r w:rsidRPr="00A34073">
        <w:rPr>
          <w:rFonts w:ascii="Tahoma" w:hAnsi="Tahoma" w:cs="Tahoma"/>
        </w:rPr>
        <w:t>A</w:t>
      </w:r>
      <w:r w:rsidR="008743F0" w:rsidRPr="00A34073">
        <w:rPr>
          <w:rFonts w:ascii="Tahoma" w:hAnsi="Tahoma" w:cs="Tahoma"/>
        </w:rPr>
        <w:t>2</w:t>
      </w:r>
      <w:r w:rsidR="00090063">
        <w:rPr>
          <w:rFonts w:ascii="Tahoma" w:hAnsi="Tahoma" w:cs="Tahoma"/>
        </w:rPr>
        <w:t>9</w:t>
      </w:r>
      <w:r w:rsidRPr="00A34073">
        <w:rPr>
          <w:rFonts w:ascii="Tahoma" w:hAnsi="Tahoma" w:cs="Tahoma"/>
        </w:rPr>
        <w:t>:</w:t>
      </w:r>
      <w:r w:rsidRPr="00A34073">
        <w:rPr>
          <w:rFonts w:ascii="Tahoma" w:hAnsi="Tahoma" w:cs="Tahoma"/>
        </w:rPr>
        <w:tab/>
      </w:r>
      <w:r w:rsidR="005E2939" w:rsidRPr="00A34073">
        <w:rPr>
          <w:rFonts w:ascii="Tahoma" w:hAnsi="Tahoma" w:cs="Tahoma"/>
        </w:rPr>
        <w:t>This program includes the following profit restrictions: (a) no profit is allowed for the prime Recipient, and (b) profit for subcontractors is limited to 10</w:t>
      </w:r>
      <w:r w:rsidR="008C2A41">
        <w:rPr>
          <w:rFonts w:ascii="Tahoma" w:hAnsi="Tahoma" w:cs="Tahoma"/>
        </w:rPr>
        <w:t xml:space="preserve"> percent</w:t>
      </w:r>
      <w:r w:rsidR="005E2939" w:rsidRPr="00A34073">
        <w:rPr>
          <w:rFonts w:ascii="Tahoma" w:hAnsi="Tahoma" w:cs="Tahoma"/>
        </w:rPr>
        <w:t>. There is no profit restriction for vendors</w:t>
      </w:r>
      <w:r w:rsidR="001179FF">
        <w:rPr>
          <w:rFonts w:ascii="Tahoma" w:hAnsi="Tahoma" w:cs="Tahoma"/>
        </w:rPr>
        <w:t>,</w:t>
      </w:r>
      <w:r w:rsidR="0066762E">
        <w:rPr>
          <w:rFonts w:ascii="Tahoma" w:hAnsi="Tahoma" w:cs="Tahoma"/>
        </w:rPr>
        <w:t xml:space="preserve"> but</w:t>
      </w:r>
      <w:r w:rsidR="0066762E" w:rsidRPr="0066762E">
        <w:rPr>
          <w:rFonts w:ascii="Tahoma" w:hAnsi="Tahoma" w:cs="Tahoma"/>
        </w:rPr>
        <w:t xml:space="preserve"> </w:t>
      </w:r>
      <w:r w:rsidR="0066762E">
        <w:rPr>
          <w:rFonts w:ascii="Tahoma" w:hAnsi="Tahoma" w:cs="Tahoma"/>
        </w:rPr>
        <w:t xml:space="preserve">Recipients are required to develop and implement cost-control mechanisms to ensure costs paid to vendors are </w:t>
      </w:r>
      <w:r w:rsidR="001B303A">
        <w:rPr>
          <w:rFonts w:ascii="Tahoma" w:hAnsi="Tahoma" w:cs="Tahoma"/>
        </w:rPr>
        <w:t>necessary and</w:t>
      </w:r>
      <w:r w:rsidR="0066762E">
        <w:rPr>
          <w:rFonts w:ascii="Tahoma" w:hAnsi="Tahoma" w:cs="Tahoma"/>
        </w:rPr>
        <w:t xml:space="preserve"> reasonable.</w:t>
      </w:r>
      <w:r w:rsidR="00D1482C">
        <w:rPr>
          <w:rFonts w:ascii="Tahoma" w:hAnsi="Tahoma" w:cs="Tahoma"/>
        </w:rPr>
        <w:t xml:space="preserve"> </w:t>
      </w:r>
      <w:r w:rsidR="00EE62BE">
        <w:rPr>
          <w:rFonts w:ascii="Tahoma" w:hAnsi="Tahoma" w:cs="Tahoma"/>
        </w:rPr>
        <w:t xml:space="preserve">CEC </w:t>
      </w:r>
      <w:r w:rsidR="00F05E1D">
        <w:rPr>
          <w:rFonts w:ascii="Tahoma" w:hAnsi="Tahoma" w:cs="Tahoma"/>
        </w:rPr>
        <w:t>is</w:t>
      </w:r>
      <w:r w:rsidR="009E2242">
        <w:rPr>
          <w:rFonts w:ascii="Tahoma" w:hAnsi="Tahoma" w:cs="Tahoma"/>
        </w:rPr>
        <w:t xml:space="preserve"> </w:t>
      </w:r>
      <w:r w:rsidR="009F3568">
        <w:rPr>
          <w:rFonts w:ascii="Tahoma" w:hAnsi="Tahoma" w:cs="Tahoma"/>
        </w:rPr>
        <w:t>aware of our role as stewards of public funds and</w:t>
      </w:r>
      <w:r w:rsidR="00874C77">
        <w:rPr>
          <w:rFonts w:ascii="Tahoma" w:hAnsi="Tahoma" w:cs="Tahoma"/>
        </w:rPr>
        <w:t xml:space="preserve"> of</w:t>
      </w:r>
      <w:r w:rsidR="009F3568">
        <w:rPr>
          <w:rFonts w:ascii="Tahoma" w:hAnsi="Tahoma" w:cs="Tahoma"/>
        </w:rPr>
        <w:t xml:space="preserve"> </w:t>
      </w:r>
      <w:r w:rsidR="009C3D83">
        <w:rPr>
          <w:rFonts w:ascii="Tahoma" w:hAnsi="Tahoma" w:cs="Tahoma"/>
        </w:rPr>
        <w:t xml:space="preserve">the Equitable Building Decarbonization Program. This includes </w:t>
      </w:r>
      <w:r w:rsidR="009F3568">
        <w:rPr>
          <w:rFonts w:ascii="Tahoma" w:hAnsi="Tahoma" w:cs="Tahoma"/>
        </w:rPr>
        <w:t xml:space="preserve">the </w:t>
      </w:r>
      <w:r w:rsidR="009E2242">
        <w:rPr>
          <w:rFonts w:ascii="Tahoma" w:hAnsi="Tahoma" w:cs="Tahoma"/>
        </w:rPr>
        <w:t>responsib</w:t>
      </w:r>
      <w:r w:rsidR="00D20F20">
        <w:rPr>
          <w:rFonts w:ascii="Tahoma" w:hAnsi="Tahoma" w:cs="Tahoma"/>
        </w:rPr>
        <w:t>ility</w:t>
      </w:r>
      <w:r w:rsidR="009E2242">
        <w:rPr>
          <w:rFonts w:ascii="Tahoma" w:hAnsi="Tahoma" w:cs="Tahoma"/>
        </w:rPr>
        <w:t xml:space="preserve"> </w:t>
      </w:r>
      <w:r w:rsidR="00610EDC">
        <w:rPr>
          <w:rFonts w:ascii="Tahoma" w:hAnsi="Tahoma" w:cs="Tahoma"/>
        </w:rPr>
        <w:t xml:space="preserve">to </w:t>
      </w:r>
      <w:r w:rsidR="009E2242">
        <w:rPr>
          <w:rFonts w:ascii="Tahoma" w:hAnsi="Tahoma" w:cs="Tahoma"/>
        </w:rPr>
        <w:t>ensur</w:t>
      </w:r>
      <w:r w:rsidR="00610EDC">
        <w:rPr>
          <w:rFonts w:ascii="Tahoma" w:hAnsi="Tahoma" w:cs="Tahoma"/>
        </w:rPr>
        <w:t>e</w:t>
      </w:r>
      <w:r w:rsidR="009E2242">
        <w:rPr>
          <w:rFonts w:ascii="Tahoma" w:hAnsi="Tahoma" w:cs="Tahoma"/>
        </w:rPr>
        <w:t xml:space="preserve"> funds are </w:t>
      </w:r>
      <w:r w:rsidR="00BB5558">
        <w:rPr>
          <w:rFonts w:ascii="Tahoma" w:hAnsi="Tahoma" w:cs="Tahoma"/>
        </w:rPr>
        <w:t>reasonabl</w:t>
      </w:r>
      <w:r w:rsidR="00353FDA">
        <w:rPr>
          <w:rFonts w:ascii="Tahoma" w:hAnsi="Tahoma" w:cs="Tahoma"/>
        </w:rPr>
        <w:t>y</w:t>
      </w:r>
      <w:r w:rsidR="00BB5558">
        <w:rPr>
          <w:rFonts w:ascii="Tahoma" w:hAnsi="Tahoma" w:cs="Tahoma"/>
        </w:rPr>
        <w:t xml:space="preserve"> </w:t>
      </w:r>
      <w:r w:rsidR="009E2242">
        <w:rPr>
          <w:rFonts w:ascii="Tahoma" w:hAnsi="Tahoma" w:cs="Tahoma"/>
        </w:rPr>
        <w:t>spent in</w:t>
      </w:r>
      <w:r w:rsidR="00D03BEA">
        <w:rPr>
          <w:rFonts w:ascii="Tahoma" w:hAnsi="Tahoma" w:cs="Tahoma"/>
        </w:rPr>
        <w:t xml:space="preserve"> accordance</w:t>
      </w:r>
      <w:r w:rsidR="009E2242">
        <w:rPr>
          <w:rFonts w:ascii="Tahoma" w:hAnsi="Tahoma" w:cs="Tahoma"/>
        </w:rPr>
        <w:t xml:space="preserve"> </w:t>
      </w:r>
      <w:r w:rsidR="00285266">
        <w:rPr>
          <w:rFonts w:ascii="Tahoma" w:hAnsi="Tahoma" w:cs="Tahoma"/>
        </w:rPr>
        <w:t>with</w:t>
      </w:r>
      <w:r w:rsidR="004A2B00">
        <w:rPr>
          <w:rFonts w:ascii="Tahoma" w:hAnsi="Tahoma" w:cs="Tahoma"/>
        </w:rPr>
        <w:t xml:space="preserve"> state contracting rules and</w:t>
      </w:r>
      <w:r w:rsidR="00285266">
        <w:rPr>
          <w:rFonts w:ascii="Tahoma" w:hAnsi="Tahoma" w:cs="Tahoma"/>
        </w:rPr>
        <w:t xml:space="preserve"> the </w:t>
      </w:r>
      <w:r w:rsidR="009E2242">
        <w:rPr>
          <w:rFonts w:ascii="Tahoma" w:hAnsi="Tahoma" w:cs="Tahoma"/>
        </w:rPr>
        <w:t xml:space="preserve">Equitable Building Decarbonization Program </w:t>
      </w:r>
      <w:r w:rsidR="00285266">
        <w:rPr>
          <w:rFonts w:ascii="Tahoma" w:hAnsi="Tahoma" w:cs="Tahoma"/>
        </w:rPr>
        <w:t xml:space="preserve">goals and </w:t>
      </w:r>
      <w:r w:rsidR="004A2B00">
        <w:rPr>
          <w:rFonts w:ascii="Tahoma" w:hAnsi="Tahoma" w:cs="Tahoma"/>
        </w:rPr>
        <w:t xml:space="preserve">requirements. </w:t>
      </w:r>
      <w:r w:rsidR="00F62B38" w:rsidRPr="00A34073">
        <w:rPr>
          <w:rFonts w:ascii="Tahoma" w:hAnsi="Tahoma" w:cs="Tahoma"/>
        </w:rPr>
        <w:t>The CEC encourages applications from entities/teams that are able to comply with these profit restrictions.</w:t>
      </w:r>
    </w:p>
    <w:p w14:paraId="1F18CA15" w14:textId="509A72C3" w:rsidR="006F1035" w:rsidRPr="006F1035" w:rsidRDefault="00F055B5" w:rsidP="00A66DE1">
      <w:pPr>
        <w:tabs>
          <w:tab w:val="left" w:pos="720"/>
        </w:tabs>
        <w:ind w:left="720" w:hanging="720"/>
        <w:rPr>
          <w:rFonts w:ascii="Tahoma" w:hAnsi="Tahoma" w:cs="Tahoma"/>
          <w:b/>
          <w:bCs/>
        </w:rPr>
      </w:pPr>
      <w:r w:rsidRPr="00A34073">
        <w:rPr>
          <w:rFonts w:ascii="Tahoma" w:hAnsi="Tahoma" w:cs="Tahoma"/>
          <w:b/>
        </w:rPr>
        <w:t>Q</w:t>
      </w:r>
      <w:r w:rsidR="00090063">
        <w:rPr>
          <w:rFonts w:ascii="Tahoma" w:hAnsi="Tahoma" w:cs="Tahoma"/>
          <w:b/>
        </w:rPr>
        <w:t>30</w:t>
      </w:r>
      <w:r w:rsidRPr="00A34073">
        <w:rPr>
          <w:rFonts w:ascii="Tahoma" w:hAnsi="Tahoma" w:cs="Tahoma"/>
          <w:b/>
        </w:rPr>
        <w:t>:</w:t>
      </w:r>
      <w:r w:rsidRPr="00A34073">
        <w:rPr>
          <w:rFonts w:ascii="Tahoma" w:hAnsi="Tahoma" w:cs="Tahoma"/>
          <w:b/>
          <w:bCs/>
        </w:rPr>
        <w:tab/>
      </w:r>
      <w:r w:rsidR="006F1035" w:rsidRPr="00A34073">
        <w:rPr>
          <w:rFonts w:ascii="Tahoma" w:hAnsi="Tahoma" w:cs="Tahoma"/>
          <w:b/>
          <w:bCs/>
        </w:rPr>
        <w:t>We understand that the proposal cannot include profit for the prime Recipient</w:t>
      </w:r>
      <w:r w:rsidR="006F1035" w:rsidRPr="006F1035">
        <w:rPr>
          <w:rFonts w:ascii="Tahoma" w:hAnsi="Tahoma" w:cs="Tahoma"/>
          <w:b/>
          <w:bCs/>
        </w:rPr>
        <w:t>. Does this mean the CEC intends for the prime Recipient to be a nonprofit organization?</w:t>
      </w:r>
    </w:p>
    <w:p w14:paraId="0D1EDECA" w14:textId="6EFFFC74" w:rsidR="00BA66A8" w:rsidRDefault="006F1035" w:rsidP="00A66DE1">
      <w:pPr>
        <w:tabs>
          <w:tab w:val="left" w:pos="720"/>
        </w:tabs>
        <w:ind w:left="720" w:hanging="720"/>
        <w:rPr>
          <w:rFonts w:ascii="Tahoma" w:hAnsi="Tahoma" w:cs="Tahoma"/>
        </w:rPr>
      </w:pPr>
      <w:r>
        <w:rPr>
          <w:rFonts w:ascii="Tahoma" w:hAnsi="Tahoma" w:cs="Tahoma"/>
        </w:rPr>
        <w:t>A</w:t>
      </w:r>
      <w:r w:rsidR="00090063">
        <w:rPr>
          <w:rFonts w:ascii="Tahoma" w:hAnsi="Tahoma" w:cs="Tahoma"/>
        </w:rPr>
        <w:t>30</w:t>
      </w:r>
      <w:r>
        <w:rPr>
          <w:rFonts w:ascii="Tahoma" w:hAnsi="Tahoma" w:cs="Tahoma"/>
        </w:rPr>
        <w:t>:</w:t>
      </w:r>
      <w:r>
        <w:rPr>
          <w:rFonts w:ascii="Tahoma" w:hAnsi="Tahoma" w:cs="Tahoma"/>
        </w:rPr>
        <w:tab/>
      </w:r>
      <w:r w:rsidR="00DC16CE">
        <w:rPr>
          <w:rFonts w:ascii="Tahoma" w:hAnsi="Tahoma" w:cs="Tahoma"/>
        </w:rPr>
        <w:t>Recipients may be public, private, nonprofit, or for-profit entities.</w:t>
      </w:r>
      <w:r w:rsidR="0028652C">
        <w:rPr>
          <w:rFonts w:ascii="Tahoma" w:hAnsi="Tahoma" w:cs="Tahoma"/>
        </w:rPr>
        <w:t xml:space="preserve"> </w:t>
      </w:r>
    </w:p>
    <w:p w14:paraId="621D9AF4" w14:textId="77777777" w:rsidR="006F1F24" w:rsidRPr="00BA66A8" w:rsidRDefault="006F1F24" w:rsidP="00A66DE1">
      <w:pPr>
        <w:tabs>
          <w:tab w:val="left" w:pos="720"/>
        </w:tabs>
        <w:ind w:left="720" w:hanging="720"/>
        <w:rPr>
          <w:rFonts w:ascii="Tahoma" w:hAnsi="Tahoma" w:cs="Tahoma"/>
        </w:rPr>
      </w:pPr>
    </w:p>
    <w:p w14:paraId="10144EEA" w14:textId="77777777" w:rsidR="00A600DA" w:rsidRPr="008C1011" w:rsidRDefault="00A600DA" w:rsidP="00A600DA">
      <w:pPr>
        <w:pStyle w:val="Heading1"/>
      </w:pPr>
      <w:r w:rsidRPr="008C1011">
        <w:t xml:space="preserve">Budget: Availability of Funds </w:t>
      </w:r>
    </w:p>
    <w:p w14:paraId="7624135D" w14:textId="2ED65D07" w:rsidR="00A600DA" w:rsidRPr="008742F7" w:rsidRDefault="00A600DA" w:rsidP="00A600DA">
      <w:pPr>
        <w:ind w:left="720" w:hanging="720"/>
        <w:rPr>
          <w:rFonts w:ascii="Tahoma" w:hAnsi="Tahoma" w:cs="Tahoma"/>
          <w:b/>
          <w:bCs/>
        </w:rPr>
      </w:pPr>
      <w:r w:rsidRPr="008742F7">
        <w:rPr>
          <w:rFonts w:ascii="Tahoma" w:hAnsi="Tahoma" w:cs="Tahoma"/>
          <w:b/>
          <w:bCs/>
        </w:rPr>
        <w:t>Q</w:t>
      </w:r>
      <w:r w:rsidR="004B178A">
        <w:rPr>
          <w:rFonts w:ascii="Tahoma" w:hAnsi="Tahoma" w:cs="Tahoma"/>
          <w:b/>
          <w:bCs/>
        </w:rPr>
        <w:t>31</w:t>
      </w:r>
      <w:r w:rsidRPr="008742F7">
        <w:rPr>
          <w:rFonts w:ascii="Tahoma" w:hAnsi="Tahoma" w:cs="Tahoma"/>
          <w:b/>
          <w:bCs/>
        </w:rPr>
        <w:t>:</w:t>
      </w:r>
      <w:r w:rsidRPr="008742F7">
        <w:rPr>
          <w:rFonts w:ascii="Tahoma" w:hAnsi="Tahoma" w:cs="Tahoma"/>
          <w:b/>
          <w:bCs/>
        </w:rPr>
        <w:tab/>
        <w:t xml:space="preserve">We are aware that the state funding for this program may be cut given the state budget shortfall. </w:t>
      </w:r>
      <w:r>
        <w:rPr>
          <w:rFonts w:ascii="Tahoma" w:hAnsi="Tahoma" w:cs="Tahoma"/>
          <w:b/>
          <w:bCs/>
        </w:rPr>
        <w:t>How might that impact</w:t>
      </w:r>
      <w:r w:rsidRPr="008742F7">
        <w:rPr>
          <w:rFonts w:ascii="Tahoma" w:hAnsi="Tahoma" w:cs="Tahoma"/>
          <w:b/>
          <w:bCs/>
        </w:rPr>
        <w:t xml:space="preserve"> </w:t>
      </w:r>
      <w:r>
        <w:rPr>
          <w:rFonts w:ascii="Tahoma" w:hAnsi="Tahoma" w:cs="Tahoma"/>
          <w:b/>
          <w:bCs/>
        </w:rPr>
        <w:t>the State EBD Direct Install Funding Amounts shown in Table 3 of the Solicitation Manual?</w:t>
      </w:r>
    </w:p>
    <w:p w14:paraId="6107C501" w14:textId="0ABE81C6" w:rsidR="00A600DA" w:rsidRDefault="00A600DA" w:rsidP="00A600DA">
      <w:pPr>
        <w:ind w:left="720" w:hanging="720"/>
        <w:rPr>
          <w:rFonts w:ascii="Tahoma" w:hAnsi="Tahoma" w:cs="Tahoma"/>
        </w:rPr>
      </w:pPr>
      <w:r>
        <w:rPr>
          <w:rFonts w:ascii="Tahoma" w:hAnsi="Tahoma" w:cs="Tahoma"/>
        </w:rPr>
        <w:t>A</w:t>
      </w:r>
      <w:r w:rsidR="004B178A">
        <w:rPr>
          <w:rFonts w:ascii="Tahoma" w:hAnsi="Tahoma" w:cs="Tahoma"/>
        </w:rPr>
        <w:t>31</w:t>
      </w:r>
      <w:r>
        <w:rPr>
          <w:rFonts w:ascii="Tahoma" w:hAnsi="Tahoma" w:cs="Tahoma"/>
        </w:rPr>
        <w:t>:</w:t>
      </w:r>
      <w:r>
        <w:rPr>
          <w:rFonts w:ascii="Tahoma" w:hAnsi="Tahoma" w:cs="Tahoma"/>
        </w:rPr>
        <w:tab/>
        <w:t xml:space="preserve">On May 10, 2024, Governor Newsom released the May Revision to his proposed 2024-25 state budget. The May Revision included a 46% </w:t>
      </w:r>
      <w:r w:rsidR="00C07344">
        <w:rPr>
          <w:rFonts w:ascii="Tahoma" w:hAnsi="Tahoma" w:cs="Tahoma"/>
        </w:rPr>
        <w:t>reduction</w:t>
      </w:r>
      <w:r>
        <w:rPr>
          <w:rFonts w:ascii="Tahoma" w:hAnsi="Tahoma" w:cs="Tahoma"/>
        </w:rPr>
        <w:t xml:space="preserve"> to the total </w:t>
      </w:r>
      <w:r w:rsidR="00457F93">
        <w:rPr>
          <w:rFonts w:ascii="Tahoma" w:hAnsi="Tahoma" w:cs="Tahoma"/>
        </w:rPr>
        <w:t xml:space="preserve">state </w:t>
      </w:r>
      <w:r>
        <w:rPr>
          <w:rFonts w:ascii="Tahoma" w:hAnsi="Tahoma" w:cs="Tahoma"/>
        </w:rPr>
        <w:t>EBD program budget</w:t>
      </w:r>
      <w:r w:rsidR="00625460">
        <w:rPr>
          <w:rFonts w:ascii="Tahoma" w:hAnsi="Tahoma" w:cs="Tahoma"/>
        </w:rPr>
        <w:t xml:space="preserve"> over the lifetime of the program</w:t>
      </w:r>
      <w:r>
        <w:rPr>
          <w:rFonts w:ascii="Tahoma" w:hAnsi="Tahoma" w:cs="Tahoma"/>
        </w:rPr>
        <w:t xml:space="preserve">. If this </w:t>
      </w:r>
      <w:r w:rsidR="00C07344">
        <w:rPr>
          <w:rFonts w:ascii="Tahoma" w:hAnsi="Tahoma" w:cs="Tahoma"/>
        </w:rPr>
        <w:t>reduction</w:t>
      </w:r>
      <w:r>
        <w:rPr>
          <w:rFonts w:ascii="Tahoma" w:hAnsi="Tahoma" w:cs="Tahoma"/>
        </w:rPr>
        <w:t xml:space="preserve"> is reflected in the final 2024-25 </w:t>
      </w:r>
      <w:r w:rsidR="001F4C75">
        <w:rPr>
          <w:rFonts w:ascii="Tahoma" w:hAnsi="Tahoma" w:cs="Tahoma"/>
        </w:rPr>
        <w:t>s</w:t>
      </w:r>
      <w:r>
        <w:rPr>
          <w:rFonts w:ascii="Tahoma" w:hAnsi="Tahoma" w:cs="Tahoma"/>
        </w:rPr>
        <w:t xml:space="preserve">tate budget (which will be adopted this summer), it would result in a reduction </w:t>
      </w:r>
      <w:r w:rsidR="002E272E">
        <w:rPr>
          <w:rFonts w:ascii="Tahoma" w:hAnsi="Tahoma" w:cs="Tahoma"/>
        </w:rPr>
        <w:t>of</w:t>
      </w:r>
      <w:r>
        <w:rPr>
          <w:rFonts w:ascii="Tahoma" w:hAnsi="Tahoma" w:cs="Tahoma"/>
        </w:rPr>
        <w:t xml:space="preserve"> State EBD Direct Install </w:t>
      </w:r>
      <w:r w:rsidR="00C07344">
        <w:rPr>
          <w:rFonts w:ascii="Tahoma" w:hAnsi="Tahoma" w:cs="Tahoma"/>
        </w:rPr>
        <w:t>f</w:t>
      </w:r>
      <w:r>
        <w:rPr>
          <w:rFonts w:ascii="Tahoma" w:hAnsi="Tahoma" w:cs="Tahoma"/>
        </w:rPr>
        <w:t>unding from $689.8 million to $390 million. This would result in the following state funding amounts for each region</w:t>
      </w:r>
      <w:r w:rsidR="00C07344">
        <w:rPr>
          <w:rFonts w:ascii="Tahoma" w:hAnsi="Tahoma" w:cs="Tahoma"/>
        </w:rPr>
        <w:t>.</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Distribution of program funds by region. "/>
      </w:tblPr>
      <w:tblGrid>
        <w:gridCol w:w="1170"/>
        <w:gridCol w:w="2790"/>
        <w:gridCol w:w="2790"/>
        <w:gridCol w:w="2070"/>
      </w:tblGrid>
      <w:tr w:rsidR="00A600DA" w14:paraId="7AAA5F58" w14:textId="77777777">
        <w:trPr>
          <w:trHeight w:val="478"/>
          <w:jc w:val="center"/>
        </w:trPr>
        <w:tc>
          <w:tcPr>
            <w:tcW w:w="1170" w:type="dxa"/>
            <w:tcBorders>
              <w:top w:val="single" w:sz="4" w:space="0" w:color="auto"/>
              <w:left w:val="single" w:sz="4" w:space="0" w:color="auto"/>
              <w:bottom w:val="single" w:sz="4" w:space="0" w:color="auto"/>
              <w:right w:val="single" w:sz="4" w:space="0" w:color="auto"/>
            </w:tcBorders>
            <w:hideMark/>
          </w:tcPr>
          <w:p w14:paraId="021D98B3" w14:textId="77777777" w:rsidR="00A600DA" w:rsidRPr="007F5CEC" w:rsidRDefault="00A600DA">
            <w:pPr>
              <w:autoSpaceDE w:val="0"/>
              <w:autoSpaceDN w:val="0"/>
              <w:adjustRightInd w:val="0"/>
              <w:spacing w:after="0"/>
              <w:rPr>
                <w:rFonts w:ascii="Tahoma" w:hAnsi="Tahoma" w:cs="Tahoma"/>
                <w:color w:val="000000"/>
              </w:rPr>
            </w:pPr>
            <w:r w:rsidRPr="007F5CEC">
              <w:rPr>
                <w:rFonts w:ascii="Tahoma" w:hAnsi="Tahoma" w:cs="Tahoma"/>
                <w:b/>
                <w:bCs/>
                <w:color w:val="000000"/>
              </w:rPr>
              <w:t xml:space="preserve">Region </w:t>
            </w:r>
          </w:p>
        </w:tc>
        <w:tc>
          <w:tcPr>
            <w:tcW w:w="2790" w:type="dxa"/>
            <w:tcBorders>
              <w:top w:val="single" w:sz="4" w:space="0" w:color="auto"/>
              <w:left w:val="single" w:sz="4" w:space="0" w:color="auto"/>
              <w:bottom w:val="single" w:sz="4" w:space="0" w:color="auto"/>
              <w:right w:val="single" w:sz="4" w:space="0" w:color="auto"/>
            </w:tcBorders>
            <w:hideMark/>
          </w:tcPr>
          <w:p w14:paraId="4477BCA1" w14:textId="77777777" w:rsidR="00A600DA" w:rsidRPr="007F5CEC" w:rsidRDefault="00A600DA">
            <w:pPr>
              <w:autoSpaceDE w:val="0"/>
              <w:autoSpaceDN w:val="0"/>
              <w:adjustRightInd w:val="0"/>
              <w:spacing w:after="0"/>
              <w:rPr>
                <w:rFonts w:ascii="Tahoma" w:hAnsi="Tahoma" w:cs="Tahoma"/>
                <w:color w:val="000000"/>
              </w:rPr>
            </w:pPr>
            <w:r w:rsidRPr="007F5CEC">
              <w:rPr>
                <w:rFonts w:ascii="Tahoma" w:hAnsi="Tahoma" w:cs="Tahoma"/>
                <w:b/>
                <w:bCs/>
                <w:color w:val="000000"/>
              </w:rPr>
              <w:t>Project and Project-Related Funds</w:t>
            </w:r>
          </w:p>
        </w:tc>
        <w:tc>
          <w:tcPr>
            <w:tcW w:w="2790" w:type="dxa"/>
            <w:tcBorders>
              <w:top w:val="single" w:sz="4" w:space="0" w:color="auto"/>
              <w:left w:val="single" w:sz="4" w:space="0" w:color="auto"/>
              <w:bottom w:val="single" w:sz="4" w:space="0" w:color="auto"/>
              <w:right w:val="single" w:sz="4" w:space="0" w:color="auto"/>
            </w:tcBorders>
            <w:hideMark/>
          </w:tcPr>
          <w:p w14:paraId="408C4FC5" w14:textId="77777777" w:rsidR="00A600DA" w:rsidRPr="007F5CEC" w:rsidRDefault="00A600DA">
            <w:pPr>
              <w:autoSpaceDE w:val="0"/>
              <w:autoSpaceDN w:val="0"/>
              <w:adjustRightInd w:val="0"/>
              <w:spacing w:after="0"/>
              <w:rPr>
                <w:rFonts w:ascii="Tahoma" w:hAnsi="Tahoma" w:cs="Tahoma"/>
                <w:b/>
                <w:bCs/>
                <w:color w:val="000000"/>
              </w:rPr>
            </w:pPr>
            <w:r w:rsidRPr="007F5CEC">
              <w:rPr>
                <w:rFonts w:ascii="Tahoma" w:hAnsi="Tahoma" w:cs="Tahoma"/>
                <w:b/>
                <w:bCs/>
                <w:color w:val="000000"/>
              </w:rPr>
              <w:t>Administrative Funds (Maximum)</w:t>
            </w:r>
          </w:p>
        </w:tc>
        <w:tc>
          <w:tcPr>
            <w:tcW w:w="2070" w:type="dxa"/>
            <w:tcBorders>
              <w:top w:val="single" w:sz="4" w:space="0" w:color="auto"/>
              <w:left w:val="single" w:sz="4" w:space="0" w:color="auto"/>
              <w:bottom w:val="single" w:sz="4" w:space="0" w:color="auto"/>
              <w:right w:val="single" w:sz="4" w:space="0" w:color="auto"/>
            </w:tcBorders>
            <w:hideMark/>
          </w:tcPr>
          <w:p w14:paraId="61DD1CE5" w14:textId="77777777" w:rsidR="00A600DA" w:rsidRPr="007F5CEC" w:rsidRDefault="00A600DA">
            <w:pPr>
              <w:autoSpaceDE w:val="0"/>
              <w:autoSpaceDN w:val="0"/>
              <w:adjustRightInd w:val="0"/>
              <w:spacing w:after="0"/>
              <w:rPr>
                <w:rFonts w:ascii="Tahoma" w:hAnsi="Tahoma" w:cs="Tahoma"/>
                <w:b/>
                <w:bCs/>
                <w:color w:val="000000"/>
              </w:rPr>
            </w:pPr>
            <w:r w:rsidRPr="007F5CEC">
              <w:rPr>
                <w:rFonts w:ascii="Tahoma" w:hAnsi="Tahoma" w:cs="Tahoma"/>
                <w:b/>
                <w:bCs/>
                <w:color w:val="000000"/>
              </w:rPr>
              <w:t>Total Available Funds</w:t>
            </w:r>
          </w:p>
        </w:tc>
      </w:tr>
      <w:tr w:rsidR="00A600DA" w:rsidRPr="007F5CEC" w14:paraId="0A52241F" w14:textId="77777777">
        <w:trPr>
          <w:trHeight w:val="174"/>
          <w:jc w:val="center"/>
        </w:trPr>
        <w:tc>
          <w:tcPr>
            <w:tcW w:w="1170" w:type="dxa"/>
            <w:tcBorders>
              <w:top w:val="single" w:sz="4" w:space="0" w:color="auto"/>
              <w:left w:val="single" w:sz="4" w:space="0" w:color="auto"/>
              <w:bottom w:val="single" w:sz="4" w:space="0" w:color="auto"/>
              <w:right w:val="single" w:sz="4" w:space="0" w:color="auto"/>
            </w:tcBorders>
            <w:hideMark/>
          </w:tcPr>
          <w:p w14:paraId="7518B138" w14:textId="77777777" w:rsidR="00A600DA" w:rsidRPr="007F5CEC" w:rsidRDefault="00A600DA">
            <w:pPr>
              <w:autoSpaceDE w:val="0"/>
              <w:autoSpaceDN w:val="0"/>
              <w:adjustRightInd w:val="0"/>
              <w:spacing w:after="0"/>
              <w:rPr>
                <w:rFonts w:ascii="Tahoma" w:hAnsi="Tahoma" w:cs="Tahoma"/>
                <w:color w:val="000000"/>
              </w:rPr>
            </w:pPr>
            <w:r w:rsidRPr="007F5CEC">
              <w:rPr>
                <w:rFonts w:ascii="Tahoma" w:hAnsi="Tahoma" w:cs="Tahoma"/>
                <w:color w:val="000000"/>
              </w:rPr>
              <w:t xml:space="preserve">North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F53B418"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$80,730,000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930D535"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$8,970,000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1703FF3"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$89,700,000</w:t>
            </w:r>
          </w:p>
        </w:tc>
      </w:tr>
      <w:tr w:rsidR="00A600DA" w:rsidRPr="007F5CEC" w14:paraId="248DBF86" w14:textId="77777777">
        <w:trPr>
          <w:trHeight w:val="174"/>
          <w:jc w:val="center"/>
        </w:trPr>
        <w:tc>
          <w:tcPr>
            <w:tcW w:w="1170" w:type="dxa"/>
            <w:tcBorders>
              <w:top w:val="single" w:sz="4" w:space="0" w:color="auto"/>
              <w:left w:val="single" w:sz="4" w:space="0" w:color="auto"/>
              <w:bottom w:val="single" w:sz="4" w:space="0" w:color="auto"/>
              <w:right w:val="single" w:sz="4" w:space="0" w:color="auto"/>
            </w:tcBorders>
            <w:hideMark/>
          </w:tcPr>
          <w:p w14:paraId="0C4080BF" w14:textId="77777777" w:rsidR="00A600DA" w:rsidRPr="007F5CEC" w:rsidRDefault="00A600DA">
            <w:pPr>
              <w:autoSpaceDE w:val="0"/>
              <w:autoSpaceDN w:val="0"/>
              <w:adjustRightInd w:val="0"/>
              <w:spacing w:after="0"/>
              <w:rPr>
                <w:rFonts w:ascii="Tahoma" w:hAnsi="Tahoma" w:cs="Tahoma"/>
                <w:color w:val="000000"/>
              </w:rPr>
            </w:pPr>
            <w:r w:rsidRPr="007F5CEC">
              <w:rPr>
                <w:rFonts w:ascii="Tahoma" w:hAnsi="Tahoma" w:cs="Tahoma"/>
                <w:color w:val="000000"/>
              </w:rPr>
              <w:t xml:space="preserve">Central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197DDCE"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$66,690,000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A24E713"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$7,410,000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4C1A96E"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$74,100,000</w:t>
            </w:r>
          </w:p>
        </w:tc>
      </w:tr>
      <w:tr w:rsidR="00A600DA" w:rsidRPr="007F5CEC" w14:paraId="1F40E7E6" w14:textId="77777777">
        <w:trPr>
          <w:trHeight w:val="174"/>
          <w:jc w:val="center"/>
        </w:trPr>
        <w:tc>
          <w:tcPr>
            <w:tcW w:w="1170" w:type="dxa"/>
            <w:tcBorders>
              <w:top w:val="single" w:sz="4" w:space="0" w:color="auto"/>
              <w:left w:val="single" w:sz="4" w:space="0" w:color="auto"/>
              <w:bottom w:val="single" w:sz="4" w:space="0" w:color="auto"/>
              <w:right w:val="single" w:sz="4" w:space="0" w:color="auto"/>
            </w:tcBorders>
            <w:hideMark/>
          </w:tcPr>
          <w:p w14:paraId="6CF933FF" w14:textId="77777777" w:rsidR="00A600DA" w:rsidRPr="007F5CEC" w:rsidRDefault="00A600DA">
            <w:pPr>
              <w:autoSpaceDE w:val="0"/>
              <w:autoSpaceDN w:val="0"/>
              <w:adjustRightInd w:val="0"/>
              <w:spacing w:after="0"/>
              <w:rPr>
                <w:rFonts w:ascii="Tahoma" w:hAnsi="Tahoma" w:cs="Tahoma"/>
                <w:color w:val="000000"/>
              </w:rPr>
            </w:pPr>
            <w:r w:rsidRPr="007F5CEC">
              <w:rPr>
                <w:rFonts w:ascii="Tahoma" w:hAnsi="Tahoma" w:cs="Tahoma"/>
                <w:color w:val="000000"/>
              </w:rPr>
              <w:t xml:space="preserve">South </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F4C9FF2"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$203,580,000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9A0C661"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$22,620,000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17E74B50"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$226,200,000</w:t>
            </w:r>
          </w:p>
        </w:tc>
      </w:tr>
      <w:tr w:rsidR="00A600DA" w:rsidRPr="007F5CEC" w14:paraId="7D70674D" w14:textId="77777777">
        <w:trPr>
          <w:trHeight w:val="174"/>
          <w:jc w:val="center"/>
        </w:trPr>
        <w:tc>
          <w:tcPr>
            <w:tcW w:w="1170" w:type="dxa"/>
            <w:tcBorders>
              <w:top w:val="single" w:sz="4" w:space="0" w:color="auto"/>
              <w:left w:val="single" w:sz="4" w:space="0" w:color="auto"/>
              <w:bottom w:val="single" w:sz="4" w:space="0" w:color="auto"/>
              <w:right w:val="single" w:sz="4" w:space="0" w:color="auto"/>
            </w:tcBorders>
            <w:hideMark/>
          </w:tcPr>
          <w:p w14:paraId="180D2000" w14:textId="77777777" w:rsidR="00A600DA" w:rsidRPr="007F5CEC" w:rsidRDefault="00A600DA">
            <w:pPr>
              <w:autoSpaceDE w:val="0"/>
              <w:autoSpaceDN w:val="0"/>
              <w:adjustRightInd w:val="0"/>
              <w:spacing w:after="0"/>
              <w:rPr>
                <w:rFonts w:ascii="Tahoma" w:hAnsi="Tahoma" w:cs="Tahoma"/>
                <w:color w:val="000000"/>
              </w:rPr>
            </w:pPr>
            <w:r w:rsidRPr="007F5CEC">
              <w:rPr>
                <w:rFonts w:ascii="Tahoma" w:hAnsi="Tahoma" w:cs="Tahoma"/>
                <w:color w:val="000000"/>
              </w:rPr>
              <w:t>TOTAL</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A915161"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$351,000,000</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3EBC49D"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$39,000,000</w:t>
            </w:r>
          </w:p>
        </w:tc>
        <w:tc>
          <w:tcPr>
            <w:tcW w:w="2070" w:type="dxa"/>
            <w:tcBorders>
              <w:top w:val="single" w:sz="4" w:space="0" w:color="auto"/>
              <w:left w:val="single" w:sz="4" w:space="0" w:color="auto"/>
              <w:bottom w:val="single" w:sz="4" w:space="0" w:color="auto"/>
              <w:right w:val="single" w:sz="4" w:space="0" w:color="auto"/>
            </w:tcBorders>
            <w:vAlign w:val="center"/>
            <w:hideMark/>
          </w:tcPr>
          <w:p w14:paraId="46E294B9" w14:textId="77777777" w:rsidR="00A600DA" w:rsidRPr="007F5CEC" w:rsidRDefault="00A600DA">
            <w:pPr>
              <w:autoSpaceDE w:val="0"/>
              <w:autoSpaceDN w:val="0"/>
              <w:adjustRightInd w:val="0"/>
              <w:spacing w:after="0"/>
              <w:jc w:val="right"/>
              <w:rPr>
                <w:rFonts w:ascii="Tahoma" w:hAnsi="Tahoma" w:cs="Tahoma"/>
                <w:color w:val="000000"/>
              </w:rPr>
            </w:pPr>
            <w:r w:rsidRPr="00F762EF">
              <w:rPr>
                <w:rFonts w:ascii="Tahoma" w:hAnsi="Tahoma" w:cs="Tahoma"/>
              </w:rPr>
              <w:t>$390,000,000</w:t>
            </w:r>
          </w:p>
        </w:tc>
      </w:tr>
    </w:tbl>
    <w:p w14:paraId="5C37FCF7" w14:textId="77777777" w:rsidR="00A600DA" w:rsidRDefault="00A600DA" w:rsidP="00A600DA">
      <w:pPr>
        <w:rPr>
          <w:rFonts w:ascii="Tahoma" w:hAnsi="Tahoma" w:cs="Tahoma"/>
          <w:sz w:val="24"/>
          <w:szCs w:val="24"/>
        </w:rPr>
      </w:pPr>
    </w:p>
    <w:p w14:paraId="6AF083A4" w14:textId="123E537F" w:rsidR="00A600DA" w:rsidRDefault="00A600DA" w:rsidP="00A600DA">
      <w:pPr>
        <w:ind w:left="720"/>
        <w:rPr>
          <w:rFonts w:ascii="Tahoma" w:hAnsi="Tahoma" w:cs="Tahoma"/>
        </w:rPr>
      </w:pPr>
      <w:r>
        <w:rPr>
          <w:rFonts w:ascii="Tahoma" w:hAnsi="Tahoma" w:cs="Tahoma"/>
        </w:rPr>
        <w:t xml:space="preserve">Note that potential state </w:t>
      </w:r>
      <w:r w:rsidR="00BE7D9F">
        <w:rPr>
          <w:rFonts w:ascii="Tahoma" w:hAnsi="Tahoma" w:cs="Tahoma"/>
        </w:rPr>
        <w:t xml:space="preserve">funding </w:t>
      </w:r>
      <w:r w:rsidR="00C07344">
        <w:rPr>
          <w:rFonts w:ascii="Tahoma" w:hAnsi="Tahoma" w:cs="Tahoma"/>
        </w:rPr>
        <w:t>reductions</w:t>
      </w:r>
      <w:r w:rsidR="00412B34">
        <w:rPr>
          <w:rFonts w:ascii="Tahoma" w:hAnsi="Tahoma" w:cs="Tahoma"/>
        </w:rPr>
        <w:t xml:space="preserve"> do</w:t>
      </w:r>
      <w:r>
        <w:rPr>
          <w:rFonts w:ascii="Tahoma" w:hAnsi="Tahoma" w:cs="Tahoma"/>
        </w:rPr>
        <w:t xml:space="preserve"> not impact the available federal funding shown in Table 4 of the </w:t>
      </w:r>
      <w:r w:rsidR="0002527E">
        <w:rPr>
          <w:rFonts w:ascii="Tahoma" w:hAnsi="Tahoma" w:cs="Tahoma"/>
        </w:rPr>
        <w:t>S</w:t>
      </w:r>
      <w:r>
        <w:rPr>
          <w:rFonts w:ascii="Tahoma" w:hAnsi="Tahoma" w:cs="Tahoma"/>
        </w:rPr>
        <w:t xml:space="preserve">olicitation </w:t>
      </w:r>
      <w:r w:rsidR="0002527E">
        <w:rPr>
          <w:rFonts w:ascii="Tahoma" w:hAnsi="Tahoma" w:cs="Tahoma"/>
        </w:rPr>
        <w:t>M</w:t>
      </w:r>
      <w:r>
        <w:rPr>
          <w:rFonts w:ascii="Tahoma" w:hAnsi="Tahoma" w:cs="Tahoma"/>
        </w:rPr>
        <w:t>anual.</w:t>
      </w:r>
    </w:p>
    <w:p w14:paraId="2CAC83D8" w14:textId="77777777" w:rsidR="0088238E" w:rsidRDefault="00DF5894" w:rsidP="001F4C75">
      <w:pPr>
        <w:ind w:left="720"/>
        <w:rPr>
          <w:rFonts w:ascii="Tahoma" w:hAnsi="Tahoma" w:cs="Tahoma"/>
        </w:rPr>
      </w:pPr>
      <w:r>
        <w:rPr>
          <w:rFonts w:ascii="Tahoma" w:hAnsi="Tahoma" w:cs="Tahoma"/>
        </w:rPr>
        <w:t xml:space="preserve">Please note that </w:t>
      </w:r>
      <w:r w:rsidR="001F4C75">
        <w:rPr>
          <w:rFonts w:ascii="Tahoma" w:hAnsi="Tahoma" w:cs="Tahoma"/>
        </w:rPr>
        <w:t>t</w:t>
      </w:r>
      <w:r w:rsidR="001F4C75" w:rsidRPr="001F4C75">
        <w:rPr>
          <w:rFonts w:ascii="Tahoma" w:hAnsi="Tahoma" w:cs="Tahoma"/>
        </w:rPr>
        <w:t xml:space="preserve">hese figures are provided for informational purposes only, as the final 2024-25 </w:t>
      </w:r>
      <w:r w:rsidR="001F4C75">
        <w:rPr>
          <w:rFonts w:ascii="Tahoma" w:hAnsi="Tahoma" w:cs="Tahoma"/>
        </w:rPr>
        <w:t>s</w:t>
      </w:r>
      <w:r w:rsidR="001F4C75" w:rsidRPr="001F4C75">
        <w:rPr>
          <w:rFonts w:ascii="Tahoma" w:hAnsi="Tahoma" w:cs="Tahoma"/>
        </w:rPr>
        <w:t xml:space="preserve">tate </w:t>
      </w:r>
      <w:r w:rsidR="001F4C75">
        <w:rPr>
          <w:rFonts w:ascii="Tahoma" w:hAnsi="Tahoma" w:cs="Tahoma"/>
        </w:rPr>
        <w:t>b</w:t>
      </w:r>
      <w:r w:rsidR="001F4C75" w:rsidRPr="001F4C75">
        <w:rPr>
          <w:rFonts w:ascii="Tahoma" w:hAnsi="Tahoma" w:cs="Tahoma"/>
        </w:rPr>
        <w:t xml:space="preserve">udget has not yet been passed by the Legislature and signed by the Governor. </w:t>
      </w:r>
      <w:r w:rsidR="001F4C75" w:rsidRPr="00135984">
        <w:rPr>
          <w:rFonts w:ascii="Tahoma" w:hAnsi="Tahoma" w:cs="Tahoma"/>
          <w:b/>
          <w:bCs/>
        </w:rPr>
        <w:t>Applicants should develop proposals and complete the Budget Forms (Attachment 4) based on the funding amounts listed in Tables 3 and 4 of the Solicitation Manual, not the reduced funding amounts shown above.</w:t>
      </w:r>
      <w:r w:rsidR="001F4C75">
        <w:rPr>
          <w:rFonts w:ascii="Tahoma" w:hAnsi="Tahoma" w:cs="Tahoma"/>
        </w:rPr>
        <w:t xml:space="preserve"> </w:t>
      </w:r>
    </w:p>
    <w:p w14:paraId="6849ED47" w14:textId="515794A1" w:rsidR="00DF5894" w:rsidRDefault="001F4C75" w:rsidP="001F4C75">
      <w:pPr>
        <w:ind w:left="720"/>
        <w:rPr>
          <w:rFonts w:ascii="Tahoma" w:hAnsi="Tahoma" w:cs="Tahoma"/>
        </w:rPr>
      </w:pPr>
      <w:r w:rsidRPr="001F4C75">
        <w:rPr>
          <w:rFonts w:ascii="Tahoma" w:hAnsi="Tahoma" w:cs="Tahoma"/>
        </w:rPr>
        <w:t xml:space="preserve">In addition, </w:t>
      </w:r>
      <w:r w:rsidR="007777A9" w:rsidRPr="00805A25">
        <w:rPr>
          <w:rFonts w:ascii="Tahoma" w:hAnsi="Tahoma" w:cs="Tahoma"/>
        </w:rPr>
        <w:t xml:space="preserve">Addendum </w:t>
      </w:r>
      <w:r w:rsidR="0088238E" w:rsidRPr="00805A25">
        <w:rPr>
          <w:rFonts w:ascii="Tahoma" w:hAnsi="Tahoma" w:cs="Tahoma"/>
        </w:rPr>
        <w:t>01</w:t>
      </w:r>
      <w:r w:rsidR="0088238E">
        <w:rPr>
          <w:rFonts w:ascii="Tahoma" w:hAnsi="Tahoma" w:cs="Tahoma"/>
        </w:rPr>
        <w:t xml:space="preserve"> to the solicitation includes the following revision: </w:t>
      </w:r>
      <w:r w:rsidRPr="001F4C75">
        <w:rPr>
          <w:rFonts w:ascii="Tahoma" w:hAnsi="Tahoma" w:cs="Tahoma"/>
        </w:rPr>
        <w:t xml:space="preserve">in the Budget Narrative (Section III.D.2.d), </w:t>
      </w:r>
      <w:r w:rsidR="00F51ECE">
        <w:rPr>
          <w:rFonts w:ascii="Tahoma" w:hAnsi="Tahoma" w:cs="Tahoma"/>
        </w:rPr>
        <w:t>a</w:t>
      </w:r>
      <w:r w:rsidRPr="001F4C75">
        <w:rPr>
          <w:rFonts w:ascii="Tahoma" w:hAnsi="Tahoma" w:cs="Tahoma"/>
        </w:rPr>
        <w:t>pplicants are asked to qualitatively describe how their proposal would change if the available state funds were reduced by 40-50</w:t>
      </w:r>
      <w:r w:rsidR="003A4636">
        <w:rPr>
          <w:rFonts w:ascii="Tahoma" w:hAnsi="Tahoma" w:cs="Tahoma"/>
        </w:rPr>
        <w:t xml:space="preserve"> percent</w:t>
      </w:r>
      <w:r w:rsidRPr="001F4C75">
        <w:rPr>
          <w:rFonts w:ascii="Tahoma" w:hAnsi="Tahoma" w:cs="Tahoma"/>
        </w:rPr>
        <w:t>. This may be a high-level, qualitative description. Budget details are not required.</w:t>
      </w:r>
    </w:p>
    <w:p w14:paraId="27F72AB5" w14:textId="46E80ED4" w:rsidR="00A600DA" w:rsidRDefault="00B57C0C" w:rsidP="00A600DA">
      <w:pPr>
        <w:ind w:left="720"/>
        <w:rPr>
          <w:rFonts w:ascii="Tahoma" w:hAnsi="Tahoma" w:cs="Tahoma"/>
        </w:rPr>
      </w:pPr>
      <w:r>
        <w:rPr>
          <w:rFonts w:ascii="Tahoma" w:hAnsi="Tahoma" w:cs="Tahoma"/>
        </w:rPr>
        <w:t>P</w:t>
      </w:r>
      <w:r w:rsidR="0002367A">
        <w:rPr>
          <w:rFonts w:ascii="Tahoma" w:hAnsi="Tahoma" w:cs="Tahoma"/>
        </w:rPr>
        <w:t>roposed</w:t>
      </w:r>
      <w:r w:rsidR="00CA3422">
        <w:rPr>
          <w:rFonts w:ascii="Tahoma" w:hAnsi="Tahoma" w:cs="Tahoma"/>
        </w:rPr>
        <w:t xml:space="preserve"> </w:t>
      </w:r>
      <w:r w:rsidR="002E0388">
        <w:rPr>
          <w:rFonts w:ascii="Tahoma" w:hAnsi="Tahoma" w:cs="Tahoma"/>
        </w:rPr>
        <w:t>awardees</w:t>
      </w:r>
      <w:r w:rsidR="00A600DA">
        <w:rPr>
          <w:rFonts w:ascii="Tahoma" w:hAnsi="Tahoma" w:cs="Tahoma"/>
        </w:rPr>
        <w:t xml:space="preserve"> recommended for funding will have the opportunity to revise their </w:t>
      </w:r>
      <w:r w:rsidR="00953314">
        <w:rPr>
          <w:rFonts w:ascii="Tahoma" w:hAnsi="Tahoma" w:cs="Tahoma"/>
        </w:rPr>
        <w:t>proposals</w:t>
      </w:r>
      <w:r w:rsidR="007201DD">
        <w:rPr>
          <w:rFonts w:ascii="Tahoma" w:hAnsi="Tahoma" w:cs="Tahoma"/>
        </w:rPr>
        <w:t>,</w:t>
      </w:r>
      <w:r w:rsidR="00A600DA">
        <w:rPr>
          <w:rFonts w:ascii="Tahoma" w:hAnsi="Tahoma" w:cs="Tahoma"/>
        </w:rPr>
        <w:t xml:space="preserve"> if needed</w:t>
      </w:r>
      <w:r w:rsidR="007201DD">
        <w:rPr>
          <w:rFonts w:ascii="Tahoma" w:hAnsi="Tahoma" w:cs="Tahoma"/>
        </w:rPr>
        <w:t>,</w:t>
      </w:r>
      <w:r w:rsidR="00A600DA">
        <w:rPr>
          <w:rFonts w:ascii="Tahoma" w:hAnsi="Tahoma" w:cs="Tahoma"/>
        </w:rPr>
        <w:t xml:space="preserve"> to reflect </w:t>
      </w:r>
      <w:r w:rsidR="00ED51C7">
        <w:rPr>
          <w:rFonts w:ascii="Tahoma" w:hAnsi="Tahoma" w:cs="Tahoma"/>
        </w:rPr>
        <w:t xml:space="preserve">program </w:t>
      </w:r>
      <w:r w:rsidR="0088238E">
        <w:rPr>
          <w:rFonts w:ascii="Tahoma" w:hAnsi="Tahoma" w:cs="Tahoma"/>
        </w:rPr>
        <w:t xml:space="preserve">changes </w:t>
      </w:r>
      <w:r w:rsidR="002E0388">
        <w:rPr>
          <w:rFonts w:ascii="Tahoma" w:hAnsi="Tahoma" w:cs="Tahoma"/>
        </w:rPr>
        <w:t xml:space="preserve">due </w:t>
      </w:r>
      <w:r w:rsidR="0088238E">
        <w:rPr>
          <w:rFonts w:ascii="Tahoma" w:hAnsi="Tahoma" w:cs="Tahoma"/>
        </w:rPr>
        <w:t xml:space="preserve">to </w:t>
      </w:r>
      <w:r w:rsidR="00CA34EE">
        <w:rPr>
          <w:rFonts w:ascii="Tahoma" w:hAnsi="Tahoma" w:cs="Tahoma"/>
        </w:rPr>
        <w:t>changes</w:t>
      </w:r>
      <w:r w:rsidR="000942C3">
        <w:rPr>
          <w:rFonts w:ascii="Tahoma" w:hAnsi="Tahoma" w:cs="Tahoma"/>
        </w:rPr>
        <w:t xml:space="preserve"> in </w:t>
      </w:r>
      <w:r w:rsidR="00953314">
        <w:rPr>
          <w:rFonts w:ascii="Tahoma" w:hAnsi="Tahoma" w:cs="Tahoma"/>
        </w:rPr>
        <w:t>available funds</w:t>
      </w:r>
      <w:r w:rsidR="00A600DA">
        <w:rPr>
          <w:rFonts w:ascii="Tahoma" w:hAnsi="Tahoma" w:cs="Tahoma"/>
        </w:rPr>
        <w:t>.</w:t>
      </w:r>
    </w:p>
    <w:p w14:paraId="502E2C9B" w14:textId="43441C15" w:rsidR="00A600DA" w:rsidRPr="00807A7D" w:rsidRDefault="00A600DA" w:rsidP="00A600DA">
      <w:pPr>
        <w:ind w:left="720" w:hanging="720"/>
        <w:rPr>
          <w:rFonts w:ascii="Tahoma" w:hAnsi="Tahoma" w:cs="Tahoma"/>
          <w:b/>
          <w:bCs/>
        </w:rPr>
      </w:pPr>
      <w:r w:rsidRPr="00807A7D">
        <w:rPr>
          <w:rFonts w:ascii="Tahoma" w:hAnsi="Tahoma" w:cs="Tahoma"/>
          <w:b/>
          <w:bCs/>
        </w:rPr>
        <w:t>Q</w:t>
      </w:r>
      <w:r w:rsidR="00602B95">
        <w:rPr>
          <w:rFonts w:ascii="Tahoma" w:hAnsi="Tahoma" w:cs="Tahoma"/>
          <w:b/>
          <w:bCs/>
        </w:rPr>
        <w:t>32</w:t>
      </w:r>
      <w:r w:rsidRPr="00807A7D">
        <w:rPr>
          <w:rFonts w:ascii="Tahoma" w:hAnsi="Tahoma" w:cs="Tahoma"/>
          <w:b/>
          <w:bCs/>
        </w:rPr>
        <w:t>:</w:t>
      </w:r>
      <w:r w:rsidRPr="00807A7D">
        <w:rPr>
          <w:rFonts w:ascii="Tahoma" w:hAnsi="Tahoma" w:cs="Tahoma"/>
          <w:b/>
          <w:bCs/>
        </w:rPr>
        <w:tab/>
        <w:t>Can EBD funds be “clawed back” due to California budget changes after a grant agreement with a Regional Administrator has been signed?</w:t>
      </w:r>
    </w:p>
    <w:p w14:paraId="167221C2" w14:textId="7238BA84" w:rsidR="00A600DA" w:rsidRDefault="00A600DA" w:rsidP="00A600DA">
      <w:pPr>
        <w:spacing w:after="0"/>
        <w:ind w:left="720" w:hanging="720"/>
        <w:rPr>
          <w:rFonts w:ascii="Tahoma" w:hAnsi="Tahoma" w:cs="Tahoma"/>
        </w:rPr>
      </w:pPr>
      <w:r>
        <w:rPr>
          <w:rFonts w:ascii="Tahoma" w:hAnsi="Tahoma" w:cs="Tahoma"/>
        </w:rPr>
        <w:t>A</w:t>
      </w:r>
      <w:r w:rsidR="00602B95">
        <w:rPr>
          <w:rFonts w:ascii="Tahoma" w:hAnsi="Tahoma" w:cs="Tahoma"/>
        </w:rPr>
        <w:t>32</w:t>
      </w:r>
      <w:r>
        <w:rPr>
          <w:rFonts w:ascii="Tahoma" w:hAnsi="Tahoma" w:cs="Tahoma"/>
        </w:rPr>
        <w:t>:</w:t>
      </w:r>
      <w:r>
        <w:rPr>
          <w:rFonts w:ascii="Tahoma" w:hAnsi="Tahoma" w:cs="Tahoma"/>
        </w:rPr>
        <w:tab/>
        <w:t xml:space="preserve">Yes. As stated in the </w:t>
      </w:r>
      <w:r w:rsidR="0002527E">
        <w:rPr>
          <w:rFonts w:ascii="Tahoma" w:hAnsi="Tahoma" w:cs="Tahoma"/>
        </w:rPr>
        <w:t>S</w:t>
      </w:r>
      <w:r>
        <w:rPr>
          <w:rFonts w:ascii="Tahoma" w:hAnsi="Tahoma" w:cs="Tahoma"/>
        </w:rPr>
        <w:t xml:space="preserve">olicitation </w:t>
      </w:r>
      <w:r w:rsidR="0002527E">
        <w:rPr>
          <w:rFonts w:ascii="Tahoma" w:hAnsi="Tahoma" w:cs="Tahoma"/>
        </w:rPr>
        <w:t>M</w:t>
      </w:r>
      <w:r>
        <w:rPr>
          <w:rFonts w:ascii="Tahoma" w:hAnsi="Tahoma" w:cs="Tahoma"/>
        </w:rPr>
        <w:t>anual, “</w:t>
      </w:r>
      <w:r w:rsidRPr="00DF2C85">
        <w:rPr>
          <w:rFonts w:ascii="Tahoma" w:hAnsi="Tahoma" w:cs="Tahoma"/>
        </w:rPr>
        <w:t xml:space="preserve">The regional funding amounts are subject to change (increase or decrease) based on the amount of funding authorized by the California Legislature and Governor over the lifetime of the program and the availability and appropriation of federal, ratepayer, or other funds to this program. CEC encourages </w:t>
      </w:r>
      <w:r w:rsidR="00F51ECE">
        <w:rPr>
          <w:rFonts w:ascii="Tahoma" w:hAnsi="Tahoma" w:cs="Tahoma"/>
        </w:rPr>
        <w:t>a</w:t>
      </w:r>
      <w:r w:rsidRPr="00DF2C85">
        <w:rPr>
          <w:rFonts w:ascii="Tahoma" w:hAnsi="Tahoma" w:cs="Tahoma"/>
        </w:rPr>
        <w:t>pplicants to review proposed state budgets for potential funding changes. In addition, the CEC reserves the right to transfer funds from one regional administrator to another in the event of a termination or other administrator performance issues.</w:t>
      </w:r>
      <w:r>
        <w:rPr>
          <w:rFonts w:ascii="Tahoma" w:hAnsi="Tahoma" w:cs="Tahoma"/>
        </w:rPr>
        <w:t xml:space="preserve"> </w:t>
      </w:r>
      <w:r w:rsidRPr="00DF2C85">
        <w:rPr>
          <w:rFonts w:ascii="Tahoma" w:hAnsi="Tahoma" w:cs="Tahoma"/>
        </w:rPr>
        <w:t>The federal HOMES funding is pending approval by DOE.</w:t>
      </w:r>
      <w:r>
        <w:rPr>
          <w:rFonts w:ascii="Tahoma" w:hAnsi="Tahoma" w:cs="Tahoma"/>
        </w:rPr>
        <w:t>”</w:t>
      </w:r>
    </w:p>
    <w:p w14:paraId="3385D516" w14:textId="77777777" w:rsidR="00A600DA" w:rsidRDefault="00A600DA" w:rsidP="00A600DA">
      <w:pPr>
        <w:spacing w:after="0"/>
        <w:ind w:left="720" w:hanging="720"/>
        <w:rPr>
          <w:rFonts w:ascii="Tahoma" w:hAnsi="Tahoma" w:cs="Tahoma"/>
        </w:rPr>
      </w:pPr>
    </w:p>
    <w:p w14:paraId="304C7D04" w14:textId="44804004" w:rsidR="00A600DA" w:rsidRDefault="003C1C23" w:rsidP="00A600DA">
      <w:pPr>
        <w:ind w:left="720"/>
        <w:rPr>
          <w:rFonts w:ascii="Tahoma" w:hAnsi="Tahoma" w:cs="Tahoma"/>
        </w:rPr>
      </w:pPr>
      <w:r>
        <w:rPr>
          <w:rFonts w:ascii="Tahoma" w:hAnsi="Tahoma" w:cs="Tahoma"/>
        </w:rPr>
        <w:t>I</w:t>
      </w:r>
      <w:r w:rsidR="005C271A">
        <w:rPr>
          <w:rFonts w:ascii="Tahoma" w:hAnsi="Tahoma" w:cs="Tahoma"/>
        </w:rPr>
        <w:t>f</w:t>
      </w:r>
      <w:r w:rsidR="00A600DA">
        <w:rPr>
          <w:rFonts w:ascii="Tahoma" w:hAnsi="Tahoma" w:cs="Tahoma"/>
        </w:rPr>
        <w:t xml:space="preserve"> the final 2024-25 state budget </w:t>
      </w:r>
      <w:r w:rsidR="005C271A">
        <w:rPr>
          <w:rFonts w:ascii="Tahoma" w:hAnsi="Tahoma" w:cs="Tahoma"/>
        </w:rPr>
        <w:t>is</w:t>
      </w:r>
      <w:r w:rsidR="00A600DA">
        <w:rPr>
          <w:rFonts w:ascii="Tahoma" w:hAnsi="Tahoma" w:cs="Tahoma"/>
        </w:rPr>
        <w:t xml:space="preserve"> adopted prior to grant agreements being signed for this program, </w:t>
      </w:r>
      <w:r w:rsidR="00122804">
        <w:rPr>
          <w:rFonts w:ascii="Tahoma" w:hAnsi="Tahoma" w:cs="Tahoma"/>
        </w:rPr>
        <w:t xml:space="preserve">awardees </w:t>
      </w:r>
      <w:r w:rsidR="00A600DA">
        <w:rPr>
          <w:rFonts w:ascii="Tahoma" w:hAnsi="Tahoma" w:cs="Tahoma"/>
        </w:rPr>
        <w:t xml:space="preserve">recommended for funding will have the opportunity to revise their proposed </w:t>
      </w:r>
      <w:r w:rsidR="00F358E3">
        <w:rPr>
          <w:rFonts w:ascii="Tahoma" w:hAnsi="Tahoma" w:cs="Tahoma"/>
        </w:rPr>
        <w:t xml:space="preserve">programs and </w:t>
      </w:r>
      <w:r w:rsidR="00A600DA">
        <w:rPr>
          <w:rFonts w:ascii="Tahoma" w:hAnsi="Tahoma" w:cs="Tahoma"/>
        </w:rPr>
        <w:t>budgets</w:t>
      </w:r>
      <w:r w:rsidR="00BE71E2">
        <w:rPr>
          <w:rFonts w:ascii="Tahoma" w:hAnsi="Tahoma" w:cs="Tahoma"/>
        </w:rPr>
        <w:t>,</w:t>
      </w:r>
      <w:r w:rsidR="00A600DA">
        <w:rPr>
          <w:rFonts w:ascii="Tahoma" w:hAnsi="Tahoma" w:cs="Tahoma"/>
        </w:rPr>
        <w:t xml:space="preserve"> if needed</w:t>
      </w:r>
      <w:r w:rsidR="00BE71E2">
        <w:rPr>
          <w:rFonts w:ascii="Tahoma" w:hAnsi="Tahoma" w:cs="Tahoma"/>
        </w:rPr>
        <w:t>,</w:t>
      </w:r>
      <w:r w:rsidR="00A600DA">
        <w:rPr>
          <w:rFonts w:ascii="Tahoma" w:hAnsi="Tahoma" w:cs="Tahoma"/>
        </w:rPr>
        <w:t xml:space="preserve"> prior to grant agreements being signed. </w:t>
      </w:r>
    </w:p>
    <w:p w14:paraId="0164DBFF" w14:textId="08E859B6" w:rsidR="00A600DA" w:rsidRPr="00961001" w:rsidRDefault="00A600DA" w:rsidP="00A600DA">
      <w:pPr>
        <w:ind w:left="720" w:hanging="720"/>
        <w:rPr>
          <w:rFonts w:ascii="Tahoma" w:hAnsi="Tahoma" w:cs="Tahoma"/>
          <w:b/>
          <w:bCs/>
        </w:rPr>
      </w:pPr>
      <w:r w:rsidRPr="00961001">
        <w:rPr>
          <w:rFonts w:ascii="Tahoma" w:hAnsi="Tahoma" w:cs="Tahoma"/>
          <w:b/>
          <w:bCs/>
        </w:rPr>
        <w:t>Q3</w:t>
      </w:r>
      <w:r w:rsidR="00B42A09">
        <w:rPr>
          <w:rFonts w:ascii="Tahoma" w:hAnsi="Tahoma" w:cs="Tahoma"/>
          <w:b/>
          <w:bCs/>
        </w:rPr>
        <w:t>3</w:t>
      </w:r>
      <w:r w:rsidRPr="00961001">
        <w:rPr>
          <w:rFonts w:ascii="Tahoma" w:hAnsi="Tahoma" w:cs="Tahoma"/>
          <w:b/>
          <w:bCs/>
        </w:rPr>
        <w:t>:</w:t>
      </w:r>
      <w:r w:rsidRPr="00961001">
        <w:rPr>
          <w:rFonts w:ascii="Tahoma" w:hAnsi="Tahoma" w:cs="Tahoma"/>
          <w:b/>
          <w:bCs/>
        </w:rPr>
        <w:tab/>
        <w:t>How much of the state funding for this program comes from the state General Fund versus the Greenhouse Gas Reduction Fund? Are both</w:t>
      </w:r>
      <w:r w:rsidR="00F64610">
        <w:rPr>
          <w:rFonts w:ascii="Tahoma" w:hAnsi="Tahoma" w:cs="Tahoma"/>
          <w:b/>
          <w:bCs/>
        </w:rPr>
        <w:t xml:space="preserve"> </w:t>
      </w:r>
      <w:r w:rsidRPr="00961001">
        <w:rPr>
          <w:rFonts w:ascii="Tahoma" w:hAnsi="Tahoma" w:cs="Tahoma"/>
          <w:b/>
          <w:bCs/>
        </w:rPr>
        <w:t>these funding amounts at risk of being cut?</w:t>
      </w:r>
    </w:p>
    <w:p w14:paraId="15587B70" w14:textId="4A86088A" w:rsidR="00A600DA" w:rsidRDefault="00A600DA" w:rsidP="00A600DA">
      <w:pPr>
        <w:ind w:left="720" w:hanging="720"/>
        <w:rPr>
          <w:rFonts w:ascii="Tahoma" w:hAnsi="Tahoma" w:cs="Tahoma"/>
        </w:rPr>
      </w:pPr>
      <w:r>
        <w:rPr>
          <w:rFonts w:ascii="Tahoma" w:hAnsi="Tahoma" w:cs="Tahoma"/>
        </w:rPr>
        <w:t>A3</w:t>
      </w:r>
      <w:r w:rsidR="00B42A09">
        <w:rPr>
          <w:rFonts w:ascii="Tahoma" w:hAnsi="Tahoma" w:cs="Tahoma"/>
        </w:rPr>
        <w:t>3</w:t>
      </w:r>
      <w:r>
        <w:rPr>
          <w:rFonts w:ascii="Tahoma" w:hAnsi="Tahoma" w:cs="Tahoma"/>
        </w:rPr>
        <w:t>:</w:t>
      </w:r>
      <w:r>
        <w:rPr>
          <w:rFonts w:ascii="Tahoma" w:hAnsi="Tahoma" w:cs="Tahoma"/>
        </w:rPr>
        <w:tab/>
        <w:t>Based on the adopted 2023-24 state budget, 56</w:t>
      </w:r>
      <w:r w:rsidR="008233CD">
        <w:rPr>
          <w:rFonts w:ascii="Tahoma" w:hAnsi="Tahoma" w:cs="Tahoma"/>
        </w:rPr>
        <w:t xml:space="preserve"> percent</w:t>
      </w:r>
      <w:r>
        <w:rPr>
          <w:rFonts w:ascii="Tahoma" w:hAnsi="Tahoma" w:cs="Tahoma"/>
        </w:rPr>
        <w:t xml:space="preserve"> of the total state EBD program funding was to come from the General Fund, and 44</w:t>
      </w:r>
      <w:r w:rsidR="008233CD">
        <w:rPr>
          <w:rFonts w:ascii="Tahoma" w:hAnsi="Tahoma" w:cs="Tahoma"/>
        </w:rPr>
        <w:t xml:space="preserve"> percent</w:t>
      </w:r>
      <w:r>
        <w:rPr>
          <w:rFonts w:ascii="Tahoma" w:hAnsi="Tahoma" w:cs="Tahoma"/>
        </w:rPr>
        <w:t xml:space="preserve"> from the Greenhouse Gas Reduction Fund (GGRF). The May Revision to the Governor’s proposed 2024-25 state budget would eliminate nearly all General Fund funding allocated to this program and would partly offset that with an increase in GGRF funding, resulting in a 46% </w:t>
      </w:r>
      <w:r w:rsidR="00C316BB">
        <w:rPr>
          <w:rFonts w:ascii="Tahoma" w:hAnsi="Tahoma" w:cs="Tahoma"/>
        </w:rPr>
        <w:t>reduction</w:t>
      </w:r>
      <w:r>
        <w:rPr>
          <w:rFonts w:ascii="Tahoma" w:hAnsi="Tahoma" w:cs="Tahoma"/>
        </w:rPr>
        <w:t xml:space="preserve"> overall.</w:t>
      </w:r>
    </w:p>
    <w:p w14:paraId="7E843B32" w14:textId="34E17A15" w:rsidR="00A600DA" w:rsidRPr="003C2D1E" w:rsidRDefault="00A600DA" w:rsidP="00A600DA">
      <w:pPr>
        <w:ind w:left="720" w:hanging="720"/>
        <w:rPr>
          <w:rFonts w:ascii="Tahoma" w:hAnsi="Tahoma" w:cs="Tahoma"/>
          <w:b/>
          <w:bCs/>
        </w:rPr>
      </w:pPr>
      <w:r w:rsidRPr="00805A25">
        <w:rPr>
          <w:rFonts w:ascii="Tahoma" w:hAnsi="Tahoma" w:cs="Tahoma"/>
          <w:b/>
          <w:bCs/>
        </w:rPr>
        <w:t>Q3</w:t>
      </w:r>
      <w:r w:rsidR="00B42A09" w:rsidRPr="00805A25">
        <w:rPr>
          <w:rFonts w:ascii="Tahoma" w:hAnsi="Tahoma" w:cs="Tahoma"/>
          <w:b/>
          <w:bCs/>
        </w:rPr>
        <w:t>4</w:t>
      </w:r>
      <w:r w:rsidRPr="00805A25">
        <w:rPr>
          <w:rFonts w:ascii="Tahoma" w:hAnsi="Tahoma" w:cs="Tahoma"/>
          <w:b/>
          <w:bCs/>
        </w:rPr>
        <w:t>:</w:t>
      </w:r>
      <w:r w:rsidRPr="00805A25">
        <w:tab/>
      </w:r>
      <w:r w:rsidRPr="00805A25">
        <w:rPr>
          <w:rFonts w:ascii="Tahoma" w:hAnsi="Tahoma" w:cs="Tahoma"/>
          <w:b/>
          <w:bCs/>
        </w:rPr>
        <w:t>Does Budget Letter 24-07, dated 4/29/24, affect the state funding available for this program?</w:t>
      </w:r>
    </w:p>
    <w:p w14:paraId="31DFEBC2" w14:textId="3D229562" w:rsidR="00A600DA" w:rsidRDefault="00A600DA" w:rsidP="00A600DA">
      <w:pPr>
        <w:ind w:left="720" w:hanging="720"/>
        <w:rPr>
          <w:rFonts w:ascii="Tahoma" w:hAnsi="Tahoma" w:cs="Tahoma"/>
        </w:rPr>
      </w:pPr>
      <w:r>
        <w:rPr>
          <w:rFonts w:ascii="Tahoma" w:hAnsi="Tahoma" w:cs="Tahoma"/>
        </w:rPr>
        <w:t>A3</w:t>
      </w:r>
      <w:r w:rsidR="00B42A09">
        <w:rPr>
          <w:rFonts w:ascii="Tahoma" w:hAnsi="Tahoma" w:cs="Tahoma"/>
        </w:rPr>
        <w:t>4</w:t>
      </w:r>
      <w:r>
        <w:rPr>
          <w:rFonts w:ascii="Tahoma" w:hAnsi="Tahoma" w:cs="Tahoma"/>
        </w:rPr>
        <w:t>:</w:t>
      </w:r>
      <w:r>
        <w:rPr>
          <w:rFonts w:ascii="Tahoma" w:hAnsi="Tahoma" w:cs="Tahoma"/>
        </w:rPr>
        <w:tab/>
      </w:r>
      <w:r w:rsidR="008C576E" w:rsidRPr="008C576E">
        <w:rPr>
          <w:rFonts w:ascii="Tahoma" w:hAnsi="Tahoma" w:cs="Tahoma"/>
        </w:rPr>
        <w:t>Budget Letter 24-07</w:t>
      </w:r>
      <w:r w:rsidR="00306CA4">
        <w:rPr>
          <w:rFonts w:ascii="Tahoma" w:hAnsi="Tahoma" w:cs="Tahoma"/>
        </w:rPr>
        <w:t xml:space="preserve"> (</w:t>
      </w:r>
      <w:r w:rsidR="00306CA4" w:rsidRPr="00306CA4">
        <w:rPr>
          <w:rFonts w:ascii="Tahoma" w:hAnsi="Tahoma" w:cs="Tahoma"/>
        </w:rPr>
        <w:t>https://dof.ca.gov/wp-content/uploads/sites/352/2024/04/BL-24-07.pdf</w:t>
      </w:r>
      <w:r w:rsidR="00306CA4">
        <w:rPr>
          <w:rFonts w:ascii="Tahoma" w:hAnsi="Tahoma" w:cs="Tahoma"/>
        </w:rPr>
        <w:t>)</w:t>
      </w:r>
      <w:r w:rsidR="008C576E" w:rsidRPr="008C576E">
        <w:rPr>
          <w:rFonts w:ascii="Tahoma" w:hAnsi="Tahoma" w:cs="Tahoma"/>
        </w:rPr>
        <w:t xml:space="preserve"> establishes an expenditure freeze on certain State General Fund appropriations. The EBD Direct Install Program is funded in part by the State General Fund (other funding sources include the State Greenhouse Gas Reduction Fund and the Federal HOMES Program, as described in the Solicitation Manual). However, the CEC anticipates that the expenditure freeze described in Budget Letter 24-07 will be lifted once the 2024-25 State Budget is adopted and prior to the CEC entering into grant agreements with Regional Administrators. Please see A31, above, for information about potential reductions to the </w:t>
      </w:r>
      <w:r w:rsidR="00306CA4">
        <w:rPr>
          <w:rFonts w:ascii="Tahoma" w:hAnsi="Tahoma" w:cs="Tahoma"/>
        </w:rPr>
        <w:t xml:space="preserve">EBD </w:t>
      </w:r>
      <w:r w:rsidR="008C576E" w:rsidRPr="008C576E">
        <w:rPr>
          <w:rFonts w:ascii="Tahoma" w:hAnsi="Tahoma" w:cs="Tahoma"/>
        </w:rPr>
        <w:t>program budget in the 2024-25 State Budget.</w:t>
      </w:r>
    </w:p>
    <w:p w14:paraId="766433A3" w14:textId="53AE45F3" w:rsidR="00A600DA" w:rsidRDefault="00A600DA" w:rsidP="00A600DA">
      <w:pPr>
        <w:ind w:left="720" w:hanging="720"/>
        <w:rPr>
          <w:rFonts w:ascii="Tahoma" w:hAnsi="Tahoma" w:cs="Tahoma"/>
          <w:b/>
          <w:bCs/>
        </w:rPr>
      </w:pPr>
      <w:r w:rsidRPr="004B0A77">
        <w:rPr>
          <w:rFonts w:ascii="Tahoma" w:hAnsi="Tahoma" w:cs="Tahoma"/>
          <w:b/>
          <w:bCs/>
        </w:rPr>
        <w:t>Q3</w:t>
      </w:r>
      <w:r w:rsidR="00DC6053">
        <w:rPr>
          <w:rFonts w:ascii="Tahoma" w:hAnsi="Tahoma" w:cs="Tahoma"/>
          <w:b/>
          <w:bCs/>
        </w:rPr>
        <w:t>5</w:t>
      </w:r>
      <w:r w:rsidRPr="004B0A77">
        <w:rPr>
          <w:rFonts w:ascii="Tahoma" w:hAnsi="Tahoma" w:cs="Tahoma"/>
          <w:b/>
          <w:bCs/>
        </w:rPr>
        <w:t>:</w:t>
      </w:r>
      <w:r w:rsidRPr="004B0A77">
        <w:rPr>
          <w:rFonts w:ascii="Tahoma" w:hAnsi="Tahoma" w:cs="Tahoma"/>
          <w:b/>
          <w:bCs/>
        </w:rPr>
        <w:tab/>
        <w:t>The CEC stated that 60</w:t>
      </w:r>
      <w:r w:rsidR="00971917">
        <w:rPr>
          <w:rFonts w:ascii="Tahoma" w:hAnsi="Tahoma" w:cs="Tahoma"/>
          <w:b/>
          <w:bCs/>
        </w:rPr>
        <w:t xml:space="preserve"> percent</w:t>
      </w:r>
      <w:r w:rsidRPr="004B0A77">
        <w:rPr>
          <w:rFonts w:ascii="Tahoma" w:hAnsi="Tahoma" w:cs="Tahoma"/>
          <w:b/>
          <w:bCs/>
        </w:rPr>
        <w:t xml:space="preserve"> of the $292 million available to California through the Inflation Reduction Act HOMES program would be allocated to the EBD Direct Install Program. However, Table 4 in the </w:t>
      </w:r>
      <w:r w:rsidR="0002527E">
        <w:rPr>
          <w:rFonts w:ascii="Tahoma" w:hAnsi="Tahoma" w:cs="Tahoma"/>
          <w:b/>
          <w:bCs/>
        </w:rPr>
        <w:t>S</w:t>
      </w:r>
      <w:r w:rsidRPr="004B0A77">
        <w:rPr>
          <w:rFonts w:ascii="Tahoma" w:hAnsi="Tahoma" w:cs="Tahoma"/>
          <w:b/>
          <w:bCs/>
        </w:rPr>
        <w:t xml:space="preserve">olicitation </w:t>
      </w:r>
      <w:r w:rsidR="0002527E">
        <w:rPr>
          <w:rFonts w:ascii="Tahoma" w:hAnsi="Tahoma" w:cs="Tahoma"/>
          <w:b/>
          <w:bCs/>
        </w:rPr>
        <w:t>M</w:t>
      </w:r>
      <w:r w:rsidRPr="004B0A77">
        <w:rPr>
          <w:rFonts w:ascii="Tahoma" w:hAnsi="Tahoma" w:cs="Tahoma"/>
          <w:b/>
          <w:bCs/>
        </w:rPr>
        <w:t>anual shows that total available federal funding is $152.3 million, which is less than 60</w:t>
      </w:r>
      <w:r w:rsidR="00971917">
        <w:rPr>
          <w:rFonts w:ascii="Tahoma" w:hAnsi="Tahoma" w:cs="Tahoma"/>
          <w:b/>
          <w:bCs/>
        </w:rPr>
        <w:t xml:space="preserve"> percent</w:t>
      </w:r>
      <w:r w:rsidRPr="004B0A77">
        <w:rPr>
          <w:rFonts w:ascii="Tahoma" w:hAnsi="Tahoma" w:cs="Tahoma"/>
          <w:b/>
          <w:bCs/>
        </w:rPr>
        <w:t xml:space="preserve"> of $292 million</w:t>
      </w:r>
      <w:r>
        <w:rPr>
          <w:rFonts w:ascii="Tahoma" w:hAnsi="Tahoma" w:cs="Tahoma"/>
          <w:b/>
          <w:bCs/>
        </w:rPr>
        <w:t>. Please explain.</w:t>
      </w:r>
    </w:p>
    <w:p w14:paraId="7D1DDCF6" w14:textId="57CD257E" w:rsidR="00A600DA" w:rsidRDefault="00A600DA" w:rsidP="00A600DA">
      <w:pPr>
        <w:ind w:left="720" w:hanging="720"/>
        <w:rPr>
          <w:rFonts w:ascii="Tahoma" w:hAnsi="Tahoma" w:cs="Tahoma"/>
        </w:rPr>
      </w:pPr>
      <w:r w:rsidRPr="00333A51">
        <w:rPr>
          <w:rFonts w:ascii="Tahoma" w:hAnsi="Tahoma" w:cs="Tahoma"/>
        </w:rPr>
        <w:t>A3</w:t>
      </w:r>
      <w:r w:rsidR="00DC6053">
        <w:rPr>
          <w:rFonts w:ascii="Tahoma" w:hAnsi="Tahoma" w:cs="Tahoma"/>
        </w:rPr>
        <w:t>5</w:t>
      </w:r>
      <w:r w:rsidRPr="00333A51">
        <w:rPr>
          <w:rFonts w:ascii="Tahoma" w:hAnsi="Tahoma" w:cs="Tahoma"/>
        </w:rPr>
        <w:t>:</w:t>
      </w:r>
      <w:r w:rsidRPr="00333A51">
        <w:rPr>
          <w:rFonts w:ascii="Tahoma" w:hAnsi="Tahoma" w:cs="Tahoma"/>
        </w:rPr>
        <w:tab/>
      </w:r>
      <w:r>
        <w:rPr>
          <w:rFonts w:ascii="Tahoma" w:hAnsi="Tahoma" w:cs="Tahoma"/>
        </w:rPr>
        <w:t xml:space="preserve">The HOMES funding amount shown in </w:t>
      </w:r>
      <w:r w:rsidR="004410A7">
        <w:rPr>
          <w:rFonts w:ascii="Tahoma" w:hAnsi="Tahoma" w:cs="Tahoma"/>
        </w:rPr>
        <w:t xml:space="preserve">Table 4 of </w:t>
      </w:r>
      <w:r>
        <w:rPr>
          <w:rFonts w:ascii="Tahoma" w:hAnsi="Tahoma" w:cs="Tahoma"/>
        </w:rPr>
        <w:t xml:space="preserve">the </w:t>
      </w:r>
      <w:r w:rsidR="0002527E">
        <w:rPr>
          <w:rFonts w:ascii="Tahoma" w:hAnsi="Tahoma" w:cs="Tahoma"/>
        </w:rPr>
        <w:t>S</w:t>
      </w:r>
      <w:r>
        <w:rPr>
          <w:rFonts w:ascii="Tahoma" w:hAnsi="Tahoma" w:cs="Tahoma"/>
        </w:rPr>
        <w:t xml:space="preserve">olicitation </w:t>
      </w:r>
      <w:r w:rsidR="0002527E">
        <w:rPr>
          <w:rFonts w:ascii="Tahoma" w:hAnsi="Tahoma" w:cs="Tahoma"/>
        </w:rPr>
        <w:t>M</w:t>
      </w:r>
      <w:r>
        <w:rPr>
          <w:rFonts w:ascii="Tahoma" w:hAnsi="Tahoma" w:cs="Tahoma"/>
        </w:rPr>
        <w:t>anual does not include CEC’s administrative and contracting costs.</w:t>
      </w:r>
    </w:p>
    <w:p w14:paraId="7DB2C72B" w14:textId="6F5EB4ED" w:rsidR="00A600DA" w:rsidRDefault="00A600DA" w:rsidP="00A600DA">
      <w:pPr>
        <w:ind w:left="720" w:hanging="720"/>
        <w:rPr>
          <w:rFonts w:ascii="Tahoma" w:hAnsi="Tahoma" w:cs="Tahoma"/>
          <w:b/>
          <w:bCs/>
        </w:rPr>
      </w:pPr>
      <w:r w:rsidRPr="002347BA">
        <w:rPr>
          <w:rFonts w:ascii="Tahoma" w:hAnsi="Tahoma" w:cs="Tahoma"/>
          <w:b/>
          <w:bCs/>
        </w:rPr>
        <w:t>Q</w:t>
      </w:r>
      <w:r w:rsidR="0097540C">
        <w:rPr>
          <w:rFonts w:ascii="Tahoma" w:hAnsi="Tahoma" w:cs="Tahoma"/>
          <w:b/>
          <w:bCs/>
        </w:rPr>
        <w:t>36</w:t>
      </w:r>
      <w:r w:rsidRPr="00203E95">
        <w:rPr>
          <w:rFonts w:ascii="Tahoma" w:hAnsi="Tahoma" w:cs="Tahoma"/>
          <w:b/>
          <w:bCs/>
        </w:rPr>
        <w:t>:</w:t>
      </w:r>
      <w:r w:rsidRPr="00203E95">
        <w:rPr>
          <w:rFonts w:ascii="Tahoma" w:hAnsi="Tahoma" w:cs="Tahoma"/>
          <w:b/>
          <w:bCs/>
        </w:rPr>
        <w:tab/>
      </w:r>
      <w:r>
        <w:rPr>
          <w:rFonts w:ascii="Tahoma" w:hAnsi="Tahoma" w:cs="Tahoma"/>
          <w:b/>
          <w:bCs/>
        </w:rPr>
        <w:t>What is the expected start and end date of the Agreements? Will the Agreements end in 2027 since the funding runs through 2027?</w:t>
      </w:r>
    </w:p>
    <w:p w14:paraId="4E8FBBEC" w14:textId="1D663F71" w:rsidR="00A600DA" w:rsidRDefault="00A600DA" w:rsidP="00A600DA">
      <w:pPr>
        <w:ind w:left="720" w:hanging="720"/>
        <w:rPr>
          <w:rFonts w:ascii="Tahoma" w:hAnsi="Tahoma" w:cs="Tahoma"/>
        </w:rPr>
      </w:pPr>
      <w:r w:rsidRPr="00203E95">
        <w:rPr>
          <w:rFonts w:ascii="Tahoma" w:hAnsi="Tahoma" w:cs="Tahoma"/>
        </w:rPr>
        <w:t>A</w:t>
      </w:r>
      <w:r w:rsidR="0082004D">
        <w:rPr>
          <w:rFonts w:ascii="Tahoma" w:hAnsi="Tahoma" w:cs="Tahoma"/>
        </w:rPr>
        <w:t>36</w:t>
      </w:r>
      <w:r w:rsidRPr="00203E95">
        <w:rPr>
          <w:rFonts w:ascii="Tahoma" w:hAnsi="Tahoma" w:cs="Tahoma"/>
        </w:rPr>
        <w:t>:</w:t>
      </w:r>
      <w:r>
        <w:rPr>
          <w:rFonts w:ascii="Tahoma" w:hAnsi="Tahoma" w:cs="Tahoma"/>
        </w:rPr>
        <w:tab/>
        <w:t xml:space="preserve">The expected start date of the Agreements is December 2024. The expected end date will be </w:t>
      </w:r>
      <w:r w:rsidR="00825D3B">
        <w:rPr>
          <w:rFonts w:ascii="Tahoma" w:hAnsi="Tahoma" w:cs="Tahoma"/>
        </w:rPr>
        <w:t>five (</w:t>
      </w:r>
      <w:r>
        <w:rPr>
          <w:rFonts w:ascii="Tahoma" w:hAnsi="Tahoma" w:cs="Tahoma"/>
        </w:rPr>
        <w:t>5</w:t>
      </w:r>
      <w:r w:rsidR="00825D3B">
        <w:rPr>
          <w:rFonts w:ascii="Tahoma" w:hAnsi="Tahoma" w:cs="Tahoma"/>
        </w:rPr>
        <w:t>)</w:t>
      </w:r>
      <w:r>
        <w:rPr>
          <w:rFonts w:ascii="Tahoma" w:hAnsi="Tahoma" w:cs="Tahoma"/>
        </w:rPr>
        <w:t xml:space="preserve"> years after the start date.</w:t>
      </w:r>
      <w:r w:rsidR="00DE6CE8">
        <w:rPr>
          <w:rFonts w:ascii="Tahoma" w:hAnsi="Tahoma" w:cs="Tahoma"/>
        </w:rPr>
        <w:t xml:space="preserve"> Funds </w:t>
      </w:r>
      <w:r w:rsidR="00066038">
        <w:rPr>
          <w:rFonts w:ascii="Tahoma" w:hAnsi="Tahoma" w:cs="Tahoma"/>
        </w:rPr>
        <w:t>are not required to be spent in the year they are allocated</w:t>
      </w:r>
      <w:r w:rsidR="00AD2083">
        <w:rPr>
          <w:rFonts w:ascii="Tahoma" w:hAnsi="Tahoma" w:cs="Tahoma"/>
        </w:rPr>
        <w:t>;</w:t>
      </w:r>
      <w:r w:rsidR="00C14579">
        <w:rPr>
          <w:rFonts w:ascii="Tahoma" w:hAnsi="Tahoma" w:cs="Tahoma"/>
        </w:rPr>
        <w:t xml:space="preserve"> however</w:t>
      </w:r>
      <w:r w:rsidR="00AD2083">
        <w:rPr>
          <w:rFonts w:ascii="Tahoma" w:hAnsi="Tahoma" w:cs="Tahoma"/>
        </w:rPr>
        <w:t>, the</w:t>
      </w:r>
      <w:r w:rsidR="004C6FAE">
        <w:rPr>
          <w:rFonts w:ascii="Tahoma" w:hAnsi="Tahoma" w:cs="Tahoma"/>
        </w:rPr>
        <w:t xml:space="preserve"> </w:t>
      </w:r>
      <w:r w:rsidR="00B05E82">
        <w:rPr>
          <w:rFonts w:ascii="Tahoma" w:hAnsi="Tahoma" w:cs="Tahoma"/>
        </w:rPr>
        <w:t xml:space="preserve">CEC encourages </w:t>
      </w:r>
      <w:r w:rsidR="00916349">
        <w:rPr>
          <w:rFonts w:ascii="Tahoma" w:hAnsi="Tahoma" w:cs="Tahoma"/>
        </w:rPr>
        <w:t>the programs to begin</w:t>
      </w:r>
      <w:r w:rsidR="00C14579">
        <w:rPr>
          <w:rFonts w:ascii="Tahoma" w:hAnsi="Tahoma" w:cs="Tahoma"/>
        </w:rPr>
        <w:t xml:space="preserve"> </w:t>
      </w:r>
      <w:r w:rsidR="00916349">
        <w:rPr>
          <w:rFonts w:ascii="Tahoma" w:hAnsi="Tahoma" w:cs="Tahoma"/>
        </w:rPr>
        <w:t>retrofits as early as possibl</w:t>
      </w:r>
      <w:r w:rsidR="00135A3C">
        <w:rPr>
          <w:rFonts w:ascii="Tahoma" w:hAnsi="Tahoma" w:cs="Tahoma"/>
        </w:rPr>
        <w:t>e</w:t>
      </w:r>
      <w:r w:rsidR="00573AFC">
        <w:rPr>
          <w:rFonts w:ascii="Tahoma" w:hAnsi="Tahoma" w:cs="Tahoma"/>
        </w:rPr>
        <w:t xml:space="preserve"> so </w:t>
      </w:r>
      <w:r w:rsidR="00887604">
        <w:rPr>
          <w:rFonts w:ascii="Tahoma" w:hAnsi="Tahoma" w:cs="Tahoma"/>
        </w:rPr>
        <w:t xml:space="preserve">GHG reductions and </w:t>
      </w:r>
      <w:r w:rsidR="008E11E2">
        <w:rPr>
          <w:rFonts w:ascii="Tahoma" w:hAnsi="Tahoma" w:cs="Tahoma"/>
        </w:rPr>
        <w:t xml:space="preserve">energy equity benefits </w:t>
      </w:r>
      <w:r w:rsidR="00494E2A">
        <w:rPr>
          <w:rFonts w:ascii="Tahoma" w:hAnsi="Tahoma" w:cs="Tahoma"/>
        </w:rPr>
        <w:t>may be realized.</w:t>
      </w:r>
    </w:p>
    <w:p w14:paraId="7B293DF3" w14:textId="532BA8EB" w:rsidR="00A600DA" w:rsidRDefault="00A600DA" w:rsidP="00A600DA">
      <w:pPr>
        <w:ind w:left="720" w:hanging="720"/>
        <w:rPr>
          <w:rFonts w:ascii="Tahoma" w:hAnsi="Tahoma" w:cs="Tahoma"/>
          <w:b/>
          <w:bCs/>
        </w:rPr>
      </w:pPr>
      <w:r w:rsidRPr="00472764">
        <w:rPr>
          <w:rFonts w:ascii="Tahoma" w:hAnsi="Tahoma" w:cs="Tahoma"/>
          <w:b/>
          <w:bCs/>
        </w:rPr>
        <w:t>Q</w:t>
      </w:r>
      <w:r w:rsidR="0082004D">
        <w:rPr>
          <w:rFonts w:ascii="Tahoma" w:hAnsi="Tahoma" w:cs="Tahoma"/>
          <w:b/>
          <w:bCs/>
        </w:rPr>
        <w:t>37</w:t>
      </w:r>
      <w:r w:rsidRPr="00472764">
        <w:rPr>
          <w:rFonts w:ascii="Tahoma" w:hAnsi="Tahoma" w:cs="Tahoma"/>
          <w:b/>
          <w:bCs/>
        </w:rPr>
        <w:t>:</w:t>
      </w:r>
      <w:r>
        <w:rPr>
          <w:rFonts w:ascii="Tahoma" w:hAnsi="Tahoma" w:cs="Tahoma"/>
        </w:rPr>
        <w:tab/>
      </w:r>
      <w:r w:rsidRPr="00203E95">
        <w:rPr>
          <w:rFonts w:ascii="Tahoma" w:hAnsi="Tahoma" w:cs="Tahoma"/>
          <w:b/>
          <w:bCs/>
        </w:rPr>
        <w:t xml:space="preserve">The </w:t>
      </w:r>
      <w:r w:rsidR="0002527E">
        <w:rPr>
          <w:rFonts w:ascii="Tahoma" w:hAnsi="Tahoma" w:cs="Tahoma"/>
          <w:b/>
          <w:bCs/>
        </w:rPr>
        <w:t>S</w:t>
      </w:r>
      <w:r w:rsidRPr="00203E95">
        <w:rPr>
          <w:rFonts w:ascii="Tahoma" w:hAnsi="Tahoma" w:cs="Tahoma"/>
          <w:b/>
          <w:bCs/>
        </w:rPr>
        <w:t xml:space="preserve">olicitation </w:t>
      </w:r>
      <w:r w:rsidR="0002527E">
        <w:rPr>
          <w:rFonts w:ascii="Tahoma" w:hAnsi="Tahoma" w:cs="Tahoma"/>
          <w:b/>
          <w:bCs/>
        </w:rPr>
        <w:t>M</w:t>
      </w:r>
      <w:r w:rsidRPr="00203E95">
        <w:rPr>
          <w:rFonts w:ascii="Tahoma" w:hAnsi="Tahoma" w:cs="Tahoma"/>
          <w:b/>
          <w:bCs/>
        </w:rPr>
        <w:t xml:space="preserve">anual states that the </w:t>
      </w:r>
      <w:r>
        <w:rPr>
          <w:rFonts w:ascii="Tahoma" w:hAnsi="Tahoma" w:cs="Tahoma"/>
          <w:b/>
          <w:bCs/>
        </w:rPr>
        <w:t xml:space="preserve">Agreements with Recipients will initially be for 5 years. Does this mean all available state and federal funding will be expended in 5 years? If not, what percent of available funding should </w:t>
      </w:r>
      <w:r w:rsidR="00F51ECE">
        <w:rPr>
          <w:rFonts w:ascii="Tahoma" w:hAnsi="Tahoma" w:cs="Tahoma"/>
          <w:b/>
          <w:bCs/>
        </w:rPr>
        <w:t>a</w:t>
      </w:r>
      <w:r>
        <w:rPr>
          <w:rFonts w:ascii="Tahoma" w:hAnsi="Tahoma" w:cs="Tahoma"/>
          <w:b/>
          <w:bCs/>
        </w:rPr>
        <w:t>pplicants include in the Budget Forms?</w:t>
      </w:r>
    </w:p>
    <w:p w14:paraId="68F36FDD" w14:textId="58B81D93" w:rsidR="00105BCE" w:rsidRDefault="00A600DA" w:rsidP="009E154A">
      <w:pPr>
        <w:ind w:left="720" w:hanging="720"/>
        <w:rPr>
          <w:rFonts w:ascii="Tahoma" w:hAnsi="Tahoma" w:cs="Tahoma"/>
        </w:rPr>
      </w:pPr>
      <w:r w:rsidRPr="006C3961">
        <w:rPr>
          <w:rFonts w:ascii="Tahoma" w:hAnsi="Tahoma" w:cs="Tahoma"/>
        </w:rPr>
        <w:t>A</w:t>
      </w:r>
      <w:r w:rsidR="0082004D">
        <w:rPr>
          <w:rFonts w:ascii="Tahoma" w:hAnsi="Tahoma" w:cs="Tahoma"/>
        </w:rPr>
        <w:t>37</w:t>
      </w:r>
      <w:r w:rsidRPr="006C3961">
        <w:rPr>
          <w:rFonts w:ascii="Tahoma" w:hAnsi="Tahoma" w:cs="Tahoma"/>
        </w:rPr>
        <w:t>:</w:t>
      </w:r>
      <w:r w:rsidRPr="006C3961">
        <w:rPr>
          <w:rFonts w:ascii="Tahoma" w:hAnsi="Tahoma" w:cs="Tahoma"/>
        </w:rPr>
        <w:tab/>
        <w:t xml:space="preserve">Applicants </w:t>
      </w:r>
      <w:r w:rsidR="001052B7">
        <w:rPr>
          <w:rFonts w:ascii="Tahoma" w:hAnsi="Tahoma" w:cs="Tahoma"/>
        </w:rPr>
        <w:t>may</w:t>
      </w:r>
      <w:r w:rsidRPr="006C3961">
        <w:rPr>
          <w:rFonts w:ascii="Tahoma" w:hAnsi="Tahoma" w:cs="Tahoma"/>
        </w:rPr>
        <w:t xml:space="preserve"> </w:t>
      </w:r>
      <w:r>
        <w:rPr>
          <w:rFonts w:ascii="Tahoma" w:hAnsi="Tahoma" w:cs="Tahoma"/>
        </w:rPr>
        <w:t xml:space="preserve">propose budgets that </w:t>
      </w:r>
      <w:r w:rsidR="001052B7">
        <w:rPr>
          <w:rFonts w:ascii="Tahoma" w:hAnsi="Tahoma" w:cs="Tahoma"/>
        </w:rPr>
        <w:t>expend</w:t>
      </w:r>
      <w:r>
        <w:rPr>
          <w:rFonts w:ascii="Tahoma" w:hAnsi="Tahoma" w:cs="Tahoma"/>
        </w:rPr>
        <w:t xml:space="preserve"> all available state and federal funds within </w:t>
      </w:r>
      <w:r w:rsidR="008071A3">
        <w:rPr>
          <w:rFonts w:ascii="Tahoma" w:hAnsi="Tahoma" w:cs="Tahoma"/>
        </w:rPr>
        <w:t>five (</w:t>
      </w:r>
      <w:r>
        <w:rPr>
          <w:rFonts w:ascii="Tahoma" w:hAnsi="Tahoma" w:cs="Tahoma"/>
        </w:rPr>
        <w:t>5</w:t>
      </w:r>
      <w:r w:rsidR="008071A3">
        <w:rPr>
          <w:rFonts w:ascii="Tahoma" w:hAnsi="Tahoma" w:cs="Tahoma"/>
        </w:rPr>
        <w:t>)</w:t>
      </w:r>
      <w:r>
        <w:rPr>
          <w:rFonts w:ascii="Tahoma" w:hAnsi="Tahoma" w:cs="Tahoma"/>
        </w:rPr>
        <w:t xml:space="preserve"> years.</w:t>
      </w:r>
    </w:p>
    <w:p w14:paraId="5F644412" w14:textId="77777777" w:rsidR="009E154A" w:rsidRDefault="009E154A" w:rsidP="009E154A">
      <w:pPr>
        <w:ind w:left="720" w:hanging="720"/>
        <w:rPr>
          <w:rFonts w:ascii="Tahoma" w:hAnsi="Tahoma" w:cs="Tahoma"/>
        </w:rPr>
      </w:pPr>
    </w:p>
    <w:p w14:paraId="682007C5" w14:textId="77777777" w:rsidR="009E154A" w:rsidRDefault="009E154A" w:rsidP="009E154A">
      <w:pPr>
        <w:ind w:left="720" w:hanging="720"/>
        <w:rPr>
          <w:rFonts w:ascii="Tahoma" w:hAnsi="Tahoma" w:cs="Tahoma"/>
        </w:rPr>
      </w:pPr>
    </w:p>
    <w:p w14:paraId="33A09F12" w14:textId="5553F8C2" w:rsidR="008501D8" w:rsidRPr="007F0F23" w:rsidRDefault="00FB5AE2" w:rsidP="0058291D">
      <w:pPr>
        <w:pStyle w:val="Heading1"/>
      </w:pPr>
      <w:r w:rsidRPr="00FB5AE2">
        <w:t>Budget Forms</w:t>
      </w:r>
      <w:r w:rsidR="007F0F23">
        <w:t xml:space="preserve"> (Attachment 4)</w:t>
      </w:r>
    </w:p>
    <w:p w14:paraId="7B1DAF88" w14:textId="07AC39D6" w:rsidR="008501D8" w:rsidRPr="00A74D06" w:rsidRDefault="003F6E0F" w:rsidP="008501D8">
      <w:pPr>
        <w:tabs>
          <w:tab w:val="left" w:pos="720"/>
        </w:tabs>
        <w:ind w:left="720" w:hanging="720"/>
        <w:rPr>
          <w:rFonts w:ascii="Tahoma" w:hAnsi="Tahoma" w:cs="Tahoma"/>
          <w:b/>
          <w:bCs/>
        </w:rPr>
      </w:pPr>
      <w:r w:rsidRPr="00A74D06">
        <w:rPr>
          <w:rFonts w:ascii="Tahoma" w:hAnsi="Tahoma" w:cs="Tahoma"/>
          <w:b/>
          <w:bCs/>
        </w:rPr>
        <w:t>Q</w:t>
      </w:r>
      <w:r w:rsidR="005C22B5">
        <w:rPr>
          <w:rFonts w:ascii="Tahoma" w:hAnsi="Tahoma" w:cs="Tahoma"/>
          <w:b/>
          <w:bCs/>
        </w:rPr>
        <w:t>38</w:t>
      </w:r>
      <w:r w:rsidRPr="00A74D06">
        <w:rPr>
          <w:rFonts w:ascii="Tahoma" w:hAnsi="Tahoma" w:cs="Tahoma"/>
          <w:b/>
          <w:bCs/>
        </w:rPr>
        <w:t xml:space="preserve">: </w:t>
      </w:r>
      <w:r>
        <w:tab/>
      </w:r>
      <w:r w:rsidR="00605633" w:rsidRPr="00A74D06">
        <w:rPr>
          <w:rFonts w:ascii="Tahoma" w:hAnsi="Tahoma" w:cs="Tahoma"/>
          <w:b/>
          <w:bCs/>
        </w:rPr>
        <w:t>Are</w:t>
      </w:r>
      <w:r w:rsidRPr="00A74D06">
        <w:rPr>
          <w:rFonts w:ascii="Tahoma" w:hAnsi="Tahoma" w:cs="Tahoma"/>
          <w:b/>
          <w:bCs/>
        </w:rPr>
        <w:t xml:space="preserve"> vendors with cumulative contract values over $100,000 </w:t>
      </w:r>
      <w:r w:rsidR="00605633" w:rsidRPr="00A74D06">
        <w:rPr>
          <w:rFonts w:ascii="Tahoma" w:hAnsi="Tahoma" w:cs="Tahoma"/>
          <w:b/>
          <w:bCs/>
        </w:rPr>
        <w:t>required to complete</w:t>
      </w:r>
      <w:r w:rsidRPr="00A74D06">
        <w:rPr>
          <w:rFonts w:ascii="Tahoma" w:hAnsi="Tahoma" w:cs="Tahoma"/>
          <w:b/>
          <w:bCs/>
        </w:rPr>
        <w:t xml:space="preserve"> </w:t>
      </w:r>
      <w:r w:rsidR="007F0F23">
        <w:rPr>
          <w:rFonts w:ascii="Tahoma" w:hAnsi="Tahoma" w:cs="Tahoma"/>
          <w:b/>
          <w:bCs/>
        </w:rPr>
        <w:t>the</w:t>
      </w:r>
      <w:r w:rsidRPr="00A74D06">
        <w:rPr>
          <w:rFonts w:ascii="Tahoma" w:hAnsi="Tahoma" w:cs="Tahoma"/>
          <w:b/>
          <w:bCs/>
        </w:rPr>
        <w:t xml:space="preserve"> </w:t>
      </w:r>
      <w:r w:rsidR="00734443">
        <w:rPr>
          <w:rFonts w:ascii="Tahoma" w:hAnsi="Tahoma" w:cs="Tahoma"/>
          <w:b/>
          <w:bCs/>
        </w:rPr>
        <w:t>B</w:t>
      </w:r>
      <w:r w:rsidR="00605633" w:rsidRPr="00A74D06">
        <w:rPr>
          <w:rFonts w:ascii="Tahoma" w:hAnsi="Tahoma" w:cs="Tahoma"/>
          <w:b/>
          <w:bCs/>
        </w:rPr>
        <w:t xml:space="preserve">udget </w:t>
      </w:r>
      <w:r w:rsidR="00734443">
        <w:rPr>
          <w:rFonts w:ascii="Tahoma" w:hAnsi="Tahoma" w:cs="Tahoma"/>
          <w:b/>
          <w:bCs/>
        </w:rPr>
        <w:t>F</w:t>
      </w:r>
      <w:r w:rsidR="00605633" w:rsidRPr="00A74D06">
        <w:rPr>
          <w:rFonts w:ascii="Tahoma" w:hAnsi="Tahoma" w:cs="Tahoma"/>
          <w:b/>
          <w:bCs/>
        </w:rPr>
        <w:t>orms</w:t>
      </w:r>
      <w:r w:rsidR="007F0F23">
        <w:rPr>
          <w:rFonts w:ascii="Tahoma" w:hAnsi="Tahoma" w:cs="Tahoma"/>
          <w:b/>
          <w:bCs/>
        </w:rPr>
        <w:t>?</w:t>
      </w:r>
      <w:r w:rsidR="00D30F8B">
        <w:rPr>
          <w:rFonts w:ascii="Tahoma" w:hAnsi="Tahoma" w:cs="Tahoma"/>
          <w:b/>
          <w:bCs/>
        </w:rPr>
        <w:t xml:space="preserve"> </w:t>
      </w:r>
      <w:r w:rsidR="00D30F8B" w:rsidRPr="00805A25">
        <w:rPr>
          <w:rFonts w:ascii="Tahoma" w:hAnsi="Tahoma" w:cs="Tahoma"/>
          <w:b/>
          <w:bCs/>
        </w:rPr>
        <w:t xml:space="preserve">What </w:t>
      </w:r>
      <w:r w:rsidR="00DC7160" w:rsidRPr="00805A25">
        <w:rPr>
          <w:rFonts w:ascii="Tahoma" w:hAnsi="Tahoma" w:cs="Tahoma"/>
          <w:b/>
          <w:bCs/>
        </w:rPr>
        <w:t xml:space="preserve">about </w:t>
      </w:r>
      <w:r w:rsidR="00EC5DED" w:rsidRPr="00805A25">
        <w:rPr>
          <w:rFonts w:ascii="Tahoma" w:hAnsi="Tahoma" w:cs="Tahoma"/>
          <w:b/>
          <w:bCs/>
        </w:rPr>
        <w:t>sub-subcontractors (subs of subs)</w:t>
      </w:r>
      <w:r w:rsidR="00DC7160" w:rsidRPr="00805A25">
        <w:rPr>
          <w:rFonts w:ascii="Tahoma" w:hAnsi="Tahoma" w:cs="Tahoma"/>
          <w:b/>
          <w:bCs/>
        </w:rPr>
        <w:t>?</w:t>
      </w:r>
      <w:r w:rsidR="00C40A7C">
        <w:rPr>
          <w:rFonts w:ascii="Tahoma" w:hAnsi="Tahoma" w:cs="Tahoma"/>
          <w:b/>
          <w:bCs/>
        </w:rPr>
        <w:t xml:space="preserve"> </w:t>
      </w:r>
      <w:r w:rsidR="00A347B3">
        <w:rPr>
          <w:rFonts w:ascii="Tahoma" w:hAnsi="Tahoma" w:cs="Tahoma"/>
          <w:b/>
          <w:bCs/>
        </w:rPr>
        <w:t>What about installation contractors and equipment suppliers?</w:t>
      </w:r>
    </w:p>
    <w:p w14:paraId="27DDEE0E" w14:textId="1BF6F6FA" w:rsidR="008501D8" w:rsidRDefault="00010179" w:rsidP="008501D8">
      <w:pPr>
        <w:tabs>
          <w:tab w:val="left" w:pos="720"/>
        </w:tabs>
        <w:ind w:left="720" w:hanging="720"/>
        <w:rPr>
          <w:rFonts w:ascii="Tahoma" w:hAnsi="Tahoma" w:cs="Tahoma"/>
        </w:rPr>
      </w:pPr>
      <w:r>
        <w:rPr>
          <w:rFonts w:ascii="Tahoma" w:hAnsi="Tahoma" w:cs="Tahoma"/>
        </w:rPr>
        <w:t>A</w:t>
      </w:r>
      <w:r w:rsidR="005C22B5">
        <w:rPr>
          <w:rFonts w:ascii="Tahoma" w:hAnsi="Tahoma" w:cs="Tahoma"/>
        </w:rPr>
        <w:t>38</w:t>
      </w:r>
      <w:r>
        <w:rPr>
          <w:rFonts w:ascii="Tahoma" w:hAnsi="Tahoma" w:cs="Tahoma"/>
        </w:rPr>
        <w:t>:</w:t>
      </w:r>
      <w:r>
        <w:tab/>
      </w:r>
      <w:r w:rsidR="00046C7A">
        <w:rPr>
          <w:rFonts w:ascii="Tahoma" w:hAnsi="Tahoma" w:cs="Tahoma"/>
        </w:rPr>
        <w:t xml:space="preserve">A separate set of complete </w:t>
      </w:r>
      <w:r w:rsidR="00734443">
        <w:rPr>
          <w:rFonts w:ascii="Tahoma" w:hAnsi="Tahoma" w:cs="Tahoma"/>
        </w:rPr>
        <w:t>B</w:t>
      </w:r>
      <w:r w:rsidR="00046C7A">
        <w:rPr>
          <w:rFonts w:ascii="Tahoma" w:hAnsi="Tahoma" w:cs="Tahoma"/>
        </w:rPr>
        <w:t xml:space="preserve">udget </w:t>
      </w:r>
      <w:r w:rsidR="00734443">
        <w:rPr>
          <w:rFonts w:ascii="Tahoma" w:hAnsi="Tahoma" w:cs="Tahoma"/>
        </w:rPr>
        <w:t>F</w:t>
      </w:r>
      <w:r w:rsidR="00046C7A">
        <w:rPr>
          <w:rFonts w:ascii="Tahoma" w:hAnsi="Tahoma" w:cs="Tahoma"/>
        </w:rPr>
        <w:t xml:space="preserve">orms is required for the </w:t>
      </w:r>
      <w:r w:rsidR="00280C82">
        <w:rPr>
          <w:rFonts w:ascii="Tahoma" w:hAnsi="Tahoma" w:cs="Tahoma"/>
        </w:rPr>
        <w:t>prime Applicant</w:t>
      </w:r>
      <w:r w:rsidR="00046C7A">
        <w:rPr>
          <w:rFonts w:ascii="Tahoma" w:hAnsi="Tahoma" w:cs="Tahoma"/>
        </w:rPr>
        <w:t xml:space="preserve"> and for each subcontract containing </w:t>
      </w:r>
      <w:r w:rsidR="007E5CCD">
        <w:rPr>
          <w:rFonts w:ascii="Tahoma" w:hAnsi="Tahoma" w:cs="Tahoma"/>
        </w:rPr>
        <w:t>$100,000 o</w:t>
      </w:r>
      <w:r w:rsidR="00BC53DC">
        <w:rPr>
          <w:rFonts w:ascii="Tahoma" w:hAnsi="Tahoma" w:cs="Tahoma"/>
        </w:rPr>
        <w:t>r</w:t>
      </w:r>
      <w:r w:rsidR="007E5CCD">
        <w:rPr>
          <w:rFonts w:ascii="Tahoma" w:hAnsi="Tahoma" w:cs="Tahoma"/>
        </w:rPr>
        <w:t xml:space="preserve"> more. This requirement does not apply to vendors</w:t>
      </w:r>
      <w:r w:rsidR="43CFFF6D" w:rsidRPr="19BB5418">
        <w:rPr>
          <w:rFonts w:ascii="Tahoma" w:hAnsi="Tahoma" w:cs="Tahoma"/>
        </w:rPr>
        <w:t xml:space="preserve">, </w:t>
      </w:r>
      <w:r w:rsidR="43CFFF6D" w:rsidRPr="0C393BC4">
        <w:rPr>
          <w:rFonts w:ascii="Tahoma" w:hAnsi="Tahoma" w:cs="Tahoma"/>
        </w:rPr>
        <w:t xml:space="preserve">but does </w:t>
      </w:r>
      <w:r w:rsidR="00D16AB1">
        <w:rPr>
          <w:rFonts w:ascii="Tahoma" w:hAnsi="Tahoma" w:cs="Tahoma"/>
        </w:rPr>
        <w:t>apply</w:t>
      </w:r>
      <w:r w:rsidR="43CFFF6D" w:rsidRPr="5E0982CD">
        <w:rPr>
          <w:rFonts w:ascii="Tahoma" w:hAnsi="Tahoma" w:cs="Tahoma"/>
        </w:rPr>
        <w:t xml:space="preserve"> to sub-subcontractors</w:t>
      </w:r>
      <w:r w:rsidR="7AEA400D" w:rsidRPr="5E0982CD">
        <w:rPr>
          <w:rFonts w:ascii="Tahoma" w:hAnsi="Tahoma" w:cs="Tahoma"/>
        </w:rPr>
        <w:t>.</w:t>
      </w:r>
      <w:r w:rsidR="0090185A">
        <w:rPr>
          <w:rFonts w:ascii="Tahoma" w:hAnsi="Tahoma" w:cs="Tahoma"/>
        </w:rPr>
        <w:t xml:space="preserve"> </w:t>
      </w:r>
      <w:r w:rsidR="00F96E2E">
        <w:rPr>
          <w:rFonts w:ascii="Tahoma" w:hAnsi="Tahoma" w:cs="Tahoma"/>
        </w:rPr>
        <w:t xml:space="preserve">Please see </w:t>
      </w:r>
      <w:r w:rsidR="008E50AA">
        <w:rPr>
          <w:rFonts w:ascii="Tahoma" w:hAnsi="Tahoma" w:cs="Tahoma"/>
        </w:rPr>
        <w:t>A9</w:t>
      </w:r>
      <w:r w:rsidR="00F96E2E">
        <w:rPr>
          <w:rFonts w:ascii="Tahoma" w:hAnsi="Tahoma" w:cs="Tahoma"/>
        </w:rPr>
        <w:t xml:space="preserve">, above, for more information about the difference between subcontractors and vendors. </w:t>
      </w:r>
    </w:p>
    <w:p w14:paraId="0AC03744" w14:textId="064CA432" w:rsidR="009F4349" w:rsidRDefault="009F4349" w:rsidP="009F4349">
      <w:pPr>
        <w:ind w:left="720" w:hanging="720"/>
        <w:rPr>
          <w:rFonts w:ascii="Tahoma" w:hAnsi="Tahoma" w:cs="Tahoma"/>
          <w:b/>
          <w:bCs/>
        </w:rPr>
      </w:pPr>
      <w:r w:rsidRPr="00C40166">
        <w:rPr>
          <w:rFonts w:ascii="Tahoma" w:hAnsi="Tahoma" w:cs="Tahoma"/>
          <w:b/>
          <w:bCs/>
        </w:rPr>
        <w:t>Q</w:t>
      </w:r>
      <w:r w:rsidR="00A665FC">
        <w:rPr>
          <w:rFonts w:ascii="Tahoma" w:hAnsi="Tahoma" w:cs="Tahoma"/>
          <w:b/>
          <w:bCs/>
        </w:rPr>
        <w:t>39</w:t>
      </w:r>
      <w:r w:rsidRPr="00C40166">
        <w:rPr>
          <w:rFonts w:ascii="Tahoma" w:hAnsi="Tahoma" w:cs="Tahoma"/>
          <w:b/>
          <w:bCs/>
        </w:rPr>
        <w:t>:</w:t>
      </w:r>
      <w:r w:rsidRPr="00C40166">
        <w:rPr>
          <w:rFonts w:ascii="Tahoma" w:hAnsi="Tahoma" w:cs="Tahoma"/>
          <w:b/>
          <w:bCs/>
        </w:rPr>
        <w:tab/>
        <w:t xml:space="preserve">The Direct Labor tab requires that hours be entered by task and by employee. For example, if there are 17 employees that will work on all 21 tasks, this would result in 357 rows on the Direct Labor tab. Instead of breaking down the hours by task, can we break them down by cost category (Administrative, Project-Related, and Project)? </w:t>
      </w:r>
      <w:r>
        <w:rPr>
          <w:rFonts w:ascii="Tahoma" w:hAnsi="Tahoma" w:cs="Tahoma"/>
          <w:b/>
          <w:bCs/>
        </w:rPr>
        <w:t>Same question applies to the Fringe Benefits tab</w:t>
      </w:r>
      <w:r w:rsidR="00F36136">
        <w:rPr>
          <w:rFonts w:ascii="Tahoma" w:hAnsi="Tahoma" w:cs="Tahoma"/>
          <w:b/>
          <w:bCs/>
        </w:rPr>
        <w:t>, the Travel tab, and the Subcontracts tab</w:t>
      </w:r>
      <w:r>
        <w:rPr>
          <w:rFonts w:ascii="Tahoma" w:hAnsi="Tahoma" w:cs="Tahoma"/>
          <w:b/>
          <w:bCs/>
        </w:rPr>
        <w:t>.</w:t>
      </w:r>
    </w:p>
    <w:p w14:paraId="0B14E70D" w14:textId="34D7538C" w:rsidR="009F4349" w:rsidRPr="007A69C7" w:rsidRDefault="009F4349" w:rsidP="009F4349">
      <w:pPr>
        <w:ind w:left="720" w:hanging="720"/>
        <w:rPr>
          <w:rFonts w:ascii="Tahoma" w:hAnsi="Tahoma" w:cs="Tahoma"/>
        </w:rPr>
      </w:pPr>
      <w:r w:rsidRPr="007A69C7">
        <w:rPr>
          <w:rFonts w:ascii="Tahoma" w:hAnsi="Tahoma" w:cs="Tahoma"/>
        </w:rPr>
        <w:t>A</w:t>
      </w:r>
      <w:r w:rsidR="00A665FC">
        <w:rPr>
          <w:rFonts w:ascii="Tahoma" w:hAnsi="Tahoma" w:cs="Tahoma"/>
        </w:rPr>
        <w:t>39</w:t>
      </w:r>
      <w:r w:rsidRPr="007A69C7">
        <w:rPr>
          <w:rFonts w:ascii="Tahoma" w:hAnsi="Tahoma" w:cs="Tahoma"/>
        </w:rPr>
        <w:t>:</w:t>
      </w:r>
      <w:r>
        <w:rPr>
          <w:rFonts w:ascii="Tahoma" w:hAnsi="Tahoma" w:cs="Tahoma"/>
        </w:rPr>
        <w:tab/>
      </w:r>
      <w:r w:rsidR="00362033">
        <w:rPr>
          <w:rFonts w:ascii="Tahoma" w:hAnsi="Tahoma" w:cs="Tahoma"/>
        </w:rPr>
        <w:t xml:space="preserve">Yes. </w:t>
      </w:r>
      <w:r w:rsidR="00362033" w:rsidRPr="00805A25">
        <w:rPr>
          <w:rFonts w:ascii="Tahoma" w:hAnsi="Tahoma" w:cs="Tahoma"/>
        </w:rPr>
        <w:t>Addendum 01</w:t>
      </w:r>
      <w:r w:rsidR="00362033">
        <w:rPr>
          <w:rFonts w:ascii="Tahoma" w:hAnsi="Tahoma" w:cs="Tahoma"/>
        </w:rPr>
        <w:t xml:space="preserve"> to this GFO includes a </w:t>
      </w:r>
      <w:r w:rsidR="00630E81">
        <w:rPr>
          <w:rFonts w:ascii="Tahoma" w:hAnsi="Tahoma" w:cs="Tahoma"/>
        </w:rPr>
        <w:t xml:space="preserve">revised version of the Budget Forms </w:t>
      </w:r>
      <w:r w:rsidR="0071184D">
        <w:rPr>
          <w:rFonts w:ascii="Tahoma" w:hAnsi="Tahoma" w:cs="Tahoma"/>
        </w:rPr>
        <w:t xml:space="preserve">in which costs may </w:t>
      </w:r>
      <w:r w:rsidR="00A570E7">
        <w:rPr>
          <w:rFonts w:ascii="Tahoma" w:hAnsi="Tahoma" w:cs="Tahoma"/>
        </w:rPr>
        <w:t>be broken down by cost category (Administrative, Project-Related, and Project) rather than by task/subtask. This change applies to the Direct Labor, Fringe Benefits, Travel, and Subcontracts tabs.</w:t>
      </w:r>
      <w:r w:rsidR="006A62F0">
        <w:rPr>
          <w:rFonts w:ascii="Tahoma" w:hAnsi="Tahoma" w:cs="Tahoma"/>
        </w:rPr>
        <w:t xml:space="preserve"> </w:t>
      </w:r>
      <w:r w:rsidR="008E3D15" w:rsidRPr="008E3D15">
        <w:rPr>
          <w:rFonts w:ascii="Tahoma" w:hAnsi="Tahoma" w:cs="Tahoma"/>
          <w:b/>
          <w:bCs/>
          <w:u w:val="single"/>
        </w:rPr>
        <w:t>Addendum 02 further revises the Budget Forms to allow Indirect Costs and Profit to be broken down by cost category.</w:t>
      </w:r>
      <w:r w:rsidR="008E3D15">
        <w:rPr>
          <w:rFonts w:ascii="Tahoma" w:hAnsi="Tahoma" w:cs="Tahoma"/>
        </w:rPr>
        <w:t xml:space="preserve"> [</w:t>
      </w:r>
      <w:r w:rsidR="006A62F0" w:rsidRPr="008E3D15">
        <w:rPr>
          <w:rFonts w:ascii="Tahoma" w:hAnsi="Tahoma" w:cs="Tahoma"/>
          <w:strike/>
        </w:rPr>
        <w:t xml:space="preserve">Applicants may choose </w:t>
      </w:r>
      <w:r w:rsidR="0071184D" w:rsidRPr="008E3D15">
        <w:rPr>
          <w:rFonts w:ascii="Tahoma" w:hAnsi="Tahoma" w:cs="Tahoma"/>
          <w:strike/>
        </w:rPr>
        <w:t>to submit either the original or revised version of the Budget Forms.</w:t>
      </w:r>
      <w:r w:rsidR="008E3D15">
        <w:rPr>
          <w:rFonts w:ascii="Tahoma" w:hAnsi="Tahoma" w:cs="Tahoma"/>
        </w:rPr>
        <w:t>]</w:t>
      </w:r>
      <w:r w:rsidR="006B193E" w:rsidRPr="00C606BF">
        <w:rPr>
          <w:rStyle w:val="normaltextrun"/>
          <w:rFonts w:ascii="Tahoma" w:hAnsi="Tahoma" w:cs="Tahoma"/>
          <w:color w:val="000000"/>
          <w:shd w:val="clear" w:color="auto" w:fill="FFFFFF"/>
        </w:rPr>
        <w:t xml:space="preserve"> </w:t>
      </w:r>
      <w:bookmarkStart w:id="0" w:name="_Hlk167818694"/>
      <w:r w:rsidR="006B193E" w:rsidRPr="00C606BF">
        <w:rPr>
          <w:rStyle w:val="normaltextrun"/>
          <w:rFonts w:ascii="Tahoma" w:hAnsi="Tahoma" w:cs="Tahoma"/>
          <w:color w:val="000000"/>
          <w:shd w:val="clear" w:color="auto" w:fill="FFFFFF"/>
        </w:rPr>
        <w:t>Please be aware that cost breakdowns by task may be required after the Notice of Proposed Awards has been released and throughout the term of the Agreement.</w:t>
      </w:r>
      <w:bookmarkEnd w:id="0"/>
    </w:p>
    <w:p w14:paraId="0C33FBA1" w14:textId="3532DC7E" w:rsidR="00726588" w:rsidRPr="00BE577E" w:rsidRDefault="00726588" w:rsidP="00726588">
      <w:pPr>
        <w:ind w:left="720" w:hanging="720"/>
        <w:rPr>
          <w:rFonts w:ascii="Tahoma" w:hAnsi="Tahoma" w:cs="Tahoma"/>
          <w:b/>
          <w:bCs/>
        </w:rPr>
      </w:pPr>
      <w:r w:rsidRPr="00BE577E">
        <w:rPr>
          <w:rFonts w:ascii="Tahoma" w:hAnsi="Tahoma" w:cs="Tahoma"/>
          <w:b/>
          <w:bCs/>
        </w:rPr>
        <w:t>Q</w:t>
      </w:r>
      <w:r w:rsidR="00AC0A5B">
        <w:rPr>
          <w:rFonts w:ascii="Tahoma" w:hAnsi="Tahoma" w:cs="Tahoma"/>
          <w:b/>
          <w:bCs/>
        </w:rPr>
        <w:t>40</w:t>
      </w:r>
      <w:r w:rsidRPr="00BE577E">
        <w:rPr>
          <w:rFonts w:ascii="Tahoma" w:hAnsi="Tahoma" w:cs="Tahoma"/>
          <w:b/>
          <w:bCs/>
        </w:rPr>
        <w:t>:</w:t>
      </w:r>
      <w:r w:rsidRPr="00BE577E">
        <w:rPr>
          <w:rFonts w:ascii="Tahoma" w:hAnsi="Tahoma" w:cs="Tahoma"/>
          <w:b/>
          <w:bCs/>
        </w:rPr>
        <w:tab/>
        <w:t xml:space="preserve">The Direct Labor tab includes a column for both employee name and classification. Understanding additional staff will be hired to support the program when an implementer is selected, </w:t>
      </w:r>
      <w:r>
        <w:rPr>
          <w:rFonts w:ascii="Tahoma" w:hAnsi="Tahoma" w:cs="Tahoma"/>
          <w:b/>
          <w:bCs/>
        </w:rPr>
        <w:t>can hours be provided</w:t>
      </w:r>
      <w:r w:rsidRPr="00BE577E">
        <w:rPr>
          <w:rFonts w:ascii="Tahoma" w:hAnsi="Tahoma" w:cs="Tahoma"/>
          <w:b/>
          <w:bCs/>
        </w:rPr>
        <w:t xml:space="preserve"> by classification rather than employee </w:t>
      </w:r>
      <w:r w:rsidR="0030350E">
        <w:rPr>
          <w:rFonts w:ascii="Tahoma" w:hAnsi="Tahoma" w:cs="Tahoma"/>
          <w:b/>
          <w:bCs/>
        </w:rPr>
        <w:t xml:space="preserve">name </w:t>
      </w:r>
      <w:r w:rsidRPr="00BE577E">
        <w:rPr>
          <w:rFonts w:ascii="Tahoma" w:hAnsi="Tahoma" w:cs="Tahoma"/>
          <w:b/>
          <w:bCs/>
        </w:rPr>
        <w:t xml:space="preserve">and classification? </w:t>
      </w:r>
    </w:p>
    <w:p w14:paraId="41490E35" w14:textId="525EE791" w:rsidR="00726588" w:rsidRDefault="00726588" w:rsidP="00726588">
      <w:pPr>
        <w:ind w:left="720" w:hanging="720"/>
        <w:rPr>
          <w:rFonts w:ascii="Tahoma" w:hAnsi="Tahoma" w:cs="Tahoma"/>
        </w:rPr>
      </w:pPr>
      <w:r>
        <w:rPr>
          <w:rFonts w:ascii="Tahoma" w:hAnsi="Tahoma" w:cs="Tahoma"/>
        </w:rPr>
        <w:t>A</w:t>
      </w:r>
      <w:r w:rsidR="00AC0A5B">
        <w:rPr>
          <w:rFonts w:ascii="Tahoma" w:hAnsi="Tahoma" w:cs="Tahoma"/>
        </w:rPr>
        <w:t>40</w:t>
      </w:r>
      <w:r>
        <w:rPr>
          <w:rFonts w:ascii="Tahoma" w:hAnsi="Tahoma" w:cs="Tahoma"/>
        </w:rPr>
        <w:t>:</w:t>
      </w:r>
      <w:r>
        <w:rPr>
          <w:rFonts w:ascii="Tahoma" w:hAnsi="Tahoma" w:cs="Tahoma"/>
        </w:rPr>
        <w:tab/>
        <w:t>Yes, the employee name field is optional.</w:t>
      </w:r>
    </w:p>
    <w:p w14:paraId="3BF08BCE" w14:textId="60CFA16A" w:rsidR="009F4349" w:rsidRDefault="009F4349" w:rsidP="009F4349">
      <w:pPr>
        <w:ind w:left="720" w:hanging="720"/>
        <w:rPr>
          <w:rFonts w:ascii="Tahoma" w:hAnsi="Tahoma" w:cs="Tahoma"/>
          <w:b/>
          <w:bCs/>
        </w:rPr>
      </w:pPr>
      <w:r w:rsidRPr="003955C5">
        <w:rPr>
          <w:rFonts w:ascii="Tahoma" w:hAnsi="Tahoma" w:cs="Tahoma"/>
          <w:b/>
          <w:bCs/>
        </w:rPr>
        <w:t>Q</w:t>
      </w:r>
      <w:r w:rsidR="002F40EA">
        <w:rPr>
          <w:rFonts w:ascii="Tahoma" w:hAnsi="Tahoma" w:cs="Tahoma"/>
          <w:b/>
          <w:bCs/>
        </w:rPr>
        <w:t>41</w:t>
      </w:r>
      <w:r w:rsidRPr="003955C5">
        <w:rPr>
          <w:rFonts w:ascii="Tahoma" w:hAnsi="Tahoma" w:cs="Tahoma"/>
          <w:b/>
          <w:bCs/>
        </w:rPr>
        <w:t>:</w:t>
      </w:r>
      <w:r w:rsidRPr="003955C5">
        <w:rPr>
          <w:rFonts w:ascii="Tahoma" w:hAnsi="Tahoma" w:cs="Tahoma"/>
          <w:b/>
          <w:bCs/>
        </w:rPr>
        <w:tab/>
      </w:r>
      <w:r>
        <w:rPr>
          <w:rFonts w:ascii="Tahoma" w:hAnsi="Tahoma" w:cs="Tahoma"/>
          <w:b/>
          <w:bCs/>
        </w:rPr>
        <w:t xml:space="preserve">On the Direct Labor tab, </w:t>
      </w:r>
      <w:r w:rsidRPr="003955C5">
        <w:rPr>
          <w:rFonts w:ascii="Tahoma" w:hAnsi="Tahoma" w:cs="Tahoma"/>
          <w:b/>
          <w:bCs/>
        </w:rPr>
        <w:t xml:space="preserve">can we group all labor </w:t>
      </w:r>
      <w:r>
        <w:rPr>
          <w:rFonts w:ascii="Tahoma" w:hAnsi="Tahoma" w:cs="Tahoma"/>
          <w:b/>
          <w:bCs/>
        </w:rPr>
        <w:t>classifications</w:t>
      </w:r>
      <w:r w:rsidRPr="003955C5">
        <w:rPr>
          <w:rFonts w:ascii="Tahoma" w:hAnsi="Tahoma" w:cs="Tahoma"/>
          <w:b/>
          <w:bCs/>
        </w:rPr>
        <w:t xml:space="preserve"> in one line, with one maximum direct rate? </w:t>
      </w:r>
    </w:p>
    <w:p w14:paraId="16302C83" w14:textId="541BE6E5" w:rsidR="009F4349" w:rsidRDefault="009F4349" w:rsidP="009F4349">
      <w:pPr>
        <w:ind w:left="720" w:hanging="720"/>
        <w:rPr>
          <w:rFonts w:ascii="Tahoma" w:hAnsi="Tahoma" w:cs="Tahoma"/>
        </w:rPr>
      </w:pPr>
      <w:r w:rsidRPr="003955C5">
        <w:rPr>
          <w:rFonts w:ascii="Tahoma" w:hAnsi="Tahoma" w:cs="Tahoma"/>
        </w:rPr>
        <w:t>A</w:t>
      </w:r>
      <w:r w:rsidR="002F40EA">
        <w:rPr>
          <w:rFonts w:ascii="Tahoma" w:hAnsi="Tahoma" w:cs="Tahoma"/>
        </w:rPr>
        <w:t>41</w:t>
      </w:r>
      <w:r w:rsidRPr="003955C5">
        <w:rPr>
          <w:rFonts w:ascii="Tahoma" w:hAnsi="Tahoma" w:cs="Tahoma"/>
        </w:rPr>
        <w:t>:</w:t>
      </w:r>
      <w:r w:rsidRPr="003955C5">
        <w:rPr>
          <w:rFonts w:ascii="Tahoma" w:hAnsi="Tahoma" w:cs="Tahoma"/>
        </w:rPr>
        <w:tab/>
      </w:r>
      <w:r>
        <w:rPr>
          <w:rFonts w:ascii="Tahoma" w:hAnsi="Tahoma" w:cs="Tahoma"/>
        </w:rPr>
        <w:t xml:space="preserve">No, </w:t>
      </w:r>
      <w:r w:rsidR="0030350E">
        <w:rPr>
          <w:rFonts w:ascii="Tahoma" w:hAnsi="Tahoma" w:cs="Tahoma"/>
        </w:rPr>
        <w:t xml:space="preserve">different </w:t>
      </w:r>
      <w:r>
        <w:rPr>
          <w:rFonts w:ascii="Tahoma" w:hAnsi="Tahoma" w:cs="Tahoma"/>
        </w:rPr>
        <w:t>labor classifications need to be identified on separate lines.</w:t>
      </w:r>
    </w:p>
    <w:p w14:paraId="03D8C40C" w14:textId="50CC87FB" w:rsidR="00373A74" w:rsidRPr="00CB1BBC" w:rsidRDefault="00373A74" w:rsidP="00373A74">
      <w:pPr>
        <w:ind w:left="720" w:hanging="720"/>
        <w:rPr>
          <w:rFonts w:ascii="Tahoma" w:hAnsi="Tahoma" w:cs="Tahoma"/>
          <w:b/>
          <w:bCs/>
        </w:rPr>
      </w:pPr>
      <w:r w:rsidRPr="00CB1BBC">
        <w:rPr>
          <w:rFonts w:ascii="Tahoma" w:hAnsi="Tahoma" w:cs="Tahoma"/>
          <w:b/>
          <w:bCs/>
        </w:rPr>
        <w:t>Q</w:t>
      </w:r>
      <w:r w:rsidR="00BD4F2C">
        <w:rPr>
          <w:rFonts w:ascii="Tahoma" w:hAnsi="Tahoma" w:cs="Tahoma"/>
          <w:b/>
          <w:bCs/>
        </w:rPr>
        <w:t>42</w:t>
      </w:r>
      <w:r w:rsidRPr="00CB1BBC">
        <w:rPr>
          <w:rFonts w:ascii="Tahoma" w:hAnsi="Tahoma" w:cs="Tahoma"/>
          <w:b/>
          <w:bCs/>
        </w:rPr>
        <w:t>:</w:t>
      </w:r>
      <w:r w:rsidRPr="00CB1BBC">
        <w:rPr>
          <w:rFonts w:ascii="Tahoma" w:hAnsi="Tahoma" w:cs="Tahoma"/>
          <w:b/>
          <w:bCs/>
        </w:rPr>
        <w:tab/>
      </w:r>
      <w:r>
        <w:rPr>
          <w:rFonts w:ascii="Tahoma" w:hAnsi="Tahoma" w:cs="Tahoma"/>
          <w:b/>
          <w:bCs/>
        </w:rPr>
        <w:t>Fringe Benefits tab: We understand that</w:t>
      </w:r>
      <w:r w:rsidRPr="00CB1BBC">
        <w:rPr>
          <w:rFonts w:ascii="Tahoma" w:hAnsi="Tahoma" w:cs="Tahoma"/>
          <w:b/>
          <w:bCs/>
        </w:rPr>
        <w:t xml:space="preserve"> the proposed </w:t>
      </w:r>
      <w:r>
        <w:rPr>
          <w:rFonts w:ascii="Tahoma" w:hAnsi="Tahoma" w:cs="Tahoma"/>
          <w:b/>
          <w:bCs/>
        </w:rPr>
        <w:t>fringe benefit</w:t>
      </w:r>
      <w:r w:rsidRPr="00CB1BBC">
        <w:rPr>
          <w:rFonts w:ascii="Tahoma" w:hAnsi="Tahoma" w:cs="Tahoma"/>
          <w:b/>
          <w:bCs/>
        </w:rPr>
        <w:t xml:space="preserve"> rates cannot change through the life of the agreement. This is anticipated to be a 5-year contract, so if there is no flexibility to modify, should the proposed rates be augmented to account for this?</w:t>
      </w:r>
    </w:p>
    <w:p w14:paraId="2DE5A9DF" w14:textId="19F68F46" w:rsidR="00373A74" w:rsidRDefault="00373A74" w:rsidP="00373A74">
      <w:pPr>
        <w:ind w:left="720" w:hanging="720"/>
        <w:rPr>
          <w:rFonts w:ascii="Tahoma" w:hAnsi="Tahoma" w:cs="Tahoma"/>
        </w:rPr>
      </w:pPr>
      <w:r>
        <w:rPr>
          <w:rFonts w:ascii="Tahoma" w:hAnsi="Tahoma" w:cs="Tahoma"/>
        </w:rPr>
        <w:t>A</w:t>
      </w:r>
      <w:r w:rsidR="00BD4F2C">
        <w:rPr>
          <w:rFonts w:ascii="Tahoma" w:hAnsi="Tahoma" w:cs="Tahoma"/>
        </w:rPr>
        <w:t>42</w:t>
      </w:r>
      <w:r>
        <w:rPr>
          <w:rFonts w:ascii="Tahoma" w:hAnsi="Tahoma" w:cs="Tahoma"/>
        </w:rPr>
        <w:t>:</w:t>
      </w:r>
      <w:r>
        <w:rPr>
          <w:rFonts w:ascii="Tahoma" w:hAnsi="Tahoma" w:cs="Tahoma"/>
        </w:rPr>
        <w:tab/>
        <w:t xml:space="preserve">On the Fringe Benefits tab of the </w:t>
      </w:r>
      <w:r w:rsidR="00734443">
        <w:rPr>
          <w:rFonts w:ascii="Tahoma" w:hAnsi="Tahoma" w:cs="Tahoma"/>
        </w:rPr>
        <w:t>B</w:t>
      </w:r>
      <w:r>
        <w:rPr>
          <w:rFonts w:ascii="Tahoma" w:hAnsi="Tahoma" w:cs="Tahoma"/>
        </w:rPr>
        <w:t xml:space="preserve">udget </w:t>
      </w:r>
      <w:r w:rsidR="00734443">
        <w:rPr>
          <w:rFonts w:ascii="Tahoma" w:hAnsi="Tahoma" w:cs="Tahoma"/>
        </w:rPr>
        <w:t>F</w:t>
      </w:r>
      <w:r>
        <w:rPr>
          <w:rFonts w:ascii="Tahoma" w:hAnsi="Tahoma" w:cs="Tahoma"/>
        </w:rPr>
        <w:t xml:space="preserve">orms, </w:t>
      </w:r>
      <w:r w:rsidR="00F51ECE">
        <w:rPr>
          <w:rFonts w:ascii="Tahoma" w:hAnsi="Tahoma" w:cs="Tahoma"/>
        </w:rPr>
        <w:t>a</w:t>
      </w:r>
      <w:r>
        <w:rPr>
          <w:rFonts w:ascii="Tahoma" w:hAnsi="Tahoma" w:cs="Tahoma"/>
        </w:rPr>
        <w:t xml:space="preserve">pplicants should include the maximum fringe benefit rate to be charged during the term of the agreement. Rate increases will not be approved. The CEC will only reimburse for actual fringe benefit expenses incurred, not to exceed the rates specified on the </w:t>
      </w:r>
      <w:r w:rsidR="00734443">
        <w:rPr>
          <w:rFonts w:ascii="Tahoma" w:hAnsi="Tahoma" w:cs="Tahoma"/>
        </w:rPr>
        <w:t>B</w:t>
      </w:r>
      <w:r>
        <w:rPr>
          <w:rFonts w:ascii="Tahoma" w:hAnsi="Tahoma" w:cs="Tahoma"/>
        </w:rPr>
        <w:t xml:space="preserve">udget </w:t>
      </w:r>
      <w:r w:rsidR="00734443">
        <w:rPr>
          <w:rFonts w:ascii="Tahoma" w:hAnsi="Tahoma" w:cs="Tahoma"/>
        </w:rPr>
        <w:t>F</w:t>
      </w:r>
      <w:r>
        <w:rPr>
          <w:rFonts w:ascii="Tahoma" w:hAnsi="Tahoma" w:cs="Tahoma"/>
        </w:rPr>
        <w:t>orms.</w:t>
      </w:r>
    </w:p>
    <w:p w14:paraId="539F2ACD" w14:textId="43524D74" w:rsidR="00596E2A" w:rsidRDefault="00596E2A" w:rsidP="00373A74">
      <w:pPr>
        <w:ind w:left="720" w:hanging="720"/>
        <w:rPr>
          <w:rFonts w:ascii="Tahoma" w:hAnsi="Tahoma" w:cs="Tahoma"/>
          <w:b/>
          <w:bCs/>
        </w:rPr>
      </w:pPr>
      <w:r>
        <w:rPr>
          <w:rFonts w:ascii="Tahoma" w:hAnsi="Tahoma" w:cs="Tahoma"/>
          <w:b/>
          <w:bCs/>
        </w:rPr>
        <w:t>Q</w:t>
      </w:r>
      <w:r w:rsidR="002B5232">
        <w:rPr>
          <w:rFonts w:ascii="Tahoma" w:hAnsi="Tahoma" w:cs="Tahoma"/>
          <w:b/>
          <w:bCs/>
        </w:rPr>
        <w:t>43</w:t>
      </w:r>
      <w:r>
        <w:rPr>
          <w:rFonts w:ascii="Tahoma" w:hAnsi="Tahoma" w:cs="Tahoma"/>
          <w:b/>
          <w:bCs/>
        </w:rPr>
        <w:t>:</w:t>
      </w:r>
      <w:r>
        <w:rPr>
          <w:rFonts w:ascii="Tahoma" w:hAnsi="Tahoma" w:cs="Tahoma"/>
          <w:b/>
          <w:bCs/>
        </w:rPr>
        <w:tab/>
      </w:r>
      <w:r w:rsidRPr="00596E2A">
        <w:rPr>
          <w:rFonts w:ascii="Tahoma" w:hAnsi="Tahoma" w:cs="Tahoma"/>
          <w:b/>
          <w:bCs/>
        </w:rPr>
        <w:t xml:space="preserve">Are only prime </w:t>
      </w:r>
      <w:r w:rsidR="00EE116C">
        <w:rPr>
          <w:rFonts w:ascii="Tahoma" w:hAnsi="Tahoma" w:cs="Tahoma"/>
          <w:b/>
          <w:bCs/>
        </w:rPr>
        <w:t>R</w:t>
      </w:r>
      <w:r w:rsidRPr="00596E2A">
        <w:rPr>
          <w:rFonts w:ascii="Tahoma" w:hAnsi="Tahoma" w:cs="Tahoma"/>
          <w:b/>
          <w:bCs/>
        </w:rPr>
        <w:t>ecipients subject to truing up fringe/indirect costs based on actual rates?</w:t>
      </w:r>
    </w:p>
    <w:p w14:paraId="354640F5" w14:textId="64B7E120" w:rsidR="00596E2A" w:rsidRPr="00A66726" w:rsidRDefault="00596E2A" w:rsidP="00373A74">
      <w:pPr>
        <w:ind w:left="720" w:hanging="720"/>
        <w:rPr>
          <w:rFonts w:ascii="Tahoma" w:hAnsi="Tahoma" w:cs="Tahoma"/>
        </w:rPr>
      </w:pPr>
      <w:r w:rsidRPr="00A66726">
        <w:rPr>
          <w:rFonts w:ascii="Tahoma" w:hAnsi="Tahoma" w:cs="Tahoma"/>
        </w:rPr>
        <w:t>A</w:t>
      </w:r>
      <w:r w:rsidR="002B5232">
        <w:rPr>
          <w:rFonts w:ascii="Tahoma" w:hAnsi="Tahoma" w:cs="Tahoma"/>
        </w:rPr>
        <w:t>43</w:t>
      </w:r>
      <w:r w:rsidRPr="00A66726">
        <w:rPr>
          <w:rFonts w:ascii="Tahoma" w:hAnsi="Tahoma" w:cs="Tahoma"/>
        </w:rPr>
        <w:t>:</w:t>
      </w:r>
      <w:r w:rsidRPr="00A66726">
        <w:rPr>
          <w:rFonts w:ascii="Tahoma" w:hAnsi="Tahoma" w:cs="Tahoma"/>
        </w:rPr>
        <w:tab/>
      </w:r>
      <w:r w:rsidR="00A66726" w:rsidRPr="00A66726">
        <w:rPr>
          <w:rFonts w:ascii="Tahoma" w:hAnsi="Tahoma" w:cs="Tahoma"/>
        </w:rPr>
        <w:t xml:space="preserve">No. The CEC will only reimburse for actual fringe benefit </w:t>
      </w:r>
      <w:r w:rsidR="00986F77">
        <w:rPr>
          <w:rFonts w:ascii="Tahoma" w:hAnsi="Tahoma" w:cs="Tahoma"/>
        </w:rPr>
        <w:t xml:space="preserve">expenses incurred, not to exceed the rates listed on the Budget Forms. This applies to subcontractors as well as the </w:t>
      </w:r>
      <w:r w:rsidR="00ED4BEC">
        <w:rPr>
          <w:rFonts w:ascii="Tahoma" w:hAnsi="Tahoma" w:cs="Tahoma"/>
        </w:rPr>
        <w:t>Recipient.</w:t>
      </w:r>
    </w:p>
    <w:p w14:paraId="5EB29B9D" w14:textId="37B5EF47" w:rsidR="00373A74" w:rsidRDefault="00373A74" w:rsidP="00373A74">
      <w:pPr>
        <w:ind w:left="720" w:hanging="720"/>
        <w:rPr>
          <w:rFonts w:ascii="Tahoma" w:hAnsi="Tahoma" w:cs="Tahoma"/>
          <w:b/>
          <w:bCs/>
        </w:rPr>
      </w:pPr>
      <w:r w:rsidRPr="00BC129B">
        <w:rPr>
          <w:rFonts w:ascii="Tahoma" w:hAnsi="Tahoma" w:cs="Tahoma"/>
          <w:b/>
          <w:bCs/>
        </w:rPr>
        <w:t>Q</w:t>
      </w:r>
      <w:r w:rsidR="002B5232">
        <w:rPr>
          <w:rFonts w:ascii="Tahoma" w:hAnsi="Tahoma" w:cs="Tahoma"/>
          <w:b/>
          <w:bCs/>
        </w:rPr>
        <w:t>44</w:t>
      </w:r>
      <w:r w:rsidRPr="00BC129B">
        <w:rPr>
          <w:rFonts w:ascii="Tahoma" w:hAnsi="Tahoma" w:cs="Tahoma"/>
          <w:b/>
          <w:bCs/>
        </w:rPr>
        <w:t>:</w:t>
      </w:r>
      <w:r w:rsidRPr="00BC129B">
        <w:rPr>
          <w:rFonts w:ascii="Tahoma" w:hAnsi="Tahoma" w:cs="Tahoma"/>
          <w:b/>
          <w:bCs/>
        </w:rPr>
        <w:tab/>
        <w:t>On the Fringe Benefits tab and the Indirect Costs &amp; Profit tab, do we need to budget per task even if the fringe/indirect cost rate is the same for every task?</w:t>
      </w:r>
    </w:p>
    <w:p w14:paraId="0508BA71" w14:textId="27688983" w:rsidR="00373A74" w:rsidRDefault="00373A74" w:rsidP="00373A74">
      <w:pPr>
        <w:ind w:left="720" w:hanging="720"/>
        <w:rPr>
          <w:rFonts w:ascii="Tahoma" w:hAnsi="Tahoma" w:cs="Tahoma"/>
        </w:rPr>
      </w:pPr>
      <w:r w:rsidRPr="00BC129B">
        <w:rPr>
          <w:rFonts w:ascii="Tahoma" w:hAnsi="Tahoma" w:cs="Tahoma"/>
        </w:rPr>
        <w:t>A</w:t>
      </w:r>
      <w:r w:rsidR="002B5232">
        <w:rPr>
          <w:rFonts w:ascii="Tahoma" w:hAnsi="Tahoma" w:cs="Tahoma"/>
        </w:rPr>
        <w:t>44</w:t>
      </w:r>
      <w:r w:rsidRPr="00BC129B">
        <w:rPr>
          <w:rFonts w:ascii="Tahoma" w:hAnsi="Tahoma" w:cs="Tahoma"/>
        </w:rPr>
        <w:t>:</w:t>
      </w:r>
      <w:r w:rsidRPr="00BC129B">
        <w:rPr>
          <w:rFonts w:ascii="Tahoma" w:hAnsi="Tahoma" w:cs="Tahoma"/>
        </w:rPr>
        <w:tab/>
      </w:r>
      <w:r w:rsidR="008D29ED" w:rsidRPr="00805A25">
        <w:rPr>
          <w:rFonts w:ascii="Tahoma" w:hAnsi="Tahoma" w:cs="Tahoma"/>
        </w:rPr>
        <w:t>Addendum 01</w:t>
      </w:r>
      <w:r w:rsidR="008D29ED">
        <w:rPr>
          <w:rFonts w:ascii="Tahoma" w:hAnsi="Tahoma" w:cs="Tahoma"/>
        </w:rPr>
        <w:t xml:space="preserve"> </w:t>
      </w:r>
      <w:r w:rsidR="0071184D">
        <w:rPr>
          <w:rFonts w:ascii="Tahoma" w:hAnsi="Tahoma" w:cs="Tahoma"/>
        </w:rPr>
        <w:t>includes a modified version of the Budget Forms in which Fringe Benefits may</w:t>
      </w:r>
      <w:r w:rsidR="008D29ED">
        <w:rPr>
          <w:rFonts w:ascii="Tahoma" w:hAnsi="Tahoma" w:cs="Tahoma"/>
        </w:rPr>
        <w:t xml:space="preserve"> be broken down by cost category </w:t>
      </w:r>
      <w:r w:rsidR="0022495F">
        <w:rPr>
          <w:rFonts w:ascii="Tahoma" w:hAnsi="Tahoma" w:cs="Tahoma"/>
        </w:rPr>
        <w:t xml:space="preserve">(Administrative, Project-Related, Project) rather than by task. </w:t>
      </w:r>
      <w:r w:rsidR="006F5D2A">
        <w:rPr>
          <w:rFonts w:ascii="Tahoma" w:hAnsi="Tahoma" w:cs="Tahoma"/>
        </w:rPr>
        <w:t>[</w:t>
      </w:r>
      <w:r w:rsidRPr="006F5D2A">
        <w:rPr>
          <w:rFonts w:ascii="Tahoma" w:hAnsi="Tahoma" w:cs="Tahoma"/>
          <w:strike/>
        </w:rPr>
        <w:t xml:space="preserve">On the Indirect Costs &amp; Profit tab, costs do not need to be </w:t>
      </w:r>
      <w:r w:rsidR="004113DA" w:rsidRPr="006F5D2A">
        <w:rPr>
          <w:rFonts w:ascii="Tahoma" w:hAnsi="Tahoma" w:cs="Tahoma"/>
          <w:strike/>
        </w:rPr>
        <w:t>broken down</w:t>
      </w:r>
      <w:r w:rsidRPr="006F5D2A">
        <w:rPr>
          <w:rFonts w:ascii="Tahoma" w:hAnsi="Tahoma" w:cs="Tahoma"/>
          <w:strike/>
        </w:rPr>
        <w:t xml:space="preserve"> by </w:t>
      </w:r>
      <w:r w:rsidR="00790F5A" w:rsidRPr="006F5D2A">
        <w:rPr>
          <w:rFonts w:ascii="Tahoma" w:hAnsi="Tahoma" w:cs="Tahoma"/>
          <w:strike/>
        </w:rPr>
        <w:t>cost category or task</w:t>
      </w:r>
      <w:r w:rsidR="00D07B74" w:rsidRPr="006F5D2A">
        <w:rPr>
          <w:rFonts w:ascii="Tahoma" w:hAnsi="Tahoma" w:cs="Tahoma"/>
          <w:strike/>
        </w:rPr>
        <w:t xml:space="preserve"> since all Indirect Costs and Profit are considered Administrative costs</w:t>
      </w:r>
      <w:r w:rsidR="00790F5A" w:rsidRPr="006F5D2A">
        <w:rPr>
          <w:rFonts w:ascii="Tahoma" w:hAnsi="Tahoma" w:cs="Tahoma"/>
          <w:strike/>
        </w:rPr>
        <w:t>.</w:t>
      </w:r>
      <w:r w:rsidR="006F5D2A" w:rsidRPr="006F5D2A">
        <w:rPr>
          <w:rFonts w:ascii="Tahoma" w:hAnsi="Tahoma" w:cs="Tahoma"/>
          <w:strike/>
        </w:rPr>
        <w:t>]</w:t>
      </w:r>
      <w:r>
        <w:rPr>
          <w:rFonts w:ascii="Tahoma" w:hAnsi="Tahoma" w:cs="Tahoma"/>
        </w:rPr>
        <w:t xml:space="preserve"> </w:t>
      </w:r>
      <w:r w:rsidR="002C0EDD" w:rsidRPr="002C0EDD">
        <w:rPr>
          <w:rFonts w:ascii="Tahoma" w:hAnsi="Tahoma" w:cs="Tahoma"/>
          <w:b/>
          <w:bCs/>
          <w:u w:val="single"/>
        </w:rPr>
        <w:t>Addendum 02 further modifies the Budget Forms to allow Indirect Costs and Profits to be broken down by cost category</w:t>
      </w:r>
      <w:r w:rsidR="002C0EDD">
        <w:rPr>
          <w:rFonts w:ascii="Tahoma" w:hAnsi="Tahoma" w:cs="Tahoma"/>
          <w:b/>
          <w:bCs/>
          <w:u w:val="single"/>
        </w:rPr>
        <w:t xml:space="preserve"> as well</w:t>
      </w:r>
      <w:r w:rsidR="002C0EDD" w:rsidRPr="002C0EDD">
        <w:rPr>
          <w:rFonts w:ascii="Tahoma" w:hAnsi="Tahoma" w:cs="Tahoma"/>
          <w:b/>
          <w:bCs/>
          <w:u w:val="single"/>
        </w:rPr>
        <w:t>.</w:t>
      </w:r>
      <w:r w:rsidR="002C0EDD">
        <w:rPr>
          <w:rFonts w:ascii="Tahoma" w:hAnsi="Tahoma" w:cs="Tahoma"/>
        </w:rPr>
        <w:t xml:space="preserve"> </w:t>
      </w:r>
      <w:r w:rsidR="00B16582">
        <w:rPr>
          <w:rFonts w:ascii="Tahoma" w:hAnsi="Tahoma" w:cs="Tahoma"/>
        </w:rPr>
        <w:t>[</w:t>
      </w:r>
      <w:r w:rsidR="0071184D" w:rsidRPr="00B16582">
        <w:rPr>
          <w:rFonts w:ascii="Tahoma" w:hAnsi="Tahoma" w:cs="Tahoma"/>
          <w:strike/>
        </w:rPr>
        <w:t>Applicants may choose to submit either the original or revised version of the Budget Forms.</w:t>
      </w:r>
      <w:r w:rsidR="00B16582">
        <w:rPr>
          <w:rFonts w:ascii="Tahoma" w:hAnsi="Tahoma" w:cs="Tahoma"/>
        </w:rPr>
        <w:t>]</w:t>
      </w:r>
      <w:r w:rsidR="00CF1CD6">
        <w:rPr>
          <w:rFonts w:ascii="Tahoma" w:hAnsi="Tahoma" w:cs="Tahoma"/>
        </w:rPr>
        <w:t xml:space="preserve"> </w:t>
      </w:r>
      <w:r w:rsidR="00CF1CD6" w:rsidRPr="00250DC7">
        <w:rPr>
          <w:rStyle w:val="normaltextrun"/>
          <w:rFonts w:ascii="Tahoma" w:hAnsi="Tahoma" w:cs="Tahoma"/>
          <w:color w:val="000000"/>
          <w:shd w:val="clear" w:color="auto" w:fill="FFFFFF"/>
        </w:rPr>
        <w:t>Please be aware that cost breakdowns by task may be required after the Notice of Proposed Awards has been released and throughout the term of the Agreement.</w:t>
      </w:r>
      <w:r w:rsidR="00CF1CD6">
        <w:rPr>
          <w:rFonts w:ascii="Tahoma" w:hAnsi="Tahoma" w:cs="Tahoma"/>
        </w:rPr>
        <w:t xml:space="preserve"> </w:t>
      </w:r>
    </w:p>
    <w:p w14:paraId="052EFE2D" w14:textId="7DF25646" w:rsidR="00DA6ADE" w:rsidRDefault="00DA6ADE" w:rsidP="00DA6ADE">
      <w:pPr>
        <w:ind w:left="720" w:hanging="720"/>
        <w:rPr>
          <w:rFonts w:ascii="Tahoma" w:hAnsi="Tahoma" w:cs="Tahoma"/>
          <w:b/>
          <w:bCs/>
        </w:rPr>
      </w:pPr>
      <w:r w:rsidRPr="0040649A">
        <w:rPr>
          <w:rFonts w:ascii="Tahoma" w:hAnsi="Tahoma" w:cs="Tahoma"/>
          <w:b/>
          <w:bCs/>
        </w:rPr>
        <w:t>Q</w:t>
      </w:r>
      <w:r w:rsidR="00A566E3">
        <w:rPr>
          <w:rFonts w:ascii="Tahoma" w:hAnsi="Tahoma" w:cs="Tahoma"/>
          <w:b/>
          <w:bCs/>
        </w:rPr>
        <w:t>45</w:t>
      </w:r>
      <w:r w:rsidRPr="0040649A">
        <w:rPr>
          <w:rFonts w:ascii="Tahoma" w:hAnsi="Tahoma" w:cs="Tahoma"/>
          <w:b/>
          <w:bCs/>
        </w:rPr>
        <w:t>:</w:t>
      </w:r>
      <w:r w:rsidRPr="0040649A">
        <w:rPr>
          <w:rFonts w:ascii="Tahoma" w:hAnsi="Tahoma" w:cs="Tahoma"/>
          <w:b/>
          <w:bCs/>
        </w:rPr>
        <w:tab/>
        <w:t xml:space="preserve">Regarding the Travel tab: can this be </w:t>
      </w:r>
      <w:r w:rsidR="009F5A74">
        <w:rPr>
          <w:rFonts w:ascii="Tahoma" w:hAnsi="Tahoma" w:cs="Tahoma"/>
          <w:b/>
          <w:bCs/>
        </w:rPr>
        <w:t>an</w:t>
      </w:r>
      <w:r w:rsidRPr="0040649A">
        <w:rPr>
          <w:rFonts w:ascii="Tahoma" w:hAnsi="Tahoma" w:cs="Tahoma"/>
          <w:b/>
          <w:bCs/>
        </w:rPr>
        <w:t xml:space="preserve"> estimate</w:t>
      </w:r>
      <w:r w:rsidR="004B146D">
        <w:rPr>
          <w:rFonts w:ascii="Tahoma" w:hAnsi="Tahoma" w:cs="Tahoma"/>
          <w:b/>
          <w:bCs/>
        </w:rPr>
        <w:t xml:space="preserve">? It is not possible to </w:t>
      </w:r>
      <w:r w:rsidR="00755C6A">
        <w:rPr>
          <w:rFonts w:ascii="Tahoma" w:hAnsi="Tahoma" w:cs="Tahoma"/>
          <w:b/>
          <w:bCs/>
        </w:rPr>
        <w:t xml:space="preserve">accurately define specific trips and durations at this stage. </w:t>
      </w:r>
      <w:r w:rsidR="00DC731E">
        <w:rPr>
          <w:rFonts w:ascii="Tahoma" w:hAnsi="Tahoma" w:cs="Tahoma"/>
          <w:b/>
          <w:bCs/>
        </w:rPr>
        <w:t xml:space="preserve">Can travel be </w:t>
      </w:r>
      <w:r w:rsidRPr="0040649A">
        <w:rPr>
          <w:rFonts w:ascii="Tahoma" w:hAnsi="Tahoma" w:cs="Tahoma"/>
          <w:b/>
          <w:bCs/>
        </w:rPr>
        <w:t xml:space="preserve">per cost category (Administration, Project-Related, Project)? </w:t>
      </w:r>
      <w:r w:rsidR="004A2899" w:rsidRPr="004A2899">
        <w:t xml:space="preserve"> </w:t>
      </w:r>
    </w:p>
    <w:p w14:paraId="76D9C861" w14:textId="283F207A" w:rsidR="00DA6ADE" w:rsidRDefault="00DA6ADE" w:rsidP="00DA6ADE">
      <w:pPr>
        <w:ind w:left="720" w:hanging="720"/>
        <w:rPr>
          <w:rFonts w:ascii="Tahoma" w:hAnsi="Tahoma" w:cs="Tahoma"/>
        </w:rPr>
      </w:pPr>
      <w:r w:rsidRPr="7613C3E4">
        <w:rPr>
          <w:rFonts w:ascii="Tahoma" w:hAnsi="Tahoma" w:cs="Tahoma"/>
        </w:rPr>
        <w:t>A</w:t>
      </w:r>
      <w:r w:rsidR="00A566E3" w:rsidRPr="7613C3E4">
        <w:rPr>
          <w:rFonts w:ascii="Tahoma" w:hAnsi="Tahoma" w:cs="Tahoma"/>
        </w:rPr>
        <w:t>45</w:t>
      </w:r>
      <w:r w:rsidRPr="7613C3E4">
        <w:rPr>
          <w:rFonts w:ascii="Tahoma" w:hAnsi="Tahoma" w:cs="Tahoma"/>
        </w:rPr>
        <w:t>:</w:t>
      </w:r>
      <w:r>
        <w:tab/>
      </w:r>
      <w:r w:rsidR="002251A5" w:rsidRPr="7613C3E4">
        <w:rPr>
          <w:rFonts w:ascii="Tahoma" w:hAnsi="Tahoma" w:cs="Tahoma"/>
        </w:rPr>
        <w:t xml:space="preserve">Yes, </w:t>
      </w:r>
      <w:r w:rsidR="00604AFC" w:rsidRPr="7613C3E4">
        <w:rPr>
          <w:rFonts w:ascii="Tahoma" w:hAnsi="Tahoma" w:cs="Tahoma"/>
        </w:rPr>
        <w:t xml:space="preserve">travel may be listed as </w:t>
      </w:r>
      <w:r w:rsidR="00AE10B2" w:rsidRPr="7613C3E4">
        <w:rPr>
          <w:rFonts w:ascii="Tahoma" w:hAnsi="Tahoma" w:cs="Tahoma"/>
        </w:rPr>
        <w:t>T</w:t>
      </w:r>
      <w:r w:rsidR="00604AFC" w:rsidRPr="7613C3E4">
        <w:rPr>
          <w:rFonts w:ascii="Tahoma" w:hAnsi="Tahoma" w:cs="Tahoma"/>
        </w:rPr>
        <w:t xml:space="preserve">o Be Determined (TBD). </w:t>
      </w:r>
      <w:r w:rsidR="00417C9E" w:rsidRPr="7613C3E4">
        <w:rPr>
          <w:rFonts w:ascii="Tahoma" w:hAnsi="Tahoma" w:cs="Tahoma"/>
        </w:rPr>
        <w:t xml:space="preserve">As described on the Travel tab, </w:t>
      </w:r>
      <w:r w:rsidR="00EB2DDA" w:rsidRPr="7613C3E4">
        <w:rPr>
          <w:rFonts w:ascii="Tahoma" w:hAnsi="Tahoma" w:cs="Tahoma"/>
        </w:rPr>
        <w:t>a</w:t>
      </w:r>
      <w:r w:rsidR="0053303A" w:rsidRPr="7613C3E4">
        <w:rPr>
          <w:rFonts w:ascii="Tahoma" w:hAnsi="Tahoma" w:cs="Tahoma"/>
        </w:rPr>
        <w:t>ll travel must obtain pre-approval from the Commission Agreement Manager</w:t>
      </w:r>
      <w:r w:rsidR="002E4D8E" w:rsidRPr="7613C3E4">
        <w:rPr>
          <w:rFonts w:ascii="Tahoma" w:hAnsi="Tahoma" w:cs="Tahoma"/>
        </w:rPr>
        <w:t>, and travel costs are reimbursed at state rates</w:t>
      </w:r>
      <w:r w:rsidR="0053303A" w:rsidRPr="7613C3E4">
        <w:rPr>
          <w:rFonts w:ascii="Tahoma" w:hAnsi="Tahoma" w:cs="Tahoma"/>
        </w:rPr>
        <w:t xml:space="preserve">. </w:t>
      </w:r>
      <w:r w:rsidR="00595DD3" w:rsidRPr="7613C3E4">
        <w:rPr>
          <w:rFonts w:ascii="Tahoma" w:hAnsi="Tahoma" w:cs="Tahoma"/>
        </w:rPr>
        <w:t xml:space="preserve">In addition, Addendum 01 </w:t>
      </w:r>
      <w:r w:rsidR="0071184D" w:rsidRPr="7613C3E4">
        <w:rPr>
          <w:rFonts w:ascii="Tahoma" w:hAnsi="Tahoma" w:cs="Tahoma"/>
        </w:rPr>
        <w:t>include</w:t>
      </w:r>
      <w:r w:rsidR="00DE7F77" w:rsidRPr="7613C3E4">
        <w:rPr>
          <w:rFonts w:ascii="Tahoma" w:hAnsi="Tahoma" w:cs="Tahoma"/>
        </w:rPr>
        <w:t>s</w:t>
      </w:r>
      <w:r w:rsidR="0071184D" w:rsidRPr="7613C3E4">
        <w:rPr>
          <w:rFonts w:ascii="Tahoma" w:hAnsi="Tahoma" w:cs="Tahoma"/>
        </w:rPr>
        <w:t xml:space="preserve"> a modified version of the Budget Forms in which Travel may be</w:t>
      </w:r>
      <w:r w:rsidR="00F20658" w:rsidRPr="7613C3E4">
        <w:rPr>
          <w:rFonts w:ascii="Tahoma" w:hAnsi="Tahoma" w:cs="Tahoma"/>
        </w:rPr>
        <w:t xml:space="preserve"> broken down by cost category </w:t>
      </w:r>
      <w:r w:rsidR="00595DD3" w:rsidRPr="7613C3E4">
        <w:rPr>
          <w:rFonts w:ascii="Tahoma" w:hAnsi="Tahoma" w:cs="Tahoma"/>
        </w:rPr>
        <w:t>(Administrative, Project-Related, Project) rather than by task</w:t>
      </w:r>
      <w:r w:rsidR="00AE10B2" w:rsidRPr="7613C3E4">
        <w:rPr>
          <w:rFonts w:ascii="Tahoma" w:hAnsi="Tahoma" w:cs="Tahoma"/>
        </w:rPr>
        <w:t>/subtask</w:t>
      </w:r>
      <w:r w:rsidR="00595DD3" w:rsidRPr="7613C3E4">
        <w:rPr>
          <w:rFonts w:ascii="Tahoma" w:hAnsi="Tahoma" w:cs="Tahoma"/>
        </w:rPr>
        <w:t>.</w:t>
      </w:r>
      <w:r w:rsidR="00F20658" w:rsidRPr="7613C3E4">
        <w:rPr>
          <w:rFonts w:ascii="Tahoma" w:hAnsi="Tahoma" w:cs="Tahoma"/>
        </w:rPr>
        <w:t xml:space="preserve"> </w:t>
      </w:r>
      <w:r w:rsidR="00DE7F77" w:rsidRPr="7613C3E4">
        <w:rPr>
          <w:rFonts w:ascii="Tahoma" w:hAnsi="Tahoma" w:cs="Tahoma"/>
          <w:b/>
          <w:bCs/>
          <w:u w:val="single"/>
        </w:rPr>
        <w:t xml:space="preserve">Addendum 02 further modifies the </w:t>
      </w:r>
      <w:r w:rsidR="005F21D0" w:rsidRPr="7613C3E4">
        <w:rPr>
          <w:rFonts w:ascii="Tahoma" w:hAnsi="Tahoma" w:cs="Tahoma"/>
          <w:b/>
          <w:bCs/>
          <w:u w:val="single"/>
        </w:rPr>
        <w:t>B</w:t>
      </w:r>
      <w:r w:rsidR="00DE7F77" w:rsidRPr="7613C3E4">
        <w:rPr>
          <w:rFonts w:ascii="Tahoma" w:hAnsi="Tahoma" w:cs="Tahoma"/>
          <w:b/>
          <w:bCs/>
          <w:u w:val="single"/>
        </w:rPr>
        <w:t xml:space="preserve">udget </w:t>
      </w:r>
      <w:r w:rsidR="005F21D0" w:rsidRPr="7613C3E4">
        <w:rPr>
          <w:rFonts w:ascii="Tahoma" w:hAnsi="Tahoma" w:cs="Tahoma"/>
          <w:b/>
          <w:bCs/>
          <w:u w:val="single"/>
        </w:rPr>
        <w:t>F</w:t>
      </w:r>
      <w:r w:rsidR="00DE7F77" w:rsidRPr="7613C3E4">
        <w:rPr>
          <w:rFonts w:ascii="Tahoma" w:hAnsi="Tahoma" w:cs="Tahoma"/>
          <w:b/>
          <w:bCs/>
          <w:u w:val="single"/>
        </w:rPr>
        <w:t xml:space="preserve">orms, and applicants must submit the Addendum 02 version of the Budget Forms. </w:t>
      </w:r>
      <w:r w:rsidR="00B16582" w:rsidRPr="7613C3E4">
        <w:rPr>
          <w:rFonts w:ascii="Tahoma" w:hAnsi="Tahoma" w:cs="Tahoma"/>
        </w:rPr>
        <w:t>[</w:t>
      </w:r>
      <w:r w:rsidR="00F20658" w:rsidRPr="7613C3E4">
        <w:rPr>
          <w:rFonts w:ascii="Tahoma" w:hAnsi="Tahoma" w:cs="Tahoma"/>
          <w:strike/>
        </w:rPr>
        <w:t>Applicants may choose to submit either the original or revised version of the Budget Forms.</w:t>
      </w:r>
      <w:r w:rsidR="00B16582" w:rsidRPr="7613C3E4">
        <w:rPr>
          <w:rFonts w:ascii="Tahoma" w:hAnsi="Tahoma" w:cs="Tahoma"/>
        </w:rPr>
        <w:t>]</w:t>
      </w:r>
    </w:p>
    <w:p w14:paraId="02750E37" w14:textId="22733919" w:rsidR="00707E7E" w:rsidRPr="00652D21" w:rsidRDefault="00707E7E" w:rsidP="00322A06">
      <w:pPr>
        <w:ind w:left="720" w:hanging="720"/>
        <w:rPr>
          <w:rFonts w:ascii="Tahoma" w:hAnsi="Tahoma" w:cs="Tahoma"/>
          <w:b/>
          <w:bCs/>
        </w:rPr>
      </w:pPr>
      <w:r w:rsidRPr="00652D21">
        <w:rPr>
          <w:rFonts w:ascii="Tahoma" w:hAnsi="Tahoma" w:cs="Tahoma"/>
          <w:b/>
          <w:bCs/>
        </w:rPr>
        <w:t>Q</w:t>
      </w:r>
      <w:r w:rsidR="004534F7">
        <w:rPr>
          <w:rFonts w:ascii="Tahoma" w:hAnsi="Tahoma" w:cs="Tahoma"/>
          <w:b/>
          <w:bCs/>
        </w:rPr>
        <w:t>46</w:t>
      </w:r>
      <w:r w:rsidRPr="00652D21">
        <w:rPr>
          <w:rFonts w:ascii="Tahoma" w:hAnsi="Tahoma" w:cs="Tahoma"/>
          <w:b/>
          <w:bCs/>
        </w:rPr>
        <w:t xml:space="preserve">: </w:t>
      </w:r>
      <w:r w:rsidRPr="00652D21">
        <w:rPr>
          <w:rFonts w:ascii="Tahoma" w:hAnsi="Tahoma" w:cs="Tahoma"/>
          <w:b/>
          <w:bCs/>
        </w:rPr>
        <w:tab/>
        <w:t xml:space="preserve">Should all equipment and materials for the program be listed </w:t>
      </w:r>
      <w:r w:rsidR="00E532CA">
        <w:rPr>
          <w:rFonts w:ascii="Tahoma" w:hAnsi="Tahoma" w:cs="Tahoma"/>
          <w:b/>
          <w:bCs/>
        </w:rPr>
        <w:t>on</w:t>
      </w:r>
      <w:r w:rsidRPr="00652D21">
        <w:rPr>
          <w:rFonts w:ascii="Tahoma" w:hAnsi="Tahoma" w:cs="Tahoma"/>
          <w:b/>
          <w:bCs/>
        </w:rPr>
        <w:t xml:space="preserve"> the prime </w:t>
      </w:r>
      <w:r w:rsidR="00193431">
        <w:rPr>
          <w:rFonts w:ascii="Tahoma" w:hAnsi="Tahoma" w:cs="Tahoma"/>
          <w:b/>
          <w:bCs/>
        </w:rPr>
        <w:t>Applican</w:t>
      </w:r>
      <w:r w:rsidRPr="00652D21">
        <w:rPr>
          <w:rFonts w:ascii="Tahoma" w:hAnsi="Tahoma" w:cs="Tahoma"/>
          <w:b/>
          <w:bCs/>
        </w:rPr>
        <w:t xml:space="preserve">t’s </w:t>
      </w:r>
      <w:r w:rsidR="00734443">
        <w:rPr>
          <w:rFonts w:ascii="Tahoma" w:hAnsi="Tahoma" w:cs="Tahoma"/>
          <w:b/>
          <w:bCs/>
        </w:rPr>
        <w:t>B</w:t>
      </w:r>
      <w:r w:rsidR="00E532CA">
        <w:rPr>
          <w:rFonts w:ascii="Tahoma" w:hAnsi="Tahoma" w:cs="Tahoma"/>
          <w:b/>
          <w:bCs/>
        </w:rPr>
        <w:t xml:space="preserve">udget </w:t>
      </w:r>
      <w:r w:rsidR="00734443">
        <w:rPr>
          <w:rFonts w:ascii="Tahoma" w:hAnsi="Tahoma" w:cs="Tahoma"/>
          <w:b/>
          <w:bCs/>
        </w:rPr>
        <w:t>F</w:t>
      </w:r>
      <w:r w:rsidR="00E532CA">
        <w:rPr>
          <w:rFonts w:ascii="Tahoma" w:hAnsi="Tahoma" w:cs="Tahoma"/>
          <w:b/>
          <w:bCs/>
        </w:rPr>
        <w:t>orms</w:t>
      </w:r>
      <w:r w:rsidRPr="00652D21">
        <w:rPr>
          <w:rFonts w:ascii="Tahoma" w:hAnsi="Tahoma" w:cs="Tahoma"/>
          <w:b/>
          <w:bCs/>
        </w:rPr>
        <w:t xml:space="preserve"> or </w:t>
      </w:r>
      <w:r w:rsidR="00E532CA">
        <w:rPr>
          <w:rFonts w:ascii="Tahoma" w:hAnsi="Tahoma" w:cs="Tahoma"/>
          <w:b/>
          <w:bCs/>
        </w:rPr>
        <w:t xml:space="preserve">on the </w:t>
      </w:r>
      <w:r w:rsidR="00734443">
        <w:rPr>
          <w:rFonts w:ascii="Tahoma" w:hAnsi="Tahoma" w:cs="Tahoma"/>
          <w:b/>
          <w:bCs/>
        </w:rPr>
        <w:t>B</w:t>
      </w:r>
      <w:r w:rsidR="00E532CA">
        <w:rPr>
          <w:rFonts w:ascii="Tahoma" w:hAnsi="Tahoma" w:cs="Tahoma"/>
          <w:b/>
          <w:bCs/>
        </w:rPr>
        <w:t xml:space="preserve">udget </w:t>
      </w:r>
      <w:r w:rsidR="00734443">
        <w:rPr>
          <w:rFonts w:ascii="Tahoma" w:hAnsi="Tahoma" w:cs="Tahoma"/>
          <w:b/>
          <w:bCs/>
        </w:rPr>
        <w:t>F</w:t>
      </w:r>
      <w:r w:rsidR="00E532CA">
        <w:rPr>
          <w:rFonts w:ascii="Tahoma" w:hAnsi="Tahoma" w:cs="Tahoma"/>
          <w:b/>
          <w:bCs/>
        </w:rPr>
        <w:t>orms</w:t>
      </w:r>
      <w:r w:rsidRPr="00652D21">
        <w:rPr>
          <w:rFonts w:ascii="Tahoma" w:hAnsi="Tahoma" w:cs="Tahoma"/>
          <w:b/>
          <w:bCs/>
        </w:rPr>
        <w:t xml:space="preserve"> for the subcontractors</w:t>
      </w:r>
      <w:r w:rsidR="00E532CA">
        <w:rPr>
          <w:rFonts w:ascii="Tahoma" w:hAnsi="Tahoma" w:cs="Tahoma"/>
          <w:b/>
          <w:bCs/>
        </w:rPr>
        <w:t xml:space="preserve"> or </w:t>
      </w:r>
      <w:r w:rsidRPr="00652D21">
        <w:rPr>
          <w:rFonts w:ascii="Tahoma" w:hAnsi="Tahoma" w:cs="Tahoma"/>
          <w:b/>
          <w:bCs/>
        </w:rPr>
        <w:t>vendors who are purchasing the items?</w:t>
      </w:r>
    </w:p>
    <w:p w14:paraId="40247E12" w14:textId="2D98F748" w:rsidR="00707E7E" w:rsidRDefault="00707E7E" w:rsidP="00B00433">
      <w:pPr>
        <w:ind w:left="720" w:hanging="720"/>
        <w:rPr>
          <w:rFonts w:ascii="Tahoma" w:hAnsi="Tahoma" w:cs="Tahoma"/>
        </w:rPr>
      </w:pPr>
      <w:r>
        <w:rPr>
          <w:rFonts w:ascii="Tahoma" w:hAnsi="Tahoma" w:cs="Tahoma"/>
        </w:rPr>
        <w:t>A</w:t>
      </w:r>
      <w:r w:rsidR="004534F7">
        <w:rPr>
          <w:rFonts w:ascii="Tahoma" w:hAnsi="Tahoma" w:cs="Tahoma"/>
        </w:rPr>
        <w:t>46</w:t>
      </w:r>
      <w:r>
        <w:rPr>
          <w:rFonts w:ascii="Tahoma" w:hAnsi="Tahoma" w:cs="Tahoma"/>
        </w:rPr>
        <w:t>:</w:t>
      </w:r>
      <w:r>
        <w:rPr>
          <w:rFonts w:ascii="Tahoma" w:hAnsi="Tahoma" w:cs="Tahoma"/>
        </w:rPr>
        <w:tab/>
      </w:r>
      <w:r w:rsidR="007A2A7F">
        <w:rPr>
          <w:rFonts w:ascii="Tahoma" w:hAnsi="Tahoma" w:cs="Tahoma"/>
        </w:rPr>
        <w:t xml:space="preserve">The </w:t>
      </w:r>
      <w:r w:rsidR="00193431">
        <w:rPr>
          <w:rFonts w:ascii="Tahoma" w:hAnsi="Tahoma" w:cs="Tahoma"/>
        </w:rPr>
        <w:t>prime Applicant’s</w:t>
      </w:r>
      <w:r w:rsidR="007A2A7F">
        <w:rPr>
          <w:rFonts w:ascii="Tahoma" w:hAnsi="Tahoma" w:cs="Tahoma"/>
        </w:rPr>
        <w:t xml:space="preserve"> </w:t>
      </w:r>
      <w:r w:rsidR="00734443">
        <w:rPr>
          <w:rFonts w:ascii="Tahoma" w:hAnsi="Tahoma" w:cs="Tahoma"/>
        </w:rPr>
        <w:t>B</w:t>
      </w:r>
      <w:r w:rsidR="007A2A7F">
        <w:rPr>
          <w:rFonts w:ascii="Tahoma" w:hAnsi="Tahoma" w:cs="Tahoma"/>
        </w:rPr>
        <w:t xml:space="preserve">udget </w:t>
      </w:r>
      <w:r w:rsidR="00734443">
        <w:rPr>
          <w:rFonts w:ascii="Tahoma" w:hAnsi="Tahoma" w:cs="Tahoma"/>
        </w:rPr>
        <w:t>F</w:t>
      </w:r>
      <w:r w:rsidR="007A2A7F">
        <w:rPr>
          <w:rFonts w:ascii="Tahoma" w:hAnsi="Tahoma" w:cs="Tahoma"/>
        </w:rPr>
        <w:t xml:space="preserve">orms should include all </w:t>
      </w:r>
      <w:r w:rsidR="00AA7591">
        <w:rPr>
          <w:rFonts w:ascii="Tahoma" w:hAnsi="Tahoma" w:cs="Tahoma"/>
        </w:rPr>
        <w:t xml:space="preserve">costs to be incurred by subcontractors or vendors on the </w:t>
      </w:r>
      <w:r w:rsidR="00FB75E3">
        <w:rPr>
          <w:rFonts w:ascii="Tahoma" w:hAnsi="Tahoma" w:cs="Tahoma"/>
        </w:rPr>
        <w:t>Subcontracts tab</w:t>
      </w:r>
      <w:r w:rsidR="00D82E90">
        <w:rPr>
          <w:rFonts w:ascii="Tahoma" w:hAnsi="Tahoma" w:cs="Tahoma"/>
        </w:rPr>
        <w:t xml:space="preserve">. </w:t>
      </w:r>
      <w:r w:rsidR="00A97497">
        <w:rPr>
          <w:rFonts w:ascii="Tahoma" w:hAnsi="Tahoma" w:cs="Tahoma"/>
        </w:rPr>
        <w:t xml:space="preserve">Each subcontractor that will receive </w:t>
      </w:r>
      <w:r w:rsidR="00A128D3">
        <w:rPr>
          <w:rFonts w:ascii="Tahoma" w:hAnsi="Tahoma" w:cs="Tahoma"/>
        </w:rPr>
        <w:t xml:space="preserve">$100,000 or more must also complete their own set of </w:t>
      </w:r>
      <w:r w:rsidR="00734443">
        <w:rPr>
          <w:rFonts w:ascii="Tahoma" w:hAnsi="Tahoma" w:cs="Tahoma"/>
        </w:rPr>
        <w:t>B</w:t>
      </w:r>
      <w:r w:rsidR="00A128D3">
        <w:rPr>
          <w:rFonts w:ascii="Tahoma" w:hAnsi="Tahoma" w:cs="Tahoma"/>
        </w:rPr>
        <w:t xml:space="preserve">udget </w:t>
      </w:r>
      <w:r w:rsidR="00734443">
        <w:rPr>
          <w:rFonts w:ascii="Tahoma" w:hAnsi="Tahoma" w:cs="Tahoma"/>
        </w:rPr>
        <w:t>F</w:t>
      </w:r>
      <w:r w:rsidR="00A128D3">
        <w:rPr>
          <w:rFonts w:ascii="Tahoma" w:hAnsi="Tahoma" w:cs="Tahoma"/>
        </w:rPr>
        <w:t xml:space="preserve">orms, on which they will indicate costs on all </w:t>
      </w:r>
      <w:r w:rsidR="00B00433">
        <w:rPr>
          <w:rFonts w:ascii="Tahoma" w:hAnsi="Tahoma" w:cs="Tahoma"/>
        </w:rPr>
        <w:t xml:space="preserve">relevant </w:t>
      </w:r>
      <w:r w:rsidR="00A128D3">
        <w:rPr>
          <w:rFonts w:ascii="Tahoma" w:hAnsi="Tahoma" w:cs="Tahoma"/>
        </w:rPr>
        <w:t>tabs</w:t>
      </w:r>
      <w:r w:rsidR="00B00433">
        <w:rPr>
          <w:rFonts w:ascii="Tahoma" w:hAnsi="Tahoma" w:cs="Tahoma"/>
        </w:rPr>
        <w:t xml:space="preserve">. </w:t>
      </w:r>
      <w:r w:rsidR="00C6370A">
        <w:rPr>
          <w:rFonts w:ascii="Tahoma" w:hAnsi="Tahoma" w:cs="Tahoma"/>
        </w:rPr>
        <w:t xml:space="preserve">For example, equipment costs to be incurred by a subcontractor would appear on the </w:t>
      </w:r>
      <w:r w:rsidR="00A97497">
        <w:rPr>
          <w:rFonts w:ascii="Tahoma" w:hAnsi="Tahoma" w:cs="Tahoma"/>
        </w:rPr>
        <w:t xml:space="preserve">Subcontracts tab of the </w:t>
      </w:r>
      <w:r w:rsidR="00193431">
        <w:rPr>
          <w:rFonts w:ascii="Tahoma" w:hAnsi="Tahoma" w:cs="Tahoma"/>
        </w:rPr>
        <w:t>prime Applicant</w:t>
      </w:r>
      <w:r w:rsidR="00A97497">
        <w:rPr>
          <w:rFonts w:ascii="Tahoma" w:hAnsi="Tahoma" w:cs="Tahoma"/>
        </w:rPr>
        <w:t xml:space="preserve">’s </w:t>
      </w:r>
      <w:r w:rsidR="00734443">
        <w:rPr>
          <w:rFonts w:ascii="Tahoma" w:hAnsi="Tahoma" w:cs="Tahoma"/>
        </w:rPr>
        <w:t>B</w:t>
      </w:r>
      <w:r w:rsidR="00A97497">
        <w:rPr>
          <w:rFonts w:ascii="Tahoma" w:hAnsi="Tahoma" w:cs="Tahoma"/>
        </w:rPr>
        <w:t xml:space="preserve">udget </w:t>
      </w:r>
      <w:r w:rsidR="00734443">
        <w:rPr>
          <w:rFonts w:ascii="Tahoma" w:hAnsi="Tahoma" w:cs="Tahoma"/>
        </w:rPr>
        <w:t>F</w:t>
      </w:r>
      <w:r w:rsidR="00A97497">
        <w:rPr>
          <w:rFonts w:ascii="Tahoma" w:hAnsi="Tahoma" w:cs="Tahoma"/>
        </w:rPr>
        <w:t xml:space="preserve">orms and on the Equipment tab of the subcontractor’s </w:t>
      </w:r>
      <w:r w:rsidR="00734443">
        <w:rPr>
          <w:rFonts w:ascii="Tahoma" w:hAnsi="Tahoma" w:cs="Tahoma"/>
        </w:rPr>
        <w:t>B</w:t>
      </w:r>
      <w:r w:rsidR="00A97497">
        <w:rPr>
          <w:rFonts w:ascii="Tahoma" w:hAnsi="Tahoma" w:cs="Tahoma"/>
        </w:rPr>
        <w:t xml:space="preserve">udget </w:t>
      </w:r>
      <w:r w:rsidR="00734443">
        <w:rPr>
          <w:rFonts w:ascii="Tahoma" w:hAnsi="Tahoma" w:cs="Tahoma"/>
        </w:rPr>
        <w:t>F</w:t>
      </w:r>
      <w:r w:rsidR="00A97497">
        <w:rPr>
          <w:rFonts w:ascii="Tahoma" w:hAnsi="Tahoma" w:cs="Tahoma"/>
        </w:rPr>
        <w:t>orms.</w:t>
      </w:r>
      <w:r w:rsidR="00B00433">
        <w:rPr>
          <w:rFonts w:ascii="Tahoma" w:hAnsi="Tahoma" w:cs="Tahoma"/>
        </w:rPr>
        <w:t xml:space="preserve"> Vendors are not required to complete their own </w:t>
      </w:r>
      <w:r w:rsidR="00E532CA">
        <w:rPr>
          <w:rFonts w:ascii="Tahoma" w:hAnsi="Tahoma" w:cs="Tahoma"/>
        </w:rPr>
        <w:t xml:space="preserve">set of </w:t>
      </w:r>
      <w:r w:rsidR="00734443">
        <w:rPr>
          <w:rFonts w:ascii="Tahoma" w:hAnsi="Tahoma" w:cs="Tahoma"/>
        </w:rPr>
        <w:t>B</w:t>
      </w:r>
      <w:r w:rsidR="00B00433">
        <w:rPr>
          <w:rFonts w:ascii="Tahoma" w:hAnsi="Tahoma" w:cs="Tahoma"/>
        </w:rPr>
        <w:t xml:space="preserve">udget </w:t>
      </w:r>
      <w:r w:rsidR="00734443">
        <w:rPr>
          <w:rFonts w:ascii="Tahoma" w:hAnsi="Tahoma" w:cs="Tahoma"/>
        </w:rPr>
        <w:t>F</w:t>
      </w:r>
      <w:r w:rsidR="00B00433">
        <w:rPr>
          <w:rFonts w:ascii="Tahoma" w:hAnsi="Tahoma" w:cs="Tahoma"/>
        </w:rPr>
        <w:t>orms.</w:t>
      </w:r>
    </w:p>
    <w:p w14:paraId="129D929D" w14:textId="55CC3A8D" w:rsidR="0004059C" w:rsidRPr="00A03BAB" w:rsidRDefault="0004059C" w:rsidP="00B00433">
      <w:pPr>
        <w:ind w:left="720" w:hanging="720"/>
        <w:rPr>
          <w:rFonts w:ascii="Tahoma" w:hAnsi="Tahoma" w:cs="Tahoma"/>
          <w:b/>
          <w:bCs/>
        </w:rPr>
      </w:pPr>
      <w:r w:rsidRPr="00A03BAB">
        <w:rPr>
          <w:rFonts w:ascii="Tahoma" w:hAnsi="Tahoma" w:cs="Tahoma"/>
          <w:b/>
          <w:bCs/>
        </w:rPr>
        <w:t>Q</w:t>
      </w:r>
      <w:r w:rsidR="00695117">
        <w:rPr>
          <w:rFonts w:ascii="Tahoma" w:hAnsi="Tahoma" w:cs="Tahoma"/>
          <w:b/>
          <w:bCs/>
        </w:rPr>
        <w:t>47</w:t>
      </w:r>
      <w:r w:rsidRPr="00A03BAB">
        <w:rPr>
          <w:rFonts w:ascii="Tahoma" w:hAnsi="Tahoma" w:cs="Tahoma"/>
          <w:b/>
          <w:bCs/>
        </w:rPr>
        <w:t xml:space="preserve">: </w:t>
      </w:r>
      <w:r w:rsidR="00F81633" w:rsidRPr="00A03BAB">
        <w:rPr>
          <w:b/>
          <w:bCs/>
        </w:rPr>
        <w:tab/>
      </w:r>
      <w:r w:rsidRPr="00A03BAB">
        <w:rPr>
          <w:rFonts w:ascii="Tahoma" w:hAnsi="Tahoma" w:cs="Tahoma"/>
          <w:b/>
          <w:bCs/>
        </w:rPr>
        <w:t xml:space="preserve">How should we identify equipment/materials yet to be purchased or identified </w:t>
      </w:r>
      <w:r w:rsidR="0022778F" w:rsidRPr="00A03BAB">
        <w:rPr>
          <w:rFonts w:ascii="Tahoma" w:hAnsi="Tahoma" w:cs="Tahoma"/>
          <w:b/>
          <w:bCs/>
        </w:rPr>
        <w:t xml:space="preserve">on the </w:t>
      </w:r>
      <w:r w:rsidR="00734443">
        <w:rPr>
          <w:rFonts w:ascii="Tahoma" w:hAnsi="Tahoma" w:cs="Tahoma"/>
          <w:b/>
          <w:bCs/>
        </w:rPr>
        <w:t>B</w:t>
      </w:r>
      <w:r w:rsidR="0022778F" w:rsidRPr="00A03BAB">
        <w:rPr>
          <w:rFonts w:ascii="Tahoma" w:hAnsi="Tahoma" w:cs="Tahoma"/>
          <w:b/>
          <w:bCs/>
        </w:rPr>
        <w:t xml:space="preserve">udget </w:t>
      </w:r>
      <w:r w:rsidR="00734443">
        <w:rPr>
          <w:rFonts w:ascii="Tahoma" w:hAnsi="Tahoma" w:cs="Tahoma"/>
          <w:b/>
          <w:bCs/>
        </w:rPr>
        <w:t>F</w:t>
      </w:r>
      <w:r w:rsidR="0022778F" w:rsidRPr="00A03BAB">
        <w:rPr>
          <w:rFonts w:ascii="Tahoma" w:hAnsi="Tahoma" w:cs="Tahoma"/>
          <w:b/>
          <w:bCs/>
        </w:rPr>
        <w:t>orms</w:t>
      </w:r>
      <w:r w:rsidRPr="00A03BAB">
        <w:rPr>
          <w:rFonts w:ascii="Tahoma" w:hAnsi="Tahoma" w:cs="Tahoma"/>
          <w:b/>
          <w:bCs/>
        </w:rPr>
        <w:t>?</w:t>
      </w:r>
      <w:r w:rsidR="001B5920" w:rsidRPr="00A03BAB">
        <w:rPr>
          <w:rFonts w:ascii="Tahoma" w:hAnsi="Tahoma" w:cs="Tahoma"/>
          <w:b/>
          <w:bCs/>
        </w:rPr>
        <w:t xml:space="preserve"> </w:t>
      </w:r>
      <w:r w:rsidR="00AF144C" w:rsidRPr="00A03BAB">
        <w:rPr>
          <w:rFonts w:ascii="Tahoma" w:hAnsi="Tahoma" w:cs="Tahoma"/>
          <w:b/>
          <w:bCs/>
        </w:rPr>
        <w:t>At the time of submitting the application, we will not know the specific typ</w:t>
      </w:r>
      <w:r w:rsidR="0013050A" w:rsidRPr="00A03BAB">
        <w:rPr>
          <w:rFonts w:ascii="Tahoma" w:hAnsi="Tahoma" w:cs="Tahoma"/>
          <w:b/>
          <w:bCs/>
        </w:rPr>
        <w:t>e</w:t>
      </w:r>
      <w:r w:rsidR="00E532CA">
        <w:rPr>
          <w:rFonts w:ascii="Tahoma" w:hAnsi="Tahoma" w:cs="Tahoma"/>
          <w:b/>
          <w:bCs/>
        </w:rPr>
        <w:t xml:space="preserve"> and number</w:t>
      </w:r>
      <w:r w:rsidR="0013050A" w:rsidRPr="00A03BAB">
        <w:rPr>
          <w:rFonts w:ascii="Tahoma" w:hAnsi="Tahoma" w:cs="Tahoma"/>
          <w:b/>
          <w:bCs/>
        </w:rPr>
        <w:t xml:space="preserve"> of retrofit equipment that will be needed.</w:t>
      </w:r>
    </w:p>
    <w:p w14:paraId="688F6325" w14:textId="60B94D6F" w:rsidR="00E25164" w:rsidRDefault="00E25164" w:rsidP="00B00433">
      <w:pPr>
        <w:ind w:left="720" w:hanging="720"/>
        <w:rPr>
          <w:rFonts w:ascii="Tahoma" w:hAnsi="Tahoma" w:cs="Tahoma"/>
        </w:rPr>
      </w:pPr>
      <w:r>
        <w:rPr>
          <w:rFonts w:ascii="Tahoma" w:hAnsi="Tahoma" w:cs="Tahoma"/>
        </w:rPr>
        <w:t>A</w:t>
      </w:r>
      <w:r w:rsidR="00695117">
        <w:rPr>
          <w:rFonts w:ascii="Tahoma" w:hAnsi="Tahoma" w:cs="Tahoma"/>
        </w:rPr>
        <w:t>47</w:t>
      </w:r>
      <w:r>
        <w:rPr>
          <w:rFonts w:ascii="Tahoma" w:hAnsi="Tahoma" w:cs="Tahoma"/>
        </w:rPr>
        <w:t xml:space="preserve">: </w:t>
      </w:r>
      <w:r>
        <w:tab/>
      </w:r>
      <w:r w:rsidR="0022778F">
        <w:rPr>
          <w:rFonts w:ascii="Tahoma" w:hAnsi="Tahoma" w:cs="Tahoma"/>
        </w:rPr>
        <w:t xml:space="preserve">Budget </w:t>
      </w:r>
      <w:r w:rsidR="00734443">
        <w:rPr>
          <w:rFonts w:ascii="Tahoma" w:hAnsi="Tahoma" w:cs="Tahoma"/>
        </w:rPr>
        <w:t>F</w:t>
      </w:r>
      <w:r w:rsidR="0022778F">
        <w:rPr>
          <w:rFonts w:ascii="Tahoma" w:hAnsi="Tahoma" w:cs="Tahoma"/>
        </w:rPr>
        <w:t xml:space="preserve">orms may include estimated </w:t>
      </w:r>
      <w:r w:rsidR="003D23B4">
        <w:rPr>
          <w:rFonts w:ascii="Tahoma" w:hAnsi="Tahoma" w:cs="Tahoma"/>
        </w:rPr>
        <w:t xml:space="preserve">equipment costs. </w:t>
      </w:r>
      <w:r w:rsidR="00375B0D">
        <w:rPr>
          <w:rFonts w:ascii="Tahoma" w:hAnsi="Tahoma" w:cs="Tahoma"/>
        </w:rPr>
        <w:t xml:space="preserve">Please note that </w:t>
      </w:r>
      <w:r w:rsidR="00B41F34">
        <w:rPr>
          <w:rFonts w:ascii="Tahoma" w:hAnsi="Tahoma" w:cs="Tahoma"/>
        </w:rPr>
        <w:t xml:space="preserve">the costs of equipment that will be purchased by subcontractors or vendors should </w:t>
      </w:r>
      <w:r w:rsidR="00CE4655">
        <w:rPr>
          <w:rFonts w:ascii="Tahoma" w:hAnsi="Tahoma" w:cs="Tahoma"/>
        </w:rPr>
        <w:t xml:space="preserve">be included in the Subcontracts tab (not the Equipment tab) of the prime </w:t>
      </w:r>
      <w:r w:rsidR="003D2B88">
        <w:rPr>
          <w:rFonts w:ascii="Tahoma" w:hAnsi="Tahoma" w:cs="Tahoma"/>
        </w:rPr>
        <w:t>Applicant</w:t>
      </w:r>
      <w:r w:rsidR="00CE4655">
        <w:rPr>
          <w:rFonts w:ascii="Tahoma" w:hAnsi="Tahoma" w:cs="Tahoma"/>
        </w:rPr>
        <w:t xml:space="preserve">’s </w:t>
      </w:r>
      <w:r w:rsidR="00734443">
        <w:rPr>
          <w:rFonts w:ascii="Tahoma" w:hAnsi="Tahoma" w:cs="Tahoma"/>
        </w:rPr>
        <w:t>B</w:t>
      </w:r>
      <w:r w:rsidR="00CE4655">
        <w:rPr>
          <w:rFonts w:ascii="Tahoma" w:hAnsi="Tahoma" w:cs="Tahoma"/>
        </w:rPr>
        <w:t xml:space="preserve">udget </w:t>
      </w:r>
      <w:r w:rsidR="00734443">
        <w:rPr>
          <w:rFonts w:ascii="Tahoma" w:hAnsi="Tahoma" w:cs="Tahoma"/>
        </w:rPr>
        <w:t>F</w:t>
      </w:r>
      <w:r w:rsidR="00CE4655">
        <w:rPr>
          <w:rFonts w:ascii="Tahoma" w:hAnsi="Tahoma" w:cs="Tahoma"/>
        </w:rPr>
        <w:t xml:space="preserve">orms.  </w:t>
      </w:r>
    </w:p>
    <w:p w14:paraId="5C0F6C56" w14:textId="7FD8B0E2" w:rsidR="00595BF9" w:rsidRDefault="00595BF9" w:rsidP="00B00433">
      <w:pPr>
        <w:ind w:left="720" w:hanging="720"/>
        <w:rPr>
          <w:rFonts w:ascii="Tahoma" w:hAnsi="Tahoma" w:cs="Tahoma"/>
          <w:b/>
          <w:bCs/>
        </w:rPr>
      </w:pPr>
      <w:r w:rsidRPr="00B07DEB">
        <w:rPr>
          <w:rFonts w:ascii="Tahoma" w:hAnsi="Tahoma" w:cs="Tahoma"/>
          <w:b/>
          <w:bCs/>
        </w:rPr>
        <w:t>Q</w:t>
      </w:r>
      <w:r w:rsidR="00036414">
        <w:rPr>
          <w:rFonts w:ascii="Tahoma" w:hAnsi="Tahoma" w:cs="Tahoma"/>
          <w:b/>
          <w:bCs/>
        </w:rPr>
        <w:t>48</w:t>
      </w:r>
      <w:r w:rsidRPr="00B07DEB">
        <w:rPr>
          <w:rFonts w:ascii="Tahoma" w:hAnsi="Tahoma" w:cs="Tahoma"/>
          <w:b/>
          <w:bCs/>
        </w:rPr>
        <w:t>:</w:t>
      </w:r>
      <w:r w:rsidRPr="00B07DEB">
        <w:rPr>
          <w:rFonts w:ascii="Tahoma" w:hAnsi="Tahoma" w:cs="Tahoma"/>
          <w:b/>
          <w:bCs/>
        </w:rPr>
        <w:tab/>
      </w:r>
      <w:r w:rsidR="00FB570E" w:rsidRPr="00B07DEB">
        <w:rPr>
          <w:rFonts w:ascii="Tahoma" w:hAnsi="Tahoma" w:cs="Tahoma"/>
          <w:b/>
          <w:bCs/>
        </w:rPr>
        <w:t xml:space="preserve">Regarding the Subcontracts tab: </w:t>
      </w:r>
      <w:r w:rsidR="00B07DEB">
        <w:rPr>
          <w:rFonts w:ascii="Tahoma" w:hAnsi="Tahoma" w:cs="Tahoma"/>
          <w:b/>
          <w:bCs/>
        </w:rPr>
        <w:t>S</w:t>
      </w:r>
      <w:r w:rsidR="00FB570E" w:rsidRPr="00B07DEB">
        <w:rPr>
          <w:rFonts w:ascii="Tahoma" w:hAnsi="Tahoma" w:cs="Tahoma"/>
          <w:b/>
          <w:bCs/>
        </w:rPr>
        <w:t xml:space="preserve">ubcontractors will be working on multiple tasks. Can </w:t>
      </w:r>
      <w:r w:rsidR="00B07DEB" w:rsidRPr="00B07DEB">
        <w:rPr>
          <w:rFonts w:ascii="Tahoma" w:hAnsi="Tahoma" w:cs="Tahoma"/>
          <w:b/>
          <w:bCs/>
        </w:rPr>
        <w:t>this be broken down by cost category (Administration, Project-Related, Project) rather than by task?</w:t>
      </w:r>
    </w:p>
    <w:p w14:paraId="4791EA78" w14:textId="64838D5E" w:rsidR="00B07DEB" w:rsidRDefault="00B07DEB" w:rsidP="00B00433">
      <w:pPr>
        <w:ind w:left="720" w:hanging="720"/>
        <w:rPr>
          <w:rFonts w:ascii="Tahoma" w:hAnsi="Tahoma" w:cs="Tahoma"/>
        </w:rPr>
      </w:pPr>
      <w:r w:rsidRPr="00B07DEB">
        <w:rPr>
          <w:rFonts w:ascii="Tahoma" w:hAnsi="Tahoma" w:cs="Tahoma"/>
        </w:rPr>
        <w:t>A</w:t>
      </w:r>
      <w:r w:rsidR="00036414">
        <w:rPr>
          <w:rFonts w:ascii="Tahoma" w:hAnsi="Tahoma" w:cs="Tahoma"/>
        </w:rPr>
        <w:t>48</w:t>
      </w:r>
      <w:r w:rsidRPr="00B07DEB">
        <w:rPr>
          <w:rFonts w:ascii="Tahoma" w:hAnsi="Tahoma" w:cs="Tahoma"/>
        </w:rPr>
        <w:t>:</w:t>
      </w:r>
      <w:r w:rsidR="003D2B88">
        <w:rPr>
          <w:rFonts w:ascii="Tahoma" w:hAnsi="Tahoma" w:cs="Tahoma"/>
        </w:rPr>
        <w:tab/>
        <w:t xml:space="preserve">Yes, </w:t>
      </w:r>
      <w:r w:rsidR="003D2B88" w:rsidRPr="00805A25">
        <w:rPr>
          <w:rFonts w:ascii="Tahoma" w:hAnsi="Tahoma" w:cs="Tahoma"/>
        </w:rPr>
        <w:t>Addendum 01</w:t>
      </w:r>
      <w:r w:rsidR="003D2B88">
        <w:rPr>
          <w:rFonts w:ascii="Tahoma" w:hAnsi="Tahoma" w:cs="Tahoma"/>
        </w:rPr>
        <w:t xml:space="preserve"> </w:t>
      </w:r>
      <w:r w:rsidR="00F20658">
        <w:rPr>
          <w:rFonts w:ascii="Tahoma" w:hAnsi="Tahoma" w:cs="Tahoma"/>
        </w:rPr>
        <w:t>includes a modified version of the Budget Forms in which Subcontracts may be</w:t>
      </w:r>
      <w:r w:rsidR="003D2B88">
        <w:rPr>
          <w:rFonts w:ascii="Tahoma" w:hAnsi="Tahoma" w:cs="Tahoma"/>
        </w:rPr>
        <w:t xml:space="preserve"> broken down by cost category rather than task.</w:t>
      </w:r>
      <w:r w:rsidR="00F20658">
        <w:rPr>
          <w:rFonts w:ascii="Tahoma" w:hAnsi="Tahoma" w:cs="Tahoma"/>
        </w:rPr>
        <w:t xml:space="preserve"> </w:t>
      </w:r>
      <w:r w:rsidR="007743E2" w:rsidRPr="00AC1A0A">
        <w:rPr>
          <w:rFonts w:ascii="Tahoma" w:hAnsi="Tahoma" w:cs="Tahoma"/>
          <w:b/>
          <w:bCs/>
          <w:u w:val="single"/>
        </w:rPr>
        <w:t xml:space="preserve">Addendum 02 further modifies the </w:t>
      </w:r>
      <w:r w:rsidR="00671DBB">
        <w:rPr>
          <w:rFonts w:ascii="Tahoma" w:hAnsi="Tahoma" w:cs="Tahoma"/>
          <w:b/>
          <w:bCs/>
          <w:u w:val="single"/>
        </w:rPr>
        <w:t>B</w:t>
      </w:r>
      <w:r w:rsidR="00AC1A0A" w:rsidRPr="00AC1A0A">
        <w:rPr>
          <w:rFonts w:ascii="Tahoma" w:hAnsi="Tahoma" w:cs="Tahoma"/>
          <w:b/>
          <w:bCs/>
          <w:u w:val="single"/>
        </w:rPr>
        <w:t xml:space="preserve">udget </w:t>
      </w:r>
      <w:r w:rsidR="00671DBB">
        <w:rPr>
          <w:rFonts w:ascii="Tahoma" w:hAnsi="Tahoma" w:cs="Tahoma"/>
          <w:b/>
          <w:bCs/>
          <w:u w:val="single"/>
        </w:rPr>
        <w:t>F</w:t>
      </w:r>
      <w:r w:rsidR="00AC1A0A" w:rsidRPr="00AC1A0A">
        <w:rPr>
          <w:rFonts w:ascii="Tahoma" w:hAnsi="Tahoma" w:cs="Tahoma"/>
          <w:b/>
          <w:bCs/>
          <w:u w:val="single"/>
        </w:rPr>
        <w:t>orms, and applicants must submit the Addendum 02 version of the Budget Forms.</w:t>
      </w:r>
      <w:r w:rsidR="00AC1A0A">
        <w:rPr>
          <w:rFonts w:ascii="Tahoma" w:hAnsi="Tahoma" w:cs="Tahoma"/>
        </w:rPr>
        <w:t xml:space="preserve"> </w:t>
      </w:r>
      <w:r w:rsidR="007743E2">
        <w:rPr>
          <w:rFonts w:ascii="Tahoma" w:hAnsi="Tahoma" w:cs="Tahoma"/>
        </w:rPr>
        <w:t>[</w:t>
      </w:r>
      <w:r w:rsidR="00F20658" w:rsidRPr="007743E2">
        <w:rPr>
          <w:rFonts w:ascii="Tahoma" w:hAnsi="Tahoma" w:cs="Tahoma"/>
          <w:strike/>
        </w:rPr>
        <w:t>Applicants may choose to submit either the original or revised version of the Budget Forms.</w:t>
      </w:r>
      <w:r w:rsidR="007743E2">
        <w:rPr>
          <w:rFonts w:ascii="Tahoma" w:hAnsi="Tahoma" w:cs="Tahoma"/>
        </w:rPr>
        <w:t>]</w:t>
      </w:r>
      <w:r w:rsidR="00CC4BAF">
        <w:rPr>
          <w:rFonts w:ascii="Tahoma" w:hAnsi="Tahoma" w:cs="Tahoma"/>
        </w:rPr>
        <w:t xml:space="preserve"> </w:t>
      </w:r>
      <w:r w:rsidR="00CC4BAF" w:rsidRPr="00250DC7">
        <w:rPr>
          <w:rStyle w:val="normaltextrun"/>
          <w:rFonts w:ascii="Tahoma" w:hAnsi="Tahoma" w:cs="Tahoma"/>
          <w:color w:val="000000"/>
          <w:shd w:val="clear" w:color="auto" w:fill="FFFFFF"/>
        </w:rPr>
        <w:t>Please be aware that cost breakdowns by task may be required after the Notice of Proposed Awards has been released and throughout the term of the Agreement.</w:t>
      </w:r>
    </w:p>
    <w:p w14:paraId="5EFD7823" w14:textId="608F1DFA" w:rsidR="00960985" w:rsidRPr="0026578E" w:rsidRDefault="00960985" w:rsidP="00B00433">
      <w:pPr>
        <w:ind w:left="720" w:hanging="720"/>
        <w:rPr>
          <w:rFonts w:ascii="Tahoma" w:hAnsi="Tahoma" w:cs="Tahoma"/>
          <w:b/>
          <w:bCs/>
        </w:rPr>
      </w:pPr>
      <w:r w:rsidRPr="0026578E">
        <w:rPr>
          <w:rFonts w:ascii="Tahoma" w:hAnsi="Tahoma" w:cs="Tahoma"/>
          <w:b/>
          <w:bCs/>
        </w:rPr>
        <w:t>Q</w:t>
      </w:r>
      <w:r w:rsidR="00036414">
        <w:rPr>
          <w:rFonts w:ascii="Tahoma" w:hAnsi="Tahoma" w:cs="Tahoma"/>
          <w:b/>
          <w:bCs/>
        </w:rPr>
        <w:t>49</w:t>
      </w:r>
      <w:r w:rsidRPr="0026578E">
        <w:rPr>
          <w:rFonts w:ascii="Tahoma" w:hAnsi="Tahoma" w:cs="Tahoma"/>
          <w:b/>
          <w:bCs/>
        </w:rPr>
        <w:t>:</w:t>
      </w:r>
      <w:r w:rsidRPr="0026578E">
        <w:rPr>
          <w:rFonts w:ascii="Tahoma" w:hAnsi="Tahoma" w:cs="Tahoma"/>
          <w:b/>
          <w:bCs/>
        </w:rPr>
        <w:tab/>
        <w:t xml:space="preserve">Regarding the Subcontracts tab: </w:t>
      </w:r>
      <w:r w:rsidR="00866CB4">
        <w:rPr>
          <w:rFonts w:ascii="Tahoma" w:hAnsi="Tahoma" w:cs="Tahoma"/>
          <w:b/>
          <w:bCs/>
        </w:rPr>
        <w:t>If t</w:t>
      </w:r>
      <w:r w:rsidR="00693EB3" w:rsidRPr="0026578E">
        <w:rPr>
          <w:rFonts w:ascii="Tahoma" w:hAnsi="Tahoma" w:cs="Tahoma"/>
          <w:b/>
          <w:bCs/>
        </w:rPr>
        <w:t>he subcontractors and CBO outreach partners will be identified in the first year of the program</w:t>
      </w:r>
      <w:r w:rsidR="00866CB4">
        <w:rPr>
          <w:rFonts w:ascii="Tahoma" w:hAnsi="Tahoma" w:cs="Tahoma"/>
          <w:b/>
          <w:bCs/>
        </w:rPr>
        <w:t>,</w:t>
      </w:r>
      <w:r w:rsidR="00377754" w:rsidRPr="0026578E">
        <w:rPr>
          <w:rFonts w:ascii="Tahoma" w:hAnsi="Tahoma" w:cs="Tahoma"/>
          <w:b/>
          <w:bCs/>
        </w:rPr>
        <w:t xml:space="preserve"> </w:t>
      </w:r>
      <w:r w:rsidR="00866CB4">
        <w:rPr>
          <w:rFonts w:ascii="Tahoma" w:hAnsi="Tahoma" w:cs="Tahoma"/>
          <w:b/>
          <w:bCs/>
        </w:rPr>
        <w:t>c</w:t>
      </w:r>
      <w:r w:rsidR="00377754" w:rsidRPr="0026578E">
        <w:rPr>
          <w:rFonts w:ascii="Tahoma" w:hAnsi="Tahoma" w:cs="Tahoma"/>
          <w:b/>
          <w:bCs/>
        </w:rPr>
        <w:t>an the budget</w:t>
      </w:r>
      <w:r w:rsidR="000636F5" w:rsidRPr="0026578E">
        <w:rPr>
          <w:rFonts w:ascii="Tahoma" w:hAnsi="Tahoma" w:cs="Tahoma"/>
          <w:b/>
          <w:bCs/>
        </w:rPr>
        <w:t>s</w:t>
      </w:r>
      <w:r w:rsidR="00377754" w:rsidRPr="0026578E">
        <w:rPr>
          <w:rFonts w:ascii="Tahoma" w:hAnsi="Tahoma" w:cs="Tahoma"/>
          <w:b/>
          <w:bCs/>
        </w:rPr>
        <w:t xml:space="preserve"> for both the installation contactors and the CBOs</w:t>
      </w:r>
      <w:r w:rsidR="000636F5" w:rsidRPr="0026578E">
        <w:rPr>
          <w:rFonts w:ascii="Tahoma" w:hAnsi="Tahoma" w:cs="Tahoma"/>
          <w:b/>
          <w:bCs/>
        </w:rPr>
        <w:t xml:space="preserve"> be listed as aggregated for each group by cost category (</w:t>
      </w:r>
      <w:r w:rsidR="0026578E" w:rsidRPr="0026578E">
        <w:rPr>
          <w:rFonts w:ascii="Tahoma" w:hAnsi="Tahoma" w:cs="Tahoma"/>
          <w:b/>
          <w:bCs/>
        </w:rPr>
        <w:t>Project for installation contractors and Project-Related for CBOs)?</w:t>
      </w:r>
    </w:p>
    <w:p w14:paraId="36D110DF" w14:textId="6D3AFFD7" w:rsidR="0026578E" w:rsidRDefault="0026578E" w:rsidP="00B00433">
      <w:pPr>
        <w:ind w:left="720" w:hanging="720"/>
        <w:rPr>
          <w:rFonts w:ascii="Tahoma" w:hAnsi="Tahoma" w:cs="Tahoma"/>
        </w:rPr>
      </w:pPr>
      <w:r>
        <w:rPr>
          <w:rFonts w:ascii="Tahoma" w:hAnsi="Tahoma" w:cs="Tahoma"/>
        </w:rPr>
        <w:t>A</w:t>
      </w:r>
      <w:r w:rsidR="00036414">
        <w:rPr>
          <w:rFonts w:ascii="Tahoma" w:hAnsi="Tahoma" w:cs="Tahoma"/>
        </w:rPr>
        <w:t>49</w:t>
      </w:r>
      <w:r>
        <w:rPr>
          <w:rFonts w:ascii="Tahoma" w:hAnsi="Tahoma" w:cs="Tahoma"/>
        </w:rPr>
        <w:t>:</w:t>
      </w:r>
      <w:r>
        <w:rPr>
          <w:rFonts w:ascii="Tahoma" w:hAnsi="Tahoma" w:cs="Tahoma"/>
        </w:rPr>
        <w:tab/>
      </w:r>
      <w:r w:rsidR="006234FA">
        <w:rPr>
          <w:rFonts w:ascii="Tahoma" w:hAnsi="Tahoma" w:cs="Tahoma"/>
        </w:rPr>
        <w:t xml:space="preserve">Any proposed subcontractors/vendors that are not identified at the time the application is submitted may be </w:t>
      </w:r>
      <w:r w:rsidR="005D6758">
        <w:rPr>
          <w:rFonts w:ascii="Tahoma" w:hAnsi="Tahoma" w:cs="Tahoma"/>
        </w:rPr>
        <w:t xml:space="preserve">identified as </w:t>
      </w:r>
      <w:r w:rsidR="00AE10B2">
        <w:rPr>
          <w:rFonts w:ascii="Tahoma" w:hAnsi="Tahoma" w:cs="Tahoma"/>
        </w:rPr>
        <w:t>To Be Determined (</w:t>
      </w:r>
      <w:r w:rsidR="005D6758">
        <w:rPr>
          <w:rFonts w:ascii="Tahoma" w:hAnsi="Tahoma" w:cs="Tahoma"/>
        </w:rPr>
        <w:t>TBD</w:t>
      </w:r>
      <w:r w:rsidR="00AE10B2">
        <w:rPr>
          <w:rFonts w:ascii="Tahoma" w:hAnsi="Tahoma" w:cs="Tahoma"/>
        </w:rPr>
        <w:t>)</w:t>
      </w:r>
      <w:r w:rsidR="005D6758">
        <w:rPr>
          <w:rFonts w:ascii="Tahoma" w:hAnsi="Tahoma" w:cs="Tahoma"/>
        </w:rPr>
        <w:t xml:space="preserve"> on the </w:t>
      </w:r>
      <w:r w:rsidR="00734443">
        <w:rPr>
          <w:rFonts w:ascii="Tahoma" w:hAnsi="Tahoma" w:cs="Tahoma"/>
        </w:rPr>
        <w:t>B</w:t>
      </w:r>
      <w:r w:rsidR="005D6758">
        <w:rPr>
          <w:rFonts w:ascii="Tahoma" w:hAnsi="Tahoma" w:cs="Tahoma"/>
        </w:rPr>
        <w:t xml:space="preserve">udget </w:t>
      </w:r>
      <w:r w:rsidR="00734443">
        <w:rPr>
          <w:rFonts w:ascii="Tahoma" w:hAnsi="Tahoma" w:cs="Tahoma"/>
        </w:rPr>
        <w:t>F</w:t>
      </w:r>
      <w:r w:rsidR="005D6758">
        <w:rPr>
          <w:rFonts w:ascii="Tahoma" w:hAnsi="Tahoma" w:cs="Tahoma"/>
        </w:rPr>
        <w:t xml:space="preserve">orms. </w:t>
      </w:r>
      <w:r w:rsidR="001972F0">
        <w:rPr>
          <w:rFonts w:ascii="Tahoma" w:hAnsi="Tahoma" w:cs="Tahoma"/>
        </w:rPr>
        <w:t xml:space="preserve">Please note that </w:t>
      </w:r>
      <w:r w:rsidR="00296C19">
        <w:rPr>
          <w:rFonts w:ascii="Tahoma" w:hAnsi="Tahoma" w:cs="Tahoma"/>
        </w:rPr>
        <w:t>A</w:t>
      </w:r>
      <w:r w:rsidR="001972F0">
        <w:rPr>
          <w:rFonts w:ascii="Tahoma" w:hAnsi="Tahoma" w:cs="Tahoma"/>
        </w:rPr>
        <w:t xml:space="preserve">pplicants are required to </w:t>
      </w:r>
      <w:r w:rsidR="00A03F86">
        <w:rPr>
          <w:rFonts w:ascii="Tahoma" w:hAnsi="Tahoma" w:cs="Tahoma"/>
        </w:rPr>
        <w:t>include</w:t>
      </w:r>
      <w:r w:rsidR="001972F0">
        <w:rPr>
          <w:rFonts w:ascii="Tahoma" w:hAnsi="Tahoma" w:cs="Tahoma"/>
        </w:rPr>
        <w:t xml:space="preserve"> at least two CBOs </w:t>
      </w:r>
      <w:r w:rsidR="00A03F86">
        <w:rPr>
          <w:rFonts w:ascii="Tahoma" w:hAnsi="Tahoma" w:cs="Tahoma"/>
        </w:rPr>
        <w:t>on the project team in order for their application to be considered.</w:t>
      </w:r>
    </w:p>
    <w:p w14:paraId="52378699" w14:textId="5EE1457C" w:rsidR="00F6658E" w:rsidRPr="00E11B88" w:rsidRDefault="00F6658E" w:rsidP="00B00433">
      <w:pPr>
        <w:ind w:left="720" w:hanging="720"/>
        <w:rPr>
          <w:rFonts w:ascii="Tahoma" w:hAnsi="Tahoma" w:cs="Tahoma"/>
          <w:b/>
          <w:bCs/>
        </w:rPr>
      </w:pPr>
      <w:r w:rsidRPr="00E11B88">
        <w:rPr>
          <w:rFonts w:ascii="Tahoma" w:hAnsi="Tahoma" w:cs="Tahoma"/>
          <w:b/>
          <w:bCs/>
        </w:rPr>
        <w:t>Q</w:t>
      </w:r>
      <w:r w:rsidR="00356CEF">
        <w:rPr>
          <w:rFonts w:ascii="Tahoma" w:hAnsi="Tahoma" w:cs="Tahoma"/>
          <w:b/>
          <w:bCs/>
        </w:rPr>
        <w:t>50</w:t>
      </w:r>
      <w:r w:rsidRPr="00E11B88">
        <w:rPr>
          <w:rFonts w:ascii="Tahoma" w:hAnsi="Tahoma" w:cs="Tahoma"/>
          <w:b/>
          <w:bCs/>
        </w:rPr>
        <w:t>:</w:t>
      </w:r>
      <w:r w:rsidRPr="00E11B88">
        <w:rPr>
          <w:rFonts w:ascii="Tahoma" w:hAnsi="Tahoma" w:cs="Tahoma"/>
          <w:b/>
          <w:bCs/>
        </w:rPr>
        <w:tab/>
      </w:r>
      <w:r w:rsidR="002651B7" w:rsidRPr="00E11B88">
        <w:rPr>
          <w:rFonts w:ascii="Tahoma" w:hAnsi="Tahoma" w:cs="Tahoma"/>
          <w:b/>
          <w:bCs/>
        </w:rPr>
        <w:t>On the Task List tab</w:t>
      </w:r>
      <w:r w:rsidR="00527728" w:rsidRPr="00E11B88">
        <w:rPr>
          <w:rFonts w:ascii="Tahoma" w:hAnsi="Tahoma" w:cs="Tahoma"/>
          <w:b/>
          <w:bCs/>
        </w:rPr>
        <w:t>, Task 5.7 (the set-aside for manufactured homes) is categorized as “Admin”. Some of the activities under Task 5.7 could also fall under other activities (e.g. “Ensure that retrofits of manufactured homes comply with applicable standards” could also fall under Task 5.13 quality assurance; “Collect data on manufactured home retrofits in accordance with Task 3” could also have activities that fall under Task 5.14 Participant Surveys). How would the CEC prefer bidders to address such overlaps?</w:t>
      </w:r>
    </w:p>
    <w:p w14:paraId="4D7F32D4" w14:textId="769BA6A5" w:rsidR="00E11B88" w:rsidRPr="00B07DEB" w:rsidRDefault="00E11B88" w:rsidP="00B00433">
      <w:pPr>
        <w:ind w:left="720" w:hanging="720"/>
        <w:rPr>
          <w:rFonts w:ascii="Tahoma" w:hAnsi="Tahoma" w:cs="Tahoma"/>
        </w:rPr>
      </w:pPr>
      <w:r>
        <w:rPr>
          <w:rFonts w:ascii="Tahoma" w:hAnsi="Tahoma" w:cs="Tahoma"/>
        </w:rPr>
        <w:t>A</w:t>
      </w:r>
      <w:r w:rsidR="00356CEF">
        <w:rPr>
          <w:rFonts w:ascii="Tahoma" w:hAnsi="Tahoma" w:cs="Tahoma"/>
        </w:rPr>
        <w:t>50</w:t>
      </w:r>
      <w:r>
        <w:rPr>
          <w:rFonts w:ascii="Tahoma" w:hAnsi="Tahoma" w:cs="Tahoma"/>
        </w:rPr>
        <w:t>:</w:t>
      </w:r>
      <w:r>
        <w:rPr>
          <w:rFonts w:ascii="Tahoma" w:hAnsi="Tahoma" w:cs="Tahoma"/>
        </w:rPr>
        <w:tab/>
      </w:r>
      <w:r w:rsidR="00EE6D30">
        <w:rPr>
          <w:rFonts w:ascii="Tahoma" w:hAnsi="Tahoma" w:cs="Tahoma"/>
        </w:rPr>
        <w:t xml:space="preserve">Applicants should interpret Task 5.7 to </w:t>
      </w:r>
      <w:r w:rsidR="006C281E">
        <w:rPr>
          <w:rFonts w:ascii="Tahoma" w:hAnsi="Tahoma" w:cs="Tahoma"/>
        </w:rPr>
        <w:t>encompass</w:t>
      </w:r>
      <w:r w:rsidR="00EE6D30">
        <w:rPr>
          <w:rFonts w:ascii="Tahoma" w:hAnsi="Tahoma" w:cs="Tahoma"/>
        </w:rPr>
        <w:t xml:space="preserve"> administrative tasks such as </w:t>
      </w:r>
      <w:r w:rsidR="00DA0A49">
        <w:rPr>
          <w:rFonts w:ascii="Tahoma" w:hAnsi="Tahoma" w:cs="Tahoma"/>
        </w:rPr>
        <w:t xml:space="preserve">developing the Manufactured and Mobile Homes Service Plan. Implementation of the program for manufactured and mobile homes </w:t>
      </w:r>
      <w:r w:rsidR="00032D55">
        <w:rPr>
          <w:rFonts w:ascii="Tahoma" w:hAnsi="Tahoma" w:cs="Tahoma"/>
        </w:rPr>
        <w:t xml:space="preserve">will fall under other subtasks (for example, </w:t>
      </w:r>
      <w:r w:rsidR="00E74168">
        <w:rPr>
          <w:rFonts w:ascii="Tahoma" w:hAnsi="Tahoma" w:cs="Tahoma"/>
        </w:rPr>
        <w:t>outreach to manufactured/mobile homes will be part of Task 5.8, retrofits of manufactured/mobile homes will be part of Task 5.12, etc</w:t>
      </w:r>
      <w:r w:rsidR="006C281E">
        <w:rPr>
          <w:rFonts w:ascii="Tahoma" w:hAnsi="Tahoma" w:cs="Tahoma"/>
        </w:rPr>
        <w:t>.</w:t>
      </w:r>
      <w:r w:rsidR="00E74168">
        <w:rPr>
          <w:rFonts w:ascii="Tahoma" w:hAnsi="Tahoma" w:cs="Tahoma"/>
        </w:rPr>
        <w:t>).</w:t>
      </w:r>
    </w:p>
    <w:p w14:paraId="09EFB286" w14:textId="77777777" w:rsidR="00C416C1" w:rsidRDefault="00C416C1" w:rsidP="00A600DA">
      <w:pPr>
        <w:rPr>
          <w:rFonts w:ascii="Tahoma" w:hAnsi="Tahoma" w:cs="Tahoma"/>
        </w:rPr>
      </w:pPr>
    </w:p>
    <w:p w14:paraId="39CA47DA" w14:textId="2A99F385" w:rsidR="00A600DA" w:rsidRDefault="00A600DA" w:rsidP="00A600DA">
      <w:pPr>
        <w:pStyle w:val="Heading1"/>
      </w:pPr>
      <w:r>
        <w:t>Other Application Attachments</w:t>
      </w:r>
    </w:p>
    <w:p w14:paraId="3769B2B0" w14:textId="74A2E1CF" w:rsidR="00792AA1" w:rsidRDefault="00792AA1" w:rsidP="00792AA1">
      <w:pPr>
        <w:ind w:left="720" w:hanging="720"/>
        <w:rPr>
          <w:rFonts w:ascii="Tahoma" w:hAnsi="Tahoma" w:cs="Tahoma"/>
          <w:b/>
          <w:bCs/>
        </w:rPr>
      </w:pPr>
      <w:r w:rsidRPr="00B7464E">
        <w:rPr>
          <w:rFonts w:ascii="Tahoma" w:hAnsi="Tahoma" w:cs="Tahoma"/>
          <w:b/>
          <w:bCs/>
        </w:rPr>
        <w:t>Q</w:t>
      </w:r>
      <w:r w:rsidR="00422D19">
        <w:rPr>
          <w:rFonts w:ascii="Tahoma" w:hAnsi="Tahoma" w:cs="Tahoma"/>
          <w:b/>
          <w:bCs/>
        </w:rPr>
        <w:t>51</w:t>
      </w:r>
      <w:r w:rsidRPr="00B7464E">
        <w:rPr>
          <w:rFonts w:ascii="Tahoma" w:hAnsi="Tahoma" w:cs="Tahoma"/>
          <w:b/>
          <w:bCs/>
        </w:rPr>
        <w:t>:</w:t>
      </w:r>
      <w:r w:rsidRPr="00B7464E">
        <w:rPr>
          <w:rFonts w:ascii="Tahoma" w:hAnsi="Tahoma" w:cs="Tahoma"/>
          <w:b/>
          <w:bCs/>
        </w:rPr>
        <w:tab/>
        <w:t>Is the CEQA Compliance Form</w:t>
      </w:r>
      <w:r w:rsidR="006962F9">
        <w:rPr>
          <w:rFonts w:ascii="Tahoma" w:hAnsi="Tahoma" w:cs="Tahoma"/>
          <w:b/>
          <w:bCs/>
        </w:rPr>
        <w:t xml:space="preserve"> (Attachment 8)</w:t>
      </w:r>
      <w:r w:rsidRPr="00B7464E">
        <w:rPr>
          <w:rFonts w:ascii="Tahoma" w:hAnsi="Tahoma" w:cs="Tahoma"/>
          <w:b/>
          <w:bCs/>
        </w:rPr>
        <w:t xml:space="preserve"> to be completed for each home retrofit delivered through the program, or only once with </w:t>
      </w:r>
      <w:r>
        <w:rPr>
          <w:rFonts w:ascii="Tahoma" w:hAnsi="Tahoma" w:cs="Tahoma"/>
          <w:b/>
          <w:bCs/>
        </w:rPr>
        <w:t>our</w:t>
      </w:r>
      <w:r w:rsidRPr="00B7464E">
        <w:rPr>
          <w:rFonts w:ascii="Tahoma" w:hAnsi="Tahoma" w:cs="Tahoma"/>
          <w:b/>
          <w:bCs/>
        </w:rPr>
        <w:t xml:space="preserve"> application?</w:t>
      </w:r>
    </w:p>
    <w:p w14:paraId="6CF8CE45" w14:textId="2318E696" w:rsidR="00792AA1" w:rsidRDefault="00792AA1" w:rsidP="00792AA1">
      <w:pPr>
        <w:ind w:left="720" w:hanging="720"/>
        <w:rPr>
          <w:rFonts w:ascii="Tahoma" w:hAnsi="Tahoma" w:cs="Tahoma"/>
        </w:rPr>
      </w:pPr>
      <w:r w:rsidRPr="00B7464E">
        <w:rPr>
          <w:rFonts w:ascii="Tahoma" w:hAnsi="Tahoma" w:cs="Tahoma"/>
        </w:rPr>
        <w:t>A</w:t>
      </w:r>
      <w:r w:rsidR="002E34ED">
        <w:rPr>
          <w:rFonts w:ascii="Tahoma" w:hAnsi="Tahoma" w:cs="Tahoma"/>
        </w:rPr>
        <w:t>51</w:t>
      </w:r>
      <w:r w:rsidRPr="00B7464E">
        <w:rPr>
          <w:rFonts w:ascii="Tahoma" w:hAnsi="Tahoma" w:cs="Tahoma"/>
        </w:rPr>
        <w:t>:</w:t>
      </w:r>
      <w:r w:rsidRPr="00B7464E">
        <w:rPr>
          <w:rFonts w:ascii="Tahoma" w:hAnsi="Tahoma" w:cs="Tahoma"/>
        </w:rPr>
        <w:tab/>
        <w:t xml:space="preserve">The CEQA Compliance Form should be </w:t>
      </w:r>
      <w:r>
        <w:rPr>
          <w:rFonts w:ascii="Tahoma" w:hAnsi="Tahoma" w:cs="Tahoma"/>
        </w:rPr>
        <w:t>submitted</w:t>
      </w:r>
      <w:r w:rsidRPr="00B7464E">
        <w:rPr>
          <w:rFonts w:ascii="Tahoma" w:hAnsi="Tahoma" w:cs="Tahoma"/>
        </w:rPr>
        <w:t xml:space="preserve"> once as part of the application package.</w:t>
      </w:r>
    </w:p>
    <w:p w14:paraId="7367248E" w14:textId="3FC6852B" w:rsidR="00040E4C" w:rsidRPr="006B3CC1" w:rsidRDefault="00040E4C" w:rsidP="00040E4C">
      <w:pPr>
        <w:ind w:left="720" w:hanging="720"/>
        <w:rPr>
          <w:rFonts w:ascii="Tahoma" w:hAnsi="Tahoma" w:cs="Tahoma"/>
          <w:b/>
          <w:bCs/>
        </w:rPr>
      </w:pPr>
      <w:r w:rsidRPr="006B3CC1">
        <w:rPr>
          <w:rFonts w:ascii="Tahoma" w:hAnsi="Tahoma" w:cs="Tahoma"/>
          <w:b/>
          <w:bCs/>
        </w:rPr>
        <w:t>Q</w:t>
      </w:r>
      <w:r w:rsidR="00457B1A">
        <w:rPr>
          <w:rFonts w:ascii="Tahoma" w:hAnsi="Tahoma" w:cs="Tahoma"/>
          <w:b/>
          <w:bCs/>
        </w:rPr>
        <w:t>5</w:t>
      </w:r>
      <w:r w:rsidR="00F36172">
        <w:rPr>
          <w:rFonts w:ascii="Tahoma" w:hAnsi="Tahoma" w:cs="Tahoma"/>
          <w:b/>
          <w:bCs/>
        </w:rPr>
        <w:t>2</w:t>
      </w:r>
      <w:r w:rsidRPr="006B3CC1">
        <w:rPr>
          <w:rFonts w:ascii="Tahoma" w:hAnsi="Tahoma" w:cs="Tahoma"/>
          <w:b/>
          <w:bCs/>
        </w:rPr>
        <w:t>:</w:t>
      </w:r>
      <w:r w:rsidRPr="006B3CC1">
        <w:rPr>
          <w:rFonts w:ascii="Tahoma" w:hAnsi="Tahoma" w:cs="Tahoma"/>
          <w:b/>
          <w:bCs/>
        </w:rPr>
        <w:tab/>
        <w:t>Past Performance Reference Forms must be submitted for all CEC agreements within the past 10 years, and for the 5 most recent agreements with tribes, other public agencies, or load serving entities. Does that refer to the 5 most recent agreements collectively across the team, or the 5 most recent agreements for each team member?</w:t>
      </w:r>
    </w:p>
    <w:p w14:paraId="56F258F1" w14:textId="1FBEA9F8" w:rsidR="00040E4C" w:rsidRDefault="00040E4C" w:rsidP="00040E4C">
      <w:pPr>
        <w:ind w:left="720" w:hanging="720"/>
        <w:rPr>
          <w:rFonts w:ascii="Tahoma" w:hAnsi="Tahoma" w:cs="Tahoma"/>
        </w:rPr>
      </w:pPr>
      <w:r>
        <w:rPr>
          <w:rFonts w:ascii="Tahoma" w:hAnsi="Tahoma" w:cs="Tahoma"/>
        </w:rPr>
        <w:t>A</w:t>
      </w:r>
      <w:r w:rsidR="00457B1A">
        <w:rPr>
          <w:rFonts w:ascii="Tahoma" w:hAnsi="Tahoma" w:cs="Tahoma"/>
        </w:rPr>
        <w:t>5</w:t>
      </w:r>
      <w:r w:rsidR="00F36172">
        <w:rPr>
          <w:rFonts w:ascii="Tahoma" w:hAnsi="Tahoma" w:cs="Tahoma"/>
        </w:rPr>
        <w:t>2</w:t>
      </w:r>
      <w:r>
        <w:rPr>
          <w:rFonts w:ascii="Tahoma" w:hAnsi="Tahoma" w:cs="Tahoma"/>
        </w:rPr>
        <w:t>:</w:t>
      </w:r>
      <w:r>
        <w:rPr>
          <w:rFonts w:ascii="Tahoma" w:hAnsi="Tahoma" w:cs="Tahoma"/>
        </w:rPr>
        <w:tab/>
      </w:r>
      <w:r w:rsidR="005477D9">
        <w:rPr>
          <w:rFonts w:ascii="Tahoma" w:hAnsi="Tahoma" w:cs="Tahoma"/>
        </w:rPr>
        <w:t xml:space="preserve">This refers to the </w:t>
      </w:r>
      <w:r w:rsidR="008F35A2">
        <w:rPr>
          <w:rFonts w:ascii="Tahoma" w:hAnsi="Tahoma" w:cs="Tahoma"/>
        </w:rPr>
        <w:t>five (</w:t>
      </w:r>
      <w:r w:rsidR="005477D9">
        <w:rPr>
          <w:rFonts w:ascii="Tahoma" w:hAnsi="Tahoma" w:cs="Tahoma"/>
        </w:rPr>
        <w:t>5</w:t>
      </w:r>
      <w:r w:rsidR="008F35A2">
        <w:rPr>
          <w:rFonts w:ascii="Tahoma" w:hAnsi="Tahoma" w:cs="Tahoma"/>
        </w:rPr>
        <w:t>)</w:t>
      </w:r>
      <w:r w:rsidR="005477D9">
        <w:rPr>
          <w:rFonts w:ascii="Tahoma" w:hAnsi="Tahoma" w:cs="Tahoma"/>
        </w:rPr>
        <w:t xml:space="preserve"> most recent agreements held by the prime Applicant</w:t>
      </w:r>
      <w:r w:rsidR="009E1537">
        <w:rPr>
          <w:rFonts w:ascii="Tahoma" w:hAnsi="Tahoma" w:cs="Tahoma"/>
        </w:rPr>
        <w:t>, not</w:t>
      </w:r>
      <w:r w:rsidR="005477D9">
        <w:rPr>
          <w:rFonts w:ascii="Tahoma" w:hAnsi="Tahoma" w:cs="Tahoma"/>
        </w:rPr>
        <w:t xml:space="preserve"> agreements held by proposed subcontractors or vendors. </w:t>
      </w:r>
      <w:r>
        <w:rPr>
          <w:rFonts w:ascii="Tahoma" w:hAnsi="Tahoma" w:cs="Tahoma"/>
        </w:rPr>
        <w:t>However, in addition to th</w:t>
      </w:r>
      <w:r w:rsidR="00DD54CF">
        <w:rPr>
          <w:rFonts w:ascii="Tahoma" w:hAnsi="Tahoma" w:cs="Tahoma"/>
        </w:rPr>
        <w:t>is</w:t>
      </w:r>
      <w:r>
        <w:rPr>
          <w:rFonts w:ascii="Tahoma" w:hAnsi="Tahoma" w:cs="Tahoma"/>
        </w:rPr>
        <w:t xml:space="preserve"> requirement, if a team member’s experience and qualifications described in the Program Narrative include a project(s) under current or prior agreements with public or ratepayer funding, the </w:t>
      </w:r>
      <w:r w:rsidR="005146F0">
        <w:rPr>
          <w:rFonts w:ascii="Tahoma" w:hAnsi="Tahoma" w:cs="Tahoma"/>
        </w:rPr>
        <w:t>a</w:t>
      </w:r>
      <w:r>
        <w:rPr>
          <w:rFonts w:ascii="Tahoma" w:hAnsi="Tahoma" w:cs="Tahoma"/>
        </w:rPr>
        <w:t xml:space="preserve">pplicant must also submit a Past Performance Reference Form for that team member and project(s), even if the team member is not the primary </w:t>
      </w:r>
      <w:r w:rsidR="005146F0">
        <w:rPr>
          <w:rFonts w:ascii="Tahoma" w:hAnsi="Tahoma" w:cs="Tahoma"/>
        </w:rPr>
        <w:t>a</w:t>
      </w:r>
      <w:r>
        <w:rPr>
          <w:rFonts w:ascii="Tahoma" w:hAnsi="Tahoma" w:cs="Tahoma"/>
        </w:rPr>
        <w:t xml:space="preserve">pplicant.  </w:t>
      </w:r>
    </w:p>
    <w:p w14:paraId="4C163CBA" w14:textId="08001F25" w:rsidR="00040E4C" w:rsidRPr="006E680A" w:rsidRDefault="00040E4C" w:rsidP="00040E4C">
      <w:pPr>
        <w:ind w:left="720" w:hanging="720"/>
        <w:rPr>
          <w:rFonts w:ascii="Tahoma" w:hAnsi="Tahoma" w:cs="Tahoma"/>
          <w:b/>
          <w:bCs/>
        </w:rPr>
      </w:pPr>
      <w:r w:rsidRPr="006E680A">
        <w:rPr>
          <w:rFonts w:ascii="Tahoma" w:hAnsi="Tahoma" w:cs="Tahoma"/>
          <w:b/>
          <w:bCs/>
        </w:rPr>
        <w:t>Q</w:t>
      </w:r>
      <w:r w:rsidR="00457B1A">
        <w:rPr>
          <w:rFonts w:ascii="Tahoma" w:hAnsi="Tahoma" w:cs="Tahoma"/>
          <w:b/>
          <w:bCs/>
        </w:rPr>
        <w:t>5</w:t>
      </w:r>
      <w:r w:rsidR="00543144">
        <w:rPr>
          <w:rFonts w:ascii="Tahoma" w:hAnsi="Tahoma" w:cs="Tahoma"/>
          <w:b/>
          <w:bCs/>
        </w:rPr>
        <w:t>3</w:t>
      </w:r>
      <w:r w:rsidRPr="006E680A">
        <w:rPr>
          <w:rFonts w:ascii="Tahoma" w:hAnsi="Tahoma" w:cs="Tahoma"/>
          <w:b/>
          <w:bCs/>
        </w:rPr>
        <w:t>:</w:t>
      </w:r>
      <w:r w:rsidRPr="006E680A">
        <w:rPr>
          <w:rFonts w:ascii="Tahoma" w:hAnsi="Tahoma" w:cs="Tahoma"/>
          <w:b/>
          <w:bCs/>
        </w:rPr>
        <w:tab/>
        <w:t>If Applicants do not propose additional tasks for the Scope of Work, what is required for a compliant submittal of the Scope of Work attachment?</w:t>
      </w:r>
    </w:p>
    <w:p w14:paraId="1F502BBA" w14:textId="248FF699" w:rsidR="00C757F7" w:rsidRDefault="00040E4C" w:rsidP="00846300">
      <w:pPr>
        <w:ind w:left="720" w:hanging="720"/>
        <w:rPr>
          <w:rFonts w:ascii="Tahoma" w:hAnsi="Tahoma" w:cs="Tahoma"/>
        </w:rPr>
      </w:pPr>
      <w:r>
        <w:rPr>
          <w:rFonts w:ascii="Tahoma" w:hAnsi="Tahoma" w:cs="Tahoma"/>
        </w:rPr>
        <w:t>A</w:t>
      </w:r>
      <w:r w:rsidR="00457B1A">
        <w:rPr>
          <w:rFonts w:ascii="Tahoma" w:hAnsi="Tahoma" w:cs="Tahoma"/>
        </w:rPr>
        <w:t>5</w:t>
      </w:r>
      <w:r w:rsidR="00543144">
        <w:rPr>
          <w:rFonts w:ascii="Tahoma" w:hAnsi="Tahoma" w:cs="Tahoma"/>
        </w:rPr>
        <w:t>3</w:t>
      </w:r>
      <w:r>
        <w:rPr>
          <w:rFonts w:ascii="Tahoma" w:hAnsi="Tahoma" w:cs="Tahoma"/>
        </w:rPr>
        <w:t>:</w:t>
      </w:r>
      <w:r>
        <w:rPr>
          <w:rFonts w:ascii="Tahoma" w:hAnsi="Tahoma" w:cs="Tahoma"/>
        </w:rPr>
        <w:tab/>
        <w:t xml:space="preserve">Applicants should not change Tasks 1-8 in the Scope of Work (Attachment 2), but may add tasks as indicated in blue text. Applicants are not required to add tasks. If no tasks are added, </w:t>
      </w:r>
      <w:r w:rsidR="005146F0">
        <w:rPr>
          <w:rFonts w:ascii="Tahoma" w:hAnsi="Tahoma" w:cs="Tahoma"/>
        </w:rPr>
        <w:t>a</w:t>
      </w:r>
      <w:r>
        <w:rPr>
          <w:rFonts w:ascii="Tahoma" w:hAnsi="Tahoma" w:cs="Tahoma"/>
        </w:rPr>
        <w:t xml:space="preserve">pplicants may remove the section at the end of the Scope of Work that begins “&lt;Add additional tasks as needed for the Agreement&gt;”. </w:t>
      </w:r>
    </w:p>
    <w:p w14:paraId="0683D025" w14:textId="4CCB433C" w:rsidR="00B326C5" w:rsidRPr="009231B1" w:rsidRDefault="00B326C5" w:rsidP="00F80799">
      <w:pPr>
        <w:ind w:left="630" w:hanging="630"/>
        <w:rPr>
          <w:rFonts w:ascii="Tahoma" w:hAnsi="Tahoma" w:cs="Tahoma"/>
          <w:b/>
          <w:bCs/>
        </w:rPr>
      </w:pPr>
      <w:r w:rsidRPr="009231B1">
        <w:rPr>
          <w:rFonts w:ascii="Tahoma" w:hAnsi="Tahoma" w:cs="Tahoma"/>
          <w:b/>
          <w:bCs/>
        </w:rPr>
        <w:t>Q</w:t>
      </w:r>
      <w:r w:rsidR="00457B1A">
        <w:rPr>
          <w:rFonts w:ascii="Tahoma" w:hAnsi="Tahoma" w:cs="Tahoma"/>
          <w:b/>
          <w:bCs/>
        </w:rPr>
        <w:t>5</w:t>
      </w:r>
      <w:r w:rsidR="00543144">
        <w:rPr>
          <w:rFonts w:ascii="Tahoma" w:hAnsi="Tahoma" w:cs="Tahoma"/>
          <w:b/>
          <w:bCs/>
        </w:rPr>
        <w:t>4</w:t>
      </w:r>
      <w:r w:rsidRPr="009231B1">
        <w:rPr>
          <w:rFonts w:ascii="Tahoma" w:hAnsi="Tahoma" w:cs="Tahoma"/>
          <w:b/>
          <w:bCs/>
        </w:rPr>
        <w:t>:</w:t>
      </w:r>
      <w:r w:rsidRPr="009231B1">
        <w:rPr>
          <w:rFonts w:ascii="Tahoma" w:hAnsi="Tahoma" w:cs="Tahoma"/>
          <w:b/>
          <w:bCs/>
        </w:rPr>
        <w:tab/>
      </w:r>
      <w:r w:rsidR="00F80799" w:rsidRPr="009231B1">
        <w:rPr>
          <w:rFonts w:ascii="Tahoma" w:hAnsi="Tahoma" w:cs="Tahoma"/>
          <w:b/>
          <w:bCs/>
        </w:rPr>
        <w:t>Are Letters of Commitment required from proposed installation contractors? Many will be identified as part of the workforce development effort.</w:t>
      </w:r>
    </w:p>
    <w:p w14:paraId="0AF8F5F4" w14:textId="68504A5A" w:rsidR="00F80799" w:rsidRDefault="00F80799" w:rsidP="00F80799">
      <w:pPr>
        <w:ind w:left="630" w:hanging="630"/>
        <w:rPr>
          <w:rFonts w:ascii="Tahoma" w:hAnsi="Tahoma" w:cs="Tahoma"/>
        </w:rPr>
      </w:pPr>
      <w:r>
        <w:rPr>
          <w:rFonts w:ascii="Tahoma" w:hAnsi="Tahoma" w:cs="Tahoma"/>
        </w:rPr>
        <w:t>A</w:t>
      </w:r>
      <w:r w:rsidR="00457B1A">
        <w:rPr>
          <w:rFonts w:ascii="Tahoma" w:hAnsi="Tahoma" w:cs="Tahoma"/>
        </w:rPr>
        <w:t>5</w:t>
      </w:r>
      <w:r w:rsidR="00543144">
        <w:rPr>
          <w:rFonts w:ascii="Tahoma" w:hAnsi="Tahoma" w:cs="Tahoma"/>
        </w:rPr>
        <w:t>4</w:t>
      </w:r>
      <w:r>
        <w:rPr>
          <w:rFonts w:ascii="Tahoma" w:hAnsi="Tahoma" w:cs="Tahoma"/>
        </w:rPr>
        <w:t xml:space="preserve">: </w:t>
      </w:r>
      <w:r w:rsidR="00204FDC">
        <w:tab/>
      </w:r>
      <w:r>
        <w:rPr>
          <w:rFonts w:ascii="Tahoma" w:hAnsi="Tahoma" w:cs="Tahoma"/>
        </w:rPr>
        <w:t xml:space="preserve">Letters of Commitment are required from </w:t>
      </w:r>
      <w:r w:rsidR="00A10942">
        <w:rPr>
          <w:rFonts w:ascii="Tahoma" w:hAnsi="Tahoma" w:cs="Tahoma"/>
        </w:rPr>
        <w:t xml:space="preserve">all subcontractors identified in the proposal. </w:t>
      </w:r>
      <w:r w:rsidR="000E2317">
        <w:rPr>
          <w:rFonts w:ascii="Tahoma" w:hAnsi="Tahoma" w:cs="Tahoma"/>
        </w:rPr>
        <w:t>A</w:t>
      </w:r>
      <w:r w:rsidR="007A1977">
        <w:rPr>
          <w:rFonts w:ascii="Tahoma" w:hAnsi="Tahoma" w:cs="Tahoma"/>
        </w:rPr>
        <w:t xml:space="preserve">pplicants are not required to name all subcontractors/vendors in the application. </w:t>
      </w:r>
      <w:r w:rsidR="0063775A">
        <w:rPr>
          <w:rFonts w:ascii="Tahoma" w:hAnsi="Tahoma" w:cs="Tahoma"/>
        </w:rPr>
        <w:t xml:space="preserve">The CEC </w:t>
      </w:r>
      <w:r w:rsidR="008639C9">
        <w:rPr>
          <w:rFonts w:ascii="Tahoma" w:hAnsi="Tahoma" w:cs="Tahoma"/>
        </w:rPr>
        <w:t>does not expect installation contractors to be identified in the application since they will be identified</w:t>
      </w:r>
      <w:r w:rsidR="0042238C">
        <w:rPr>
          <w:rFonts w:ascii="Tahoma" w:hAnsi="Tahoma" w:cs="Tahoma"/>
        </w:rPr>
        <w:t xml:space="preserve"> after Regional Administrators have been selected as part of Task 5.3 (Workforce Plan and Contractor Enrollment).</w:t>
      </w:r>
    </w:p>
    <w:p w14:paraId="5CEEC384" w14:textId="0CFAEEDB" w:rsidR="00846300" w:rsidRPr="002C3F7E" w:rsidRDefault="00846300" w:rsidP="00846300">
      <w:pPr>
        <w:ind w:left="720" w:hanging="720"/>
        <w:rPr>
          <w:rFonts w:ascii="Tahoma" w:hAnsi="Tahoma" w:cs="Tahoma"/>
          <w:b/>
          <w:bCs/>
        </w:rPr>
      </w:pPr>
      <w:r w:rsidRPr="002C3F7E">
        <w:rPr>
          <w:rFonts w:ascii="Tahoma" w:hAnsi="Tahoma" w:cs="Tahoma"/>
          <w:b/>
          <w:bCs/>
        </w:rPr>
        <w:t>Q</w:t>
      </w:r>
      <w:r w:rsidR="005662D9">
        <w:rPr>
          <w:rFonts w:ascii="Tahoma" w:hAnsi="Tahoma" w:cs="Tahoma"/>
          <w:b/>
          <w:bCs/>
        </w:rPr>
        <w:t>5</w:t>
      </w:r>
      <w:r w:rsidR="00387A9C">
        <w:rPr>
          <w:rFonts w:ascii="Tahoma" w:hAnsi="Tahoma" w:cs="Tahoma"/>
          <w:b/>
          <w:bCs/>
        </w:rPr>
        <w:t>5</w:t>
      </w:r>
      <w:r w:rsidRPr="002C3F7E">
        <w:rPr>
          <w:rFonts w:ascii="Tahoma" w:hAnsi="Tahoma" w:cs="Tahoma"/>
          <w:b/>
          <w:bCs/>
        </w:rPr>
        <w:t>:</w:t>
      </w:r>
      <w:r w:rsidRPr="002C3F7E">
        <w:rPr>
          <w:rFonts w:ascii="Tahoma" w:hAnsi="Tahoma" w:cs="Tahoma"/>
          <w:b/>
          <w:bCs/>
        </w:rPr>
        <w:tab/>
        <w:t>Will the ECAMS Terms and Conditions apply to this grant?</w:t>
      </w:r>
    </w:p>
    <w:p w14:paraId="5BFB90CC" w14:textId="415836B5" w:rsidR="00846300" w:rsidRDefault="00846300" w:rsidP="0002527E">
      <w:pPr>
        <w:ind w:left="720" w:hanging="720"/>
        <w:rPr>
          <w:rFonts w:ascii="Tahoma" w:hAnsi="Tahoma" w:cs="Tahoma"/>
        </w:rPr>
      </w:pPr>
      <w:r>
        <w:rPr>
          <w:rFonts w:ascii="Tahoma" w:hAnsi="Tahoma" w:cs="Tahoma"/>
        </w:rPr>
        <w:t>A</w:t>
      </w:r>
      <w:r w:rsidR="005662D9">
        <w:rPr>
          <w:rFonts w:ascii="Tahoma" w:hAnsi="Tahoma" w:cs="Tahoma"/>
        </w:rPr>
        <w:t>5</w:t>
      </w:r>
      <w:r w:rsidR="00387A9C">
        <w:rPr>
          <w:rFonts w:ascii="Tahoma" w:hAnsi="Tahoma" w:cs="Tahoma"/>
        </w:rPr>
        <w:t>5</w:t>
      </w:r>
      <w:r>
        <w:rPr>
          <w:rFonts w:ascii="Tahoma" w:hAnsi="Tahoma" w:cs="Tahoma"/>
        </w:rPr>
        <w:t>:</w:t>
      </w:r>
      <w:r>
        <w:rPr>
          <w:rFonts w:ascii="Tahoma" w:hAnsi="Tahoma" w:cs="Tahoma"/>
        </w:rPr>
        <w:tab/>
        <w:t>No. Please see Attachments 9 and 10 for the Terms and Conditions that will apply to this grant agreement.</w:t>
      </w:r>
    </w:p>
    <w:p w14:paraId="5BF18E08" w14:textId="77777777" w:rsidR="00A51FAA" w:rsidRDefault="00A51FAA" w:rsidP="0002527E">
      <w:pPr>
        <w:ind w:left="720" w:hanging="720"/>
        <w:rPr>
          <w:rFonts w:ascii="Tahoma" w:hAnsi="Tahoma" w:cs="Tahoma"/>
        </w:rPr>
      </w:pPr>
    </w:p>
    <w:p w14:paraId="532F3A0D" w14:textId="00A6CAF3" w:rsidR="00221822" w:rsidRDefault="00221822" w:rsidP="00336692">
      <w:pPr>
        <w:pStyle w:val="Heading1"/>
      </w:pPr>
      <w:r>
        <w:t>Invoices</w:t>
      </w:r>
    </w:p>
    <w:p w14:paraId="45255B0C" w14:textId="536FE858" w:rsidR="00221822" w:rsidRDefault="001A5005" w:rsidP="000B6D7E">
      <w:pPr>
        <w:ind w:left="630" w:hanging="630"/>
        <w:rPr>
          <w:rFonts w:ascii="Tahoma" w:hAnsi="Tahoma" w:cs="Tahoma"/>
          <w:b/>
          <w:bCs/>
        </w:rPr>
      </w:pPr>
      <w:r w:rsidRPr="000B6D7E">
        <w:rPr>
          <w:rFonts w:ascii="Tahoma" w:hAnsi="Tahoma" w:cs="Tahoma"/>
          <w:b/>
          <w:bCs/>
        </w:rPr>
        <w:t>Q</w:t>
      </w:r>
      <w:r w:rsidR="005662D9">
        <w:rPr>
          <w:rFonts w:ascii="Tahoma" w:hAnsi="Tahoma" w:cs="Tahoma"/>
          <w:b/>
          <w:bCs/>
        </w:rPr>
        <w:t>56</w:t>
      </w:r>
      <w:r w:rsidR="009B17CD" w:rsidRPr="000B6D7E">
        <w:rPr>
          <w:rFonts w:ascii="Tahoma" w:hAnsi="Tahoma" w:cs="Tahoma"/>
          <w:b/>
          <w:bCs/>
        </w:rPr>
        <w:t>:</w:t>
      </w:r>
      <w:r w:rsidR="009B17CD" w:rsidRPr="000B6D7E">
        <w:rPr>
          <w:rFonts w:ascii="Tahoma" w:hAnsi="Tahoma" w:cs="Tahoma"/>
          <w:b/>
          <w:bCs/>
        </w:rPr>
        <w:tab/>
      </w:r>
      <w:r w:rsidR="0031708A" w:rsidRPr="000B6D7E">
        <w:rPr>
          <w:rFonts w:ascii="Tahoma" w:hAnsi="Tahoma" w:cs="Tahoma"/>
          <w:b/>
          <w:bCs/>
        </w:rPr>
        <w:t>How are funds drawn down?</w:t>
      </w:r>
      <w:r w:rsidR="000B6D7E" w:rsidRPr="000B6D7E">
        <w:rPr>
          <w:rFonts w:ascii="Tahoma" w:hAnsi="Tahoma" w:cs="Tahoma"/>
          <w:b/>
          <w:bCs/>
        </w:rPr>
        <w:t xml:space="preserve"> </w:t>
      </w:r>
      <w:r w:rsidR="0031708A" w:rsidRPr="000B6D7E">
        <w:rPr>
          <w:rFonts w:ascii="Tahoma" w:hAnsi="Tahoma" w:cs="Tahoma"/>
          <w:b/>
          <w:bCs/>
        </w:rPr>
        <w:t>For example, is Task 1.1 Admin both state and federally funded? If so, how do you want to invoice each 1 hour billed to that task (50/50, CEC first, or how)?</w:t>
      </w:r>
      <w:r w:rsidR="000B6D7E" w:rsidRPr="000B6D7E">
        <w:rPr>
          <w:rFonts w:ascii="Tahoma" w:hAnsi="Tahoma" w:cs="Tahoma"/>
          <w:b/>
          <w:bCs/>
        </w:rPr>
        <w:t xml:space="preserve"> </w:t>
      </w:r>
      <w:r w:rsidR="0031708A" w:rsidRPr="000B6D7E">
        <w:rPr>
          <w:rFonts w:ascii="Tahoma" w:hAnsi="Tahoma" w:cs="Tahoma"/>
          <w:b/>
          <w:bCs/>
        </w:rPr>
        <w:t>Would this rule apply to all the tasks?</w:t>
      </w:r>
    </w:p>
    <w:p w14:paraId="76FFD661" w14:textId="0EADBF6E" w:rsidR="000B6D7E" w:rsidRDefault="000B6D7E" w:rsidP="000B6D7E">
      <w:pPr>
        <w:ind w:left="630" w:hanging="630"/>
        <w:rPr>
          <w:rFonts w:ascii="Tahoma" w:hAnsi="Tahoma" w:cs="Tahoma"/>
        </w:rPr>
      </w:pPr>
      <w:r w:rsidRPr="000B6D7E">
        <w:rPr>
          <w:rFonts w:ascii="Tahoma" w:hAnsi="Tahoma" w:cs="Tahoma"/>
        </w:rPr>
        <w:t>A</w:t>
      </w:r>
      <w:r w:rsidR="005662D9">
        <w:rPr>
          <w:rFonts w:ascii="Tahoma" w:hAnsi="Tahoma" w:cs="Tahoma"/>
        </w:rPr>
        <w:t>56</w:t>
      </w:r>
      <w:r w:rsidRPr="000B6D7E">
        <w:rPr>
          <w:rFonts w:ascii="Tahoma" w:hAnsi="Tahoma" w:cs="Tahoma"/>
        </w:rPr>
        <w:t>:</w:t>
      </w:r>
      <w:r w:rsidRPr="000B6D7E">
        <w:rPr>
          <w:rFonts w:ascii="Tahoma" w:hAnsi="Tahoma" w:cs="Tahoma"/>
        </w:rPr>
        <w:tab/>
      </w:r>
      <w:r w:rsidR="00CE1B4E">
        <w:rPr>
          <w:rFonts w:ascii="Tahoma" w:hAnsi="Tahoma" w:cs="Tahoma"/>
        </w:rPr>
        <w:t xml:space="preserve">On the Budget Forms (Attachment 4), applicants must </w:t>
      </w:r>
      <w:r w:rsidR="007C0830">
        <w:rPr>
          <w:rFonts w:ascii="Tahoma" w:hAnsi="Tahoma" w:cs="Tahoma"/>
        </w:rPr>
        <w:t>identify how they propose to allocate both state and federal fundi</w:t>
      </w:r>
      <w:r w:rsidR="00AE10CB">
        <w:rPr>
          <w:rFonts w:ascii="Tahoma" w:hAnsi="Tahoma" w:cs="Tahoma"/>
        </w:rPr>
        <w:t xml:space="preserve">ng in each budget category. </w:t>
      </w:r>
      <w:r w:rsidR="00CE7747">
        <w:rPr>
          <w:rFonts w:ascii="Tahoma" w:hAnsi="Tahoma" w:cs="Tahoma"/>
        </w:rPr>
        <w:t>Recipient invoices should reflect the approved budget.</w:t>
      </w:r>
    </w:p>
    <w:p w14:paraId="65F30C77" w14:textId="40153DD6" w:rsidR="00032CDF" w:rsidRPr="008F0D19" w:rsidRDefault="00032CDF" w:rsidP="00032CDF">
      <w:pPr>
        <w:ind w:left="630" w:hanging="630"/>
        <w:rPr>
          <w:rFonts w:ascii="Tahoma" w:hAnsi="Tahoma" w:cs="Tahoma"/>
          <w:b/>
          <w:bCs/>
        </w:rPr>
      </w:pPr>
      <w:r w:rsidRPr="008F0D19">
        <w:rPr>
          <w:rFonts w:ascii="Tahoma" w:hAnsi="Tahoma" w:cs="Tahoma"/>
          <w:b/>
          <w:bCs/>
        </w:rPr>
        <w:t>Q</w:t>
      </w:r>
      <w:r w:rsidR="005662D9">
        <w:rPr>
          <w:rFonts w:ascii="Tahoma" w:hAnsi="Tahoma" w:cs="Tahoma"/>
          <w:b/>
          <w:bCs/>
        </w:rPr>
        <w:t>57</w:t>
      </w:r>
      <w:r w:rsidRPr="008F0D19">
        <w:rPr>
          <w:rFonts w:ascii="Tahoma" w:hAnsi="Tahoma" w:cs="Tahoma"/>
          <w:b/>
          <w:bCs/>
        </w:rPr>
        <w:t>:</w:t>
      </w:r>
      <w:r w:rsidRPr="008F0D19">
        <w:rPr>
          <w:rFonts w:ascii="Tahoma" w:hAnsi="Tahoma" w:cs="Tahoma"/>
          <w:b/>
          <w:bCs/>
        </w:rPr>
        <w:tab/>
      </w:r>
      <w:r w:rsidR="008F0D19" w:rsidRPr="008F0D19">
        <w:rPr>
          <w:rFonts w:ascii="Tahoma" w:hAnsi="Tahoma" w:cs="Tahoma"/>
          <w:b/>
          <w:bCs/>
        </w:rPr>
        <w:t>Scope of Work Task 1.5 (Invoices) includes the language</w:t>
      </w:r>
      <w:r w:rsidRPr="008F0D19">
        <w:rPr>
          <w:rFonts w:ascii="Tahoma" w:hAnsi="Tahoma" w:cs="Tahoma"/>
          <w:b/>
          <w:bCs/>
        </w:rPr>
        <w:t xml:space="preserve"> “Forecast invoices of reimbursable expenses may be submitted in advance of completion of the work with the approval of the CAM.” Is this the method of requesting advance payments from the CEC</w:t>
      </w:r>
      <w:r w:rsidR="008F0D19" w:rsidRPr="008F0D19">
        <w:rPr>
          <w:rFonts w:ascii="Tahoma" w:hAnsi="Tahoma" w:cs="Tahoma"/>
          <w:b/>
          <w:bCs/>
        </w:rPr>
        <w:t xml:space="preserve">, </w:t>
      </w:r>
      <w:r w:rsidRPr="008F0D19">
        <w:rPr>
          <w:rFonts w:ascii="Tahoma" w:hAnsi="Tahoma" w:cs="Tahoma"/>
          <w:b/>
          <w:bCs/>
        </w:rPr>
        <w:t>or are forecast invoices just a forecast of expenditures and not used to actually receive any advance funding?</w:t>
      </w:r>
    </w:p>
    <w:p w14:paraId="78EEC108" w14:textId="33FD4CF9" w:rsidR="008F0D19" w:rsidRPr="000B6D7E" w:rsidRDefault="008F0D19" w:rsidP="00032CDF">
      <w:pPr>
        <w:ind w:left="630" w:hanging="630"/>
        <w:rPr>
          <w:rFonts w:ascii="Tahoma" w:hAnsi="Tahoma" w:cs="Tahoma"/>
        </w:rPr>
      </w:pPr>
      <w:r>
        <w:rPr>
          <w:rFonts w:ascii="Tahoma" w:hAnsi="Tahoma" w:cs="Tahoma"/>
        </w:rPr>
        <w:t>A</w:t>
      </w:r>
      <w:r w:rsidR="005662D9">
        <w:rPr>
          <w:rFonts w:ascii="Tahoma" w:hAnsi="Tahoma" w:cs="Tahoma"/>
        </w:rPr>
        <w:t>57</w:t>
      </w:r>
      <w:r>
        <w:rPr>
          <w:rFonts w:ascii="Tahoma" w:hAnsi="Tahoma" w:cs="Tahoma"/>
        </w:rPr>
        <w:t>:</w:t>
      </w:r>
      <w:r>
        <w:rPr>
          <w:rFonts w:ascii="Tahoma" w:hAnsi="Tahoma" w:cs="Tahoma"/>
        </w:rPr>
        <w:tab/>
        <w:t>This is the method of requesting advance payments from the CEC.</w:t>
      </w:r>
    </w:p>
    <w:p w14:paraId="7F56365D" w14:textId="77777777" w:rsidR="00A51FAA" w:rsidRPr="00221822" w:rsidRDefault="00A51FAA" w:rsidP="0031708A"/>
    <w:p w14:paraId="2615B6FB" w14:textId="639E83B2" w:rsidR="001677CE" w:rsidRDefault="00C416C1" w:rsidP="00336692">
      <w:pPr>
        <w:pStyle w:val="Heading1"/>
      </w:pPr>
      <w:r w:rsidRPr="00C416C1">
        <w:t>Eligible Projects/Buildings</w:t>
      </w:r>
      <w:r w:rsidR="004B0A77" w:rsidRPr="00C416C1">
        <w:t xml:space="preserve"> </w:t>
      </w:r>
      <w:r w:rsidR="00C13506" w:rsidRPr="00C416C1">
        <w:t xml:space="preserve"> </w:t>
      </w:r>
    </w:p>
    <w:p w14:paraId="269C2FF0" w14:textId="3ACF09E6" w:rsidR="00C416C1" w:rsidRDefault="00E31754" w:rsidP="009E53EA">
      <w:pPr>
        <w:ind w:left="720" w:hanging="720"/>
        <w:rPr>
          <w:rFonts w:ascii="Tahoma" w:hAnsi="Tahoma" w:cs="Tahoma"/>
          <w:b/>
          <w:bCs/>
        </w:rPr>
      </w:pPr>
      <w:r w:rsidRPr="00E31754">
        <w:rPr>
          <w:rFonts w:ascii="Tahoma" w:hAnsi="Tahoma" w:cs="Tahoma"/>
          <w:b/>
          <w:bCs/>
        </w:rPr>
        <w:t>Q</w:t>
      </w:r>
      <w:r w:rsidR="00B04F9A">
        <w:rPr>
          <w:rFonts w:ascii="Tahoma" w:hAnsi="Tahoma" w:cs="Tahoma"/>
          <w:b/>
          <w:bCs/>
        </w:rPr>
        <w:t>58</w:t>
      </w:r>
      <w:r w:rsidRPr="00E31754">
        <w:rPr>
          <w:rFonts w:ascii="Tahoma" w:hAnsi="Tahoma" w:cs="Tahoma"/>
          <w:b/>
          <w:bCs/>
        </w:rPr>
        <w:t>:</w:t>
      </w:r>
      <w:r w:rsidRPr="00E31754">
        <w:rPr>
          <w:rFonts w:ascii="Tahoma" w:hAnsi="Tahoma" w:cs="Tahoma"/>
          <w:b/>
          <w:bCs/>
        </w:rPr>
        <w:tab/>
      </w:r>
      <w:r w:rsidR="006942AD">
        <w:rPr>
          <w:rFonts w:ascii="Tahoma" w:hAnsi="Tahoma" w:cs="Tahoma"/>
          <w:b/>
          <w:bCs/>
        </w:rPr>
        <w:t>Is new construction</w:t>
      </w:r>
      <w:r>
        <w:rPr>
          <w:rFonts w:ascii="Tahoma" w:hAnsi="Tahoma" w:cs="Tahoma"/>
          <w:b/>
          <w:bCs/>
        </w:rPr>
        <w:t xml:space="preserve"> eligible for funding through this program?</w:t>
      </w:r>
      <w:r w:rsidR="00B655DF">
        <w:rPr>
          <w:rFonts w:ascii="Tahoma" w:hAnsi="Tahoma" w:cs="Tahoma"/>
          <w:b/>
          <w:bCs/>
        </w:rPr>
        <w:t xml:space="preserve"> </w:t>
      </w:r>
      <w:r w:rsidR="00D82D98">
        <w:rPr>
          <w:rFonts w:ascii="Tahoma" w:hAnsi="Tahoma" w:cs="Tahoma"/>
          <w:b/>
          <w:bCs/>
        </w:rPr>
        <w:t>What about new manufactured or prefabricated homes?</w:t>
      </w:r>
    </w:p>
    <w:p w14:paraId="067C67E5" w14:textId="256B65D8" w:rsidR="00E31754" w:rsidRPr="00B655DF" w:rsidRDefault="00E31754" w:rsidP="009E53EA">
      <w:pPr>
        <w:ind w:left="720" w:hanging="720"/>
        <w:rPr>
          <w:rFonts w:ascii="Tahoma" w:hAnsi="Tahoma" w:cs="Tahoma"/>
        </w:rPr>
      </w:pPr>
      <w:r w:rsidRPr="00B655DF">
        <w:rPr>
          <w:rFonts w:ascii="Tahoma" w:hAnsi="Tahoma" w:cs="Tahoma"/>
        </w:rPr>
        <w:t>A</w:t>
      </w:r>
      <w:r w:rsidR="00B04F9A">
        <w:rPr>
          <w:rFonts w:ascii="Tahoma" w:hAnsi="Tahoma" w:cs="Tahoma"/>
        </w:rPr>
        <w:t>58</w:t>
      </w:r>
      <w:r w:rsidRPr="00B655DF">
        <w:rPr>
          <w:rFonts w:ascii="Tahoma" w:hAnsi="Tahoma" w:cs="Tahoma"/>
        </w:rPr>
        <w:t>:</w:t>
      </w:r>
      <w:r w:rsidRPr="00B655DF">
        <w:rPr>
          <w:rFonts w:ascii="Tahoma" w:hAnsi="Tahoma" w:cs="Tahoma"/>
        </w:rPr>
        <w:tab/>
        <w:t xml:space="preserve">No, the program is limited to retrofits of existing </w:t>
      </w:r>
      <w:r w:rsidR="00666C2D">
        <w:rPr>
          <w:rFonts w:ascii="Tahoma" w:hAnsi="Tahoma" w:cs="Tahoma"/>
        </w:rPr>
        <w:t>homes</w:t>
      </w:r>
      <w:r w:rsidRPr="00B655DF">
        <w:rPr>
          <w:rFonts w:ascii="Tahoma" w:hAnsi="Tahoma" w:cs="Tahoma"/>
        </w:rPr>
        <w:t>.</w:t>
      </w:r>
    </w:p>
    <w:p w14:paraId="29FF882E" w14:textId="094A5775" w:rsidR="00E31754" w:rsidRDefault="00E31754" w:rsidP="009E53EA">
      <w:pPr>
        <w:ind w:left="720" w:hanging="720"/>
        <w:rPr>
          <w:rFonts w:ascii="Tahoma" w:hAnsi="Tahoma" w:cs="Tahoma"/>
          <w:b/>
          <w:bCs/>
        </w:rPr>
      </w:pPr>
      <w:r>
        <w:rPr>
          <w:rFonts w:ascii="Tahoma" w:hAnsi="Tahoma" w:cs="Tahoma"/>
          <w:b/>
          <w:bCs/>
        </w:rPr>
        <w:t>Q</w:t>
      </w:r>
      <w:r w:rsidR="007C1EED">
        <w:rPr>
          <w:rFonts w:ascii="Tahoma" w:hAnsi="Tahoma" w:cs="Tahoma"/>
          <w:b/>
          <w:bCs/>
        </w:rPr>
        <w:t>59</w:t>
      </w:r>
      <w:r>
        <w:rPr>
          <w:rFonts w:ascii="Tahoma" w:hAnsi="Tahoma" w:cs="Tahoma"/>
          <w:b/>
          <w:bCs/>
        </w:rPr>
        <w:t>:</w:t>
      </w:r>
      <w:r>
        <w:rPr>
          <w:rFonts w:ascii="Tahoma" w:hAnsi="Tahoma" w:cs="Tahoma"/>
          <w:b/>
          <w:bCs/>
        </w:rPr>
        <w:tab/>
      </w:r>
      <w:r w:rsidR="00342468">
        <w:rPr>
          <w:rFonts w:ascii="Tahoma" w:hAnsi="Tahoma" w:cs="Tahoma"/>
          <w:b/>
          <w:bCs/>
        </w:rPr>
        <w:t>Is there a limit on the size of multifamily buildings that are eligible for the program?</w:t>
      </w:r>
    </w:p>
    <w:p w14:paraId="52EC569C" w14:textId="23443D0F" w:rsidR="00342468" w:rsidRDefault="00342468" w:rsidP="009E53EA">
      <w:pPr>
        <w:ind w:left="720" w:hanging="720"/>
        <w:rPr>
          <w:rFonts w:ascii="Tahoma" w:hAnsi="Tahoma" w:cs="Tahoma"/>
        </w:rPr>
      </w:pPr>
      <w:r w:rsidRPr="00342468">
        <w:rPr>
          <w:rFonts w:ascii="Tahoma" w:hAnsi="Tahoma" w:cs="Tahoma"/>
        </w:rPr>
        <w:t>A</w:t>
      </w:r>
      <w:r w:rsidR="007C1EED">
        <w:rPr>
          <w:rFonts w:ascii="Tahoma" w:hAnsi="Tahoma" w:cs="Tahoma"/>
        </w:rPr>
        <w:t>59</w:t>
      </w:r>
      <w:r w:rsidRPr="00342468">
        <w:rPr>
          <w:rFonts w:ascii="Tahoma" w:hAnsi="Tahoma" w:cs="Tahoma"/>
        </w:rPr>
        <w:t>:</w:t>
      </w:r>
      <w:r w:rsidRPr="00342468">
        <w:rPr>
          <w:rFonts w:ascii="Tahoma" w:hAnsi="Tahoma" w:cs="Tahoma"/>
        </w:rPr>
        <w:tab/>
        <w:t>No.</w:t>
      </w:r>
    </w:p>
    <w:p w14:paraId="63F85A10" w14:textId="658C0C78" w:rsidR="00E31E0E" w:rsidRPr="00E31E0E" w:rsidRDefault="00E31E0E" w:rsidP="009E53EA">
      <w:pPr>
        <w:ind w:left="720" w:hanging="720"/>
        <w:rPr>
          <w:rFonts w:ascii="Tahoma" w:hAnsi="Tahoma" w:cs="Tahoma"/>
          <w:b/>
          <w:bCs/>
        </w:rPr>
      </w:pPr>
      <w:r w:rsidRPr="00E31E0E">
        <w:rPr>
          <w:rFonts w:ascii="Tahoma" w:hAnsi="Tahoma" w:cs="Tahoma"/>
          <w:b/>
          <w:bCs/>
        </w:rPr>
        <w:t>Q</w:t>
      </w:r>
      <w:r w:rsidR="007C1EED">
        <w:rPr>
          <w:rFonts w:ascii="Tahoma" w:hAnsi="Tahoma" w:cs="Tahoma"/>
          <w:b/>
          <w:bCs/>
        </w:rPr>
        <w:t>60</w:t>
      </w:r>
      <w:r w:rsidRPr="00E31E0E">
        <w:rPr>
          <w:rFonts w:ascii="Tahoma" w:hAnsi="Tahoma" w:cs="Tahoma"/>
          <w:b/>
          <w:bCs/>
        </w:rPr>
        <w:t>:</w:t>
      </w:r>
      <w:r w:rsidRPr="00E31E0E">
        <w:rPr>
          <w:rFonts w:ascii="Tahoma" w:hAnsi="Tahoma" w:cs="Tahoma"/>
          <w:b/>
          <w:bCs/>
        </w:rPr>
        <w:tab/>
        <w:t>Do income eligibility requirements apply to the property owner, or only to the occupant?</w:t>
      </w:r>
    </w:p>
    <w:p w14:paraId="7A314AE4" w14:textId="4F84DA7B" w:rsidR="00E31E0E" w:rsidRDefault="00E31E0E" w:rsidP="009E53EA">
      <w:pPr>
        <w:ind w:left="720" w:hanging="720"/>
        <w:rPr>
          <w:rFonts w:ascii="Tahoma" w:hAnsi="Tahoma" w:cs="Tahoma"/>
        </w:rPr>
      </w:pPr>
      <w:r>
        <w:rPr>
          <w:rFonts w:ascii="Tahoma" w:hAnsi="Tahoma" w:cs="Tahoma"/>
        </w:rPr>
        <w:t>A</w:t>
      </w:r>
      <w:r w:rsidR="007C1EED">
        <w:rPr>
          <w:rFonts w:ascii="Tahoma" w:hAnsi="Tahoma" w:cs="Tahoma"/>
        </w:rPr>
        <w:t>60</w:t>
      </w:r>
      <w:r>
        <w:rPr>
          <w:rFonts w:ascii="Tahoma" w:hAnsi="Tahoma" w:cs="Tahoma"/>
        </w:rPr>
        <w:t>:</w:t>
      </w:r>
      <w:r>
        <w:rPr>
          <w:rFonts w:ascii="Tahoma" w:hAnsi="Tahoma" w:cs="Tahoma"/>
        </w:rPr>
        <w:tab/>
        <w:t>Only to the occupant.</w:t>
      </w:r>
    </w:p>
    <w:p w14:paraId="01739BC0" w14:textId="6C536EFD" w:rsidR="00D62EDE" w:rsidRPr="00BA0F12" w:rsidRDefault="00D62EDE" w:rsidP="009E53EA">
      <w:pPr>
        <w:ind w:left="720" w:hanging="720"/>
        <w:rPr>
          <w:rFonts w:ascii="Tahoma" w:hAnsi="Tahoma" w:cs="Tahoma"/>
          <w:b/>
          <w:bCs/>
        </w:rPr>
      </w:pPr>
      <w:r w:rsidRPr="00BA0F12">
        <w:rPr>
          <w:rFonts w:ascii="Tahoma" w:hAnsi="Tahoma" w:cs="Tahoma"/>
          <w:b/>
          <w:bCs/>
        </w:rPr>
        <w:t>Q</w:t>
      </w:r>
      <w:r w:rsidR="002F22DE">
        <w:rPr>
          <w:rFonts w:ascii="Tahoma" w:hAnsi="Tahoma" w:cs="Tahoma"/>
          <w:b/>
          <w:bCs/>
        </w:rPr>
        <w:t>61</w:t>
      </w:r>
      <w:r w:rsidRPr="00BA0F12">
        <w:rPr>
          <w:rFonts w:ascii="Tahoma" w:hAnsi="Tahoma" w:cs="Tahoma"/>
          <w:b/>
          <w:bCs/>
        </w:rPr>
        <w:t>:</w:t>
      </w:r>
      <w:r w:rsidRPr="00BA0F12">
        <w:rPr>
          <w:rFonts w:ascii="Tahoma" w:hAnsi="Tahoma" w:cs="Tahoma"/>
          <w:b/>
          <w:bCs/>
        </w:rPr>
        <w:tab/>
      </w:r>
      <w:r w:rsidR="00BA0F12" w:rsidRPr="00BA0F12">
        <w:rPr>
          <w:rFonts w:ascii="Tahoma" w:hAnsi="Tahoma" w:cs="Tahoma"/>
          <w:b/>
          <w:bCs/>
        </w:rPr>
        <w:t>Is there a maximum home value to be eligible for the program?</w:t>
      </w:r>
    </w:p>
    <w:p w14:paraId="30D2BA8E" w14:textId="5669A04B" w:rsidR="00BA0F12" w:rsidRDefault="00BA0F12" w:rsidP="009E53EA">
      <w:pPr>
        <w:ind w:left="720" w:hanging="720"/>
        <w:rPr>
          <w:rFonts w:ascii="Tahoma" w:hAnsi="Tahoma" w:cs="Tahoma"/>
        </w:rPr>
      </w:pPr>
      <w:r>
        <w:rPr>
          <w:rFonts w:ascii="Tahoma" w:hAnsi="Tahoma" w:cs="Tahoma"/>
        </w:rPr>
        <w:t>A</w:t>
      </w:r>
      <w:r w:rsidR="002F22DE">
        <w:rPr>
          <w:rFonts w:ascii="Tahoma" w:hAnsi="Tahoma" w:cs="Tahoma"/>
        </w:rPr>
        <w:t>61</w:t>
      </w:r>
      <w:r>
        <w:rPr>
          <w:rFonts w:ascii="Tahoma" w:hAnsi="Tahoma" w:cs="Tahoma"/>
        </w:rPr>
        <w:t>:</w:t>
      </w:r>
      <w:r>
        <w:rPr>
          <w:rFonts w:ascii="Tahoma" w:hAnsi="Tahoma" w:cs="Tahoma"/>
        </w:rPr>
        <w:tab/>
        <w:t>No.</w:t>
      </w:r>
    </w:p>
    <w:p w14:paraId="2ACA6937" w14:textId="4C375BC6" w:rsidR="00293E55" w:rsidRPr="00F10441" w:rsidRDefault="00293E55" w:rsidP="009E53EA">
      <w:pPr>
        <w:ind w:left="720" w:hanging="720"/>
        <w:rPr>
          <w:rFonts w:ascii="Tahoma" w:hAnsi="Tahoma" w:cs="Tahoma"/>
          <w:b/>
          <w:bCs/>
        </w:rPr>
      </w:pPr>
      <w:r w:rsidRPr="00F10441">
        <w:rPr>
          <w:rFonts w:ascii="Tahoma" w:hAnsi="Tahoma" w:cs="Tahoma"/>
          <w:b/>
          <w:bCs/>
        </w:rPr>
        <w:t>Q</w:t>
      </w:r>
      <w:r w:rsidR="002F22DE">
        <w:rPr>
          <w:rFonts w:ascii="Tahoma" w:hAnsi="Tahoma" w:cs="Tahoma"/>
          <w:b/>
          <w:bCs/>
        </w:rPr>
        <w:t>62</w:t>
      </w:r>
      <w:r w:rsidRPr="00F10441">
        <w:rPr>
          <w:rFonts w:ascii="Tahoma" w:hAnsi="Tahoma" w:cs="Tahoma"/>
          <w:b/>
          <w:bCs/>
        </w:rPr>
        <w:t>:</w:t>
      </w:r>
      <w:r w:rsidRPr="00F10441">
        <w:rPr>
          <w:rFonts w:ascii="Tahoma" w:hAnsi="Tahoma" w:cs="Tahoma"/>
          <w:b/>
          <w:bCs/>
        </w:rPr>
        <w:tab/>
      </w:r>
      <w:r w:rsidR="006C3FCA" w:rsidRPr="00F10441">
        <w:rPr>
          <w:rFonts w:ascii="Tahoma" w:hAnsi="Tahoma" w:cs="Tahoma"/>
          <w:b/>
          <w:bCs/>
        </w:rPr>
        <w:t xml:space="preserve">Are all households within an Initial Community Focus Area eligible </w:t>
      </w:r>
      <w:r w:rsidR="00F10441" w:rsidRPr="00F10441">
        <w:rPr>
          <w:rFonts w:ascii="Tahoma" w:hAnsi="Tahoma" w:cs="Tahoma"/>
          <w:b/>
          <w:bCs/>
        </w:rPr>
        <w:t>to participate in the program?</w:t>
      </w:r>
    </w:p>
    <w:p w14:paraId="5839BDD3" w14:textId="02C888EF" w:rsidR="00661100" w:rsidRDefault="00661100" w:rsidP="009E53EA">
      <w:pPr>
        <w:ind w:left="720" w:hanging="720"/>
        <w:rPr>
          <w:rFonts w:ascii="Tahoma" w:hAnsi="Tahoma" w:cs="Tahoma"/>
        </w:rPr>
      </w:pPr>
      <w:r>
        <w:rPr>
          <w:rFonts w:ascii="Tahoma" w:hAnsi="Tahoma" w:cs="Tahoma"/>
        </w:rPr>
        <w:t>A</w:t>
      </w:r>
      <w:r w:rsidR="002F22DE">
        <w:rPr>
          <w:rFonts w:ascii="Tahoma" w:hAnsi="Tahoma" w:cs="Tahoma"/>
        </w:rPr>
        <w:t>62</w:t>
      </w:r>
      <w:r>
        <w:rPr>
          <w:rFonts w:ascii="Tahoma" w:hAnsi="Tahoma" w:cs="Tahoma"/>
        </w:rPr>
        <w:t>:</w:t>
      </w:r>
      <w:r>
        <w:rPr>
          <w:rFonts w:ascii="Tahoma" w:hAnsi="Tahoma" w:cs="Tahoma"/>
        </w:rPr>
        <w:tab/>
      </w:r>
      <w:r w:rsidR="009B1E56">
        <w:rPr>
          <w:rFonts w:ascii="Tahoma" w:hAnsi="Tahoma" w:cs="Tahoma"/>
        </w:rPr>
        <w:t xml:space="preserve">To be eligible, a household must meet income eligibility requirements; be located in an underresourced community </w:t>
      </w:r>
      <w:r w:rsidR="00832676">
        <w:rPr>
          <w:rFonts w:ascii="Tahoma" w:hAnsi="Tahoma" w:cs="Tahoma"/>
        </w:rPr>
        <w:t xml:space="preserve">(including within one half-mile of a DAC); </w:t>
      </w:r>
      <w:r w:rsidR="009E0771">
        <w:rPr>
          <w:rFonts w:ascii="Tahoma" w:hAnsi="Tahoma" w:cs="Tahoma"/>
        </w:rPr>
        <w:t>and</w:t>
      </w:r>
      <w:r w:rsidR="0075024F">
        <w:rPr>
          <w:rFonts w:ascii="Tahoma" w:hAnsi="Tahoma" w:cs="Tahoma"/>
        </w:rPr>
        <w:t xml:space="preserve"> be located in a Community Focus Area </w:t>
      </w:r>
      <w:r w:rsidR="009A1D1D">
        <w:rPr>
          <w:rFonts w:ascii="Tahoma" w:hAnsi="Tahoma" w:cs="Tahoma"/>
        </w:rPr>
        <w:t xml:space="preserve">identified </w:t>
      </w:r>
      <w:r w:rsidR="00F20756">
        <w:rPr>
          <w:rFonts w:ascii="Tahoma" w:hAnsi="Tahoma" w:cs="Tahoma"/>
        </w:rPr>
        <w:t>through either</w:t>
      </w:r>
      <w:r w:rsidR="009A1D1D">
        <w:rPr>
          <w:rFonts w:ascii="Tahoma" w:hAnsi="Tahoma" w:cs="Tahoma"/>
        </w:rPr>
        <w:t xml:space="preserve"> Task 5.1 or Task 5.2 of the Scope of Work.</w:t>
      </w:r>
      <w:r w:rsidR="0075024F">
        <w:rPr>
          <w:rFonts w:ascii="Tahoma" w:hAnsi="Tahoma" w:cs="Tahoma"/>
        </w:rPr>
        <w:t xml:space="preserve"> </w:t>
      </w:r>
    </w:p>
    <w:p w14:paraId="7CCB0A50" w14:textId="062C52C1" w:rsidR="0038754A" w:rsidRDefault="0038754A" w:rsidP="009E53EA">
      <w:pPr>
        <w:ind w:left="720" w:hanging="720"/>
        <w:rPr>
          <w:rFonts w:ascii="Tahoma" w:hAnsi="Tahoma" w:cs="Tahoma"/>
          <w:b/>
          <w:bCs/>
        </w:rPr>
      </w:pPr>
      <w:r w:rsidRPr="00290657">
        <w:rPr>
          <w:rFonts w:ascii="Tahoma" w:hAnsi="Tahoma" w:cs="Tahoma"/>
          <w:b/>
          <w:bCs/>
        </w:rPr>
        <w:t>Q</w:t>
      </w:r>
      <w:r w:rsidR="00F3094A">
        <w:rPr>
          <w:rFonts w:ascii="Tahoma" w:hAnsi="Tahoma" w:cs="Tahoma"/>
          <w:b/>
          <w:bCs/>
        </w:rPr>
        <w:t>63</w:t>
      </w:r>
      <w:r w:rsidR="00290657" w:rsidRPr="00290657">
        <w:rPr>
          <w:rFonts w:ascii="Tahoma" w:hAnsi="Tahoma" w:cs="Tahoma"/>
          <w:b/>
          <w:bCs/>
        </w:rPr>
        <w:t>:</w:t>
      </w:r>
      <w:r w:rsidR="00290657" w:rsidRPr="00290657">
        <w:rPr>
          <w:rFonts w:ascii="Tahoma" w:hAnsi="Tahoma" w:cs="Tahoma"/>
          <w:b/>
          <w:bCs/>
        </w:rPr>
        <w:tab/>
        <w:t>Are tribes eligible to be served under the funds granted for this GFO and how does that tie in with future funding dedicated to tribes? Are there any limitations on tribes’ ability to participate in the future solicitations if they are served by these funds?</w:t>
      </w:r>
    </w:p>
    <w:p w14:paraId="087CD506" w14:textId="33AECC79" w:rsidR="00290657" w:rsidRPr="00A03173" w:rsidRDefault="00290657" w:rsidP="009E53EA">
      <w:pPr>
        <w:ind w:left="720" w:hanging="720"/>
        <w:rPr>
          <w:rFonts w:ascii="Tahoma" w:hAnsi="Tahoma" w:cs="Tahoma"/>
        </w:rPr>
      </w:pPr>
      <w:r w:rsidRPr="00A03173">
        <w:rPr>
          <w:rFonts w:ascii="Tahoma" w:hAnsi="Tahoma" w:cs="Tahoma"/>
        </w:rPr>
        <w:t>A</w:t>
      </w:r>
      <w:r w:rsidR="00F3094A">
        <w:rPr>
          <w:rFonts w:ascii="Tahoma" w:hAnsi="Tahoma" w:cs="Tahoma"/>
        </w:rPr>
        <w:t>63</w:t>
      </w:r>
      <w:r w:rsidR="00A03173" w:rsidRPr="00A03173">
        <w:rPr>
          <w:rFonts w:ascii="Tahoma" w:hAnsi="Tahoma" w:cs="Tahoma"/>
        </w:rPr>
        <w:t>:</w:t>
      </w:r>
      <w:r w:rsidR="00A03173" w:rsidRPr="00A03173">
        <w:rPr>
          <w:rFonts w:ascii="Tahoma" w:hAnsi="Tahoma" w:cs="Tahoma"/>
        </w:rPr>
        <w:tab/>
      </w:r>
      <w:r w:rsidR="00731041">
        <w:rPr>
          <w:rFonts w:ascii="Tahoma" w:hAnsi="Tahoma" w:cs="Tahoma"/>
        </w:rPr>
        <w:t>Yes, tribes are eligible to participate in this program</w:t>
      </w:r>
      <w:r w:rsidR="00AC68F0">
        <w:rPr>
          <w:rFonts w:ascii="Tahoma" w:hAnsi="Tahoma" w:cs="Tahoma"/>
        </w:rPr>
        <w:t xml:space="preserve"> </w:t>
      </w:r>
      <w:r w:rsidR="00FE2655">
        <w:rPr>
          <w:rFonts w:ascii="Tahoma" w:hAnsi="Tahoma" w:cs="Tahoma"/>
        </w:rPr>
        <w:t>if</w:t>
      </w:r>
      <w:r w:rsidR="004F0550">
        <w:rPr>
          <w:rFonts w:ascii="Tahoma" w:hAnsi="Tahoma" w:cs="Tahoma"/>
        </w:rPr>
        <w:t xml:space="preserve"> all other eligibility criteria are met. There is no limitation on a tribe’s ability to participate in future solicitations</w:t>
      </w:r>
      <w:r w:rsidR="007A0822">
        <w:rPr>
          <w:rFonts w:ascii="Tahoma" w:hAnsi="Tahoma" w:cs="Tahoma"/>
        </w:rPr>
        <w:t xml:space="preserve"> if they are served by these funds. However, a particular home that is retrofitted by this program may </w:t>
      </w:r>
      <w:r w:rsidR="00CF2080">
        <w:rPr>
          <w:rFonts w:ascii="Tahoma" w:hAnsi="Tahoma" w:cs="Tahoma"/>
        </w:rPr>
        <w:t>be ineligible for similar programs in the future (such as the EBD Tribal Direct Install Program)</w:t>
      </w:r>
      <w:r w:rsidR="00FE2655">
        <w:rPr>
          <w:rFonts w:ascii="Tahoma" w:hAnsi="Tahoma" w:cs="Tahoma"/>
        </w:rPr>
        <w:t xml:space="preserve"> t</w:t>
      </w:r>
      <w:r w:rsidR="00553090">
        <w:rPr>
          <w:rFonts w:ascii="Tahoma" w:hAnsi="Tahoma" w:cs="Tahoma"/>
        </w:rPr>
        <w:t>o allow as many homes as possible to be served</w:t>
      </w:r>
      <w:r w:rsidR="00CF2080">
        <w:rPr>
          <w:rFonts w:ascii="Tahoma" w:hAnsi="Tahoma" w:cs="Tahoma"/>
        </w:rPr>
        <w:t>.</w:t>
      </w:r>
    </w:p>
    <w:p w14:paraId="7EDEC7B4" w14:textId="43A031F0" w:rsidR="00AF4A8E" w:rsidRDefault="00AF4A8E" w:rsidP="009E53EA">
      <w:pPr>
        <w:ind w:left="720" w:hanging="720"/>
        <w:rPr>
          <w:rFonts w:ascii="Tahoma" w:hAnsi="Tahoma" w:cs="Tahoma"/>
        </w:rPr>
      </w:pPr>
    </w:p>
    <w:p w14:paraId="73A88D3D" w14:textId="174883F6" w:rsidR="00AF4A8E" w:rsidRDefault="00AF4A8E" w:rsidP="00336692">
      <w:pPr>
        <w:pStyle w:val="Heading1"/>
      </w:pPr>
      <w:r w:rsidRPr="00AF4A8E">
        <w:t>Eligible Measures</w:t>
      </w:r>
    </w:p>
    <w:p w14:paraId="53FB37CD" w14:textId="655598CE" w:rsidR="00AF4A8E" w:rsidRPr="009A74D9" w:rsidRDefault="00AF4A8E" w:rsidP="009E53EA">
      <w:pPr>
        <w:ind w:left="720" w:hanging="720"/>
        <w:rPr>
          <w:rFonts w:ascii="Tahoma" w:hAnsi="Tahoma" w:cs="Tahoma"/>
          <w:b/>
          <w:bCs/>
        </w:rPr>
      </w:pPr>
      <w:r w:rsidRPr="009A74D9">
        <w:rPr>
          <w:rFonts w:ascii="Tahoma" w:hAnsi="Tahoma" w:cs="Tahoma"/>
          <w:b/>
          <w:bCs/>
        </w:rPr>
        <w:t>Q</w:t>
      </w:r>
      <w:r w:rsidR="00CF3AFE">
        <w:rPr>
          <w:rFonts w:ascii="Tahoma" w:hAnsi="Tahoma" w:cs="Tahoma"/>
          <w:b/>
          <w:bCs/>
        </w:rPr>
        <w:t>64</w:t>
      </w:r>
      <w:r w:rsidR="007865A0" w:rsidRPr="009A74D9">
        <w:rPr>
          <w:rFonts w:ascii="Tahoma" w:hAnsi="Tahoma" w:cs="Tahoma"/>
          <w:b/>
          <w:bCs/>
        </w:rPr>
        <w:t>:</w:t>
      </w:r>
      <w:r w:rsidR="007865A0" w:rsidRPr="009A74D9">
        <w:rPr>
          <w:rFonts w:ascii="Tahoma" w:hAnsi="Tahoma" w:cs="Tahoma"/>
          <w:b/>
          <w:bCs/>
        </w:rPr>
        <w:tab/>
        <w:t>For mobile homes, is there a budget to allow for non-energy saving improvements like repairing holes in the roof or floor?</w:t>
      </w:r>
    </w:p>
    <w:p w14:paraId="6241DB85" w14:textId="30184EDC" w:rsidR="007865A0" w:rsidRDefault="007865A0" w:rsidP="009E53EA">
      <w:pPr>
        <w:ind w:left="720" w:hanging="720"/>
        <w:rPr>
          <w:rFonts w:ascii="Tahoma" w:hAnsi="Tahoma" w:cs="Tahoma"/>
        </w:rPr>
      </w:pPr>
      <w:r>
        <w:rPr>
          <w:rFonts w:ascii="Tahoma" w:hAnsi="Tahoma" w:cs="Tahoma"/>
        </w:rPr>
        <w:t>A</w:t>
      </w:r>
      <w:r w:rsidR="00CF3AFE">
        <w:rPr>
          <w:rFonts w:ascii="Tahoma" w:hAnsi="Tahoma" w:cs="Tahoma"/>
        </w:rPr>
        <w:t>64</w:t>
      </w:r>
      <w:r>
        <w:rPr>
          <w:rFonts w:ascii="Tahoma" w:hAnsi="Tahoma" w:cs="Tahoma"/>
        </w:rPr>
        <w:t>:</w:t>
      </w:r>
      <w:r>
        <w:rPr>
          <w:rFonts w:ascii="Tahoma" w:hAnsi="Tahoma" w:cs="Tahoma"/>
        </w:rPr>
        <w:tab/>
      </w:r>
      <w:r w:rsidR="004624FD">
        <w:rPr>
          <w:rFonts w:ascii="Tahoma" w:hAnsi="Tahoma" w:cs="Tahoma"/>
        </w:rPr>
        <w:t xml:space="preserve">Yes. Remediation and safety improvements are an eligible measure for single-family, multifamily, and manufactured homes. </w:t>
      </w:r>
      <w:r w:rsidR="00420D39">
        <w:rPr>
          <w:rFonts w:ascii="Tahoma" w:hAnsi="Tahoma" w:cs="Tahoma"/>
        </w:rPr>
        <w:t>As described in the Program Guidelines, the</w:t>
      </w:r>
      <w:r w:rsidR="00CA1AB4">
        <w:rPr>
          <w:rFonts w:ascii="Tahoma" w:hAnsi="Tahoma" w:cs="Tahoma"/>
        </w:rPr>
        <w:t xml:space="preserve"> </w:t>
      </w:r>
      <w:r w:rsidR="009A74D9">
        <w:rPr>
          <w:rFonts w:ascii="Tahoma" w:hAnsi="Tahoma" w:cs="Tahoma"/>
        </w:rPr>
        <w:t>average per-home cost of remediation and safety measures, including wiring and electrical panel upgrades, must not exceed $6,000 for single-family homes and multifamily units, and $7,200 for manufactured and mobile homes.</w:t>
      </w:r>
      <w:r w:rsidR="00CA1AB4">
        <w:rPr>
          <w:rFonts w:ascii="Tahoma" w:hAnsi="Tahoma" w:cs="Tahoma"/>
        </w:rPr>
        <w:t xml:space="preserve"> </w:t>
      </w:r>
      <w:r w:rsidR="00C4107F">
        <w:rPr>
          <w:rFonts w:ascii="Tahoma" w:hAnsi="Tahoma" w:cs="Tahoma"/>
        </w:rPr>
        <w:t>Remediation costs for an individual home</w:t>
      </w:r>
      <w:r w:rsidR="00701207">
        <w:rPr>
          <w:rFonts w:ascii="Tahoma" w:hAnsi="Tahoma" w:cs="Tahoma"/>
        </w:rPr>
        <w:t xml:space="preserve"> may exceed these amounts</w:t>
      </w:r>
      <w:r w:rsidR="00C4107F">
        <w:rPr>
          <w:rFonts w:ascii="Tahoma" w:hAnsi="Tahoma" w:cs="Tahoma"/>
        </w:rPr>
        <w:t xml:space="preserve">, but the average </w:t>
      </w:r>
      <w:r w:rsidR="00633DFA">
        <w:rPr>
          <w:rFonts w:ascii="Tahoma" w:hAnsi="Tahoma" w:cs="Tahoma"/>
        </w:rPr>
        <w:t>remediation cost across all homes</w:t>
      </w:r>
      <w:r w:rsidR="0080384B">
        <w:rPr>
          <w:rFonts w:ascii="Tahoma" w:hAnsi="Tahoma" w:cs="Tahoma"/>
        </w:rPr>
        <w:t xml:space="preserve"> in the region</w:t>
      </w:r>
      <w:r w:rsidR="00633DFA">
        <w:rPr>
          <w:rFonts w:ascii="Tahoma" w:hAnsi="Tahoma" w:cs="Tahoma"/>
        </w:rPr>
        <w:t xml:space="preserve"> must not exceed these amounts.</w:t>
      </w:r>
    </w:p>
    <w:p w14:paraId="2329ABED" w14:textId="0131361B" w:rsidR="00095FA8" w:rsidRDefault="00095FA8" w:rsidP="009E53EA">
      <w:pPr>
        <w:ind w:left="720" w:hanging="720"/>
        <w:rPr>
          <w:rFonts w:ascii="Tahoma" w:hAnsi="Tahoma" w:cs="Tahoma"/>
          <w:b/>
          <w:bCs/>
        </w:rPr>
      </w:pPr>
      <w:r w:rsidRPr="0066463A">
        <w:rPr>
          <w:rFonts w:ascii="Tahoma" w:hAnsi="Tahoma" w:cs="Tahoma"/>
          <w:b/>
          <w:bCs/>
        </w:rPr>
        <w:t>Q</w:t>
      </w:r>
      <w:r w:rsidR="003C158A">
        <w:rPr>
          <w:rFonts w:ascii="Tahoma" w:hAnsi="Tahoma" w:cs="Tahoma"/>
          <w:b/>
          <w:bCs/>
        </w:rPr>
        <w:t>65</w:t>
      </w:r>
      <w:r w:rsidRPr="0066463A">
        <w:rPr>
          <w:rFonts w:ascii="Tahoma" w:hAnsi="Tahoma" w:cs="Tahoma"/>
          <w:b/>
          <w:bCs/>
        </w:rPr>
        <w:t>:</w:t>
      </w:r>
      <w:r w:rsidRPr="0066463A">
        <w:rPr>
          <w:rFonts w:ascii="Tahoma" w:hAnsi="Tahoma" w:cs="Tahoma"/>
          <w:b/>
          <w:bCs/>
        </w:rPr>
        <w:tab/>
        <w:t>Is there a deadline for getting products qualified for inclusion in this program?</w:t>
      </w:r>
      <w:r w:rsidR="008749F4" w:rsidRPr="0066463A">
        <w:rPr>
          <w:rFonts w:ascii="Tahoma" w:hAnsi="Tahoma" w:cs="Tahoma"/>
          <w:b/>
          <w:bCs/>
        </w:rPr>
        <w:t xml:space="preserve"> For example, </w:t>
      </w:r>
      <w:r w:rsidR="00794305" w:rsidRPr="0066463A">
        <w:rPr>
          <w:rFonts w:ascii="Tahoma" w:hAnsi="Tahoma" w:cs="Tahoma"/>
          <w:b/>
          <w:bCs/>
        </w:rPr>
        <w:t xml:space="preserve">the Guidelines state that </w:t>
      </w:r>
      <w:r w:rsidR="00447B6F" w:rsidRPr="0066463A">
        <w:rPr>
          <w:rFonts w:ascii="Tahoma" w:hAnsi="Tahoma" w:cs="Tahoma"/>
          <w:b/>
          <w:bCs/>
        </w:rPr>
        <w:t>o</w:t>
      </w:r>
      <w:r w:rsidR="00794305" w:rsidRPr="0066463A">
        <w:rPr>
          <w:rFonts w:ascii="Tahoma" w:hAnsi="Tahoma" w:cs="Tahoma"/>
          <w:b/>
          <w:bCs/>
        </w:rPr>
        <w:t xml:space="preserve">ccupant </w:t>
      </w:r>
      <w:r w:rsidR="00447B6F" w:rsidRPr="0066463A">
        <w:rPr>
          <w:rFonts w:ascii="Tahoma" w:hAnsi="Tahoma" w:cs="Tahoma"/>
          <w:b/>
          <w:bCs/>
        </w:rPr>
        <w:t>c</w:t>
      </w:r>
      <w:r w:rsidR="00794305" w:rsidRPr="0066463A">
        <w:rPr>
          <w:rFonts w:ascii="Tahoma" w:hAnsi="Tahoma" w:cs="Tahoma"/>
          <w:b/>
          <w:bCs/>
        </w:rPr>
        <w:t xml:space="preserve">ontrolled </w:t>
      </w:r>
      <w:r w:rsidR="00447B6F" w:rsidRPr="0066463A">
        <w:rPr>
          <w:rFonts w:ascii="Tahoma" w:hAnsi="Tahoma" w:cs="Tahoma"/>
          <w:b/>
          <w:bCs/>
        </w:rPr>
        <w:t>s</w:t>
      </w:r>
      <w:r w:rsidR="00794305" w:rsidRPr="0066463A">
        <w:rPr>
          <w:rFonts w:ascii="Tahoma" w:hAnsi="Tahoma" w:cs="Tahoma"/>
          <w:b/>
          <w:bCs/>
        </w:rPr>
        <w:t xml:space="preserve">mart </w:t>
      </w:r>
      <w:r w:rsidR="00447B6F" w:rsidRPr="0066463A">
        <w:rPr>
          <w:rFonts w:ascii="Tahoma" w:hAnsi="Tahoma" w:cs="Tahoma"/>
          <w:b/>
          <w:bCs/>
        </w:rPr>
        <w:t>t</w:t>
      </w:r>
      <w:r w:rsidR="00794305" w:rsidRPr="0066463A">
        <w:rPr>
          <w:rFonts w:ascii="Tahoma" w:hAnsi="Tahoma" w:cs="Tahoma"/>
          <w:b/>
          <w:bCs/>
        </w:rPr>
        <w:t xml:space="preserve">hermostats must be </w:t>
      </w:r>
      <w:r w:rsidR="00447B6F" w:rsidRPr="0066463A">
        <w:rPr>
          <w:rFonts w:ascii="Tahoma" w:hAnsi="Tahoma" w:cs="Tahoma"/>
          <w:b/>
          <w:bCs/>
        </w:rPr>
        <w:t xml:space="preserve">certified compliant with Joint Appendix 5 (JA5) of the California Energy Code. </w:t>
      </w:r>
      <w:r w:rsidR="0066463A">
        <w:rPr>
          <w:rFonts w:ascii="Tahoma" w:hAnsi="Tahoma" w:cs="Tahoma"/>
          <w:b/>
          <w:bCs/>
        </w:rPr>
        <w:t xml:space="preserve">Is there a deadline to achieve that certification for a </w:t>
      </w:r>
      <w:r w:rsidR="00D36707">
        <w:rPr>
          <w:rFonts w:ascii="Tahoma" w:hAnsi="Tahoma" w:cs="Tahoma"/>
          <w:b/>
          <w:bCs/>
        </w:rPr>
        <w:t>smart thermostat</w:t>
      </w:r>
      <w:r w:rsidR="0066463A">
        <w:rPr>
          <w:rFonts w:ascii="Tahoma" w:hAnsi="Tahoma" w:cs="Tahoma"/>
          <w:b/>
          <w:bCs/>
        </w:rPr>
        <w:t xml:space="preserve"> to be eligible for the program?</w:t>
      </w:r>
    </w:p>
    <w:p w14:paraId="0BF6FB2F" w14:textId="2D4B004C" w:rsidR="0066463A" w:rsidRDefault="0066463A" w:rsidP="009E53EA">
      <w:pPr>
        <w:ind w:left="720" w:hanging="720"/>
        <w:rPr>
          <w:rFonts w:ascii="Tahoma" w:hAnsi="Tahoma" w:cs="Tahoma"/>
        </w:rPr>
      </w:pPr>
      <w:r w:rsidRPr="005A17D5">
        <w:rPr>
          <w:rFonts w:ascii="Tahoma" w:hAnsi="Tahoma" w:cs="Tahoma"/>
        </w:rPr>
        <w:t>A</w:t>
      </w:r>
      <w:r w:rsidR="003C158A">
        <w:rPr>
          <w:rFonts w:ascii="Tahoma" w:hAnsi="Tahoma" w:cs="Tahoma"/>
        </w:rPr>
        <w:t>65</w:t>
      </w:r>
      <w:r w:rsidRPr="005A17D5">
        <w:rPr>
          <w:rFonts w:ascii="Tahoma" w:hAnsi="Tahoma" w:cs="Tahoma"/>
        </w:rPr>
        <w:t>:</w:t>
      </w:r>
      <w:r w:rsidRPr="005A17D5">
        <w:rPr>
          <w:rFonts w:ascii="Tahoma" w:hAnsi="Tahoma" w:cs="Tahoma"/>
        </w:rPr>
        <w:tab/>
      </w:r>
      <w:r w:rsidR="005A17D5">
        <w:rPr>
          <w:rFonts w:ascii="Tahoma" w:hAnsi="Tahoma" w:cs="Tahoma"/>
        </w:rPr>
        <w:t xml:space="preserve">No, there is not a deadline. </w:t>
      </w:r>
      <w:r w:rsidR="007A633F">
        <w:rPr>
          <w:rFonts w:ascii="Tahoma" w:hAnsi="Tahoma" w:cs="Tahoma"/>
        </w:rPr>
        <w:t xml:space="preserve">A product that is not eligible at program launch may become eligible at some point </w:t>
      </w:r>
      <w:r w:rsidR="00D36707">
        <w:rPr>
          <w:rFonts w:ascii="Tahoma" w:hAnsi="Tahoma" w:cs="Tahoma"/>
        </w:rPr>
        <w:t>over the course of</w:t>
      </w:r>
      <w:r w:rsidR="007A633F">
        <w:rPr>
          <w:rFonts w:ascii="Tahoma" w:hAnsi="Tahoma" w:cs="Tahoma"/>
        </w:rPr>
        <w:t xml:space="preserve"> the program </w:t>
      </w:r>
      <w:r w:rsidR="00D36707">
        <w:rPr>
          <w:rFonts w:ascii="Tahoma" w:hAnsi="Tahoma" w:cs="Tahoma"/>
        </w:rPr>
        <w:t>by meeting the eligibility requirements listed in the Guidelines</w:t>
      </w:r>
      <w:r w:rsidR="007A633F">
        <w:rPr>
          <w:rFonts w:ascii="Tahoma" w:hAnsi="Tahoma" w:cs="Tahoma"/>
        </w:rPr>
        <w:t xml:space="preserve">. </w:t>
      </w:r>
      <w:r w:rsidR="00037FF3">
        <w:rPr>
          <w:rFonts w:ascii="Tahoma" w:hAnsi="Tahoma" w:cs="Tahoma"/>
        </w:rPr>
        <w:t xml:space="preserve">Regional Administrators will be responsible for ensuring that all </w:t>
      </w:r>
      <w:r w:rsidR="00D36707">
        <w:rPr>
          <w:rFonts w:ascii="Tahoma" w:hAnsi="Tahoma" w:cs="Tahoma"/>
        </w:rPr>
        <w:t>measures installed in homes are eligible at the time of installation.</w:t>
      </w:r>
    </w:p>
    <w:p w14:paraId="476D58AE" w14:textId="2F1814EB" w:rsidR="00075BF7" w:rsidRDefault="00075BF7" w:rsidP="009E53EA">
      <w:pPr>
        <w:ind w:left="720" w:hanging="720"/>
        <w:rPr>
          <w:rFonts w:ascii="Tahoma" w:hAnsi="Tahoma" w:cs="Tahoma"/>
          <w:b/>
          <w:bCs/>
        </w:rPr>
      </w:pPr>
      <w:r w:rsidRPr="00075BF7">
        <w:rPr>
          <w:rFonts w:ascii="Tahoma" w:hAnsi="Tahoma" w:cs="Tahoma"/>
          <w:b/>
          <w:bCs/>
        </w:rPr>
        <w:t>Q</w:t>
      </w:r>
      <w:r w:rsidR="003C158A">
        <w:rPr>
          <w:rFonts w:ascii="Tahoma" w:hAnsi="Tahoma" w:cs="Tahoma"/>
          <w:b/>
          <w:bCs/>
        </w:rPr>
        <w:t>66</w:t>
      </w:r>
      <w:r w:rsidRPr="00075BF7">
        <w:rPr>
          <w:rFonts w:ascii="Tahoma" w:hAnsi="Tahoma" w:cs="Tahoma"/>
          <w:b/>
          <w:bCs/>
        </w:rPr>
        <w:t>:</w:t>
      </w:r>
      <w:r w:rsidRPr="00075BF7">
        <w:rPr>
          <w:rFonts w:ascii="Tahoma" w:hAnsi="Tahoma" w:cs="Tahoma"/>
          <w:b/>
          <w:bCs/>
        </w:rPr>
        <w:tab/>
      </w:r>
      <w:r w:rsidR="002C5CDE">
        <w:rPr>
          <w:rFonts w:ascii="Tahoma" w:hAnsi="Tahoma" w:cs="Tahoma"/>
          <w:b/>
          <w:bCs/>
        </w:rPr>
        <w:t xml:space="preserve">Are load-shifting measures eligible, such as smart thermostats that do not </w:t>
      </w:r>
      <w:r w:rsidR="00656B3A">
        <w:rPr>
          <w:rFonts w:ascii="Tahoma" w:hAnsi="Tahoma" w:cs="Tahoma"/>
          <w:b/>
          <w:bCs/>
        </w:rPr>
        <w:t>reduce overall energy use but have the potential to save customers money by shifting their usage out of peak periods?</w:t>
      </w:r>
    </w:p>
    <w:p w14:paraId="3C331619" w14:textId="7B4C87DB" w:rsidR="00656B3A" w:rsidRPr="00656B3A" w:rsidRDefault="00656B3A" w:rsidP="009E53EA">
      <w:pPr>
        <w:ind w:left="720" w:hanging="720"/>
        <w:rPr>
          <w:rFonts w:ascii="Tahoma" w:hAnsi="Tahoma" w:cs="Tahoma"/>
        </w:rPr>
      </w:pPr>
      <w:r w:rsidRPr="00656B3A">
        <w:rPr>
          <w:rFonts w:ascii="Tahoma" w:hAnsi="Tahoma" w:cs="Tahoma"/>
        </w:rPr>
        <w:t>A</w:t>
      </w:r>
      <w:r w:rsidR="003C158A">
        <w:rPr>
          <w:rFonts w:ascii="Tahoma" w:hAnsi="Tahoma" w:cs="Tahoma"/>
        </w:rPr>
        <w:t>66</w:t>
      </w:r>
      <w:r w:rsidRPr="00656B3A">
        <w:rPr>
          <w:rFonts w:ascii="Tahoma" w:hAnsi="Tahoma" w:cs="Tahoma"/>
        </w:rPr>
        <w:t>:</w:t>
      </w:r>
      <w:r w:rsidRPr="00656B3A">
        <w:rPr>
          <w:rFonts w:ascii="Tahoma" w:hAnsi="Tahoma" w:cs="Tahoma"/>
        </w:rPr>
        <w:tab/>
        <w:t>Yes.</w:t>
      </w:r>
      <w:r w:rsidR="00CE3499">
        <w:rPr>
          <w:rFonts w:ascii="Tahoma" w:hAnsi="Tahoma" w:cs="Tahoma"/>
        </w:rPr>
        <w:t xml:space="preserve"> Occupant controlled smart thermostats are an eligible measure listed in the Guidelines.</w:t>
      </w:r>
      <w:r w:rsidR="00ED0315">
        <w:rPr>
          <w:rFonts w:ascii="Tahoma" w:hAnsi="Tahoma" w:cs="Tahoma"/>
        </w:rPr>
        <w:t xml:space="preserve"> In addition, </w:t>
      </w:r>
      <w:r w:rsidR="00F9310F">
        <w:rPr>
          <w:rFonts w:ascii="Tahoma" w:hAnsi="Tahoma" w:cs="Tahoma"/>
        </w:rPr>
        <w:t xml:space="preserve">heat pump water heaters are required to be certified compliant with Joint Appendix 13 (JA13) of the California Energy Code and installed in accordance with JA13 specifications </w:t>
      </w:r>
      <w:r w:rsidR="00E877C8">
        <w:rPr>
          <w:rFonts w:ascii="Tahoma" w:hAnsi="Tahoma" w:cs="Tahoma"/>
        </w:rPr>
        <w:t>to allow for load shifting.</w:t>
      </w:r>
    </w:p>
    <w:p w14:paraId="3EA764AA" w14:textId="7BACE401" w:rsidR="00B23F5E" w:rsidRDefault="00B23F5E" w:rsidP="009E53EA">
      <w:pPr>
        <w:ind w:left="720" w:hanging="720"/>
        <w:rPr>
          <w:rFonts w:ascii="Tahoma" w:hAnsi="Tahoma" w:cs="Tahoma"/>
          <w:b/>
          <w:bCs/>
        </w:rPr>
      </w:pPr>
      <w:r w:rsidRPr="00B8657E">
        <w:rPr>
          <w:rFonts w:ascii="Tahoma" w:hAnsi="Tahoma" w:cs="Tahoma"/>
          <w:b/>
          <w:bCs/>
        </w:rPr>
        <w:t>Q</w:t>
      </w:r>
      <w:r w:rsidR="00085D8B">
        <w:rPr>
          <w:rFonts w:ascii="Tahoma" w:hAnsi="Tahoma" w:cs="Tahoma"/>
          <w:b/>
          <w:bCs/>
        </w:rPr>
        <w:t>67</w:t>
      </w:r>
      <w:r w:rsidRPr="00B8657E">
        <w:rPr>
          <w:rFonts w:ascii="Tahoma" w:hAnsi="Tahoma" w:cs="Tahoma"/>
          <w:b/>
          <w:bCs/>
        </w:rPr>
        <w:t>:</w:t>
      </w:r>
      <w:r w:rsidRPr="00B8657E">
        <w:rPr>
          <w:rFonts w:ascii="Tahoma" w:hAnsi="Tahoma" w:cs="Tahoma"/>
          <w:b/>
          <w:bCs/>
        </w:rPr>
        <w:tab/>
      </w:r>
      <w:r w:rsidR="00397C65" w:rsidRPr="00B8657E">
        <w:rPr>
          <w:rFonts w:ascii="Tahoma" w:hAnsi="Tahoma" w:cs="Tahoma"/>
          <w:b/>
          <w:bCs/>
        </w:rPr>
        <w:t xml:space="preserve">Can remediation </w:t>
      </w:r>
      <w:r w:rsidR="00214DBD" w:rsidRPr="00B8657E">
        <w:rPr>
          <w:rFonts w:ascii="Tahoma" w:hAnsi="Tahoma" w:cs="Tahoma"/>
          <w:b/>
          <w:bCs/>
        </w:rPr>
        <w:t xml:space="preserve">funds be used to address issues such as </w:t>
      </w:r>
      <w:r w:rsidR="00E7650C" w:rsidRPr="00B8657E">
        <w:rPr>
          <w:rFonts w:ascii="Tahoma" w:hAnsi="Tahoma" w:cs="Tahoma"/>
          <w:b/>
          <w:bCs/>
        </w:rPr>
        <w:t>hoarding?</w:t>
      </w:r>
    </w:p>
    <w:p w14:paraId="04E5E0C5" w14:textId="7A85AB47" w:rsidR="00E7650C" w:rsidRPr="00E7650C" w:rsidRDefault="00E7650C" w:rsidP="00A56C54">
      <w:pPr>
        <w:ind w:left="720" w:hanging="720"/>
        <w:rPr>
          <w:rFonts w:ascii="Tahoma" w:hAnsi="Tahoma" w:cs="Tahoma"/>
        </w:rPr>
      </w:pPr>
      <w:r w:rsidRPr="00E7650C">
        <w:rPr>
          <w:rFonts w:ascii="Tahoma" w:hAnsi="Tahoma" w:cs="Tahoma"/>
        </w:rPr>
        <w:t>A</w:t>
      </w:r>
      <w:r w:rsidR="00085D8B">
        <w:rPr>
          <w:rFonts w:ascii="Tahoma" w:hAnsi="Tahoma" w:cs="Tahoma"/>
        </w:rPr>
        <w:t>67</w:t>
      </w:r>
      <w:r w:rsidRPr="00E7650C">
        <w:rPr>
          <w:rFonts w:ascii="Tahoma" w:hAnsi="Tahoma" w:cs="Tahoma"/>
        </w:rPr>
        <w:t>:</w:t>
      </w:r>
      <w:r w:rsidR="00BD1170">
        <w:rPr>
          <w:rFonts w:ascii="Tahoma" w:hAnsi="Tahoma" w:cs="Tahoma"/>
        </w:rPr>
        <w:tab/>
      </w:r>
      <w:r w:rsidR="00837F8F">
        <w:rPr>
          <w:rFonts w:ascii="Tahoma" w:hAnsi="Tahoma" w:cs="Tahoma"/>
        </w:rPr>
        <w:t xml:space="preserve">No, but </w:t>
      </w:r>
      <w:r w:rsidR="00331D74">
        <w:rPr>
          <w:rFonts w:ascii="Tahoma" w:hAnsi="Tahoma" w:cs="Tahoma"/>
        </w:rPr>
        <w:t>applicants may propose to coordinate with other</w:t>
      </w:r>
      <w:r w:rsidR="00CA2011">
        <w:rPr>
          <w:rFonts w:ascii="Tahoma" w:hAnsi="Tahoma" w:cs="Tahoma"/>
        </w:rPr>
        <w:t xml:space="preserve"> </w:t>
      </w:r>
      <w:r w:rsidR="00F86EFF">
        <w:rPr>
          <w:rFonts w:ascii="Tahoma" w:hAnsi="Tahoma" w:cs="Tahoma"/>
        </w:rPr>
        <w:t xml:space="preserve">programs or </w:t>
      </w:r>
      <w:r w:rsidR="00331D74">
        <w:rPr>
          <w:rFonts w:ascii="Tahoma" w:hAnsi="Tahoma" w:cs="Tahoma"/>
        </w:rPr>
        <w:t xml:space="preserve">funding sources to address </w:t>
      </w:r>
      <w:r w:rsidR="004A6AEC">
        <w:rPr>
          <w:rFonts w:ascii="Tahoma" w:hAnsi="Tahoma" w:cs="Tahoma"/>
        </w:rPr>
        <w:t>such issues.</w:t>
      </w:r>
    </w:p>
    <w:p w14:paraId="53378FA0" w14:textId="07E70C04" w:rsidR="00546DF5" w:rsidRDefault="00546DF5" w:rsidP="00A56C54">
      <w:pPr>
        <w:rPr>
          <w:rFonts w:ascii="Tahoma" w:hAnsi="Tahoma" w:cs="Tahoma"/>
        </w:rPr>
      </w:pPr>
    </w:p>
    <w:p w14:paraId="45C4B152" w14:textId="7E87ED7C" w:rsidR="00546DF5" w:rsidRPr="00A56C54" w:rsidRDefault="00A56C54" w:rsidP="00336692">
      <w:pPr>
        <w:pStyle w:val="Heading1"/>
      </w:pPr>
      <w:r w:rsidRPr="00A56C54">
        <w:t>Energy Savings Requirement</w:t>
      </w:r>
    </w:p>
    <w:p w14:paraId="0043FBF5" w14:textId="45C9750B" w:rsidR="004C1374" w:rsidRPr="004C1374" w:rsidRDefault="00A56C54" w:rsidP="00A56C54">
      <w:pPr>
        <w:ind w:left="720" w:hanging="720"/>
        <w:rPr>
          <w:rFonts w:ascii="Tahoma" w:hAnsi="Tahoma" w:cs="Tahoma"/>
          <w:b/>
          <w:bCs/>
        </w:rPr>
      </w:pPr>
      <w:r w:rsidRPr="004C1374">
        <w:rPr>
          <w:rFonts w:ascii="Tahoma" w:hAnsi="Tahoma" w:cs="Tahoma"/>
          <w:b/>
          <w:bCs/>
        </w:rPr>
        <w:t>Q</w:t>
      </w:r>
      <w:r w:rsidR="00085D8B">
        <w:rPr>
          <w:rFonts w:ascii="Tahoma" w:hAnsi="Tahoma" w:cs="Tahoma"/>
          <w:b/>
          <w:bCs/>
        </w:rPr>
        <w:t>68</w:t>
      </w:r>
      <w:r w:rsidRPr="004C1374">
        <w:rPr>
          <w:rFonts w:ascii="Tahoma" w:hAnsi="Tahoma" w:cs="Tahoma"/>
          <w:b/>
          <w:bCs/>
        </w:rPr>
        <w:t>:</w:t>
      </w:r>
      <w:r w:rsidRPr="004C1374">
        <w:rPr>
          <w:rFonts w:ascii="Tahoma" w:hAnsi="Tahoma" w:cs="Tahoma"/>
          <w:b/>
          <w:bCs/>
        </w:rPr>
        <w:tab/>
      </w:r>
      <w:r w:rsidR="00A14D35" w:rsidRPr="004C1374">
        <w:rPr>
          <w:rFonts w:ascii="Tahoma" w:hAnsi="Tahoma" w:cs="Tahoma"/>
          <w:b/>
          <w:bCs/>
        </w:rPr>
        <w:t xml:space="preserve">Is modeling of energy savings required for all </w:t>
      </w:r>
      <w:r w:rsidR="004C1374" w:rsidRPr="004C1374">
        <w:rPr>
          <w:rFonts w:ascii="Tahoma" w:hAnsi="Tahoma" w:cs="Tahoma"/>
          <w:b/>
          <w:bCs/>
        </w:rPr>
        <w:t>projects, or only projects that will receive HOMES funding?</w:t>
      </w:r>
    </w:p>
    <w:p w14:paraId="1CA66A46" w14:textId="62ED90FC" w:rsidR="00DB3646" w:rsidRDefault="004C1374" w:rsidP="00DB3646">
      <w:pPr>
        <w:ind w:left="720" w:hanging="720"/>
        <w:rPr>
          <w:rFonts w:ascii="Tahoma" w:hAnsi="Tahoma" w:cs="Tahoma"/>
          <w:color w:val="000000" w:themeColor="text1"/>
          <w:szCs w:val="24"/>
        </w:rPr>
      </w:pPr>
      <w:r>
        <w:rPr>
          <w:rFonts w:ascii="Tahoma" w:hAnsi="Tahoma" w:cs="Tahoma"/>
        </w:rPr>
        <w:t>A</w:t>
      </w:r>
      <w:r w:rsidR="00085D8B">
        <w:rPr>
          <w:rFonts w:ascii="Tahoma" w:hAnsi="Tahoma" w:cs="Tahoma"/>
        </w:rPr>
        <w:t>68</w:t>
      </w:r>
      <w:r>
        <w:rPr>
          <w:rFonts w:ascii="Tahoma" w:hAnsi="Tahoma" w:cs="Tahoma"/>
        </w:rPr>
        <w:t>:</w:t>
      </w:r>
      <w:r>
        <w:rPr>
          <w:rFonts w:ascii="Tahoma" w:hAnsi="Tahoma" w:cs="Tahoma"/>
        </w:rPr>
        <w:tab/>
      </w:r>
      <w:r w:rsidR="00817C4A">
        <w:rPr>
          <w:rFonts w:ascii="Tahoma" w:hAnsi="Tahoma" w:cs="Tahoma"/>
        </w:rPr>
        <w:t xml:space="preserve">For all projects, Recipients must </w:t>
      </w:r>
      <w:r w:rsidR="000728FB">
        <w:rPr>
          <w:rFonts w:ascii="Tahoma" w:hAnsi="Tahoma" w:cs="Tahoma"/>
        </w:rPr>
        <w:t xml:space="preserve">conduct a home assessment, identify recommended measures for the home, and </w:t>
      </w:r>
      <w:r w:rsidR="00817C4A">
        <w:rPr>
          <w:rFonts w:ascii="Tahoma" w:hAnsi="Tahoma" w:cs="Tahoma"/>
        </w:rPr>
        <w:t>estimate energy savings and e</w:t>
      </w:r>
      <w:r w:rsidR="000728FB">
        <w:rPr>
          <w:rFonts w:ascii="Tahoma" w:hAnsi="Tahoma" w:cs="Tahoma"/>
        </w:rPr>
        <w:t xml:space="preserve">xpected bill impacts associated with recommended measures. </w:t>
      </w:r>
      <w:r w:rsidR="00DB3646">
        <w:rPr>
          <w:rFonts w:ascii="Tahoma" w:hAnsi="Tahoma" w:cs="Tahoma"/>
        </w:rPr>
        <w:t>For p</w:t>
      </w:r>
      <w:r w:rsidR="00DB3646" w:rsidRPr="00DB3646">
        <w:rPr>
          <w:rFonts w:ascii="Tahoma" w:hAnsi="Tahoma" w:cs="Tahoma"/>
          <w:color w:val="000000" w:themeColor="text1"/>
          <w:szCs w:val="24"/>
        </w:rPr>
        <w:t xml:space="preserve">rojects expected to receive HOMES funding, </w:t>
      </w:r>
      <w:r w:rsidR="00F12F22">
        <w:rPr>
          <w:rFonts w:ascii="Tahoma" w:hAnsi="Tahoma" w:cs="Tahoma"/>
          <w:color w:val="000000" w:themeColor="text1"/>
          <w:szCs w:val="24"/>
        </w:rPr>
        <w:t>modeled</w:t>
      </w:r>
      <w:r w:rsidR="00F12F22" w:rsidRPr="00DB3646">
        <w:rPr>
          <w:rFonts w:ascii="Tahoma" w:hAnsi="Tahoma" w:cs="Tahoma"/>
          <w:color w:val="000000" w:themeColor="text1"/>
          <w:szCs w:val="24"/>
        </w:rPr>
        <w:t xml:space="preserve"> </w:t>
      </w:r>
      <w:r w:rsidR="00DB3646" w:rsidRPr="00DB3646">
        <w:rPr>
          <w:rFonts w:ascii="Tahoma" w:hAnsi="Tahoma" w:cs="Tahoma"/>
          <w:color w:val="000000" w:themeColor="text1"/>
          <w:szCs w:val="24"/>
        </w:rPr>
        <w:t xml:space="preserve">energy savings must </w:t>
      </w:r>
      <w:r w:rsidR="001D3544">
        <w:rPr>
          <w:rFonts w:ascii="Tahoma" w:hAnsi="Tahoma" w:cs="Tahoma"/>
          <w:color w:val="000000" w:themeColor="text1"/>
          <w:szCs w:val="24"/>
        </w:rPr>
        <w:t xml:space="preserve">a) </w:t>
      </w:r>
      <w:r w:rsidR="0088462B">
        <w:rPr>
          <w:rFonts w:ascii="Tahoma" w:hAnsi="Tahoma" w:cs="Tahoma"/>
          <w:color w:val="000000" w:themeColor="text1"/>
          <w:szCs w:val="24"/>
        </w:rPr>
        <w:t xml:space="preserve">use a methodology </w:t>
      </w:r>
      <w:r w:rsidR="00DB3646" w:rsidRPr="00DB3646">
        <w:rPr>
          <w:rFonts w:ascii="Tahoma" w:hAnsi="Tahoma" w:cs="Tahoma"/>
          <w:color w:val="000000" w:themeColor="text1"/>
          <w:szCs w:val="24"/>
        </w:rPr>
        <w:t>consistent with the HOMES Program Requirements and Application Instructions Section 3.2.4.1</w:t>
      </w:r>
      <w:r w:rsidR="00F43BFD">
        <w:rPr>
          <w:rFonts w:ascii="Tahoma" w:hAnsi="Tahoma" w:cs="Tahoma"/>
          <w:color w:val="000000" w:themeColor="text1"/>
          <w:szCs w:val="24"/>
        </w:rPr>
        <w:t xml:space="preserve"> </w:t>
      </w:r>
      <w:r w:rsidR="00C51F1E">
        <w:rPr>
          <w:rFonts w:ascii="Tahoma" w:hAnsi="Tahoma" w:cs="Tahoma"/>
          <w:color w:val="000000" w:themeColor="text1"/>
          <w:szCs w:val="24"/>
        </w:rPr>
        <w:t>and b)</w:t>
      </w:r>
      <w:r w:rsidR="00F43BFD">
        <w:rPr>
          <w:rFonts w:ascii="Tahoma" w:hAnsi="Tahoma" w:cs="Tahoma"/>
          <w:color w:val="000000" w:themeColor="text1"/>
          <w:szCs w:val="24"/>
        </w:rPr>
        <w:t xml:space="preserve"> </w:t>
      </w:r>
      <w:r w:rsidR="0088462B">
        <w:rPr>
          <w:rFonts w:ascii="Tahoma" w:hAnsi="Tahoma" w:cs="Tahoma"/>
          <w:color w:val="000000" w:themeColor="text1"/>
          <w:szCs w:val="24"/>
        </w:rPr>
        <w:t xml:space="preserve">be </w:t>
      </w:r>
      <w:r w:rsidR="00F43BFD">
        <w:rPr>
          <w:rFonts w:ascii="Tahoma" w:hAnsi="Tahoma" w:cs="Tahoma"/>
          <w:color w:val="000000" w:themeColor="text1"/>
          <w:szCs w:val="24"/>
        </w:rPr>
        <w:t>predicted to achieve a minimum of 20</w:t>
      </w:r>
      <w:r w:rsidR="00AC0AD5">
        <w:rPr>
          <w:rFonts w:ascii="Tahoma" w:hAnsi="Tahoma" w:cs="Tahoma"/>
          <w:color w:val="000000" w:themeColor="text1"/>
          <w:szCs w:val="24"/>
        </w:rPr>
        <w:t xml:space="preserve"> percent</w:t>
      </w:r>
      <w:r w:rsidR="00D90EB4">
        <w:rPr>
          <w:rFonts w:ascii="Tahoma" w:hAnsi="Tahoma" w:cs="Tahoma"/>
          <w:color w:val="000000" w:themeColor="text1"/>
          <w:szCs w:val="24"/>
        </w:rPr>
        <w:t xml:space="preserve"> </w:t>
      </w:r>
      <w:r w:rsidR="00F43BFD">
        <w:rPr>
          <w:rFonts w:ascii="Tahoma" w:hAnsi="Tahoma" w:cs="Tahoma"/>
          <w:color w:val="000000" w:themeColor="text1"/>
          <w:szCs w:val="24"/>
        </w:rPr>
        <w:t>energy savings.</w:t>
      </w:r>
    </w:p>
    <w:p w14:paraId="40B3C728" w14:textId="3B030CF0" w:rsidR="00D90EB4" w:rsidRPr="00D90EB4" w:rsidRDefault="001D72D9" w:rsidP="00DB3646">
      <w:pPr>
        <w:ind w:left="720" w:hanging="720"/>
        <w:rPr>
          <w:rFonts w:ascii="Tahoma" w:hAnsi="Tahoma" w:cs="Tahoma"/>
          <w:b/>
          <w:bCs/>
        </w:rPr>
      </w:pPr>
      <w:r w:rsidRPr="00D90EB4">
        <w:rPr>
          <w:rFonts w:ascii="Tahoma" w:hAnsi="Tahoma" w:cs="Tahoma"/>
          <w:b/>
          <w:bCs/>
        </w:rPr>
        <w:t>Q</w:t>
      </w:r>
      <w:r w:rsidR="00902C61">
        <w:rPr>
          <w:rFonts w:ascii="Tahoma" w:hAnsi="Tahoma" w:cs="Tahoma"/>
          <w:b/>
          <w:bCs/>
        </w:rPr>
        <w:t>69</w:t>
      </w:r>
      <w:r w:rsidRPr="00D90EB4">
        <w:rPr>
          <w:rFonts w:ascii="Tahoma" w:hAnsi="Tahoma" w:cs="Tahoma"/>
          <w:b/>
          <w:bCs/>
        </w:rPr>
        <w:t>:</w:t>
      </w:r>
      <w:r w:rsidRPr="00D90EB4">
        <w:rPr>
          <w:rFonts w:ascii="Tahoma" w:hAnsi="Tahoma" w:cs="Tahoma"/>
          <w:b/>
          <w:bCs/>
        </w:rPr>
        <w:tab/>
      </w:r>
      <w:r w:rsidR="00F43BFD" w:rsidRPr="00D90EB4">
        <w:rPr>
          <w:rFonts w:ascii="Tahoma" w:hAnsi="Tahoma" w:cs="Tahoma"/>
          <w:b/>
          <w:bCs/>
        </w:rPr>
        <w:t xml:space="preserve">If a project is not </w:t>
      </w:r>
      <w:r w:rsidR="00906F1D">
        <w:rPr>
          <w:rFonts w:ascii="Tahoma" w:hAnsi="Tahoma" w:cs="Tahoma"/>
          <w:b/>
          <w:bCs/>
        </w:rPr>
        <w:t>anticipated</w:t>
      </w:r>
      <w:r w:rsidR="00D90EB4" w:rsidRPr="00D90EB4">
        <w:rPr>
          <w:rFonts w:ascii="Tahoma" w:hAnsi="Tahoma" w:cs="Tahoma"/>
          <w:b/>
          <w:bCs/>
        </w:rPr>
        <w:t xml:space="preserve"> to achieve at least 20% energy savings, is that project eligible to receive federal HOMES funding? Is it eligible to receive state EBD funding?</w:t>
      </w:r>
    </w:p>
    <w:p w14:paraId="5C78DAF6" w14:textId="45269138" w:rsidR="00922AC4" w:rsidRDefault="00D90EB4" w:rsidP="00DB3646">
      <w:pPr>
        <w:ind w:left="720" w:hanging="720"/>
        <w:rPr>
          <w:rFonts w:ascii="Tahoma" w:hAnsi="Tahoma" w:cs="Tahoma"/>
          <w:color w:val="000000" w:themeColor="text1"/>
          <w:szCs w:val="24"/>
        </w:rPr>
      </w:pPr>
      <w:r>
        <w:rPr>
          <w:rFonts w:ascii="Tahoma" w:hAnsi="Tahoma" w:cs="Tahoma"/>
        </w:rPr>
        <w:t>A</w:t>
      </w:r>
      <w:r w:rsidR="00902C61">
        <w:rPr>
          <w:rFonts w:ascii="Tahoma" w:hAnsi="Tahoma" w:cs="Tahoma"/>
        </w:rPr>
        <w:t>69</w:t>
      </w:r>
      <w:r>
        <w:rPr>
          <w:rFonts w:ascii="Tahoma" w:hAnsi="Tahoma" w:cs="Tahoma"/>
        </w:rPr>
        <w:t>:</w:t>
      </w:r>
      <w:r w:rsidR="00906F1D">
        <w:rPr>
          <w:rFonts w:ascii="Tahoma" w:hAnsi="Tahoma" w:cs="Tahoma"/>
        </w:rPr>
        <w:tab/>
        <w:t>For a project to receive federal HOMES funding, modeled energy savings must equal or exceed 20</w:t>
      </w:r>
      <w:r w:rsidR="000431FC">
        <w:rPr>
          <w:rFonts w:ascii="Tahoma" w:hAnsi="Tahoma" w:cs="Tahoma"/>
        </w:rPr>
        <w:t xml:space="preserve"> percent</w:t>
      </w:r>
      <w:r w:rsidR="00906F1D">
        <w:rPr>
          <w:rFonts w:ascii="Tahoma" w:hAnsi="Tahoma" w:cs="Tahoma"/>
        </w:rPr>
        <w:t xml:space="preserve"> using a methodology </w:t>
      </w:r>
      <w:r w:rsidR="00906F1D" w:rsidRPr="00DB3646">
        <w:rPr>
          <w:rFonts w:ascii="Tahoma" w:hAnsi="Tahoma" w:cs="Tahoma"/>
          <w:color w:val="000000" w:themeColor="text1"/>
          <w:szCs w:val="24"/>
        </w:rPr>
        <w:t>consistent with the HOMES Program Requirements and Application Instructions Section 3.2.4.1.</w:t>
      </w:r>
      <w:r w:rsidR="00906F1D">
        <w:rPr>
          <w:rFonts w:ascii="Tahoma" w:hAnsi="Tahoma" w:cs="Tahoma"/>
          <w:color w:val="000000" w:themeColor="text1"/>
          <w:szCs w:val="24"/>
        </w:rPr>
        <w:t xml:space="preserve"> </w:t>
      </w:r>
      <w:r w:rsidR="004A5872">
        <w:rPr>
          <w:rFonts w:ascii="Tahoma" w:hAnsi="Tahoma" w:cs="Tahoma"/>
          <w:color w:val="000000" w:themeColor="text1"/>
          <w:szCs w:val="24"/>
        </w:rPr>
        <w:t>Projects that are not expected to achieve 20</w:t>
      </w:r>
      <w:r w:rsidR="00693D3F">
        <w:rPr>
          <w:rFonts w:ascii="Tahoma" w:hAnsi="Tahoma" w:cs="Tahoma"/>
          <w:color w:val="000000" w:themeColor="text1"/>
          <w:szCs w:val="24"/>
        </w:rPr>
        <w:t xml:space="preserve"> percent</w:t>
      </w:r>
      <w:r w:rsidR="004A5872">
        <w:rPr>
          <w:rFonts w:ascii="Tahoma" w:hAnsi="Tahoma" w:cs="Tahoma"/>
          <w:color w:val="000000" w:themeColor="text1"/>
          <w:szCs w:val="24"/>
        </w:rPr>
        <w:t xml:space="preserve"> energy savings are eligible to receive state EBD funds assuming all other eligibility requirements are met.</w:t>
      </w:r>
    </w:p>
    <w:p w14:paraId="08ED0759" w14:textId="476C9A1B" w:rsidR="001D72D9" w:rsidRDefault="00922AC4" w:rsidP="00DB3646">
      <w:pPr>
        <w:ind w:left="720" w:hanging="720"/>
        <w:rPr>
          <w:rFonts w:ascii="Tahoma" w:hAnsi="Tahoma" w:cs="Tahoma"/>
          <w:b/>
          <w:bCs/>
        </w:rPr>
      </w:pPr>
      <w:r w:rsidRPr="00636359">
        <w:rPr>
          <w:rFonts w:ascii="Tahoma" w:hAnsi="Tahoma" w:cs="Tahoma"/>
          <w:b/>
          <w:bCs/>
        </w:rPr>
        <w:t>Q</w:t>
      </w:r>
      <w:r w:rsidR="00902C61">
        <w:rPr>
          <w:rFonts w:ascii="Tahoma" w:hAnsi="Tahoma" w:cs="Tahoma"/>
          <w:b/>
          <w:bCs/>
        </w:rPr>
        <w:t>70</w:t>
      </w:r>
      <w:r w:rsidRPr="00636359">
        <w:rPr>
          <w:rFonts w:ascii="Tahoma" w:hAnsi="Tahoma" w:cs="Tahoma"/>
          <w:b/>
          <w:bCs/>
        </w:rPr>
        <w:t>:</w:t>
      </w:r>
      <w:r w:rsidRPr="00636359">
        <w:rPr>
          <w:rFonts w:ascii="Tahoma" w:hAnsi="Tahoma" w:cs="Tahoma"/>
          <w:b/>
          <w:bCs/>
        </w:rPr>
        <w:tab/>
        <w:t>Is there a list of DOE</w:t>
      </w:r>
      <w:r w:rsidR="00FA1F81" w:rsidRPr="00636359">
        <w:rPr>
          <w:rFonts w:ascii="Tahoma" w:hAnsi="Tahoma" w:cs="Tahoma"/>
          <w:b/>
          <w:bCs/>
        </w:rPr>
        <w:t>-</w:t>
      </w:r>
      <w:r w:rsidRPr="00636359">
        <w:rPr>
          <w:rFonts w:ascii="Tahoma" w:hAnsi="Tahoma" w:cs="Tahoma"/>
          <w:b/>
          <w:bCs/>
        </w:rPr>
        <w:t>approved modeling software?</w:t>
      </w:r>
    </w:p>
    <w:p w14:paraId="4B18064F" w14:textId="49DB68B2" w:rsidR="00922AC4" w:rsidRDefault="00922AC4" w:rsidP="00636359">
      <w:pPr>
        <w:ind w:left="720" w:hanging="720"/>
        <w:rPr>
          <w:rFonts w:ascii="Tahoma" w:hAnsi="Tahoma" w:cs="Tahoma"/>
        </w:rPr>
      </w:pPr>
      <w:r w:rsidRPr="006349EF">
        <w:rPr>
          <w:rFonts w:ascii="Tahoma" w:hAnsi="Tahoma" w:cs="Tahoma"/>
        </w:rPr>
        <w:t>A</w:t>
      </w:r>
      <w:r w:rsidR="00902C61">
        <w:rPr>
          <w:rFonts w:ascii="Tahoma" w:hAnsi="Tahoma" w:cs="Tahoma"/>
        </w:rPr>
        <w:t>70</w:t>
      </w:r>
      <w:r w:rsidRPr="006349EF">
        <w:rPr>
          <w:rFonts w:ascii="Tahoma" w:hAnsi="Tahoma" w:cs="Tahoma"/>
        </w:rPr>
        <w:t>:</w:t>
      </w:r>
      <w:r w:rsidRPr="006349EF">
        <w:rPr>
          <w:rFonts w:ascii="Tahoma" w:hAnsi="Tahoma" w:cs="Tahoma"/>
        </w:rPr>
        <w:tab/>
      </w:r>
      <w:r w:rsidR="007720A0">
        <w:rPr>
          <w:rFonts w:ascii="Tahoma" w:hAnsi="Tahoma" w:cs="Tahoma"/>
        </w:rPr>
        <w:t xml:space="preserve">According to the </w:t>
      </w:r>
      <w:r w:rsidR="00A3394F">
        <w:rPr>
          <w:rFonts w:ascii="Tahoma" w:hAnsi="Tahoma" w:cs="Tahoma"/>
        </w:rPr>
        <w:t>IRA Home Energy Rebates Data &amp; Tools Requirements Guide (</w:t>
      </w:r>
      <w:hyperlink r:id="rId10" w:history="1">
        <w:r w:rsidR="00636359" w:rsidRPr="00C22884">
          <w:rPr>
            <w:rStyle w:val="Hyperlink"/>
            <w:rFonts w:ascii="Tahoma" w:hAnsi="Tahoma" w:cs="Tahoma"/>
          </w:rPr>
          <w:t>https://www.energy.gov/sites/default/files/2024-05/ira-home-energy-rebates-data-and-tools-requirements-guide-version-1.2.pdf</w:t>
        </w:r>
      </w:hyperlink>
      <w:r w:rsidR="00636359">
        <w:rPr>
          <w:rFonts w:ascii="Tahoma" w:hAnsi="Tahoma" w:cs="Tahoma"/>
        </w:rPr>
        <w:t>), “</w:t>
      </w:r>
      <w:r w:rsidR="00636359" w:rsidRPr="00636359">
        <w:rPr>
          <w:rFonts w:ascii="Tahoma" w:hAnsi="Tahoma" w:cs="Tahoma"/>
        </w:rPr>
        <w:t>The National Renewable Energy</w:t>
      </w:r>
      <w:r w:rsidR="00636359">
        <w:rPr>
          <w:rFonts w:ascii="Tahoma" w:hAnsi="Tahoma" w:cs="Tahoma"/>
        </w:rPr>
        <w:t xml:space="preserve"> </w:t>
      </w:r>
      <w:r w:rsidR="00636359" w:rsidRPr="00636359">
        <w:rPr>
          <w:rFonts w:ascii="Tahoma" w:hAnsi="Tahoma" w:cs="Tahoma"/>
        </w:rPr>
        <w:t>Laboratory is developing a</w:t>
      </w:r>
      <w:r w:rsidR="00636359">
        <w:rPr>
          <w:rFonts w:ascii="Tahoma" w:hAnsi="Tahoma" w:cs="Tahoma"/>
        </w:rPr>
        <w:t xml:space="preserve"> </w:t>
      </w:r>
      <w:r w:rsidR="00636359" w:rsidRPr="00636359">
        <w:rPr>
          <w:rFonts w:ascii="Tahoma" w:hAnsi="Tahoma" w:cs="Tahoma"/>
        </w:rPr>
        <w:t>methodology to review energy</w:t>
      </w:r>
      <w:r w:rsidR="00636359">
        <w:rPr>
          <w:rFonts w:ascii="Tahoma" w:hAnsi="Tahoma" w:cs="Tahoma"/>
        </w:rPr>
        <w:t xml:space="preserve"> </w:t>
      </w:r>
      <w:r w:rsidR="00636359" w:rsidRPr="00636359">
        <w:rPr>
          <w:rFonts w:ascii="Tahoma" w:hAnsi="Tahoma" w:cs="Tahoma"/>
        </w:rPr>
        <w:t>modeling software for BPI 2400</w:t>
      </w:r>
      <w:r w:rsidR="00636359">
        <w:rPr>
          <w:rFonts w:ascii="Tahoma" w:hAnsi="Tahoma" w:cs="Tahoma"/>
        </w:rPr>
        <w:t xml:space="preserve"> </w:t>
      </w:r>
      <w:r w:rsidR="00636359" w:rsidRPr="00636359">
        <w:rPr>
          <w:rFonts w:ascii="Tahoma" w:hAnsi="Tahoma" w:cs="Tahoma"/>
        </w:rPr>
        <w:t>compliance. A list of approved</w:t>
      </w:r>
      <w:r w:rsidR="00636359">
        <w:rPr>
          <w:rFonts w:ascii="Tahoma" w:hAnsi="Tahoma" w:cs="Tahoma"/>
        </w:rPr>
        <w:t xml:space="preserve"> </w:t>
      </w:r>
      <w:r w:rsidR="00636359" w:rsidRPr="00636359">
        <w:rPr>
          <w:rFonts w:ascii="Tahoma" w:hAnsi="Tahoma" w:cs="Tahoma"/>
        </w:rPr>
        <w:t>software will be provided on</w:t>
      </w:r>
      <w:r w:rsidR="00636359">
        <w:rPr>
          <w:rFonts w:ascii="Tahoma" w:hAnsi="Tahoma" w:cs="Tahoma"/>
        </w:rPr>
        <w:t xml:space="preserve"> </w:t>
      </w:r>
      <w:hyperlink r:id="rId11" w:history="1">
        <w:r w:rsidR="00636359" w:rsidRPr="00C22884">
          <w:rPr>
            <w:rStyle w:val="Hyperlink"/>
            <w:rFonts w:ascii="Tahoma" w:hAnsi="Tahoma" w:cs="Tahoma"/>
          </w:rPr>
          <w:t>https://www.pnnl.gov/projects/rebate-tools</w:t>
        </w:r>
      </w:hyperlink>
      <w:r w:rsidR="00636359">
        <w:rPr>
          <w:rFonts w:ascii="Tahoma" w:hAnsi="Tahoma" w:cs="Tahoma"/>
        </w:rPr>
        <w:t xml:space="preserve"> </w:t>
      </w:r>
      <w:r w:rsidR="00636359" w:rsidRPr="00636359">
        <w:rPr>
          <w:rFonts w:ascii="Tahoma" w:hAnsi="Tahoma" w:cs="Tahoma"/>
        </w:rPr>
        <w:t>when it is available.</w:t>
      </w:r>
      <w:r w:rsidR="00636359">
        <w:rPr>
          <w:rFonts w:ascii="Tahoma" w:hAnsi="Tahoma" w:cs="Tahoma"/>
        </w:rPr>
        <w:t>”</w:t>
      </w:r>
    </w:p>
    <w:p w14:paraId="70B6E707" w14:textId="515E49E6" w:rsidR="00EB6C2A" w:rsidRPr="00A90528" w:rsidRDefault="00EB6C2A" w:rsidP="00DB3646">
      <w:pPr>
        <w:ind w:left="720" w:hanging="720"/>
        <w:rPr>
          <w:rFonts w:ascii="Tahoma" w:hAnsi="Tahoma" w:cs="Tahoma"/>
          <w:b/>
          <w:bCs/>
        </w:rPr>
      </w:pPr>
      <w:r w:rsidRPr="00A90528">
        <w:rPr>
          <w:rFonts w:ascii="Tahoma" w:hAnsi="Tahoma" w:cs="Tahoma"/>
          <w:b/>
          <w:bCs/>
        </w:rPr>
        <w:t>Q</w:t>
      </w:r>
      <w:r w:rsidR="007557F8">
        <w:rPr>
          <w:rFonts w:ascii="Tahoma" w:hAnsi="Tahoma" w:cs="Tahoma"/>
          <w:b/>
          <w:bCs/>
        </w:rPr>
        <w:t>71</w:t>
      </w:r>
      <w:r w:rsidRPr="00A90528">
        <w:rPr>
          <w:rFonts w:ascii="Tahoma" w:hAnsi="Tahoma" w:cs="Tahoma"/>
          <w:b/>
          <w:bCs/>
        </w:rPr>
        <w:t>:</w:t>
      </w:r>
      <w:r w:rsidRPr="00A90528">
        <w:rPr>
          <w:rFonts w:ascii="Tahoma" w:hAnsi="Tahoma" w:cs="Tahoma"/>
          <w:b/>
          <w:bCs/>
        </w:rPr>
        <w:tab/>
        <w:t>Must each single project funded by HOMES meet or exceed 20% modeled energy savings or can this be achieved on a portfolio basis</w:t>
      </w:r>
      <w:r w:rsidR="00A90528" w:rsidRPr="00A90528">
        <w:rPr>
          <w:rFonts w:ascii="Tahoma" w:hAnsi="Tahoma" w:cs="Tahoma"/>
          <w:b/>
          <w:bCs/>
        </w:rPr>
        <w:t xml:space="preserve"> (across all HOMES funded projects under a particular Regional Administrator)?</w:t>
      </w:r>
    </w:p>
    <w:p w14:paraId="0997007F" w14:textId="4DCE6890" w:rsidR="00A90528" w:rsidRPr="006349EF" w:rsidRDefault="00A90528" w:rsidP="00DB3646">
      <w:pPr>
        <w:ind w:left="720" w:hanging="720"/>
        <w:rPr>
          <w:rFonts w:ascii="Tahoma" w:hAnsi="Tahoma" w:cs="Tahoma"/>
        </w:rPr>
      </w:pPr>
      <w:r>
        <w:rPr>
          <w:rFonts w:ascii="Tahoma" w:hAnsi="Tahoma" w:cs="Tahoma"/>
        </w:rPr>
        <w:t>A</w:t>
      </w:r>
      <w:r w:rsidR="007557F8">
        <w:rPr>
          <w:rFonts w:ascii="Tahoma" w:hAnsi="Tahoma" w:cs="Tahoma"/>
        </w:rPr>
        <w:t>71</w:t>
      </w:r>
      <w:r>
        <w:rPr>
          <w:rFonts w:ascii="Tahoma" w:hAnsi="Tahoma" w:cs="Tahoma"/>
        </w:rPr>
        <w:t>:</w:t>
      </w:r>
      <w:r>
        <w:rPr>
          <w:rFonts w:ascii="Tahoma" w:hAnsi="Tahoma" w:cs="Tahoma"/>
        </w:rPr>
        <w:tab/>
      </w:r>
      <w:r w:rsidR="00D40BEA">
        <w:rPr>
          <w:rFonts w:ascii="Tahoma" w:hAnsi="Tahoma" w:cs="Tahoma"/>
        </w:rPr>
        <w:t>Each individual project must be modeled to achieve 20</w:t>
      </w:r>
      <w:r w:rsidR="00F4049F">
        <w:rPr>
          <w:rFonts w:ascii="Tahoma" w:hAnsi="Tahoma" w:cs="Tahoma"/>
        </w:rPr>
        <w:t xml:space="preserve"> percent</w:t>
      </w:r>
      <w:r w:rsidR="00D40BEA">
        <w:rPr>
          <w:rFonts w:ascii="Tahoma" w:hAnsi="Tahoma" w:cs="Tahoma"/>
        </w:rPr>
        <w:t xml:space="preserve"> energy savings for HOMES funding to be applied to the project. </w:t>
      </w:r>
      <w:r w:rsidR="00F515C3">
        <w:rPr>
          <w:rFonts w:ascii="Tahoma" w:hAnsi="Tahoma" w:cs="Tahoma"/>
        </w:rPr>
        <w:t xml:space="preserve">This is a per-project requirement, not a portfolio requirement. </w:t>
      </w:r>
      <w:r w:rsidR="00D40BEA">
        <w:rPr>
          <w:rFonts w:ascii="Tahoma" w:hAnsi="Tahoma" w:cs="Tahoma"/>
        </w:rPr>
        <w:t xml:space="preserve">However, </w:t>
      </w:r>
      <w:r w:rsidR="00F515C3">
        <w:rPr>
          <w:rFonts w:ascii="Tahoma" w:hAnsi="Tahoma" w:cs="Tahoma"/>
        </w:rPr>
        <w:t xml:space="preserve">projects that are not anticipated to achieve this level of energy savings may </w:t>
      </w:r>
      <w:r w:rsidR="00814C1E">
        <w:rPr>
          <w:rFonts w:ascii="Tahoma" w:hAnsi="Tahoma" w:cs="Tahoma"/>
        </w:rPr>
        <w:t>be retrofitted using st</w:t>
      </w:r>
      <w:r w:rsidR="00F515C3">
        <w:rPr>
          <w:rFonts w:ascii="Tahoma" w:hAnsi="Tahoma" w:cs="Tahoma"/>
        </w:rPr>
        <w:t>ate EBD funds.</w:t>
      </w:r>
    </w:p>
    <w:p w14:paraId="62B81753" w14:textId="17DBC89E" w:rsidR="005A1B5B" w:rsidRPr="00FF702B" w:rsidRDefault="00FF702B" w:rsidP="00A56C54">
      <w:pPr>
        <w:ind w:left="720" w:hanging="720"/>
        <w:rPr>
          <w:rFonts w:ascii="Tahoma" w:hAnsi="Tahoma" w:cs="Tahoma"/>
          <w:b/>
          <w:bCs/>
        </w:rPr>
      </w:pPr>
      <w:r w:rsidRPr="00FF702B">
        <w:rPr>
          <w:rFonts w:ascii="Tahoma" w:hAnsi="Tahoma" w:cs="Tahoma"/>
          <w:b/>
          <w:bCs/>
        </w:rPr>
        <w:t>Q</w:t>
      </w:r>
      <w:r w:rsidR="00C21DAC">
        <w:rPr>
          <w:rFonts w:ascii="Tahoma" w:hAnsi="Tahoma" w:cs="Tahoma"/>
          <w:b/>
          <w:bCs/>
        </w:rPr>
        <w:t>72</w:t>
      </w:r>
      <w:r w:rsidR="00266C99" w:rsidRPr="00FF702B">
        <w:rPr>
          <w:rFonts w:ascii="Tahoma" w:hAnsi="Tahoma" w:cs="Tahoma"/>
          <w:b/>
          <w:bCs/>
        </w:rPr>
        <w:t>:</w:t>
      </w:r>
      <w:r w:rsidR="00266C99" w:rsidRPr="00FF702B">
        <w:rPr>
          <w:rFonts w:ascii="Tahoma" w:hAnsi="Tahoma" w:cs="Tahoma"/>
          <w:b/>
          <w:bCs/>
        </w:rPr>
        <w:tab/>
      </w:r>
      <w:r w:rsidRPr="00FF702B">
        <w:rPr>
          <w:rFonts w:ascii="Tahoma" w:hAnsi="Tahoma" w:cs="Tahoma"/>
          <w:b/>
          <w:bCs/>
        </w:rPr>
        <w:t xml:space="preserve">As a multifamily program implementer, would our organization be carrying the HOMES rebate for the customer based on the modeled approach? The modeled approach allows for the HOMES rebate to be distributed directly to the customer </w:t>
      </w:r>
      <w:r w:rsidR="00814C1E">
        <w:rPr>
          <w:rFonts w:ascii="Tahoma" w:hAnsi="Tahoma" w:cs="Tahoma"/>
          <w:b/>
          <w:bCs/>
        </w:rPr>
        <w:t>if</w:t>
      </w:r>
      <w:r w:rsidRPr="00FF702B">
        <w:rPr>
          <w:rFonts w:ascii="Tahoma" w:hAnsi="Tahoma" w:cs="Tahoma"/>
          <w:b/>
          <w:bCs/>
        </w:rPr>
        <w:t xml:space="preserve"> the project is predicted to have a 20% energy savings impact. </w:t>
      </w:r>
    </w:p>
    <w:p w14:paraId="1764B5BE" w14:textId="43CD6112" w:rsidR="00746045" w:rsidRDefault="00114D95" w:rsidP="00A56C54">
      <w:pPr>
        <w:ind w:left="720" w:hanging="720"/>
        <w:rPr>
          <w:rFonts w:ascii="Tahoma" w:hAnsi="Tahoma" w:cs="Tahoma"/>
        </w:rPr>
      </w:pPr>
      <w:r>
        <w:rPr>
          <w:rFonts w:ascii="Tahoma" w:hAnsi="Tahoma" w:cs="Tahoma"/>
        </w:rPr>
        <w:t>A</w:t>
      </w:r>
      <w:r w:rsidR="00C21DAC">
        <w:rPr>
          <w:rFonts w:ascii="Tahoma" w:hAnsi="Tahoma" w:cs="Tahoma"/>
        </w:rPr>
        <w:t>72</w:t>
      </w:r>
      <w:r>
        <w:rPr>
          <w:rFonts w:ascii="Tahoma" w:hAnsi="Tahoma" w:cs="Tahoma"/>
        </w:rPr>
        <w:t>:</w:t>
      </w:r>
      <w:r>
        <w:rPr>
          <w:rFonts w:ascii="Tahoma" w:hAnsi="Tahoma" w:cs="Tahoma"/>
        </w:rPr>
        <w:tab/>
      </w:r>
      <w:r w:rsidR="008A41C9">
        <w:rPr>
          <w:rFonts w:ascii="Tahoma" w:hAnsi="Tahoma" w:cs="Tahoma"/>
        </w:rPr>
        <w:t>Because the EBD Direct Install Program will conduct retrofits at no cost to the homeowner</w:t>
      </w:r>
      <w:r w:rsidR="00065CE5">
        <w:rPr>
          <w:rFonts w:ascii="Tahoma" w:hAnsi="Tahoma" w:cs="Tahoma"/>
        </w:rPr>
        <w:t>/occupant, HOMES rebate</w:t>
      </w:r>
      <w:r w:rsidR="008D080F">
        <w:rPr>
          <w:rFonts w:ascii="Tahoma" w:hAnsi="Tahoma" w:cs="Tahoma"/>
        </w:rPr>
        <w:t>s</w:t>
      </w:r>
      <w:r w:rsidR="00065CE5">
        <w:rPr>
          <w:rFonts w:ascii="Tahoma" w:hAnsi="Tahoma" w:cs="Tahoma"/>
        </w:rPr>
        <w:t xml:space="preserve"> </w:t>
      </w:r>
      <w:r w:rsidR="002E34B0">
        <w:rPr>
          <w:rFonts w:ascii="Tahoma" w:hAnsi="Tahoma" w:cs="Tahoma"/>
        </w:rPr>
        <w:t xml:space="preserve">will not be </w:t>
      </w:r>
      <w:r w:rsidR="009D0403">
        <w:rPr>
          <w:rFonts w:ascii="Tahoma" w:hAnsi="Tahoma" w:cs="Tahoma"/>
        </w:rPr>
        <w:t>distributed directly to the custome</w:t>
      </w:r>
      <w:r w:rsidR="002D708B">
        <w:rPr>
          <w:rFonts w:ascii="Tahoma" w:hAnsi="Tahoma" w:cs="Tahoma"/>
        </w:rPr>
        <w:t>r.</w:t>
      </w:r>
      <w:r w:rsidR="0015095E">
        <w:rPr>
          <w:rFonts w:ascii="Tahoma" w:hAnsi="Tahoma" w:cs="Tahoma"/>
        </w:rPr>
        <w:t xml:space="preserve"> </w:t>
      </w:r>
      <w:r w:rsidR="00284617">
        <w:rPr>
          <w:rFonts w:ascii="Tahoma" w:hAnsi="Tahoma" w:cs="Tahoma"/>
        </w:rPr>
        <w:t xml:space="preserve">Instead, </w:t>
      </w:r>
      <w:r w:rsidR="008D080F">
        <w:rPr>
          <w:rFonts w:ascii="Tahoma" w:hAnsi="Tahoma" w:cs="Tahoma"/>
        </w:rPr>
        <w:t xml:space="preserve">retrofit costs will be reimbursed </w:t>
      </w:r>
      <w:r w:rsidR="000A7488">
        <w:rPr>
          <w:rFonts w:ascii="Tahoma" w:hAnsi="Tahoma" w:cs="Tahoma"/>
        </w:rPr>
        <w:t xml:space="preserve">to the </w:t>
      </w:r>
      <w:r w:rsidR="00D2107B">
        <w:rPr>
          <w:rFonts w:ascii="Tahoma" w:hAnsi="Tahoma" w:cs="Tahoma"/>
        </w:rPr>
        <w:t>R</w:t>
      </w:r>
      <w:r w:rsidR="000A7488">
        <w:rPr>
          <w:rFonts w:ascii="Tahoma" w:hAnsi="Tahoma" w:cs="Tahoma"/>
        </w:rPr>
        <w:t xml:space="preserve">egional </w:t>
      </w:r>
      <w:r w:rsidR="00D2107B">
        <w:rPr>
          <w:rFonts w:ascii="Tahoma" w:hAnsi="Tahoma" w:cs="Tahoma"/>
        </w:rPr>
        <w:t>A</w:t>
      </w:r>
      <w:r w:rsidR="000A7488">
        <w:rPr>
          <w:rFonts w:ascii="Tahoma" w:hAnsi="Tahoma" w:cs="Tahoma"/>
        </w:rPr>
        <w:t xml:space="preserve">dministrators </w:t>
      </w:r>
      <w:r w:rsidR="008D080F">
        <w:rPr>
          <w:rFonts w:ascii="Tahoma" w:hAnsi="Tahoma" w:cs="Tahoma"/>
        </w:rPr>
        <w:t>by the CEC using a combination of state and HOMES funds.</w:t>
      </w:r>
    </w:p>
    <w:p w14:paraId="0347FE5B" w14:textId="309FF449" w:rsidR="009D0403" w:rsidRDefault="009D0403" w:rsidP="009D0403">
      <w:pPr>
        <w:ind w:left="720" w:hanging="720"/>
        <w:rPr>
          <w:rFonts w:ascii="Tahoma" w:hAnsi="Tahoma" w:cs="Tahoma"/>
          <w:b/>
          <w:bCs/>
        </w:rPr>
      </w:pPr>
      <w:r w:rsidRPr="00BC4C2C">
        <w:rPr>
          <w:rFonts w:ascii="Tahoma" w:hAnsi="Tahoma" w:cs="Tahoma"/>
          <w:b/>
          <w:bCs/>
        </w:rPr>
        <w:t>Q</w:t>
      </w:r>
      <w:r w:rsidR="00C21DAC">
        <w:rPr>
          <w:rFonts w:ascii="Tahoma" w:hAnsi="Tahoma" w:cs="Tahoma"/>
          <w:b/>
          <w:bCs/>
        </w:rPr>
        <w:t>73</w:t>
      </w:r>
      <w:r w:rsidRPr="00BC4C2C">
        <w:rPr>
          <w:rFonts w:ascii="Tahoma" w:hAnsi="Tahoma" w:cs="Tahoma"/>
          <w:b/>
          <w:bCs/>
        </w:rPr>
        <w:t>:</w:t>
      </w:r>
      <w:r w:rsidRPr="00BC4C2C">
        <w:rPr>
          <w:rFonts w:ascii="Tahoma" w:hAnsi="Tahoma" w:cs="Tahoma"/>
          <w:b/>
          <w:bCs/>
        </w:rPr>
        <w:tab/>
      </w:r>
      <w:r w:rsidRPr="00FF702B">
        <w:rPr>
          <w:rFonts w:ascii="Tahoma" w:hAnsi="Tahoma" w:cs="Tahoma"/>
          <w:b/>
          <w:bCs/>
        </w:rPr>
        <w:t>What if the modeling tools model 20% energy savings, but verification shows that the project is not achieving 20% energy savings</w:t>
      </w:r>
      <w:r w:rsidR="00090EDD">
        <w:rPr>
          <w:rFonts w:ascii="Tahoma" w:hAnsi="Tahoma" w:cs="Tahoma"/>
          <w:b/>
          <w:bCs/>
        </w:rPr>
        <w:t>?</w:t>
      </w:r>
      <w:r w:rsidR="00090EDD" w:rsidRPr="00FF702B">
        <w:rPr>
          <w:rFonts w:ascii="Tahoma" w:hAnsi="Tahoma" w:cs="Tahoma"/>
          <w:b/>
          <w:bCs/>
        </w:rPr>
        <w:t xml:space="preserve"> </w:t>
      </w:r>
      <w:r w:rsidRPr="00FF702B">
        <w:rPr>
          <w:rFonts w:ascii="Tahoma" w:hAnsi="Tahoma" w:cs="Tahoma"/>
          <w:b/>
          <w:bCs/>
        </w:rPr>
        <w:t xml:space="preserve">Will the </w:t>
      </w:r>
      <w:r w:rsidR="00090EDD" w:rsidRPr="00FF702B">
        <w:rPr>
          <w:rFonts w:ascii="Tahoma" w:hAnsi="Tahoma" w:cs="Tahoma"/>
          <w:b/>
          <w:bCs/>
        </w:rPr>
        <w:t>implement</w:t>
      </w:r>
      <w:r w:rsidR="00090EDD">
        <w:rPr>
          <w:rFonts w:ascii="Tahoma" w:hAnsi="Tahoma" w:cs="Tahoma"/>
          <w:b/>
          <w:bCs/>
        </w:rPr>
        <w:t>e</w:t>
      </w:r>
      <w:r w:rsidR="00090EDD" w:rsidRPr="00FF702B">
        <w:rPr>
          <w:rFonts w:ascii="Tahoma" w:hAnsi="Tahoma" w:cs="Tahoma"/>
          <w:b/>
          <w:bCs/>
        </w:rPr>
        <w:t xml:space="preserve">r </w:t>
      </w:r>
      <w:r w:rsidRPr="00FF702B">
        <w:rPr>
          <w:rFonts w:ascii="Tahoma" w:hAnsi="Tahoma" w:cs="Tahoma"/>
          <w:b/>
          <w:bCs/>
        </w:rPr>
        <w:t>be penalized or funds withheld until the project achieves the 20% energy savings target? What is CEC's proposed course of action to remedy projects that don’t meet the 20% energy savings target?</w:t>
      </w:r>
    </w:p>
    <w:p w14:paraId="687FAAC7" w14:textId="1A6B0D1D" w:rsidR="009D0403" w:rsidRPr="00CB4B21" w:rsidRDefault="009D0403" w:rsidP="00CB4B21">
      <w:pPr>
        <w:ind w:left="720" w:hanging="720"/>
        <w:rPr>
          <w:rFonts w:ascii="Tahoma" w:hAnsi="Tahoma" w:cs="Tahoma"/>
          <w:b/>
          <w:bCs/>
        </w:rPr>
      </w:pPr>
      <w:r>
        <w:rPr>
          <w:rFonts w:ascii="Tahoma" w:hAnsi="Tahoma" w:cs="Tahoma"/>
        </w:rPr>
        <w:t>A</w:t>
      </w:r>
      <w:r w:rsidR="00C21DAC">
        <w:rPr>
          <w:rFonts w:ascii="Tahoma" w:hAnsi="Tahoma" w:cs="Tahoma"/>
        </w:rPr>
        <w:t>73</w:t>
      </w:r>
      <w:r>
        <w:rPr>
          <w:rFonts w:ascii="Tahoma" w:hAnsi="Tahoma" w:cs="Tahoma"/>
        </w:rPr>
        <w:t>:</w:t>
      </w:r>
      <w:r>
        <w:rPr>
          <w:rFonts w:ascii="Tahoma" w:hAnsi="Tahoma" w:cs="Tahoma"/>
          <w:b/>
          <w:bCs/>
        </w:rPr>
        <w:tab/>
      </w:r>
      <w:r>
        <w:rPr>
          <w:rFonts w:ascii="Tahoma" w:hAnsi="Tahoma" w:cs="Tahoma"/>
        </w:rPr>
        <w:t>Retrofit projects must</w:t>
      </w:r>
      <w:r w:rsidRPr="00FE463F">
        <w:rPr>
          <w:rFonts w:ascii="Tahoma" w:hAnsi="Tahoma" w:cs="Tahoma"/>
        </w:rPr>
        <w:t xml:space="preserve"> be modeled to a</w:t>
      </w:r>
      <w:r>
        <w:rPr>
          <w:rFonts w:ascii="Tahoma" w:hAnsi="Tahoma" w:cs="Tahoma"/>
        </w:rPr>
        <w:t>chieve</w:t>
      </w:r>
      <w:r w:rsidRPr="00FE463F">
        <w:rPr>
          <w:rFonts w:ascii="Tahoma" w:hAnsi="Tahoma" w:cs="Tahoma"/>
        </w:rPr>
        <w:t xml:space="preserve"> 20</w:t>
      </w:r>
      <w:r w:rsidR="000D1100">
        <w:rPr>
          <w:rFonts w:ascii="Tahoma" w:hAnsi="Tahoma" w:cs="Tahoma"/>
        </w:rPr>
        <w:t xml:space="preserve"> percent</w:t>
      </w:r>
      <w:r w:rsidRPr="00FE463F">
        <w:rPr>
          <w:rFonts w:ascii="Tahoma" w:hAnsi="Tahoma" w:cs="Tahoma"/>
        </w:rPr>
        <w:t xml:space="preserve"> energy savings to be eligible for HOMES funding. The CEC or a third party will measure actual energy savings for participating homes over a 12-month post-installation period. There will be no penalty for projects whose actual energy savings do not ach</w:t>
      </w:r>
      <w:r>
        <w:rPr>
          <w:rFonts w:ascii="Tahoma" w:hAnsi="Tahoma" w:cs="Tahoma"/>
        </w:rPr>
        <w:t>ie</w:t>
      </w:r>
      <w:r w:rsidRPr="00FE463F">
        <w:rPr>
          <w:rFonts w:ascii="Tahoma" w:hAnsi="Tahoma" w:cs="Tahoma"/>
        </w:rPr>
        <w:t>ve the modeled savings</w:t>
      </w:r>
      <w:r>
        <w:rPr>
          <w:rFonts w:ascii="Tahoma" w:hAnsi="Tahoma" w:cs="Tahoma"/>
        </w:rPr>
        <w:t xml:space="preserve">, but </w:t>
      </w:r>
      <w:r w:rsidR="0026663E">
        <w:rPr>
          <w:rFonts w:ascii="Tahoma" w:hAnsi="Tahoma" w:cs="Tahoma"/>
        </w:rPr>
        <w:t xml:space="preserve">as part of program oversight activities, </w:t>
      </w:r>
      <w:r w:rsidR="00737DD9">
        <w:rPr>
          <w:rFonts w:ascii="Tahoma" w:hAnsi="Tahoma" w:cs="Tahoma"/>
        </w:rPr>
        <w:t>t</w:t>
      </w:r>
      <w:r w:rsidR="00737DD9" w:rsidRPr="00737DD9">
        <w:rPr>
          <w:rFonts w:ascii="Tahoma" w:hAnsi="Tahoma" w:cs="Tahoma"/>
        </w:rPr>
        <w:t xml:space="preserve">he CEC will work with Recipients on </w:t>
      </w:r>
      <w:r w:rsidR="004C25CD">
        <w:rPr>
          <w:rFonts w:ascii="Tahoma" w:hAnsi="Tahoma" w:cs="Tahoma"/>
        </w:rPr>
        <w:t xml:space="preserve">implementation and program performance issues, including </w:t>
      </w:r>
      <w:r w:rsidR="00737DD9" w:rsidRPr="00737DD9">
        <w:rPr>
          <w:rFonts w:ascii="Tahoma" w:hAnsi="Tahoma" w:cs="Tahoma"/>
        </w:rPr>
        <w:t>course corrections in the case of significant discrepancies between modeled and measured energy savings</w:t>
      </w:r>
      <w:r w:rsidR="00737DD9">
        <w:rPr>
          <w:rFonts w:ascii="Tahoma" w:hAnsi="Tahoma" w:cs="Tahoma"/>
        </w:rPr>
        <w:t xml:space="preserve">. </w:t>
      </w:r>
      <w:r w:rsidR="00850F99" w:rsidRPr="00737DD9">
        <w:rPr>
          <w:rFonts w:ascii="Tahoma" w:hAnsi="Tahoma" w:cs="Tahoma"/>
        </w:rPr>
        <w:t>In</w:t>
      </w:r>
      <w:r w:rsidR="00850F99">
        <w:rPr>
          <w:rFonts w:ascii="Tahoma" w:hAnsi="Tahoma" w:cs="Tahoma"/>
        </w:rPr>
        <w:t xml:space="preserve"> addition, aggregate results will be </w:t>
      </w:r>
      <w:r w:rsidR="00F401A1">
        <w:rPr>
          <w:rFonts w:ascii="Tahoma" w:hAnsi="Tahoma" w:cs="Tahoma"/>
        </w:rPr>
        <w:t xml:space="preserve">analyzed and </w:t>
      </w:r>
      <w:r w:rsidR="00850F99">
        <w:rPr>
          <w:rFonts w:ascii="Tahoma" w:hAnsi="Tahoma" w:cs="Tahoma"/>
        </w:rPr>
        <w:t>made publicly available</w:t>
      </w:r>
      <w:r w:rsidRPr="00FE463F">
        <w:rPr>
          <w:rFonts w:ascii="Tahoma" w:hAnsi="Tahoma" w:cs="Tahoma"/>
        </w:rPr>
        <w:t xml:space="preserve"> to advance the state’s understanding of the accuracy of modeled energy savings in residential buildings.    </w:t>
      </w:r>
    </w:p>
    <w:p w14:paraId="5CDEC1D9" w14:textId="77777777" w:rsidR="00A51FAA" w:rsidRDefault="00A51FAA" w:rsidP="00CB4B21">
      <w:pPr>
        <w:rPr>
          <w:rFonts w:ascii="Tahoma" w:hAnsi="Tahoma" w:cs="Tahoma"/>
        </w:rPr>
      </w:pPr>
    </w:p>
    <w:p w14:paraId="569B0D46" w14:textId="3C1979F3" w:rsidR="00746045" w:rsidRDefault="00746045" w:rsidP="00336692">
      <w:pPr>
        <w:pStyle w:val="Heading1"/>
      </w:pPr>
      <w:r w:rsidRPr="00746045">
        <w:t>Tenant Protections</w:t>
      </w:r>
    </w:p>
    <w:p w14:paraId="0E0B6C1D" w14:textId="02BB9B51" w:rsidR="00746045" w:rsidRPr="00D8728E" w:rsidRDefault="00746045" w:rsidP="00A56C54">
      <w:pPr>
        <w:ind w:left="720" w:hanging="720"/>
        <w:rPr>
          <w:rFonts w:ascii="Tahoma" w:hAnsi="Tahoma" w:cs="Tahoma"/>
          <w:b/>
          <w:bCs/>
        </w:rPr>
      </w:pPr>
      <w:r w:rsidRPr="00D8728E">
        <w:rPr>
          <w:rFonts w:ascii="Tahoma" w:hAnsi="Tahoma" w:cs="Tahoma"/>
          <w:b/>
          <w:bCs/>
        </w:rPr>
        <w:t>Q</w:t>
      </w:r>
      <w:r w:rsidR="00EC71F9">
        <w:rPr>
          <w:rFonts w:ascii="Tahoma" w:hAnsi="Tahoma" w:cs="Tahoma"/>
          <w:b/>
          <w:bCs/>
        </w:rPr>
        <w:t>74</w:t>
      </w:r>
      <w:r w:rsidR="00325843" w:rsidRPr="00D8728E">
        <w:rPr>
          <w:rFonts w:ascii="Tahoma" w:hAnsi="Tahoma" w:cs="Tahoma"/>
          <w:b/>
          <w:bCs/>
        </w:rPr>
        <w:t>:</w:t>
      </w:r>
      <w:r w:rsidR="00325843" w:rsidRPr="00D8728E">
        <w:rPr>
          <w:rFonts w:ascii="Tahoma" w:hAnsi="Tahoma" w:cs="Tahoma"/>
          <w:b/>
          <w:bCs/>
        </w:rPr>
        <w:tab/>
      </w:r>
      <w:r w:rsidR="00F95638" w:rsidRPr="00D8728E">
        <w:rPr>
          <w:rFonts w:ascii="Tahoma" w:hAnsi="Tahoma" w:cs="Tahoma"/>
          <w:b/>
          <w:bCs/>
        </w:rPr>
        <w:t>Do Regional Administrators have authority to investigate potential violations of Program Participation Agreements and make recommendations to the CEC to take action per page 10 of the Terms and Conditions document? Or will the CEC be responsible for investigating violations of Program Participation Agreements and deciding what penalties will be applied?</w:t>
      </w:r>
    </w:p>
    <w:p w14:paraId="025316AB" w14:textId="4F4DE354" w:rsidR="00F95638" w:rsidRDefault="00F95638" w:rsidP="00A56C54">
      <w:pPr>
        <w:ind w:left="720" w:hanging="720"/>
        <w:rPr>
          <w:rFonts w:ascii="Tahoma" w:hAnsi="Tahoma" w:cs="Tahoma"/>
        </w:rPr>
      </w:pPr>
      <w:r>
        <w:rPr>
          <w:rFonts w:ascii="Tahoma" w:hAnsi="Tahoma" w:cs="Tahoma"/>
        </w:rPr>
        <w:t>A</w:t>
      </w:r>
      <w:r w:rsidR="00EC71F9">
        <w:rPr>
          <w:rFonts w:ascii="Tahoma" w:hAnsi="Tahoma" w:cs="Tahoma"/>
        </w:rPr>
        <w:t>74</w:t>
      </w:r>
      <w:r>
        <w:rPr>
          <w:rFonts w:ascii="Tahoma" w:hAnsi="Tahoma" w:cs="Tahoma"/>
        </w:rPr>
        <w:t>:</w:t>
      </w:r>
      <w:r>
        <w:rPr>
          <w:rFonts w:ascii="Tahoma" w:hAnsi="Tahoma" w:cs="Tahoma"/>
        </w:rPr>
        <w:tab/>
      </w:r>
      <w:r w:rsidR="00F92691">
        <w:rPr>
          <w:rFonts w:ascii="Tahoma" w:hAnsi="Tahoma" w:cs="Tahoma"/>
        </w:rPr>
        <w:t>Regional Administrators have authority to investigate potential violations of Program Participation Agreements and make recommendations to the CEC.</w:t>
      </w:r>
      <w:r w:rsidR="00C83C24">
        <w:rPr>
          <w:rFonts w:ascii="Tahoma" w:hAnsi="Tahoma" w:cs="Tahoma"/>
        </w:rPr>
        <w:t xml:space="preserve"> </w:t>
      </w:r>
      <w:r w:rsidR="001D0090">
        <w:rPr>
          <w:rFonts w:ascii="Tahoma" w:hAnsi="Tahoma" w:cs="Tahoma"/>
        </w:rPr>
        <w:t xml:space="preserve">As stated in the Scope of Work, Task 5.12, Regional Administrators </w:t>
      </w:r>
      <w:r w:rsidR="002868C6">
        <w:rPr>
          <w:rFonts w:ascii="Tahoma" w:hAnsi="Tahoma" w:cs="Tahoma"/>
        </w:rPr>
        <w:t xml:space="preserve">are required to </w:t>
      </w:r>
      <w:r w:rsidR="00C010A4">
        <w:rPr>
          <w:rFonts w:ascii="Tahoma" w:hAnsi="Tahoma" w:cs="Tahoma"/>
        </w:rPr>
        <w:t xml:space="preserve">provide </w:t>
      </w:r>
      <w:r w:rsidR="00847260">
        <w:rPr>
          <w:rFonts w:ascii="Tahoma" w:hAnsi="Tahoma" w:cs="Tahoma"/>
        </w:rPr>
        <w:t xml:space="preserve">participants with a phone number to call regarding any concerns </w:t>
      </w:r>
      <w:r w:rsidR="0063395D">
        <w:rPr>
          <w:rFonts w:ascii="Tahoma" w:hAnsi="Tahoma" w:cs="Tahoma"/>
        </w:rPr>
        <w:t xml:space="preserve">related to a project funded by the program, including tenant protections; </w:t>
      </w:r>
      <w:r w:rsidR="002868C6">
        <w:rPr>
          <w:rFonts w:ascii="Tahoma" w:hAnsi="Tahoma" w:cs="Tahoma"/>
        </w:rPr>
        <w:t xml:space="preserve">to </w:t>
      </w:r>
      <w:r w:rsidR="00C55A90">
        <w:rPr>
          <w:rFonts w:ascii="Tahoma" w:hAnsi="Tahoma" w:cs="Tahoma"/>
        </w:rPr>
        <w:t>follow up within 5 business days on any complaints received regarding violation of tenant protection provisions</w:t>
      </w:r>
      <w:r w:rsidR="002868C6">
        <w:rPr>
          <w:rFonts w:ascii="Tahoma" w:hAnsi="Tahoma" w:cs="Tahoma"/>
        </w:rPr>
        <w:t>;</w:t>
      </w:r>
      <w:r w:rsidR="00C55A90">
        <w:rPr>
          <w:rFonts w:ascii="Tahoma" w:hAnsi="Tahoma" w:cs="Tahoma"/>
        </w:rPr>
        <w:t xml:space="preserve"> and </w:t>
      </w:r>
      <w:r w:rsidR="002868C6">
        <w:rPr>
          <w:rFonts w:ascii="Tahoma" w:hAnsi="Tahoma" w:cs="Tahoma"/>
        </w:rPr>
        <w:t xml:space="preserve">to </w:t>
      </w:r>
      <w:r w:rsidR="00C55A90">
        <w:rPr>
          <w:rFonts w:ascii="Tahoma" w:hAnsi="Tahoma" w:cs="Tahoma"/>
        </w:rPr>
        <w:t>coordinate with the CEC to enact penalties if needed.</w:t>
      </w:r>
    </w:p>
    <w:p w14:paraId="051F54D3" w14:textId="1DFF51A6" w:rsidR="00580C31" w:rsidRPr="009E6230" w:rsidRDefault="00801A2D" w:rsidP="00A56C54">
      <w:pPr>
        <w:ind w:left="720" w:hanging="720"/>
        <w:rPr>
          <w:rFonts w:ascii="Tahoma" w:hAnsi="Tahoma" w:cs="Tahoma"/>
          <w:b/>
          <w:bCs/>
        </w:rPr>
      </w:pPr>
      <w:r w:rsidRPr="00805A25">
        <w:rPr>
          <w:rFonts w:ascii="Tahoma" w:hAnsi="Tahoma" w:cs="Tahoma"/>
          <w:b/>
          <w:bCs/>
        </w:rPr>
        <w:t>Q</w:t>
      </w:r>
      <w:r w:rsidR="00DF265A" w:rsidRPr="00805A25">
        <w:rPr>
          <w:rFonts w:ascii="Tahoma" w:hAnsi="Tahoma" w:cs="Tahoma"/>
          <w:b/>
          <w:bCs/>
        </w:rPr>
        <w:t>75</w:t>
      </w:r>
      <w:r w:rsidR="00F57827" w:rsidRPr="00805A25">
        <w:rPr>
          <w:rFonts w:ascii="Tahoma" w:hAnsi="Tahoma" w:cs="Tahoma"/>
          <w:b/>
          <w:bCs/>
        </w:rPr>
        <w:t>:</w:t>
      </w:r>
      <w:r w:rsidR="00F57827" w:rsidRPr="00805A25">
        <w:tab/>
      </w:r>
      <w:r w:rsidR="002B697A" w:rsidRPr="00805A25">
        <w:rPr>
          <w:rFonts w:ascii="Tahoma" w:hAnsi="Tahoma" w:cs="Tahoma"/>
          <w:b/>
          <w:bCs/>
        </w:rPr>
        <w:t xml:space="preserve">Page 10 of the Terms and Conditions (Attachment 9) suggests that </w:t>
      </w:r>
      <w:r w:rsidR="009E6F24" w:rsidRPr="00805A25">
        <w:rPr>
          <w:rFonts w:ascii="Tahoma" w:hAnsi="Tahoma" w:cs="Tahoma"/>
          <w:b/>
          <w:bCs/>
        </w:rPr>
        <w:t>viol</w:t>
      </w:r>
      <w:r w:rsidR="008E1CB4" w:rsidRPr="00805A25">
        <w:rPr>
          <w:rFonts w:ascii="Tahoma" w:hAnsi="Tahoma" w:cs="Tahoma"/>
          <w:b/>
          <w:bCs/>
        </w:rPr>
        <w:t xml:space="preserve">ations may be met with </w:t>
      </w:r>
      <w:r w:rsidR="00A803B0" w:rsidRPr="00805A25">
        <w:rPr>
          <w:rFonts w:ascii="Tahoma" w:hAnsi="Tahoma" w:cs="Tahoma"/>
          <w:b/>
          <w:bCs/>
        </w:rPr>
        <w:t>penalties other than repayment to CEC of grant funds. What are these penalties and where/when will they be specified?</w:t>
      </w:r>
    </w:p>
    <w:p w14:paraId="38977164" w14:textId="451E4B3F" w:rsidR="00A803B0" w:rsidRDefault="3F3E91E7" w:rsidP="00A56C54">
      <w:pPr>
        <w:ind w:left="720" w:hanging="720"/>
        <w:rPr>
          <w:rFonts w:ascii="Tahoma" w:hAnsi="Tahoma" w:cs="Tahoma"/>
        </w:rPr>
      </w:pPr>
      <w:r w:rsidRPr="61D92516">
        <w:rPr>
          <w:rFonts w:ascii="Tahoma" w:hAnsi="Tahoma" w:cs="Tahoma"/>
        </w:rPr>
        <w:t>A</w:t>
      </w:r>
      <w:r w:rsidR="228B1CB7" w:rsidRPr="61D92516">
        <w:rPr>
          <w:rFonts w:ascii="Tahoma" w:hAnsi="Tahoma" w:cs="Tahoma"/>
        </w:rPr>
        <w:t>75</w:t>
      </w:r>
      <w:r w:rsidRPr="61D92516">
        <w:rPr>
          <w:rFonts w:ascii="Tahoma" w:hAnsi="Tahoma" w:cs="Tahoma"/>
        </w:rPr>
        <w:t>:</w:t>
      </w:r>
      <w:r w:rsidR="00A803B0">
        <w:tab/>
      </w:r>
      <w:r w:rsidR="1F13AB19" w:rsidRPr="61D92516">
        <w:rPr>
          <w:rFonts w:ascii="Tahoma" w:hAnsi="Tahoma" w:cs="Tahoma"/>
        </w:rPr>
        <w:t xml:space="preserve">Violations may be </w:t>
      </w:r>
      <w:r w:rsidR="1F13AB19" w:rsidRPr="72764166">
        <w:rPr>
          <w:rFonts w:ascii="Tahoma" w:hAnsi="Tahoma" w:cs="Tahoma"/>
        </w:rPr>
        <w:t xml:space="preserve">met by any </w:t>
      </w:r>
      <w:r w:rsidR="1F13AB19" w:rsidRPr="0B74A25D">
        <w:rPr>
          <w:rFonts w:ascii="Tahoma" w:hAnsi="Tahoma" w:cs="Tahoma"/>
        </w:rPr>
        <w:t xml:space="preserve">penalty </w:t>
      </w:r>
      <w:r w:rsidR="1F13AB19" w:rsidRPr="50B21AE8">
        <w:rPr>
          <w:rFonts w:ascii="Tahoma" w:hAnsi="Tahoma" w:cs="Tahoma"/>
        </w:rPr>
        <w:t>allowable by law</w:t>
      </w:r>
      <w:r w:rsidR="2B3B7592" w:rsidRPr="573826E9">
        <w:rPr>
          <w:rFonts w:ascii="Tahoma" w:hAnsi="Tahoma" w:cs="Tahoma"/>
        </w:rPr>
        <w:t xml:space="preserve">. Program participation agreements will be developed during the grant </w:t>
      </w:r>
      <w:r w:rsidR="2B3B7592" w:rsidRPr="0A967AF7">
        <w:rPr>
          <w:rFonts w:ascii="Tahoma" w:hAnsi="Tahoma" w:cs="Tahoma"/>
        </w:rPr>
        <w:t>term</w:t>
      </w:r>
      <w:r w:rsidR="2B3B7592" w:rsidRPr="592FB8B6">
        <w:rPr>
          <w:rFonts w:ascii="Tahoma" w:hAnsi="Tahoma" w:cs="Tahoma"/>
        </w:rPr>
        <w:t xml:space="preserve">, and </w:t>
      </w:r>
      <w:r w:rsidR="2B3B7592" w:rsidRPr="1E283A53">
        <w:rPr>
          <w:rFonts w:ascii="Tahoma" w:hAnsi="Tahoma" w:cs="Tahoma"/>
        </w:rPr>
        <w:t xml:space="preserve">specifics regarding penalties </w:t>
      </w:r>
      <w:r w:rsidR="2B3B7592" w:rsidRPr="5A76209F">
        <w:rPr>
          <w:rFonts w:ascii="Tahoma" w:hAnsi="Tahoma" w:cs="Tahoma"/>
        </w:rPr>
        <w:t xml:space="preserve">may be addressed at that </w:t>
      </w:r>
      <w:r w:rsidR="2B3B7592" w:rsidRPr="54BD97AA">
        <w:rPr>
          <w:rFonts w:ascii="Tahoma" w:hAnsi="Tahoma" w:cs="Tahoma"/>
        </w:rPr>
        <w:t>time.</w:t>
      </w:r>
    </w:p>
    <w:p w14:paraId="35FEC11C" w14:textId="797610EE" w:rsidR="009E6230" w:rsidRPr="009E6230" w:rsidRDefault="009E6230" w:rsidP="00A56C54">
      <w:pPr>
        <w:ind w:left="720" w:hanging="720"/>
        <w:rPr>
          <w:rFonts w:ascii="Tahoma" w:hAnsi="Tahoma" w:cs="Tahoma"/>
          <w:b/>
          <w:bCs/>
        </w:rPr>
      </w:pPr>
      <w:r w:rsidRPr="009E6230">
        <w:rPr>
          <w:rFonts w:ascii="Tahoma" w:hAnsi="Tahoma" w:cs="Tahoma"/>
          <w:b/>
          <w:bCs/>
        </w:rPr>
        <w:t>Q</w:t>
      </w:r>
      <w:r w:rsidR="00C00050">
        <w:rPr>
          <w:rFonts w:ascii="Tahoma" w:hAnsi="Tahoma" w:cs="Tahoma"/>
          <w:b/>
          <w:bCs/>
        </w:rPr>
        <w:t>76</w:t>
      </w:r>
      <w:r w:rsidRPr="009E6230">
        <w:rPr>
          <w:rFonts w:ascii="Tahoma" w:hAnsi="Tahoma" w:cs="Tahoma"/>
          <w:b/>
          <w:bCs/>
        </w:rPr>
        <w:t>:</w:t>
      </w:r>
      <w:r w:rsidRPr="009E6230">
        <w:rPr>
          <w:rFonts w:ascii="Tahoma" w:hAnsi="Tahoma" w:cs="Tahoma"/>
          <w:b/>
          <w:bCs/>
        </w:rPr>
        <w:tab/>
        <w:t>Since the solicitation materials do not include an exhaustive list of possible remedies for violation</w:t>
      </w:r>
      <w:r w:rsidR="00E55AD9">
        <w:rPr>
          <w:rFonts w:ascii="Tahoma" w:hAnsi="Tahoma" w:cs="Tahoma"/>
          <w:b/>
          <w:bCs/>
        </w:rPr>
        <w:t>s of tenant protection provisions</w:t>
      </w:r>
      <w:r w:rsidRPr="009E6230">
        <w:rPr>
          <w:rFonts w:ascii="Tahoma" w:hAnsi="Tahoma" w:cs="Tahoma"/>
          <w:b/>
          <w:bCs/>
        </w:rPr>
        <w:t>, how will the approach to enforcement be standardized across Regional Administrators?</w:t>
      </w:r>
    </w:p>
    <w:p w14:paraId="18B70D62" w14:textId="45799215" w:rsidR="00D628F3" w:rsidRDefault="009E6230" w:rsidP="00D628F3">
      <w:pPr>
        <w:spacing w:after="120" w:line="256" w:lineRule="auto"/>
        <w:ind w:left="720" w:hanging="720"/>
        <w:rPr>
          <w:rFonts w:ascii="Tahoma" w:hAnsi="Tahoma" w:cs="Tahoma"/>
        </w:rPr>
      </w:pPr>
      <w:r w:rsidRPr="00D628F3">
        <w:rPr>
          <w:rFonts w:ascii="Tahoma" w:hAnsi="Tahoma" w:cs="Tahoma"/>
        </w:rPr>
        <w:t>A</w:t>
      </w:r>
      <w:r w:rsidR="00C00050">
        <w:rPr>
          <w:rFonts w:ascii="Tahoma" w:hAnsi="Tahoma" w:cs="Tahoma"/>
        </w:rPr>
        <w:t>76</w:t>
      </w:r>
      <w:r w:rsidRPr="00D628F3">
        <w:rPr>
          <w:rFonts w:ascii="Tahoma" w:hAnsi="Tahoma" w:cs="Tahoma"/>
        </w:rPr>
        <w:t>:</w:t>
      </w:r>
      <w:r w:rsidRPr="00D628F3">
        <w:rPr>
          <w:rFonts w:ascii="Tahoma" w:hAnsi="Tahoma" w:cs="Tahoma"/>
        </w:rPr>
        <w:tab/>
      </w:r>
      <w:r w:rsidR="004B6E23" w:rsidRPr="00D628F3">
        <w:rPr>
          <w:rFonts w:ascii="Tahoma" w:hAnsi="Tahoma" w:cs="Tahoma"/>
        </w:rPr>
        <w:t xml:space="preserve">The CEC will work with the Regional Administrators to develop a </w:t>
      </w:r>
      <w:r w:rsidR="00C35F8D" w:rsidRPr="00D628F3">
        <w:rPr>
          <w:rFonts w:ascii="Tahoma" w:hAnsi="Tahoma" w:cs="Tahoma"/>
        </w:rPr>
        <w:t xml:space="preserve">single </w:t>
      </w:r>
      <w:r w:rsidR="004B6E23" w:rsidRPr="00D628F3">
        <w:rPr>
          <w:rFonts w:ascii="Tahoma" w:hAnsi="Tahoma" w:cs="Tahoma"/>
        </w:rPr>
        <w:t>Program Participation Agreement template</w:t>
      </w:r>
      <w:r w:rsidR="00C35F8D" w:rsidRPr="00D628F3">
        <w:rPr>
          <w:rFonts w:ascii="Tahoma" w:hAnsi="Tahoma" w:cs="Tahoma"/>
        </w:rPr>
        <w:t xml:space="preserve"> to be used in all three regions. The Program Participation Agreement template </w:t>
      </w:r>
      <w:r w:rsidR="00D37B39" w:rsidRPr="00D628F3">
        <w:rPr>
          <w:rFonts w:ascii="Tahoma" w:hAnsi="Tahoma" w:cs="Tahoma"/>
        </w:rPr>
        <w:t>will include tenant protections and penalties</w:t>
      </w:r>
      <w:r w:rsidR="002C09DA" w:rsidRPr="00D628F3">
        <w:rPr>
          <w:rFonts w:ascii="Tahoma" w:hAnsi="Tahoma" w:cs="Tahoma"/>
        </w:rPr>
        <w:t xml:space="preserve"> as described in the Guidelines and in the Scope of Work Task 5.11</w:t>
      </w:r>
      <w:r w:rsidR="00D37B39" w:rsidRPr="00D628F3">
        <w:rPr>
          <w:rFonts w:ascii="Tahoma" w:hAnsi="Tahoma" w:cs="Tahoma"/>
        </w:rPr>
        <w:t xml:space="preserve">. </w:t>
      </w:r>
      <w:r w:rsidR="00312A3F" w:rsidRPr="00D628F3">
        <w:rPr>
          <w:rFonts w:ascii="Tahoma" w:hAnsi="Tahoma" w:cs="Tahoma"/>
        </w:rPr>
        <w:t xml:space="preserve">All Regional Administrators are required to </w:t>
      </w:r>
      <w:r w:rsidR="00D628F3">
        <w:rPr>
          <w:rFonts w:ascii="Tahoma" w:hAnsi="Tahoma" w:cs="Tahoma"/>
        </w:rPr>
        <w:t xml:space="preserve">provide participants with a phone number to call regarding any concerns related to a project funded by the program, including tenant protections; </w:t>
      </w:r>
      <w:r w:rsidR="002868C6">
        <w:rPr>
          <w:rFonts w:ascii="Tahoma" w:hAnsi="Tahoma" w:cs="Tahoma"/>
        </w:rPr>
        <w:t xml:space="preserve">to </w:t>
      </w:r>
      <w:r w:rsidR="00D628F3">
        <w:rPr>
          <w:rFonts w:ascii="Tahoma" w:hAnsi="Tahoma" w:cs="Tahoma"/>
        </w:rPr>
        <w:t>f</w:t>
      </w:r>
      <w:r w:rsidR="00D628F3" w:rsidRPr="00D628F3">
        <w:rPr>
          <w:rFonts w:ascii="Tahoma" w:hAnsi="Tahoma" w:cs="Tahoma"/>
        </w:rPr>
        <w:t>ollow up within 5 business days on any complaints received regarding violation of tenant protection provisions</w:t>
      </w:r>
      <w:r w:rsidR="002868C6">
        <w:rPr>
          <w:rFonts w:ascii="Tahoma" w:hAnsi="Tahoma" w:cs="Tahoma"/>
        </w:rPr>
        <w:t>;</w:t>
      </w:r>
      <w:r w:rsidR="00D628F3" w:rsidRPr="00D628F3">
        <w:rPr>
          <w:rFonts w:ascii="Tahoma" w:hAnsi="Tahoma" w:cs="Tahoma"/>
        </w:rPr>
        <w:t xml:space="preserve"> and </w:t>
      </w:r>
      <w:r w:rsidR="002868C6">
        <w:rPr>
          <w:rFonts w:ascii="Tahoma" w:hAnsi="Tahoma" w:cs="Tahoma"/>
        </w:rPr>
        <w:t xml:space="preserve">to </w:t>
      </w:r>
      <w:r w:rsidR="00D628F3" w:rsidRPr="00D628F3">
        <w:rPr>
          <w:rFonts w:ascii="Tahoma" w:hAnsi="Tahoma" w:cs="Tahoma"/>
        </w:rPr>
        <w:t>coordinate with the CEC to enact penalties if needed.</w:t>
      </w:r>
      <w:r w:rsidR="00D628F3">
        <w:rPr>
          <w:rFonts w:ascii="Tahoma" w:hAnsi="Tahoma" w:cs="Tahoma"/>
        </w:rPr>
        <w:t xml:space="preserve"> </w:t>
      </w:r>
    </w:p>
    <w:p w14:paraId="37BBF5ED" w14:textId="4D6D7A72" w:rsidR="006B3C35" w:rsidRPr="00182069" w:rsidRDefault="006B3C35" w:rsidP="00D628F3">
      <w:pPr>
        <w:spacing w:after="120" w:line="256" w:lineRule="auto"/>
        <w:ind w:left="720" w:hanging="720"/>
        <w:rPr>
          <w:rFonts w:ascii="Tahoma" w:hAnsi="Tahoma" w:cs="Tahoma"/>
          <w:b/>
          <w:bCs/>
        </w:rPr>
      </w:pPr>
      <w:r w:rsidRPr="00182069">
        <w:rPr>
          <w:rFonts w:ascii="Tahoma" w:hAnsi="Tahoma" w:cs="Tahoma"/>
          <w:b/>
          <w:bCs/>
        </w:rPr>
        <w:t>Q</w:t>
      </w:r>
      <w:r w:rsidR="00C00050">
        <w:rPr>
          <w:rFonts w:ascii="Tahoma" w:hAnsi="Tahoma" w:cs="Tahoma"/>
          <w:b/>
          <w:bCs/>
        </w:rPr>
        <w:t>77</w:t>
      </w:r>
      <w:r w:rsidRPr="00182069">
        <w:rPr>
          <w:rFonts w:ascii="Tahoma" w:hAnsi="Tahoma" w:cs="Tahoma"/>
          <w:b/>
          <w:bCs/>
        </w:rPr>
        <w:t>:</w:t>
      </w:r>
      <w:r w:rsidRPr="00182069">
        <w:rPr>
          <w:rFonts w:ascii="Tahoma" w:hAnsi="Tahoma" w:cs="Tahoma"/>
          <w:b/>
          <w:bCs/>
        </w:rPr>
        <w:tab/>
        <w:t>Will the EBD Direct Install Program Guidelines be updated to include tenant protection enforcement mechanisms?</w:t>
      </w:r>
    </w:p>
    <w:p w14:paraId="235AC4FA" w14:textId="3F5AF72E" w:rsidR="006B3C35" w:rsidRDefault="006B3C35" w:rsidP="00D628F3">
      <w:pPr>
        <w:spacing w:after="120" w:line="256" w:lineRule="auto"/>
        <w:ind w:left="720" w:hanging="720"/>
        <w:rPr>
          <w:rFonts w:ascii="Tahoma" w:hAnsi="Tahoma" w:cs="Tahoma"/>
        </w:rPr>
      </w:pPr>
      <w:r>
        <w:rPr>
          <w:rFonts w:ascii="Tahoma" w:hAnsi="Tahoma" w:cs="Tahoma"/>
        </w:rPr>
        <w:t>A</w:t>
      </w:r>
      <w:r w:rsidR="00C00050">
        <w:rPr>
          <w:rFonts w:ascii="Tahoma" w:hAnsi="Tahoma" w:cs="Tahoma"/>
        </w:rPr>
        <w:t>77</w:t>
      </w:r>
      <w:r>
        <w:rPr>
          <w:rFonts w:ascii="Tahoma" w:hAnsi="Tahoma" w:cs="Tahoma"/>
        </w:rPr>
        <w:t>:</w:t>
      </w:r>
      <w:r>
        <w:rPr>
          <w:rFonts w:ascii="Tahoma" w:hAnsi="Tahoma" w:cs="Tahoma"/>
        </w:rPr>
        <w:tab/>
      </w:r>
      <w:r w:rsidR="00182069">
        <w:rPr>
          <w:rFonts w:ascii="Tahoma" w:hAnsi="Tahoma" w:cs="Tahoma"/>
        </w:rPr>
        <w:t xml:space="preserve">Once the program launches, the CEC </w:t>
      </w:r>
      <w:r w:rsidR="00EE38C2">
        <w:rPr>
          <w:rFonts w:ascii="Tahoma" w:hAnsi="Tahoma" w:cs="Tahoma"/>
        </w:rPr>
        <w:t xml:space="preserve">will closely monitor </w:t>
      </w:r>
      <w:r w:rsidR="00A846FC">
        <w:rPr>
          <w:rFonts w:ascii="Tahoma" w:hAnsi="Tahoma" w:cs="Tahoma"/>
        </w:rPr>
        <w:t>its progress and outcomes</w:t>
      </w:r>
      <w:r w:rsidR="009C674C">
        <w:rPr>
          <w:rFonts w:ascii="Tahoma" w:hAnsi="Tahoma" w:cs="Tahoma"/>
        </w:rPr>
        <w:t xml:space="preserve">, including tenant protections. The Guidelines will be revised as needed based on </w:t>
      </w:r>
      <w:r w:rsidR="00F27C48">
        <w:rPr>
          <w:rFonts w:ascii="Tahoma" w:hAnsi="Tahoma" w:cs="Tahoma"/>
        </w:rPr>
        <w:t xml:space="preserve">program performance and </w:t>
      </w:r>
      <w:r w:rsidR="009C674C">
        <w:rPr>
          <w:rFonts w:ascii="Tahoma" w:hAnsi="Tahoma" w:cs="Tahoma"/>
        </w:rPr>
        <w:t>lessons learned.</w:t>
      </w:r>
    </w:p>
    <w:p w14:paraId="7305D106" w14:textId="07920512" w:rsidR="00B044F5" w:rsidRPr="002868C6" w:rsidRDefault="00B044F5" w:rsidP="00D628F3">
      <w:pPr>
        <w:spacing w:after="120" w:line="256" w:lineRule="auto"/>
        <w:ind w:left="720" w:hanging="720"/>
        <w:rPr>
          <w:rFonts w:ascii="Tahoma" w:hAnsi="Tahoma" w:cs="Tahoma"/>
          <w:b/>
          <w:bCs/>
        </w:rPr>
      </w:pPr>
      <w:r w:rsidRPr="002868C6">
        <w:rPr>
          <w:rFonts w:ascii="Tahoma" w:hAnsi="Tahoma" w:cs="Tahoma"/>
          <w:b/>
          <w:bCs/>
        </w:rPr>
        <w:t>Q</w:t>
      </w:r>
      <w:r w:rsidR="00C00050">
        <w:rPr>
          <w:rFonts w:ascii="Tahoma" w:hAnsi="Tahoma" w:cs="Tahoma"/>
          <w:b/>
          <w:bCs/>
        </w:rPr>
        <w:t>78</w:t>
      </w:r>
      <w:r w:rsidRPr="002868C6">
        <w:rPr>
          <w:rFonts w:ascii="Tahoma" w:hAnsi="Tahoma" w:cs="Tahoma"/>
          <w:b/>
          <w:bCs/>
        </w:rPr>
        <w:t>:</w:t>
      </w:r>
      <w:r w:rsidRPr="002868C6">
        <w:rPr>
          <w:rFonts w:ascii="Tahoma" w:hAnsi="Tahoma" w:cs="Tahoma"/>
          <w:b/>
          <w:bCs/>
        </w:rPr>
        <w:tab/>
      </w:r>
      <w:r w:rsidR="00701DA3" w:rsidRPr="002868C6">
        <w:rPr>
          <w:rFonts w:ascii="Tahoma" w:hAnsi="Tahoma" w:cs="Tahoma"/>
          <w:b/>
          <w:bCs/>
        </w:rPr>
        <w:t>We have heard a potential Regional Administrator say that they can’t enforce the tenant protection components of the program. Who is in charge of monitoring compliance with those provisions? What is the resource if a violation occurs?</w:t>
      </w:r>
    </w:p>
    <w:p w14:paraId="650A287E" w14:textId="32469273" w:rsidR="00701DA3" w:rsidRPr="00D628F3" w:rsidRDefault="00701DA3" w:rsidP="00D628F3">
      <w:pPr>
        <w:spacing w:after="120" w:line="256" w:lineRule="auto"/>
        <w:ind w:left="720" w:hanging="720"/>
        <w:rPr>
          <w:rFonts w:ascii="Tahoma" w:hAnsi="Tahoma" w:cs="Tahoma"/>
        </w:rPr>
      </w:pPr>
      <w:r>
        <w:rPr>
          <w:rFonts w:ascii="Tahoma" w:hAnsi="Tahoma" w:cs="Tahoma"/>
        </w:rPr>
        <w:t>A</w:t>
      </w:r>
      <w:r w:rsidR="00C00050">
        <w:rPr>
          <w:rFonts w:ascii="Tahoma" w:hAnsi="Tahoma" w:cs="Tahoma"/>
        </w:rPr>
        <w:t>78</w:t>
      </w:r>
      <w:r>
        <w:rPr>
          <w:rFonts w:ascii="Tahoma" w:hAnsi="Tahoma" w:cs="Tahoma"/>
        </w:rPr>
        <w:t>:</w:t>
      </w:r>
      <w:r>
        <w:rPr>
          <w:rFonts w:ascii="Tahoma" w:hAnsi="Tahoma" w:cs="Tahoma"/>
        </w:rPr>
        <w:tab/>
      </w:r>
      <w:r w:rsidR="002868C6" w:rsidRPr="00D628F3">
        <w:rPr>
          <w:rFonts w:ascii="Tahoma" w:hAnsi="Tahoma" w:cs="Tahoma"/>
        </w:rPr>
        <w:t xml:space="preserve">All Regional Administrators </w:t>
      </w:r>
      <w:r w:rsidR="002868C6">
        <w:rPr>
          <w:rFonts w:ascii="Tahoma" w:hAnsi="Tahoma" w:cs="Tahoma"/>
        </w:rPr>
        <w:t>will be</w:t>
      </w:r>
      <w:r w:rsidR="002868C6" w:rsidRPr="00D628F3">
        <w:rPr>
          <w:rFonts w:ascii="Tahoma" w:hAnsi="Tahoma" w:cs="Tahoma"/>
        </w:rPr>
        <w:t xml:space="preserve"> required to </w:t>
      </w:r>
      <w:r w:rsidR="002868C6">
        <w:rPr>
          <w:rFonts w:ascii="Tahoma" w:hAnsi="Tahoma" w:cs="Tahoma"/>
        </w:rPr>
        <w:t>provide participants with a phone number to call regarding any concerns related to a project funded by the program, including tenant protections; to f</w:t>
      </w:r>
      <w:r w:rsidR="002868C6" w:rsidRPr="00D628F3">
        <w:rPr>
          <w:rFonts w:ascii="Tahoma" w:hAnsi="Tahoma" w:cs="Tahoma"/>
        </w:rPr>
        <w:t>ollow up within 5 business days on any complaints received regarding violation of tenant protection provisions</w:t>
      </w:r>
      <w:r w:rsidR="002868C6">
        <w:rPr>
          <w:rFonts w:ascii="Tahoma" w:hAnsi="Tahoma" w:cs="Tahoma"/>
        </w:rPr>
        <w:t>;</w:t>
      </w:r>
      <w:r w:rsidR="002868C6" w:rsidRPr="00D628F3">
        <w:rPr>
          <w:rFonts w:ascii="Tahoma" w:hAnsi="Tahoma" w:cs="Tahoma"/>
        </w:rPr>
        <w:t xml:space="preserve"> and </w:t>
      </w:r>
      <w:r w:rsidR="002868C6">
        <w:rPr>
          <w:rFonts w:ascii="Tahoma" w:hAnsi="Tahoma" w:cs="Tahoma"/>
        </w:rPr>
        <w:t xml:space="preserve">to </w:t>
      </w:r>
      <w:r w:rsidR="002868C6" w:rsidRPr="00D628F3">
        <w:rPr>
          <w:rFonts w:ascii="Tahoma" w:hAnsi="Tahoma" w:cs="Tahoma"/>
        </w:rPr>
        <w:t>coordinate with the CEC to enact penalties if needed.</w:t>
      </w:r>
    </w:p>
    <w:p w14:paraId="7275972A" w14:textId="418934A7" w:rsidR="009E6230" w:rsidRPr="00325843" w:rsidRDefault="00F41EF7" w:rsidP="00A56C54">
      <w:pPr>
        <w:ind w:left="720" w:hanging="720"/>
        <w:rPr>
          <w:rFonts w:ascii="Tahoma" w:hAnsi="Tahoma" w:cs="Tahoma"/>
        </w:rPr>
      </w:pPr>
      <w:r>
        <w:rPr>
          <w:rFonts w:ascii="Tahoma" w:hAnsi="Tahoma" w:cs="Tahoma"/>
        </w:rPr>
        <w:t xml:space="preserve"> </w:t>
      </w:r>
    </w:p>
    <w:p w14:paraId="4A55A395" w14:textId="7ABD6A56" w:rsidR="005A1B5B" w:rsidRDefault="00025CA7" w:rsidP="002A45D1">
      <w:pPr>
        <w:pStyle w:val="Heading1"/>
      </w:pPr>
      <w:r>
        <w:t>Workforce</w:t>
      </w:r>
      <w:r w:rsidR="00A60CB9">
        <w:t xml:space="preserve"> and Prevailing Wage</w:t>
      </w:r>
    </w:p>
    <w:p w14:paraId="607F03E9" w14:textId="38E124C1" w:rsidR="00025CA7" w:rsidRPr="003B4429" w:rsidRDefault="002A45D1" w:rsidP="00A56C54">
      <w:pPr>
        <w:ind w:left="720" w:hanging="720"/>
        <w:rPr>
          <w:rFonts w:ascii="Tahoma" w:hAnsi="Tahoma" w:cs="Tahoma"/>
          <w:b/>
          <w:bCs/>
        </w:rPr>
      </w:pPr>
      <w:r w:rsidRPr="003B4429">
        <w:rPr>
          <w:rFonts w:ascii="Tahoma" w:hAnsi="Tahoma" w:cs="Tahoma"/>
          <w:b/>
          <w:bCs/>
        </w:rPr>
        <w:t>Q</w:t>
      </w:r>
      <w:r w:rsidR="004C742A">
        <w:rPr>
          <w:rFonts w:ascii="Tahoma" w:hAnsi="Tahoma" w:cs="Tahoma"/>
          <w:b/>
          <w:bCs/>
        </w:rPr>
        <w:t>79</w:t>
      </w:r>
      <w:r w:rsidRPr="003B4429">
        <w:rPr>
          <w:rFonts w:ascii="Tahoma" w:hAnsi="Tahoma" w:cs="Tahoma"/>
          <w:b/>
          <w:bCs/>
        </w:rPr>
        <w:t>:</w:t>
      </w:r>
      <w:r w:rsidRPr="003B4429">
        <w:rPr>
          <w:rFonts w:ascii="Tahoma" w:hAnsi="Tahoma" w:cs="Tahoma"/>
          <w:b/>
          <w:bCs/>
        </w:rPr>
        <w:tab/>
      </w:r>
      <w:r w:rsidR="003B4429" w:rsidRPr="003B4429">
        <w:rPr>
          <w:rFonts w:ascii="Tahoma" w:hAnsi="Tahoma" w:cs="Tahoma"/>
          <w:b/>
          <w:bCs/>
        </w:rPr>
        <w:t>Will</w:t>
      </w:r>
      <w:r w:rsidR="003F7E46" w:rsidRPr="003B4429">
        <w:rPr>
          <w:rFonts w:ascii="Tahoma" w:hAnsi="Tahoma" w:cs="Tahoma"/>
          <w:b/>
          <w:bCs/>
        </w:rPr>
        <w:t xml:space="preserve"> the use of targeted hire programs be considered when scoring?</w:t>
      </w:r>
    </w:p>
    <w:p w14:paraId="5AF5FA3C" w14:textId="1A7E06FC" w:rsidR="003B4429" w:rsidRDefault="003B4429" w:rsidP="00A56C54">
      <w:pPr>
        <w:ind w:left="720" w:hanging="720"/>
        <w:rPr>
          <w:rFonts w:ascii="Tahoma" w:hAnsi="Tahoma" w:cs="Tahoma"/>
        </w:rPr>
      </w:pPr>
      <w:r>
        <w:rPr>
          <w:rFonts w:ascii="Tahoma" w:hAnsi="Tahoma" w:cs="Tahoma"/>
        </w:rPr>
        <w:t>A</w:t>
      </w:r>
      <w:r w:rsidR="004C742A">
        <w:rPr>
          <w:rFonts w:ascii="Tahoma" w:hAnsi="Tahoma" w:cs="Tahoma"/>
        </w:rPr>
        <w:t>79</w:t>
      </w:r>
      <w:r>
        <w:rPr>
          <w:rFonts w:ascii="Tahoma" w:hAnsi="Tahoma" w:cs="Tahoma"/>
        </w:rPr>
        <w:t>:</w:t>
      </w:r>
      <w:r>
        <w:rPr>
          <w:rFonts w:ascii="Tahoma" w:hAnsi="Tahoma" w:cs="Tahoma"/>
        </w:rPr>
        <w:tab/>
        <w:t xml:space="preserve">Applications will be scored based in part on their </w:t>
      </w:r>
      <w:r w:rsidR="00C01FF8">
        <w:rPr>
          <w:rFonts w:ascii="Tahoma" w:hAnsi="Tahoma" w:cs="Tahoma"/>
        </w:rPr>
        <w:t xml:space="preserve">proposed approach to developing and implementing a Workforce Plan to </w:t>
      </w:r>
      <w:r w:rsidR="009B1A08">
        <w:rPr>
          <w:rFonts w:ascii="Tahoma" w:hAnsi="Tahoma" w:cs="Tahoma"/>
        </w:rPr>
        <w:t xml:space="preserve">enroll </w:t>
      </w:r>
      <w:r w:rsidR="00BF7D1F">
        <w:rPr>
          <w:rFonts w:ascii="Tahoma" w:hAnsi="Tahoma" w:cs="Tahoma"/>
        </w:rPr>
        <w:t>contractors in the program</w:t>
      </w:r>
      <w:r w:rsidR="001C702D">
        <w:rPr>
          <w:rFonts w:ascii="Tahoma" w:hAnsi="Tahoma" w:cs="Tahoma"/>
        </w:rPr>
        <w:t xml:space="preserve"> as described in Task 5.3 of the Scope of Work</w:t>
      </w:r>
      <w:r w:rsidR="00C53877">
        <w:rPr>
          <w:rFonts w:ascii="Tahoma" w:hAnsi="Tahoma" w:cs="Tahoma"/>
        </w:rPr>
        <w:t xml:space="preserve"> and in alignment with the Guidelines</w:t>
      </w:r>
      <w:r w:rsidR="005D5CFE">
        <w:rPr>
          <w:rFonts w:ascii="Tahoma" w:hAnsi="Tahoma" w:cs="Tahoma"/>
        </w:rPr>
        <w:t xml:space="preserve"> and HOMES Guidance</w:t>
      </w:r>
      <w:r w:rsidR="001C702D">
        <w:rPr>
          <w:rFonts w:ascii="Tahoma" w:hAnsi="Tahoma" w:cs="Tahoma"/>
        </w:rPr>
        <w:t>.</w:t>
      </w:r>
      <w:r w:rsidR="00A35AA2">
        <w:rPr>
          <w:rFonts w:ascii="Tahoma" w:hAnsi="Tahoma" w:cs="Tahoma"/>
        </w:rPr>
        <w:t xml:space="preserve"> </w:t>
      </w:r>
      <w:r w:rsidR="00D36979">
        <w:rPr>
          <w:rFonts w:ascii="Tahoma" w:hAnsi="Tahoma" w:cs="Tahoma"/>
        </w:rPr>
        <w:t xml:space="preserve">Use of targeted hiring strategies is </w:t>
      </w:r>
      <w:r w:rsidR="00872C75">
        <w:rPr>
          <w:rFonts w:ascii="Tahoma" w:hAnsi="Tahoma" w:cs="Tahoma"/>
        </w:rPr>
        <w:t xml:space="preserve">a </w:t>
      </w:r>
      <w:r w:rsidR="005D5CFE">
        <w:rPr>
          <w:rFonts w:ascii="Tahoma" w:hAnsi="Tahoma" w:cs="Tahoma"/>
        </w:rPr>
        <w:t>c</w:t>
      </w:r>
      <w:r w:rsidR="004F5F10">
        <w:rPr>
          <w:rFonts w:ascii="Tahoma" w:hAnsi="Tahoma" w:cs="Tahoma"/>
        </w:rPr>
        <w:t xml:space="preserve">ontractor </w:t>
      </w:r>
      <w:r w:rsidR="005D5CFE">
        <w:rPr>
          <w:rFonts w:ascii="Tahoma" w:hAnsi="Tahoma" w:cs="Tahoma"/>
        </w:rPr>
        <w:t>p</w:t>
      </w:r>
      <w:r w:rsidR="004F5F10">
        <w:rPr>
          <w:rFonts w:ascii="Tahoma" w:hAnsi="Tahoma" w:cs="Tahoma"/>
        </w:rPr>
        <w:t xml:space="preserve">reference criterion </w:t>
      </w:r>
      <w:r w:rsidR="004F6276">
        <w:rPr>
          <w:rFonts w:ascii="Tahoma" w:hAnsi="Tahoma" w:cs="Tahoma"/>
        </w:rPr>
        <w:t>identified in the Guidelines.</w:t>
      </w:r>
      <w:r w:rsidR="00872C75">
        <w:rPr>
          <w:rFonts w:ascii="Tahoma" w:hAnsi="Tahoma" w:cs="Tahoma"/>
        </w:rPr>
        <w:t xml:space="preserve"> </w:t>
      </w:r>
      <w:r w:rsidR="00BF7D1F">
        <w:rPr>
          <w:rFonts w:ascii="Tahoma" w:hAnsi="Tahoma" w:cs="Tahoma"/>
        </w:rPr>
        <w:t xml:space="preserve"> </w:t>
      </w:r>
    </w:p>
    <w:p w14:paraId="470A13F5" w14:textId="2F4C0F51" w:rsidR="005D5CFE" w:rsidRPr="00A60CB9" w:rsidRDefault="005D5CFE" w:rsidP="00A56C54">
      <w:pPr>
        <w:ind w:left="720" w:hanging="720"/>
        <w:rPr>
          <w:rFonts w:ascii="Tahoma" w:hAnsi="Tahoma" w:cs="Tahoma"/>
          <w:b/>
          <w:bCs/>
        </w:rPr>
      </w:pPr>
      <w:r w:rsidRPr="00A60CB9">
        <w:rPr>
          <w:rFonts w:ascii="Tahoma" w:hAnsi="Tahoma" w:cs="Tahoma"/>
          <w:b/>
          <w:bCs/>
        </w:rPr>
        <w:t>Q</w:t>
      </w:r>
      <w:r w:rsidR="009102EB">
        <w:rPr>
          <w:rFonts w:ascii="Tahoma" w:hAnsi="Tahoma" w:cs="Tahoma"/>
          <w:b/>
          <w:bCs/>
        </w:rPr>
        <w:t>80</w:t>
      </w:r>
      <w:r w:rsidRPr="00A60CB9">
        <w:rPr>
          <w:rFonts w:ascii="Tahoma" w:hAnsi="Tahoma" w:cs="Tahoma"/>
          <w:b/>
          <w:bCs/>
        </w:rPr>
        <w:t>:</w:t>
      </w:r>
      <w:r w:rsidRPr="00A60CB9">
        <w:rPr>
          <w:rFonts w:ascii="Tahoma" w:hAnsi="Tahoma" w:cs="Tahoma"/>
          <w:b/>
          <w:bCs/>
        </w:rPr>
        <w:tab/>
      </w:r>
      <w:r w:rsidR="009A0B21" w:rsidRPr="00A60CB9">
        <w:rPr>
          <w:rFonts w:ascii="Tahoma" w:hAnsi="Tahoma" w:cs="Tahoma"/>
          <w:b/>
          <w:bCs/>
        </w:rPr>
        <w:t>Are installation contractors required to have certain certifications in order to participate in this program?</w:t>
      </w:r>
    </w:p>
    <w:p w14:paraId="2D65859A" w14:textId="4185A76C" w:rsidR="009A0B21" w:rsidRDefault="009A0B21" w:rsidP="00A56C54">
      <w:pPr>
        <w:ind w:left="720" w:hanging="720"/>
        <w:rPr>
          <w:rFonts w:ascii="Tahoma" w:hAnsi="Tahoma" w:cs="Tahoma"/>
        </w:rPr>
      </w:pPr>
      <w:r>
        <w:rPr>
          <w:rFonts w:ascii="Tahoma" w:hAnsi="Tahoma" w:cs="Tahoma"/>
        </w:rPr>
        <w:t>A</w:t>
      </w:r>
      <w:r w:rsidR="009102EB">
        <w:rPr>
          <w:rFonts w:ascii="Tahoma" w:hAnsi="Tahoma" w:cs="Tahoma"/>
        </w:rPr>
        <w:t>80</w:t>
      </w:r>
      <w:r>
        <w:rPr>
          <w:rFonts w:ascii="Tahoma" w:hAnsi="Tahoma" w:cs="Tahoma"/>
        </w:rPr>
        <w:t>:</w:t>
      </w:r>
      <w:r>
        <w:rPr>
          <w:rFonts w:ascii="Tahoma" w:hAnsi="Tahoma" w:cs="Tahoma"/>
        </w:rPr>
        <w:tab/>
      </w:r>
      <w:r w:rsidR="00965C78">
        <w:rPr>
          <w:rFonts w:ascii="Tahoma" w:hAnsi="Tahoma" w:cs="Tahoma"/>
        </w:rPr>
        <w:t>Yes</w:t>
      </w:r>
      <w:r w:rsidR="001C73C4">
        <w:rPr>
          <w:rFonts w:ascii="Tahoma" w:hAnsi="Tahoma" w:cs="Tahoma"/>
        </w:rPr>
        <w:t xml:space="preserve">. Please refer to the </w:t>
      </w:r>
      <w:r w:rsidR="002B15D1">
        <w:rPr>
          <w:rFonts w:ascii="Tahoma" w:hAnsi="Tahoma" w:cs="Tahoma"/>
        </w:rPr>
        <w:t xml:space="preserve">Workforce Standards and Requirements section of the Program Guidelines (Chapter </w:t>
      </w:r>
      <w:r w:rsidR="00865F56">
        <w:rPr>
          <w:rFonts w:ascii="Tahoma" w:hAnsi="Tahoma" w:cs="Tahoma"/>
        </w:rPr>
        <w:t xml:space="preserve">4D) and Task </w:t>
      </w:r>
      <w:r w:rsidR="00AA2732">
        <w:rPr>
          <w:rFonts w:ascii="Tahoma" w:hAnsi="Tahoma" w:cs="Tahoma"/>
        </w:rPr>
        <w:t>5.3 of the Scope of Work for details.</w:t>
      </w:r>
      <w:r w:rsidR="00965C78">
        <w:rPr>
          <w:rFonts w:ascii="Tahoma" w:hAnsi="Tahoma" w:cs="Tahoma"/>
        </w:rPr>
        <w:t xml:space="preserve"> </w:t>
      </w:r>
    </w:p>
    <w:p w14:paraId="04A85473" w14:textId="45B49F86" w:rsidR="00A60CB9" w:rsidRPr="00AA1C1E" w:rsidRDefault="00A60CB9" w:rsidP="00A56C54">
      <w:pPr>
        <w:ind w:left="720" w:hanging="720"/>
        <w:rPr>
          <w:rFonts w:ascii="Tahoma" w:hAnsi="Tahoma" w:cs="Tahoma"/>
          <w:b/>
          <w:bCs/>
        </w:rPr>
      </w:pPr>
      <w:r w:rsidRPr="00AA1C1E">
        <w:rPr>
          <w:rFonts w:ascii="Tahoma" w:hAnsi="Tahoma" w:cs="Tahoma"/>
          <w:b/>
          <w:bCs/>
        </w:rPr>
        <w:t>Q</w:t>
      </w:r>
      <w:r w:rsidR="009102EB">
        <w:rPr>
          <w:rFonts w:ascii="Tahoma" w:hAnsi="Tahoma" w:cs="Tahoma"/>
          <w:b/>
          <w:bCs/>
        </w:rPr>
        <w:t>81</w:t>
      </w:r>
      <w:r w:rsidRPr="00AA1C1E">
        <w:rPr>
          <w:rFonts w:ascii="Tahoma" w:hAnsi="Tahoma" w:cs="Tahoma"/>
          <w:b/>
          <w:bCs/>
        </w:rPr>
        <w:t>:</w:t>
      </w:r>
      <w:r w:rsidRPr="00AA1C1E">
        <w:rPr>
          <w:rFonts w:ascii="Tahoma" w:hAnsi="Tahoma" w:cs="Tahoma"/>
          <w:b/>
          <w:bCs/>
        </w:rPr>
        <w:tab/>
      </w:r>
      <w:r w:rsidR="007A03D2" w:rsidRPr="00AA1C1E">
        <w:rPr>
          <w:rFonts w:ascii="Tahoma" w:hAnsi="Tahoma" w:cs="Tahoma"/>
          <w:b/>
          <w:bCs/>
        </w:rPr>
        <w:t xml:space="preserve">If the project is a public works project subject to </w:t>
      </w:r>
      <w:r w:rsidR="00D95252" w:rsidRPr="00AA1C1E">
        <w:rPr>
          <w:rFonts w:ascii="Tahoma" w:hAnsi="Tahoma" w:cs="Tahoma"/>
          <w:b/>
          <w:bCs/>
        </w:rPr>
        <w:t>prevailing wage requirements</w:t>
      </w:r>
      <w:r w:rsidR="007A03D2" w:rsidRPr="00AA1C1E">
        <w:rPr>
          <w:rFonts w:ascii="Tahoma" w:hAnsi="Tahoma" w:cs="Tahoma"/>
          <w:b/>
          <w:bCs/>
        </w:rPr>
        <w:t xml:space="preserve">, would </w:t>
      </w:r>
      <w:r w:rsidR="00D95252" w:rsidRPr="00AA1C1E">
        <w:rPr>
          <w:rFonts w:ascii="Tahoma" w:hAnsi="Tahoma" w:cs="Tahoma"/>
          <w:b/>
          <w:bCs/>
        </w:rPr>
        <w:t>CEC be the awarding body</w:t>
      </w:r>
      <w:r w:rsidR="00BB5BFA" w:rsidRPr="00AA1C1E">
        <w:rPr>
          <w:rFonts w:ascii="Tahoma" w:hAnsi="Tahoma" w:cs="Tahoma"/>
          <w:b/>
          <w:bCs/>
        </w:rPr>
        <w:t xml:space="preserve"> and register the project with the Department of Industrial Relations</w:t>
      </w:r>
      <w:r w:rsidR="00E129C5" w:rsidRPr="00AA1C1E">
        <w:rPr>
          <w:rFonts w:ascii="Tahoma" w:hAnsi="Tahoma" w:cs="Tahoma"/>
          <w:b/>
          <w:bCs/>
        </w:rPr>
        <w:t>, or would that be the Recipient’s responsibility?</w:t>
      </w:r>
    </w:p>
    <w:p w14:paraId="6919BD2B" w14:textId="7C12268D" w:rsidR="00E129C5" w:rsidRDefault="00E129C5" w:rsidP="00A56C54">
      <w:pPr>
        <w:ind w:left="720" w:hanging="720"/>
        <w:rPr>
          <w:rFonts w:ascii="Tahoma" w:hAnsi="Tahoma" w:cs="Tahoma"/>
        </w:rPr>
      </w:pPr>
      <w:r>
        <w:rPr>
          <w:rFonts w:ascii="Tahoma" w:hAnsi="Tahoma" w:cs="Tahoma"/>
        </w:rPr>
        <w:t>A</w:t>
      </w:r>
      <w:r w:rsidR="009102EB">
        <w:rPr>
          <w:rFonts w:ascii="Tahoma" w:hAnsi="Tahoma" w:cs="Tahoma"/>
        </w:rPr>
        <w:t>81</w:t>
      </w:r>
      <w:r>
        <w:rPr>
          <w:rFonts w:ascii="Tahoma" w:hAnsi="Tahoma" w:cs="Tahoma"/>
        </w:rPr>
        <w:t>:</w:t>
      </w:r>
      <w:r>
        <w:tab/>
      </w:r>
      <w:r w:rsidR="00D62895">
        <w:rPr>
          <w:rFonts w:ascii="Tahoma" w:hAnsi="Tahoma" w:cs="Tahoma"/>
        </w:rPr>
        <w:t xml:space="preserve">The Recipient will be responsible for complying with all applicable </w:t>
      </w:r>
      <w:r w:rsidR="00303B29">
        <w:rPr>
          <w:rFonts w:ascii="Tahoma" w:hAnsi="Tahoma" w:cs="Tahoma"/>
        </w:rPr>
        <w:t>laws, including California public works requirements.</w:t>
      </w:r>
      <w:r w:rsidR="003D1887">
        <w:rPr>
          <w:rFonts w:ascii="Tahoma" w:hAnsi="Tahoma" w:cs="Tahoma"/>
        </w:rPr>
        <w:t xml:space="preserve"> </w:t>
      </w:r>
      <w:r w:rsidR="6EDB8A25" w:rsidRPr="122DA02D">
        <w:rPr>
          <w:rFonts w:ascii="Tahoma" w:hAnsi="Tahoma" w:cs="Tahoma"/>
        </w:rPr>
        <w:t xml:space="preserve">Only DIR or the </w:t>
      </w:r>
      <w:r w:rsidR="6EDB8A25" w:rsidRPr="576B18B8">
        <w:rPr>
          <w:rFonts w:ascii="Tahoma" w:hAnsi="Tahoma" w:cs="Tahoma"/>
        </w:rPr>
        <w:t xml:space="preserve">courts have jurisdiction to </w:t>
      </w:r>
      <w:r w:rsidR="6EDB8A25" w:rsidRPr="4F7897B8">
        <w:rPr>
          <w:rFonts w:ascii="Tahoma" w:hAnsi="Tahoma" w:cs="Tahoma"/>
        </w:rPr>
        <w:t xml:space="preserve">determine whether an </w:t>
      </w:r>
      <w:r w:rsidR="6EDB8A25" w:rsidRPr="57FBF702">
        <w:rPr>
          <w:rFonts w:ascii="Tahoma" w:hAnsi="Tahoma" w:cs="Tahoma"/>
        </w:rPr>
        <w:t xml:space="preserve">entity is or </w:t>
      </w:r>
      <w:r w:rsidR="6EDB8A25" w:rsidRPr="33FB47C8">
        <w:rPr>
          <w:rFonts w:ascii="Tahoma" w:hAnsi="Tahoma" w:cs="Tahoma"/>
        </w:rPr>
        <w:t xml:space="preserve">is not an awarding </w:t>
      </w:r>
      <w:r w:rsidR="6EDB8A25" w:rsidRPr="73627C75">
        <w:rPr>
          <w:rFonts w:ascii="Tahoma" w:hAnsi="Tahoma" w:cs="Tahoma"/>
        </w:rPr>
        <w:t>body</w:t>
      </w:r>
      <w:r w:rsidR="6EDB8A25" w:rsidRPr="6D64FC91">
        <w:rPr>
          <w:rFonts w:ascii="Tahoma" w:hAnsi="Tahoma" w:cs="Tahoma"/>
        </w:rPr>
        <w:t>.</w:t>
      </w:r>
      <w:r w:rsidR="6EDB8A25" w:rsidRPr="56CA605D">
        <w:rPr>
          <w:rFonts w:ascii="Tahoma" w:hAnsi="Tahoma" w:cs="Tahoma"/>
        </w:rPr>
        <w:t xml:space="preserve"> </w:t>
      </w:r>
      <w:r w:rsidR="46CC032F" w:rsidRPr="492FC7F1">
        <w:rPr>
          <w:rFonts w:ascii="Tahoma" w:hAnsi="Tahoma" w:cs="Tahoma"/>
        </w:rPr>
        <w:t xml:space="preserve">Recipient should consult their </w:t>
      </w:r>
      <w:r w:rsidR="6EDB8A25" w:rsidRPr="492FC7F1">
        <w:rPr>
          <w:rFonts w:ascii="Tahoma" w:hAnsi="Tahoma" w:cs="Tahoma"/>
        </w:rPr>
        <w:t>legal</w:t>
      </w:r>
      <w:r w:rsidR="6EDB8A25" w:rsidRPr="56CA605D">
        <w:rPr>
          <w:rFonts w:ascii="Tahoma" w:hAnsi="Tahoma" w:cs="Tahoma"/>
        </w:rPr>
        <w:t xml:space="preserve"> </w:t>
      </w:r>
      <w:r w:rsidR="6EDB8A25" w:rsidRPr="07EEBC60">
        <w:rPr>
          <w:rFonts w:ascii="Tahoma" w:hAnsi="Tahoma" w:cs="Tahoma"/>
        </w:rPr>
        <w:t xml:space="preserve">representative </w:t>
      </w:r>
      <w:r w:rsidR="6EDB8A25" w:rsidRPr="0D898A6C">
        <w:rPr>
          <w:rFonts w:ascii="Tahoma" w:hAnsi="Tahoma" w:cs="Tahoma"/>
        </w:rPr>
        <w:t xml:space="preserve">regarding </w:t>
      </w:r>
      <w:r w:rsidR="6EDB8A25" w:rsidRPr="68B07547">
        <w:rPr>
          <w:rFonts w:ascii="Tahoma" w:hAnsi="Tahoma" w:cs="Tahoma"/>
        </w:rPr>
        <w:t>whether the Recipient</w:t>
      </w:r>
      <w:r w:rsidR="1E904900" w:rsidRPr="68B07547">
        <w:rPr>
          <w:rFonts w:ascii="Tahoma" w:hAnsi="Tahoma" w:cs="Tahoma"/>
        </w:rPr>
        <w:t xml:space="preserve"> would be considered an </w:t>
      </w:r>
      <w:r w:rsidR="1E904900" w:rsidRPr="19D4D14A">
        <w:rPr>
          <w:rFonts w:ascii="Tahoma" w:hAnsi="Tahoma" w:cs="Tahoma"/>
        </w:rPr>
        <w:t xml:space="preserve">awarding </w:t>
      </w:r>
      <w:r w:rsidR="1E904900" w:rsidRPr="4DAD3924">
        <w:rPr>
          <w:rFonts w:ascii="Tahoma" w:hAnsi="Tahoma" w:cs="Tahoma"/>
        </w:rPr>
        <w:t>body</w:t>
      </w:r>
      <w:r w:rsidR="007764B5">
        <w:rPr>
          <w:rFonts w:ascii="Tahoma" w:hAnsi="Tahoma" w:cs="Tahoma"/>
        </w:rPr>
        <w:t>.</w:t>
      </w:r>
      <w:r w:rsidR="007A5F98">
        <w:rPr>
          <w:rFonts w:ascii="Tahoma" w:hAnsi="Tahoma" w:cs="Tahoma"/>
        </w:rPr>
        <w:t xml:space="preserve"> </w:t>
      </w:r>
    </w:p>
    <w:p w14:paraId="188EDFB9" w14:textId="54E89B6D" w:rsidR="00BF03C3" w:rsidRPr="007764B5" w:rsidRDefault="00BF03C3" w:rsidP="00A56C54">
      <w:pPr>
        <w:ind w:left="720" w:hanging="720"/>
        <w:rPr>
          <w:rFonts w:ascii="Tahoma" w:hAnsi="Tahoma" w:cs="Tahoma"/>
          <w:b/>
          <w:bCs/>
        </w:rPr>
      </w:pPr>
      <w:r w:rsidRPr="007764B5">
        <w:rPr>
          <w:rFonts w:ascii="Tahoma" w:hAnsi="Tahoma" w:cs="Tahoma"/>
          <w:b/>
          <w:bCs/>
        </w:rPr>
        <w:t>Q</w:t>
      </w:r>
      <w:r w:rsidR="009102EB">
        <w:rPr>
          <w:rFonts w:ascii="Tahoma" w:hAnsi="Tahoma" w:cs="Tahoma"/>
          <w:b/>
          <w:bCs/>
        </w:rPr>
        <w:t>82</w:t>
      </w:r>
      <w:r w:rsidRPr="007764B5">
        <w:rPr>
          <w:rFonts w:ascii="Tahoma" w:hAnsi="Tahoma" w:cs="Tahoma"/>
          <w:b/>
          <w:bCs/>
        </w:rPr>
        <w:t>:</w:t>
      </w:r>
      <w:r w:rsidRPr="007764B5">
        <w:rPr>
          <w:rFonts w:ascii="Tahoma" w:hAnsi="Tahoma" w:cs="Tahoma"/>
          <w:b/>
          <w:bCs/>
        </w:rPr>
        <w:tab/>
        <w:t>Are vendors subject to prevailing wage requirements?</w:t>
      </w:r>
    </w:p>
    <w:p w14:paraId="56EE669A" w14:textId="6972E462" w:rsidR="00BF03C3" w:rsidRDefault="00BF03C3" w:rsidP="00A56C54">
      <w:pPr>
        <w:ind w:left="720" w:hanging="720"/>
        <w:rPr>
          <w:rFonts w:ascii="Tahoma" w:hAnsi="Tahoma" w:cs="Tahoma"/>
        </w:rPr>
      </w:pPr>
      <w:r>
        <w:rPr>
          <w:rFonts w:ascii="Tahoma" w:hAnsi="Tahoma" w:cs="Tahoma"/>
        </w:rPr>
        <w:t>A</w:t>
      </w:r>
      <w:r w:rsidR="009102EB">
        <w:rPr>
          <w:rFonts w:ascii="Tahoma" w:hAnsi="Tahoma" w:cs="Tahoma"/>
        </w:rPr>
        <w:t>82</w:t>
      </w:r>
      <w:r>
        <w:rPr>
          <w:rFonts w:ascii="Tahoma" w:hAnsi="Tahoma" w:cs="Tahoma"/>
        </w:rPr>
        <w:t>:</w:t>
      </w:r>
      <w:r>
        <w:rPr>
          <w:rFonts w:ascii="Tahoma" w:hAnsi="Tahoma" w:cs="Tahoma"/>
        </w:rPr>
        <w:tab/>
      </w:r>
      <w:r w:rsidR="00861485">
        <w:rPr>
          <w:rFonts w:ascii="Tahoma" w:hAnsi="Tahoma" w:cs="Tahoma"/>
        </w:rPr>
        <w:t xml:space="preserve">The CEC is unable to advise or opine on whether prevailing wage applies. </w:t>
      </w:r>
      <w:r w:rsidR="003D1887">
        <w:rPr>
          <w:rFonts w:ascii="Tahoma" w:hAnsi="Tahoma" w:cs="Tahoma"/>
        </w:rPr>
        <w:t>Recipients should assume that their projects are public works, and that prevailing wage requirements apply, unless they obtain a determination to the contrary from the Department of Industrial Relations or an appropriate court. Administrators are also responsible for ensuring their subcontractors and vendors comply with applicable prevailing wage requirements.</w:t>
      </w:r>
      <w:r w:rsidR="00951936">
        <w:rPr>
          <w:rFonts w:ascii="Tahoma" w:hAnsi="Tahoma" w:cs="Tahoma"/>
        </w:rPr>
        <w:t xml:space="preserve"> Vendors should consult their own legal counsel to discuss their prevailing wage responsibilities, if any.</w:t>
      </w:r>
    </w:p>
    <w:p w14:paraId="24D0C510" w14:textId="77777777" w:rsidR="0064447F" w:rsidRDefault="0064447F" w:rsidP="00A56C54">
      <w:pPr>
        <w:ind w:left="720" w:hanging="720"/>
        <w:rPr>
          <w:rFonts w:ascii="Tahoma" w:hAnsi="Tahoma" w:cs="Tahoma"/>
        </w:rPr>
      </w:pPr>
    </w:p>
    <w:p w14:paraId="6356BEA5" w14:textId="7654A816" w:rsidR="008041EB" w:rsidRPr="008041EB" w:rsidRDefault="008041EB" w:rsidP="008041EB">
      <w:pPr>
        <w:pStyle w:val="Heading1"/>
      </w:pPr>
      <w:r w:rsidRPr="008041EB">
        <w:t>Incentive Layering</w:t>
      </w:r>
    </w:p>
    <w:p w14:paraId="66AD00F2" w14:textId="093F1DD2" w:rsidR="008041EB" w:rsidRDefault="00571B61" w:rsidP="00A56C54">
      <w:pPr>
        <w:ind w:left="720" w:hanging="720"/>
        <w:rPr>
          <w:rFonts w:ascii="Tahoma" w:hAnsi="Tahoma" w:cs="Tahoma"/>
          <w:b/>
          <w:bCs/>
        </w:rPr>
      </w:pPr>
      <w:r>
        <w:rPr>
          <w:rFonts w:ascii="Tahoma" w:hAnsi="Tahoma" w:cs="Tahoma"/>
          <w:b/>
          <w:bCs/>
        </w:rPr>
        <w:t>Q</w:t>
      </w:r>
      <w:r w:rsidR="00903E29">
        <w:rPr>
          <w:rFonts w:ascii="Tahoma" w:hAnsi="Tahoma" w:cs="Tahoma"/>
          <w:b/>
          <w:bCs/>
        </w:rPr>
        <w:t>83</w:t>
      </w:r>
      <w:r w:rsidR="008041EB" w:rsidRPr="00A62AFD">
        <w:rPr>
          <w:rFonts w:ascii="Tahoma" w:hAnsi="Tahoma" w:cs="Tahoma"/>
          <w:b/>
          <w:bCs/>
        </w:rPr>
        <w:t>:</w:t>
      </w:r>
      <w:r w:rsidR="008041EB" w:rsidRPr="00A62AFD">
        <w:rPr>
          <w:rFonts w:ascii="Tahoma" w:hAnsi="Tahoma" w:cs="Tahoma"/>
          <w:b/>
          <w:bCs/>
        </w:rPr>
        <w:tab/>
      </w:r>
      <w:r w:rsidR="00A62AFD" w:rsidRPr="00A62AFD">
        <w:rPr>
          <w:rFonts w:ascii="Tahoma" w:hAnsi="Tahoma" w:cs="Tahoma"/>
          <w:b/>
          <w:bCs/>
        </w:rPr>
        <w:t>Can program recipients stack EBD incentives with other incentive programs, for example TECH Clean CA? If so, how can a recipient pursue that incentive layering?</w:t>
      </w:r>
    </w:p>
    <w:p w14:paraId="058B8AB0" w14:textId="0D454A91" w:rsidR="00571B61" w:rsidRDefault="00571B61" w:rsidP="00A56C54">
      <w:pPr>
        <w:ind w:left="720" w:hanging="720"/>
        <w:rPr>
          <w:rFonts w:ascii="Tahoma" w:hAnsi="Tahoma" w:cs="Tahoma"/>
        </w:rPr>
      </w:pPr>
      <w:r w:rsidRPr="00571B61">
        <w:rPr>
          <w:rFonts w:ascii="Tahoma" w:hAnsi="Tahoma" w:cs="Tahoma"/>
        </w:rPr>
        <w:t>A</w:t>
      </w:r>
      <w:r w:rsidR="00903E29">
        <w:rPr>
          <w:rFonts w:ascii="Tahoma" w:hAnsi="Tahoma" w:cs="Tahoma"/>
        </w:rPr>
        <w:t>83</w:t>
      </w:r>
      <w:r w:rsidRPr="00571B61">
        <w:rPr>
          <w:rFonts w:ascii="Tahoma" w:hAnsi="Tahoma" w:cs="Tahoma"/>
        </w:rPr>
        <w:t>:</w:t>
      </w:r>
      <w:r w:rsidRPr="00571B61">
        <w:rPr>
          <w:rFonts w:ascii="Tahoma" w:hAnsi="Tahoma" w:cs="Tahoma"/>
        </w:rPr>
        <w:tab/>
        <w:t>Yes, coordination and layering with other incentive programs is encouraged</w:t>
      </w:r>
      <w:r w:rsidR="008E055F">
        <w:rPr>
          <w:rFonts w:ascii="Tahoma" w:hAnsi="Tahoma" w:cs="Tahoma"/>
        </w:rPr>
        <w:t xml:space="preserve"> where allowed</w:t>
      </w:r>
      <w:r w:rsidRPr="00571B61">
        <w:rPr>
          <w:rFonts w:ascii="Tahoma" w:hAnsi="Tahoma" w:cs="Tahoma"/>
        </w:rPr>
        <w:t xml:space="preserve">. </w:t>
      </w:r>
      <w:r w:rsidR="003B34A0">
        <w:rPr>
          <w:rFonts w:ascii="Tahoma" w:hAnsi="Tahoma" w:cs="Tahoma"/>
        </w:rPr>
        <w:t>Please see Scope of Work Task 7 (Leveraging and Layering with Other Programs) for details.</w:t>
      </w:r>
    </w:p>
    <w:p w14:paraId="2731F427" w14:textId="2BD5A3C7" w:rsidR="00DA4449" w:rsidRDefault="00DA4449" w:rsidP="00A56C54">
      <w:pPr>
        <w:ind w:left="720" w:hanging="720"/>
        <w:rPr>
          <w:rFonts w:ascii="Tahoma" w:hAnsi="Tahoma" w:cs="Tahoma"/>
          <w:b/>
          <w:bCs/>
        </w:rPr>
      </w:pPr>
      <w:r w:rsidRPr="00DA4449">
        <w:rPr>
          <w:rFonts w:ascii="Tahoma" w:hAnsi="Tahoma" w:cs="Tahoma"/>
          <w:b/>
          <w:bCs/>
        </w:rPr>
        <w:t>Q</w:t>
      </w:r>
      <w:r w:rsidR="00903E29">
        <w:rPr>
          <w:rFonts w:ascii="Tahoma" w:hAnsi="Tahoma" w:cs="Tahoma"/>
          <w:b/>
          <w:bCs/>
        </w:rPr>
        <w:t>84</w:t>
      </w:r>
      <w:r w:rsidRPr="00DA4449">
        <w:rPr>
          <w:rFonts w:ascii="Tahoma" w:hAnsi="Tahoma" w:cs="Tahoma"/>
          <w:b/>
          <w:bCs/>
        </w:rPr>
        <w:t>:</w:t>
      </w:r>
      <w:r w:rsidRPr="00DA4449">
        <w:rPr>
          <w:rFonts w:ascii="Tahoma" w:hAnsi="Tahoma" w:cs="Tahoma"/>
          <w:b/>
          <w:bCs/>
        </w:rPr>
        <w:tab/>
        <w:t>Who is responsible to coordinate layering with other programs?</w:t>
      </w:r>
    </w:p>
    <w:p w14:paraId="3BD54C42" w14:textId="35827B7B" w:rsidR="00E532CA" w:rsidRDefault="00DA4449" w:rsidP="00F01578">
      <w:pPr>
        <w:ind w:left="720" w:hanging="720"/>
        <w:rPr>
          <w:rFonts w:ascii="Tahoma" w:hAnsi="Tahoma" w:cs="Tahoma"/>
        </w:rPr>
      </w:pPr>
      <w:r w:rsidRPr="00B91629">
        <w:rPr>
          <w:rFonts w:ascii="Tahoma" w:hAnsi="Tahoma" w:cs="Tahoma"/>
        </w:rPr>
        <w:t>A</w:t>
      </w:r>
      <w:r w:rsidR="00903E29">
        <w:rPr>
          <w:rFonts w:ascii="Tahoma" w:hAnsi="Tahoma" w:cs="Tahoma"/>
        </w:rPr>
        <w:t>84</w:t>
      </w:r>
      <w:r w:rsidRPr="00B91629">
        <w:rPr>
          <w:rFonts w:ascii="Tahoma" w:hAnsi="Tahoma" w:cs="Tahoma"/>
        </w:rPr>
        <w:t>:</w:t>
      </w:r>
      <w:r w:rsidRPr="00B91629">
        <w:rPr>
          <w:rFonts w:ascii="Tahoma" w:hAnsi="Tahoma" w:cs="Tahoma"/>
        </w:rPr>
        <w:tab/>
        <w:t xml:space="preserve">The Regional Administrators </w:t>
      </w:r>
      <w:r w:rsidR="00BF17B7">
        <w:rPr>
          <w:rFonts w:ascii="Tahoma" w:hAnsi="Tahoma" w:cs="Tahoma"/>
        </w:rPr>
        <w:t>will be</w:t>
      </w:r>
      <w:r w:rsidRPr="00B91629">
        <w:rPr>
          <w:rFonts w:ascii="Tahoma" w:hAnsi="Tahoma" w:cs="Tahoma"/>
        </w:rPr>
        <w:t xml:space="preserve"> responsible to coordinate incentive layering, with </w:t>
      </w:r>
      <w:r w:rsidR="00B91629" w:rsidRPr="00B91629">
        <w:rPr>
          <w:rFonts w:ascii="Tahoma" w:hAnsi="Tahoma" w:cs="Tahoma"/>
        </w:rPr>
        <w:t>CEC approval. Please see Scope of Work Task 7 (Leveraging and Layering with Other Programs) for details.</w:t>
      </w:r>
    </w:p>
    <w:p w14:paraId="309C4DC5" w14:textId="77777777" w:rsidR="000A04FE" w:rsidRDefault="000A04FE" w:rsidP="00F01578">
      <w:pPr>
        <w:ind w:left="720" w:hanging="720"/>
        <w:rPr>
          <w:rFonts w:ascii="Tahoma" w:hAnsi="Tahoma" w:cs="Tahoma"/>
        </w:rPr>
      </w:pPr>
    </w:p>
    <w:p w14:paraId="45F2E20A" w14:textId="0ABDE244" w:rsidR="000A04FE" w:rsidRDefault="000A04FE" w:rsidP="000A04FE">
      <w:pPr>
        <w:pStyle w:val="Heading1"/>
      </w:pPr>
      <w:r w:rsidRPr="000A04FE">
        <w:t>Other</w:t>
      </w:r>
      <w:r w:rsidR="004270AD">
        <w:t xml:space="preserve"> Topics</w:t>
      </w:r>
    </w:p>
    <w:p w14:paraId="23AC4AA3" w14:textId="307B86FE" w:rsidR="001F4D6B" w:rsidRPr="001F4D6B" w:rsidRDefault="00373485" w:rsidP="001F4D6B">
      <w:pPr>
        <w:ind w:left="720" w:hanging="720"/>
        <w:rPr>
          <w:rFonts w:ascii="Tahoma" w:hAnsi="Tahoma" w:cs="Tahoma"/>
          <w:b/>
          <w:bCs/>
        </w:rPr>
      </w:pPr>
      <w:r w:rsidRPr="001F4D6B">
        <w:rPr>
          <w:rFonts w:ascii="Tahoma" w:hAnsi="Tahoma" w:cs="Tahoma"/>
          <w:b/>
          <w:bCs/>
        </w:rPr>
        <w:t>Q</w:t>
      </w:r>
      <w:r w:rsidR="00D255B8">
        <w:rPr>
          <w:rFonts w:ascii="Tahoma" w:hAnsi="Tahoma" w:cs="Tahoma"/>
          <w:b/>
          <w:bCs/>
        </w:rPr>
        <w:t>85</w:t>
      </w:r>
      <w:r w:rsidR="001F4D6B" w:rsidRPr="001F4D6B">
        <w:rPr>
          <w:rFonts w:ascii="Tahoma" w:hAnsi="Tahoma" w:cs="Tahoma"/>
          <w:b/>
          <w:bCs/>
        </w:rPr>
        <w:t>:</w:t>
      </w:r>
      <w:r w:rsidR="001F4D6B" w:rsidRPr="001F4D6B">
        <w:rPr>
          <w:rFonts w:ascii="Tahoma" w:hAnsi="Tahoma" w:cs="Tahoma"/>
          <w:b/>
          <w:bCs/>
        </w:rPr>
        <w:tab/>
        <w:t>Does the CEC plan to procure a third party for the development of the central program database that is mentioned in Task 3 of the Scope of Work?</w:t>
      </w:r>
    </w:p>
    <w:p w14:paraId="1D8D37D5" w14:textId="44485CE9" w:rsidR="000A04FE" w:rsidRDefault="00D46930" w:rsidP="001F4D6B">
      <w:pPr>
        <w:rPr>
          <w:rFonts w:ascii="Tahoma" w:hAnsi="Tahoma" w:cs="Tahoma"/>
        </w:rPr>
      </w:pPr>
      <w:r>
        <w:rPr>
          <w:rFonts w:ascii="Tahoma" w:hAnsi="Tahoma" w:cs="Tahoma"/>
        </w:rPr>
        <w:t>A</w:t>
      </w:r>
      <w:r w:rsidR="00075CFC">
        <w:rPr>
          <w:rFonts w:ascii="Tahoma" w:hAnsi="Tahoma" w:cs="Tahoma"/>
        </w:rPr>
        <w:t>85</w:t>
      </w:r>
      <w:r>
        <w:rPr>
          <w:rFonts w:ascii="Tahoma" w:hAnsi="Tahoma" w:cs="Tahoma"/>
        </w:rPr>
        <w:t>:</w:t>
      </w:r>
      <w:r>
        <w:rPr>
          <w:rFonts w:ascii="Tahoma" w:hAnsi="Tahoma" w:cs="Tahoma"/>
        </w:rPr>
        <w:tab/>
        <w:t>The CEC plans to develop the central program database in-house.</w:t>
      </w:r>
    </w:p>
    <w:p w14:paraId="10E1DBB6" w14:textId="0CF2BD3D" w:rsidR="00327D43" w:rsidRPr="00327D43" w:rsidRDefault="00327D43" w:rsidP="001F4D6B">
      <w:pPr>
        <w:rPr>
          <w:rFonts w:ascii="Tahoma" w:hAnsi="Tahoma" w:cs="Tahoma"/>
          <w:b/>
          <w:bCs/>
        </w:rPr>
      </w:pPr>
      <w:r w:rsidRPr="00327D43">
        <w:rPr>
          <w:rFonts w:ascii="Tahoma" w:hAnsi="Tahoma" w:cs="Tahoma"/>
          <w:b/>
          <w:bCs/>
        </w:rPr>
        <w:t>Q</w:t>
      </w:r>
      <w:r w:rsidR="00075CFC">
        <w:rPr>
          <w:rFonts w:ascii="Tahoma" w:hAnsi="Tahoma" w:cs="Tahoma"/>
          <w:b/>
          <w:bCs/>
        </w:rPr>
        <w:t>86</w:t>
      </w:r>
      <w:r w:rsidRPr="00327D43">
        <w:rPr>
          <w:rFonts w:ascii="Tahoma" w:hAnsi="Tahoma" w:cs="Tahoma"/>
          <w:b/>
          <w:bCs/>
        </w:rPr>
        <w:t>:</w:t>
      </w:r>
      <w:r w:rsidRPr="00327D43">
        <w:rPr>
          <w:rFonts w:ascii="Tahoma" w:hAnsi="Tahoma" w:cs="Tahoma"/>
          <w:b/>
          <w:bCs/>
        </w:rPr>
        <w:tab/>
        <w:t>When do you anticipate DOE approval of the CEC’s HOMES application?</w:t>
      </w:r>
    </w:p>
    <w:p w14:paraId="2DEC478B" w14:textId="7EADFA80" w:rsidR="00E27EB9" w:rsidRDefault="00327D43" w:rsidP="00B56D46">
      <w:pPr>
        <w:ind w:left="720" w:hanging="720"/>
        <w:rPr>
          <w:rFonts w:ascii="Tahoma" w:hAnsi="Tahoma" w:cs="Tahoma"/>
        </w:rPr>
      </w:pPr>
      <w:r>
        <w:rPr>
          <w:rFonts w:ascii="Tahoma" w:hAnsi="Tahoma" w:cs="Tahoma"/>
        </w:rPr>
        <w:t>A</w:t>
      </w:r>
      <w:r w:rsidR="00075CFC">
        <w:rPr>
          <w:rFonts w:ascii="Tahoma" w:hAnsi="Tahoma" w:cs="Tahoma"/>
        </w:rPr>
        <w:t>86</w:t>
      </w:r>
      <w:r>
        <w:rPr>
          <w:rFonts w:ascii="Tahoma" w:hAnsi="Tahoma" w:cs="Tahoma"/>
        </w:rPr>
        <w:t>:</w:t>
      </w:r>
      <w:r>
        <w:rPr>
          <w:rFonts w:ascii="Tahoma" w:hAnsi="Tahoma" w:cs="Tahoma"/>
        </w:rPr>
        <w:tab/>
        <w:t xml:space="preserve">CEC plans to submit the HOMES application to DOE in </w:t>
      </w:r>
      <w:r w:rsidR="00AD4650">
        <w:rPr>
          <w:rFonts w:ascii="Tahoma" w:hAnsi="Tahoma" w:cs="Tahoma"/>
        </w:rPr>
        <w:t>summer</w:t>
      </w:r>
      <w:r>
        <w:rPr>
          <w:rFonts w:ascii="Tahoma" w:hAnsi="Tahoma" w:cs="Tahoma"/>
        </w:rPr>
        <w:t xml:space="preserve"> 2024. </w:t>
      </w:r>
      <w:r w:rsidR="00B56D46">
        <w:rPr>
          <w:rFonts w:ascii="Tahoma" w:hAnsi="Tahoma" w:cs="Tahoma"/>
        </w:rPr>
        <w:t xml:space="preserve">DOE review and approval </w:t>
      </w:r>
      <w:r w:rsidR="00AD4650">
        <w:rPr>
          <w:rFonts w:ascii="Tahoma" w:hAnsi="Tahoma" w:cs="Tahoma"/>
        </w:rPr>
        <w:t>is expected to take</w:t>
      </w:r>
      <w:r w:rsidR="00B56D46">
        <w:rPr>
          <w:rFonts w:ascii="Tahoma" w:hAnsi="Tahoma" w:cs="Tahoma"/>
        </w:rPr>
        <w:t xml:space="preserve"> several months.</w:t>
      </w:r>
    </w:p>
    <w:p w14:paraId="5E0220E3" w14:textId="12890A6C" w:rsidR="00327D43" w:rsidRDefault="00E27EB9" w:rsidP="00B56D46">
      <w:pPr>
        <w:ind w:left="720" w:hanging="720"/>
        <w:rPr>
          <w:rFonts w:ascii="Tahoma" w:hAnsi="Tahoma" w:cs="Tahoma"/>
          <w:b/>
          <w:bCs/>
        </w:rPr>
      </w:pPr>
      <w:r w:rsidRPr="00E27EB9">
        <w:rPr>
          <w:rFonts w:ascii="Tahoma" w:hAnsi="Tahoma" w:cs="Tahoma"/>
          <w:b/>
          <w:bCs/>
        </w:rPr>
        <w:t>Q</w:t>
      </w:r>
      <w:r w:rsidR="00075CFC">
        <w:rPr>
          <w:rFonts w:ascii="Tahoma" w:hAnsi="Tahoma" w:cs="Tahoma"/>
          <w:b/>
          <w:bCs/>
        </w:rPr>
        <w:t>87</w:t>
      </w:r>
      <w:r w:rsidRPr="00E27EB9">
        <w:rPr>
          <w:rFonts w:ascii="Tahoma" w:hAnsi="Tahoma" w:cs="Tahoma"/>
          <w:b/>
          <w:bCs/>
        </w:rPr>
        <w:t>:</w:t>
      </w:r>
      <w:r w:rsidRPr="00E27EB9">
        <w:rPr>
          <w:rFonts w:ascii="Tahoma" w:hAnsi="Tahoma" w:cs="Tahoma"/>
          <w:b/>
          <w:bCs/>
        </w:rPr>
        <w:tab/>
      </w:r>
      <w:r w:rsidR="00DF5BB6">
        <w:rPr>
          <w:rFonts w:ascii="Tahoma" w:hAnsi="Tahoma" w:cs="Tahoma"/>
          <w:b/>
          <w:bCs/>
        </w:rPr>
        <w:t xml:space="preserve">We have heard that existing </w:t>
      </w:r>
      <w:r w:rsidRPr="00E27EB9">
        <w:rPr>
          <w:rFonts w:ascii="Tahoma" w:hAnsi="Tahoma" w:cs="Tahoma"/>
          <w:b/>
          <w:bCs/>
        </w:rPr>
        <w:t>pilot projects are unlikely to get funding to expand their projects and reach additional households or communities</w:t>
      </w:r>
      <w:r w:rsidR="00DF5BB6">
        <w:rPr>
          <w:rFonts w:ascii="Tahoma" w:hAnsi="Tahoma" w:cs="Tahoma"/>
          <w:b/>
          <w:bCs/>
        </w:rPr>
        <w:t>. Is this true</w:t>
      </w:r>
      <w:r w:rsidRPr="00E27EB9">
        <w:rPr>
          <w:rFonts w:ascii="Tahoma" w:hAnsi="Tahoma" w:cs="Tahoma"/>
          <w:b/>
          <w:bCs/>
        </w:rPr>
        <w:t>?</w:t>
      </w:r>
      <w:r w:rsidR="00B56D46" w:rsidRPr="00E27EB9">
        <w:rPr>
          <w:rFonts w:ascii="Tahoma" w:hAnsi="Tahoma" w:cs="Tahoma"/>
          <w:b/>
          <w:bCs/>
        </w:rPr>
        <w:t xml:space="preserve"> </w:t>
      </w:r>
      <w:r w:rsidR="00C54DE1" w:rsidRPr="00E27EB9">
        <w:rPr>
          <w:rFonts w:ascii="Tahoma" w:hAnsi="Tahoma" w:cs="Tahoma"/>
          <w:b/>
          <w:bCs/>
        </w:rPr>
        <w:t xml:space="preserve"> </w:t>
      </w:r>
    </w:p>
    <w:p w14:paraId="052142CC" w14:textId="20ABBE65" w:rsidR="00E27EB9" w:rsidRDefault="00E27EB9" w:rsidP="00B56D46">
      <w:pPr>
        <w:ind w:left="720" w:hanging="720"/>
        <w:rPr>
          <w:rFonts w:ascii="Tahoma" w:hAnsi="Tahoma" w:cs="Tahoma"/>
        </w:rPr>
      </w:pPr>
      <w:r w:rsidRPr="00E27EB9">
        <w:rPr>
          <w:rFonts w:ascii="Tahoma" w:hAnsi="Tahoma" w:cs="Tahoma"/>
        </w:rPr>
        <w:t>A</w:t>
      </w:r>
      <w:r w:rsidR="00075CFC">
        <w:rPr>
          <w:rFonts w:ascii="Tahoma" w:hAnsi="Tahoma" w:cs="Tahoma"/>
        </w:rPr>
        <w:t>87</w:t>
      </w:r>
      <w:r w:rsidRPr="00E27EB9">
        <w:rPr>
          <w:rFonts w:ascii="Tahoma" w:hAnsi="Tahoma" w:cs="Tahoma"/>
        </w:rPr>
        <w:t>:</w:t>
      </w:r>
      <w:r w:rsidRPr="00E27EB9">
        <w:rPr>
          <w:rFonts w:ascii="Tahoma" w:hAnsi="Tahoma" w:cs="Tahoma"/>
        </w:rPr>
        <w:tab/>
      </w:r>
      <w:r w:rsidR="00C02A2F">
        <w:rPr>
          <w:rFonts w:ascii="Tahoma" w:hAnsi="Tahoma" w:cs="Tahoma"/>
        </w:rPr>
        <w:t xml:space="preserve">Applicants may propose to partner with existing direct install programs </w:t>
      </w:r>
      <w:r w:rsidR="00774489">
        <w:rPr>
          <w:rFonts w:ascii="Tahoma" w:hAnsi="Tahoma" w:cs="Tahoma"/>
        </w:rPr>
        <w:t xml:space="preserve">(including </w:t>
      </w:r>
      <w:r w:rsidR="0026690E">
        <w:rPr>
          <w:rFonts w:ascii="Tahoma" w:hAnsi="Tahoma" w:cs="Tahoma"/>
        </w:rPr>
        <w:t xml:space="preserve">existing </w:t>
      </w:r>
      <w:r w:rsidR="00774489">
        <w:rPr>
          <w:rFonts w:ascii="Tahoma" w:hAnsi="Tahoma" w:cs="Tahoma"/>
        </w:rPr>
        <w:t xml:space="preserve">pilot programs) </w:t>
      </w:r>
      <w:r w:rsidR="00C02A2F">
        <w:rPr>
          <w:rFonts w:ascii="Tahoma" w:hAnsi="Tahoma" w:cs="Tahoma"/>
        </w:rPr>
        <w:t xml:space="preserve">as part of one or more Initial Community Focus Areas. </w:t>
      </w:r>
      <w:r w:rsidR="00033182">
        <w:rPr>
          <w:rFonts w:ascii="Tahoma" w:hAnsi="Tahoma" w:cs="Tahoma"/>
        </w:rPr>
        <w:t>For example, s</w:t>
      </w:r>
      <w:r w:rsidR="00FD0BCE">
        <w:rPr>
          <w:rFonts w:ascii="Tahoma" w:hAnsi="Tahoma" w:cs="Tahoma"/>
        </w:rPr>
        <w:t>ee page 25 of the Solicitation Manual</w:t>
      </w:r>
      <w:r w:rsidR="00F34396">
        <w:rPr>
          <w:rFonts w:ascii="Tahoma" w:hAnsi="Tahoma" w:cs="Tahoma"/>
        </w:rPr>
        <w:t>:</w:t>
      </w:r>
      <w:r w:rsidR="00FD0BCE">
        <w:rPr>
          <w:rFonts w:ascii="Tahoma" w:hAnsi="Tahoma" w:cs="Tahoma"/>
        </w:rPr>
        <w:t xml:space="preserve"> “</w:t>
      </w:r>
      <w:r w:rsidR="00FD0BCE" w:rsidRPr="00FD0BCE">
        <w:rPr>
          <w:rFonts w:ascii="Tahoma" w:hAnsi="Tahoma" w:cs="Tahoma"/>
        </w:rPr>
        <w:t xml:space="preserve">Applicants are strongly encouraged to identify at least one </w:t>
      </w:r>
      <w:r w:rsidR="00F34396">
        <w:rPr>
          <w:rFonts w:ascii="Tahoma" w:hAnsi="Tahoma" w:cs="Tahoma"/>
        </w:rPr>
        <w:t>‘</w:t>
      </w:r>
      <w:r w:rsidR="00FD0BCE" w:rsidRPr="00FD0BCE">
        <w:rPr>
          <w:rFonts w:ascii="Tahoma" w:hAnsi="Tahoma" w:cs="Tahoma"/>
        </w:rPr>
        <w:t>rapid start</w:t>
      </w:r>
      <w:r w:rsidR="00F34396">
        <w:rPr>
          <w:rFonts w:ascii="Tahoma" w:hAnsi="Tahoma" w:cs="Tahoma"/>
        </w:rPr>
        <w:t>’</w:t>
      </w:r>
      <w:r w:rsidR="00FD0BCE" w:rsidRPr="00FD0BCE">
        <w:rPr>
          <w:rFonts w:ascii="Tahoma" w:hAnsi="Tahoma" w:cs="Tahoma"/>
        </w:rPr>
        <w:t xml:space="preserve"> Initial Community Focus Area that has the capacity to begin EBD-funded building retrofits within 6-9 months following the effective date of Agreement. This may be accomplished by partnering with an existing direct install program</w:t>
      </w:r>
      <w:r w:rsidR="005F64A2">
        <w:t xml:space="preserve">. </w:t>
      </w:r>
      <w:r w:rsidR="005F64A2" w:rsidRPr="005F64A2">
        <w:rPr>
          <w:rFonts w:ascii="Tahoma" w:hAnsi="Tahoma" w:cs="Tahoma"/>
        </w:rPr>
        <w:t>Rapid start communities are not exempt from EBD program requirements as described in the Guidelines, relevant aspects of the HOMES Program Guidance, and this Solicitation, including but not limited to workforce standards and tenant protections.</w:t>
      </w:r>
      <w:r w:rsidR="005F64A2">
        <w:rPr>
          <w:rFonts w:ascii="Tahoma" w:hAnsi="Tahoma" w:cs="Tahoma"/>
        </w:rPr>
        <w:t>”</w:t>
      </w:r>
    </w:p>
    <w:p w14:paraId="7D1376FD" w14:textId="1ED557FF" w:rsidR="00774489" w:rsidRPr="00553493" w:rsidRDefault="00774489" w:rsidP="00B56D46">
      <w:pPr>
        <w:ind w:left="720" w:hanging="720"/>
        <w:rPr>
          <w:rFonts w:ascii="Tahoma" w:hAnsi="Tahoma" w:cs="Tahoma"/>
          <w:b/>
          <w:bCs/>
        </w:rPr>
      </w:pPr>
      <w:r w:rsidRPr="00553493">
        <w:rPr>
          <w:rFonts w:ascii="Tahoma" w:hAnsi="Tahoma" w:cs="Tahoma"/>
          <w:b/>
          <w:bCs/>
        </w:rPr>
        <w:t>Q</w:t>
      </w:r>
      <w:r w:rsidR="0026690E">
        <w:rPr>
          <w:rFonts w:ascii="Tahoma" w:hAnsi="Tahoma" w:cs="Tahoma"/>
          <w:b/>
          <w:bCs/>
        </w:rPr>
        <w:t>88</w:t>
      </w:r>
      <w:r w:rsidRPr="00553493">
        <w:rPr>
          <w:rFonts w:ascii="Tahoma" w:hAnsi="Tahoma" w:cs="Tahoma"/>
          <w:b/>
          <w:bCs/>
        </w:rPr>
        <w:t>:</w:t>
      </w:r>
      <w:r w:rsidRPr="00553493">
        <w:rPr>
          <w:rFonts w:ascii="Tahoma" w:hAnsi="Tahoma" w:cs="Tahoma"/>
          <w:b/>
          <w:bCs/>
        </w:rPr>
        <w:tab/>
        <w:t>Will there be any similar funding opportunities in the future, like in 2025?</w:t>
      </w:r>
    </w:p>
    <w:p w14:paraId="336CA748" w14:textId="0849AC76" w:rsidR="00774489" w:rsidRDefault="00774489" w:rsidP="00B56D46">
      <w:pPr>
        <w:ind w:left="720" w:hanging="720"/>
        <w:rPr>
          <w:rFonts w:ascii="Tahoma" w:hAnsi="Tahoma" w:cs="Tahoma"/>
        </w:rPr>
      </w:pPr>
      <w:r>
        <w:rPr>
          <w:rFonts w:ascii="Tahoma" w:hAnsi="Tahoma" w:cs="Tahoma"/>
        </w:rPr>
        <w:t>A</w:t>
      </w:r>
      <w:r w:rsidR="0026690E">
        <w:rPr>
          <w:rFonts w:ascii="Tahoma" w:hAnsi="Tahoma" w:cs="Tahoma"/>
        </w:rPr>
        <w:t>88</w:t>
      </w:r>
      <w:r>
        <w:rPr>
          <w:rFonts w:ascii="Tahoma" w:hAnsi="Tahoma" w:cs="Tahoma"/>
        </w:rPr>
        <w:t>:</w:t>
      </w:r>
      <w:r>
        <w:rPr>
          <w:rFonts w:ascii="Tahoma" w:hAnsi="Tahoma" w:cs="Tahoma"/>
        </w:rPr>
        <w:tab/>
      </w:r>
      <w:r w:rsidR="00B03E5B">
        <w:rPr>
          <w:rFonts w:ascii="Tahoma" w:hAnsi="Tahoma" w:cs="Tahoma"/>
        </w:rPr>
        <w:t xml:space="preserve">This solicitation will select </w:t>
      </w:r>
      <w:r w:rsidR="00D2107B">
        <w:rPr>
          <w:rFonts w:ascii="Tahoma" w:hAnsi="Tahoma" w:cs="Tahoma"/>
        </w:rPr>
        <w:t>R</w:t>
      </w:r>
      <w:r w:rsidR="00B03E5B">
        <w:rPr>
          <w:rFonts w:ascii="Tahoma" w:hAnsi="Tahoma" w:cs="Tahoma"/>
        </w:rPr>
        <w:t xml:space="preserve">egional </w:t>
      </w:r>
      <w:r w:rsidR="00D2107B">
        <w:rPr>
          <w:rFonts w:ascii="Tahoma" w:hAnsi="Tahoma" w:cs="Tahoma"/>
        </w:rPr>
        <w:t>A</w:t>
      </w:r>
      <w:r w:rsidR="00B03E5B">
        <w:rPr>
          <w:rFonts w:ascii="Tahoma" w:hAnsi="Tahoma" w:cs="Tahoma"/>
        </w:rPr>
        <w:t xml:space="preserve">dministrators for the next </w:t>
      </w:r>
      <w:r w:rsidR="00BC41AA">
        <w:rPr>
          <w:rFonts w:ascii="Tahoma" w:hAnsi="Tahoma" w:cs="Tahoma"/>
        </w:rPr>
        <w:t xml:space="preserve">5 years of the program. We do not yet know whether funds will be allocated for similar opportunities in the future. That will depend </w:t>
      </w:r>
      <w:r w:rsidR="00553493">
        <w:rPr>
          <w:rFonts w:ascii="Tahoma" w:hAnsi="Tahoma" w:cs="Tahoma"/>
        </w:rPr>
        <w:t xml:space="preserve">on state </w:t>
      </w:r>
      <w:r w:rsidR="001202FB">
        <w:rPr>
          <w:rFonts w:ascii="Tahoma" w:hAnsi="Tahoma" w:cs="Tahoma"/>
        </w:rPr>
        <w:t>funding</w:t>
      </w:r>
      <w:r w:rsidR="00553493">
        <w:rPr>
          <w:rFonts w:ascii="Tahoma" w:hAnsi="Tahoma" w:cs="Tahoma"/>
        </w:rPr>
        <w:t xml:space="preserve"> for future fiscal years.</w:t>
      </w:r>
    </w:p>
    <w:p w14:paraId="7CB31D5F" w14:textId="34C645B9" w:rsidR="00812084" w:rsidRDefault="00812084" w:rsidP="00B56D46">
      <w:pPr>
        <w:ind w:left="720" w:hanging="720"/>
        <w:rPr>
          <w:rFonts w:ascii="Tahoma" w:hAnsi="Tahoma" w:cs="Tahoma"/>
          <w:b/>
          <w:bCs/>
        </w:rPr>
      </w:pPr>
      <w:r w:rsidRPr="00D53722">
        <w:rPr>
          <w:rFonts w:ascii="Tahoma" w:hAnsi="Tahoma" w:cs="Tahoma"/>
          <w:b/>
          <w:bCs/>
        </w:rPr>
        <w:t>Q</w:t>
      </w:r>
      <w:r w:rsidR="0026690E">
        <w:rPr>
          <w:rFonts w:ascii="Tahoma" w:hAnsi="Tahoma" w:cs="Tahoma"/>
          <w:b/>
          <w:bCs/>
        </w:rPr>
        <w:t>89</w:t>
      </w:r>
      <w:r w:rsidRPr="00D53722">
        <w:rPr>
          <w:rFonts w:ascii="Tahoma" w:hAnsi="Tahoma" w:cs="Tahoma"/>
          <w:b/>
          <w:bCs/>
        </w:rPr>
        <w:t>:</w:t>
      </w:r>
      <w:r w:rsidRPr="00D53722">
        <w:rPr>
          <w:rFonts w:ascii="Tahoma" w:hAnsi="Tahoma" w:cs="Tahoma"/>
          <w:b/>
          <w:bCs/>
        </w:rPr>
        <w:tab/>
      </w:r>
      <w:r w:rsidR="00D53722" w:rsidRPr="00D53722">
        <w:rPr>
          <w:rFonts w:ascii="Tahoma" w:hAnsi="Tahoma" w:cs="Tahoma"/>
          <w:b/>
          <w:bCs/>
        </w:rPr>
        <w:t xml:space="preserve">Did this solicitation </w:t>
      </w:r>
      <w:r w:rsidRPr="00D53722">
        <w:rPr>
          <w:rFonts w:ascii="Tahoma" w:hAnsi="Tahoma" w:cs="Tahoma"/>
          <w:b/>
          <w:bCs/>
        </w:rPr>
        <w:t xml:space="preserve">shift from a Request for Proposals </w:t>
      </w:r>
      <w:r w:rsidR="00D53722" w:rsidRPr="00D53722">
        <w:rPr>
          <w:rFonts w:ascii="Tahoma" w:hAnsi="Tahoma" w:cs="Tahoma"/>
          <w:b/>
          <w:bCs/>
        </w:rPr>
        <w:t xml:space="preserve">(RFP) </w:t>
      </w:r>
      <w:r w:rsidRPr="00D53722">
        <w:rPr>
          <w:rFonts w:ascii="Tahoma" w:hAnsi="Tahoma" w:cs="Tahoma"/>
          <w:b/>
          <w:bCs/>
        </w:rPr>
        <w:t>to a Grant Funding Opportunity</w:t>
      </w:r>
      <w:r w:rsidR="00D53722" w:rsidRPr="00D53722">
        <w:rPr>
          <w:rFonts w:ascii="Tahoma" w:hAnsi="Tahoma" w:cs="Tahoma"/>
          <w:b/>
          <w:bCs/>
        </w:rPr>
        <w:t xml:space="preserve"> (GFO)?</w:t>
      </w:r>
    </w:p>
    <w:p w14:paraId="718DC859" w14:textId="2CFF9497" w:rsidR="00D53722" w:rsidRDefault="00D53722" w:rsidP="00B56D46">
      <w:pPr>
        <w:ind w:left="720" w:hanging="720"/>
        <w:rPr>
          <w:rFonts w:ascii="Tahoma" w:hAnsi="Tahoma" w:cs="Tahoma"/>
        </w:rPr>
      </w:pPr>
      <w:r w:rsidRPr="00610411">
        <w:rPr>
          <w:rFonts w:ascii="Tahoma" w:hAnsi="Tahoma" w:cs="Tahoma"/>
        </w:rPr>
        <w:t>A</w:t>
      </w:r>
      <w:r w:rsidR="0026690E">
        <w:rPr>
          <w:rFonts w:ascii="Tahoma" w:hAnsi="Tahoma" w:cs="Tahoma"/>
        </w:rPr>
        <w:t>89</w:t>
      </w:r>
      <w:r w:rsidRPr="00610411">
        <w:rPr>
          <w:rFonts w:ascii="Tahoma" w:hAnsi="Tahoma" w:cs="Tahoma"/>
        </w:rPr>
        <w:t>:</w:t>
      </w:r>
      <w:r w:rsidRPr="00610411">
        <w:rPr>
          <w:rFonts w:ascii="Tahoma" w:hAnsi="Tahoma" w:cs="Tahoma"/>
        </w:rPr>
        <w:tab/>
        <w:t>No. Th</w:t>
      </w:r>
      <w:r w:rsidR="00610411" w:rsidRPr="00610411">
        <w:rPr>
          <w:rFonts w:ascii="Tahoma" w:hAnsi="Tahoma" w:cs="Tahoma"/>
        </w:rPr>
        <w:t>is solicitation was designed as a GFO from the start.</w:t>
      </w:r>
    </w:p>
    <w:p w14:paraId="4D9667BA" w14:textId="6C9CED88" w:rsidR="00610411" w:rsidRDefault="00610411" w:rsidP="00B56D46">
      <w:pPr>
        <w:ind w:left="720" w:hanging="720"/>
        <w:rPr>
          <w:rFonts w:ascii="Tahoma" w:hAnsi="Tahoma" w:cs="Tahoma"/>
          <w:b/>
          <w:bCs/>
        </w:rPr>
      </w:pPr>
      <w:r w:rsidRPr="001016D9">
        <w:rPr>
          <w:rFonts w:ascii="Tahoma" w:hAnsi="Tahoma" w:cs="Tahoma"/>
          <w:b/>
          <w:bCs/>
        </w:rPr>
        <w:t>Q</w:t>
      </w:r>
      <w:r w:rsidR="00117C6D">
        <w:rPr>
          <w:rFonts w:ascii="Tahoma" w:hAnsi="Tahoma" w:cs="Tahoma"/>
          <w:b/>
          <w:bCs/>
        </w:rPr>
        <w:t>90</w:t>
      </w:r>
      <w:r w:rsidRPr="001016D9">
        <w:rPr>
          <w:rFonts w:ascii="Tahoma" w:hAnsi="Tahoma" w:cs="Tahoma"/>
          <w:b/>
          <w:bCs/>
        </w:rPr>
        <w:t>:</w:t>
      </w:r>
      <w:r w:rsidRPr="001016D9">
        <w:rPr>
          <w:rFonts w:ascii="Tahoma" w:hAnsi="Tahoma" w:cs="Tahoma"/>
          <w:b/>
          <w:bCs/>
        </w:rPr>
        <w:tab/>
      </w:r>
      <w:r w:rsidR="0038726D" w:rsidRPr="001016D9">
        <w:rPr>
          <w:rFonts w:ascii="Tahoma" w:hAnsi="Tahoma" w:cs="Tahoma"/>
          <w:b/>
          <w:bCs/>
        </w:rPr>
        <w:t>Will this program require combustion safety testing</w:t>
      </w:r>
      <w:r w:rsidR="001016D9" w:rsidRPr="001016D9">
        <w:rPr>
          <w:rFonts w:ascii="Tahoma" w:hAnsi="Tahoma" w:cs="Tahoma"/>
          <w:b/>
          <w:bCs/>
        </w:rPr>
        <w:t xml:space="preserve">? </w:t>
      </w:r>
    </w:p>
    <w:p w14:paraId="5065C212" w14:textId="50E8CF57" w:rsidR="001016D9" w:rsidRDefault="001016D9" w:rsidP="00B56D46">
      <w:pPr>
        <w:ind w:left="720" w:hanging="720"/>
        <w:rPr>
          <w:rFonts w:ascii="Tahoma" w:hAnsi="Tahoma" w:cs="Tahoma"/>
        </w:rPr>
      </w:pPr>
      <w:r w:rsidRPr="00934510">
        <w:rPr>
          <w:rFonts w:ascii="Tahoma" w:hAnsi="Tahoma" w:cs="Tahoma"/>
        </w:rPr>
        <w:t>A</w:t>
      </w:r>
      <w:r w:rsidR="00117C6D">
        <w:rPr>
          <w:rFonts w:ascii="Tahoma" w:hAnsi="Tahoma" w:cs="Tahoma"/>
        </w:rPr>
        <w:t>90</w:t>
      </w:r>
      <w:r w:rsidRPr="00934510">
        <w:rPr>
          <w:rFonts w:ascii="Tahoma" w:hAnsi="Tahoma" w:cs="Tahoma"/>
        </w:rPr>
        <w:t>:</w:t>
      </w:r>
      <w:r>
        <w:rPr>
          <w:rFonts w:ascii="Tahoma" w:hAnsi="Tahoma" w:cs="Tahoma"/>
          <w:b/>
          <w:bCs/>
        </w:rPr>
        <w:tab/>
      </w:r>
      <w:r w:rsidR="00D93176" w:rsidRPr="00D93176">
        <w:rPr>
          <w:rFonts w:ascii="Tahoma" w:hAnsi="Tahoma" w:cs="Tahoma"/>
        </w:rPr>
        <w:t xml:space="preserve">As </w:t>
      </w:r>
      <w:r w:rsidR="0071372D">
        <w:rPr>
          <w:rFonts w:ascii="Tahoma" w:hAnsi="Tahoma" w:cs="Tahoma"/>
        </w:rPr>
        <w:t>described</w:t>
      </w:r>
      <w:r w:rsidR="00D93176" w:rsidRPr="00D93176">
        <w:rPr>
          <w:rFonts w:ascii="Tahoma" w:hAnsi="Tahoma" w:cs="Tahoma"/>
        </w:rPr>
        <w:t xml:space="preserve"> in </w:t>
      </w:r>
      <w:r w:rsidR="00BC38D5">
        <w:rPr>
          <w:rFonts w:ascii="Tahoma" w:hAnsi="Tahoma" w:cs="Tahoma"/>
        </w:rPr>
        <w:t>the</w:t>
      </w:r>
      <w:r w:rsidR="00D93176" w:rsidRPr="00D93176">
        <w:rPr>
          <w:rFonts w:ascii="Tahoma" w:hAnsi="Tahoma" w:cs="Tahoma"/>
        </w:rPr>
        <w:t xml:space="preserve"> Scope of Work,</w:t>
      </w:r>
      <w:r w:rsidR="00BC38D5">
        <w:rPr>
          <w:rFonts w:ascii="Tahoma" w:hAnsi="Tahoma" w:cs="Tahoma"/>
        </w:rPr>
        <w:t xml:space="preserve"> Task 5.13 (Quality Assurance and Quality Control),</w:t>
      </w:r>
      <w:r w:rsidR="00D93176" w:rsidRPr="00D93176">
        <w:rPr>
          <w:rFonts w:ascii="Tahoma" w:hAnsi="Tahoma" w:cs="Tahoma"/>
        </w:rPr>
        <w:t xml:space="preserve"> </w:t>
      </w:r>
      <w:r w:rsidR="002D6ADF">
        <w:rPr>
          <w:rFonts w:ascii="Tahoma" w:hAnsi="Tahoma" w:cs="Tahoma"/>
        </w:rPr>
        <w:t xml:space="preserve">Recipients will develop QA/QC procedures that meet </w:t>
      </w:r>
      <w:r w:rsidR="003A1E96">
        <w:rPr>
          <w:rFonts w:ascii="Tahoma" w:hAnsi="Tahoma" w:cs="Tahoma"/>
        </w:rPr>
        <w:t>Guidelines and HOMES</w:t>
      </w:r>
      <w:r w:rsidR="00601B1B">
        <w:rPr>
          <w:rFonts w:ascii="Tahoma" w:hAnsi="Tahoma" w:cs="Tahoma"/>
        </w:rPr>
        <w:t xml:space="preserve"> </w:t>
      </w:r>
      <w:r w:rsidR="001D464B">
        <w:rPr>
          <w:rFonts w:ascii="Tahoma" w:hAnsi="Tahoma" w:cs="Tahoma"/>
        </w:rPr>
        <w:t>program requirements</w:t>
      </w:r>
      <w:r w:rsidR="003A1E96">
        <w:rPr>
          <w:rFonts w:ascii="Tahoma" w:hAnsi="Tahoma" w:cs="Tahoma"/>
        </w:rPr>
        <w:t>.</w:t>
      </w:r>
      <w:r w:rsidR="001D464B">
        <w:rPr>
          <w:rFonts w:ascii="Tahoma" w:hAnsi="Tahoma" w:cs="Tahoma"/>
        </w:rPr>
        <w:t xml:space="preserve"> </w:t>
      </w:r>
      <w:r w:rsidR="00D93176" w:rsidRPr="00D93176">
        <w:rPr>
          <w:rFonts w:ascii="Tahoma" w:hAnsi="Tahoma" w:cs="Tahoma"/>
        </w:rPr>
        <w:t>HOMES Program Requirements &amp; Applications Instructions Section 3.2.</w:t>
      </w:r>
      <w:r w:rsidR="001D464B">
        <w:rPr>
          <w:rFonts w:ascii="Tahoma" w:hAnsi="Tahoma" w:cs="Tahoma"/>
        </w:rPr>
        <w:t>5</w:t>
      </w:r>
      <w:r w:rsidR="003A1E96">
        <w:rPr>
          <w:rFonts w:ascii="Tahoma" w:hAnsi="Tahoma" w:cs="Tahoma"/>
        </w:rPr>
        <w:t xml:space="preserve"> </w:t>
      </w:r>
      <w:r w:rsidR="00A94E4E">
        <w:rPr>
          <w:rFonts w:ascii="Tahoma" w:hAnsi="Tahoma" w:cs="Tahoma"/>
        </w:rPr>
        <w:t xml:space="preserve">includes a requirement </w:t>
      </w:r>
      <w:r w:rsidR="003A1E96">
        <w:rPr>
          <w:rFonts w:ascii="Tahoma" w:hAnsi="Tahoma" w:cs="Tahoma"/>
        </w:rPr>
        <w:t>for</w:t>
      </w:r>
      <w:r w:rsidR="00917436">
        <w:rPr>
          <w:rFonts w:ascii="Tahoma" w:hAnsi="Tahoma" w:cs="Tahoma"/>
        </w:rPr>
        <w:t xml:space="preserve"> combustion safety testing in homes where fossil fuel systems have been impacted by the installation.</w:t>
      </w:r>
      <w:r w:rsidR="00FA0706">
        <w:rPr>
          <w:rFonts w:ascii="Tahoma" w:hAnsi="Tahoma" w:cs="Tahoma"/>
        </w:rPr>
        <w:t xml:space="preserve"> </w:t>
      </w:r>
    </w:p>
    <w:p w14:paraId="4D8A813C" w14:textId="79DC53FC" w:rsidR="00FA0706" w:rsidRDefault="00FA0706" w:rsidP="00B56D46">
      <w:pPr>
        <w:ind w:left="720" w:hanging="720"/>
        <w:rPr>
          <w:rFonts w:ascii="Tahoma" w:hAnsi="Tahoma" w:cs="Tahoma"/>
          <w:b/>
          <w:bCs/>
        </w:rPr>
      </w:pPr>
      <w:r>
        <w:rPr>
          <w:rFonts w:ascii="Tahoma" w:hAnsi="Tahoma" w:cs="Tahoma"/>
          <w:b/>
          <w:bCs/>
        </w:rPr>
        <w:t>Q</w:t>
      </w:r>
      <w:r w:rsidR="00117C6D">
        <w:rPr>
          <w:rFonts w:ascii="Tahoma" w:hAnsi="Tahoma" w:cs="Tahoma"/>
          <w:b/>
          <w:bCs/>
        </w:rPr>
        <w:t>91</w:t>
      </w:r>
      <w:r w:rsidR="00934510">
        <w:rPr>
          <w:rFonts w:ascii="Tahoma" w:hAnsi="Tahoma" w:cs="Tahoma"/>
          <w:b/>
          <w:bCs/>
        </w:rPr>
        <w:t>:</w:t>
      </w:r>
      <w:r w:rsidR="00934510" w:rsidRPr="00934510">
        <w:rPr>
          <w:rFonts w:ascii="Tahoma" w:hAnsi="Tahoma" w:cs="Tahoma"/>
          <w:b/>
          <w:bCs/>
        </w:rPr>
        <w:tab/>
        <w:t>How many retrofit projects does the CEC expect the program to fund?</w:t>
      </w:r>
    </w:p>
    <w:p w14:paraId="6679DB1D" w14:textId="5C705819" w:rsidR="00934510" w:rsidRDefault="00934510" w:rsidP="00B56D46">
      <w:pPr>
        <w:ind w:left="720" w:hanging="720"/>
        <w:rPr>
          <w:rFonts w:ascii="Tahoma" w:hAnsi="Tahoma" w:cs="Tahoma"/>
        </w:rPr>
      </w:pPr>
      <w:r w:rsidRPr="00934510">
        <w:rPr>
          <w:rFonts w:ascii="Tahoma" w:hAnsi="Tahoma" w:cs="Tahoma"/>
        </w:rPr>
        <w:t>A</w:t>
      </w:r>
      <w:r w:rsidR="00117C6D">
        <w:rPr>
          <w:rFonts w:ascii="Tahoma" w:hAnsi="Tahoma" w:cs="Tahoma"/>
        </w:rPr>
        <w:t>91</w:t>
      </w:r>
      <w:r w:rsidRPr="00934510">
        <w:rPr>
          <w:rFonts w:ascii="Tahoma" w:hAnsi="Tahoma" w:cs="Tahoma"/>
        </w:rPr>
        <w:t>:</w:t>
      </w:r>
      <w:r w:rsidRPr="00934510">
        <w:rPr>
          <w:rFonts w:ascii="Tahoma" w:hAnsi="Tahoma" w:cs="Tahoma"/>
        </w:rPr>
        <w:tab/>
      </w:r>
      <w:r>
        <w:rPr>
          <w:rFonts w:ascii="Tahoma" w:hAnsi="Tahoma" w:cs="Tahoma"/>
        </w:rPr>
        <w:t>I</w:t>
      </w:r>
      <w:r w:rsidR="005F34E1">
        <w:rPr>
          <w:rFonts w:ascii="Tahoma" w:hAnsi="Tahoma" w:cs="Tahoma"/>
        </w:rPr>
        <w:t>t</w:t>
      </w:r>
      <w:r>
        <w:rPr>
          <w:rFonts w:ascii="Tahoma" w:hAnsi="Tahoma" w:cs="Tahoma"/>
        </w:rPr>
        <w:t xml:space="preserve"> is the responsibility of </w:t>
      </w:r>
      <w:r w:rsidR="005146F0">
        <w:rPr>
          <w:rFonts w:ascii="Tahoma" w:hAnsi="Tahoma" w:cs="Tahoma"/>
        </w:rPr>
        <w:t>a</w:t>
      </w:r>
      <w:r>
        <w:rPr>
          <w:rFonts w:ascii="Tahoma" w:hAnsi="Tahoma" w:cs="Tahoma"/>
        </w:rPr>
        <w:t xml:space="preserve">pplicants to </w:t>
      </w:r>
      <w:r w:rsidR="008B69CF">
        <w:rPr>
          <w:rFonts w:ascii="Tahoma" w:hAnsi="Tahoma" w:cs="Tahoma"/>
        </w:rPr>
        <w:t>propose</w:t>
      </w:r>
      <w:r w:rsidR="005F34E1">
        <w:rPr>
          <w:rFonts w:ascii="Tahoma" w:hAnsi="Tahoma" w:cs="Tahoma"/>
        </w:rPr>
        <w:t xml:space="preserve"> how to allocate funds</w:t>
      </w:r>
      <w:r w:rsidR="005D350B">
        <w:rPr>
          <w:rFonts w:ascii="Tahoma" w:hAnsi="Tahoma" w:cs="Tahoma"/>
        </w:rPr>
        <w:t xml:space="preserve">. In the Program Narrative (Schedule Narrative section), </w:t>
      </w:r>
      <w:r w:rsidR="005146F0">
        <w:rPr>
          <w:rFonts w:ascii="Tahoma" w:hAnsi="Tahoma" w:cs="Tahoma"/>
        </w:rPr>
        <w:t>a</w:t>
      </w:r>
      <w:r w:rsidR="005D350B">
        <w:rPr>
          <w:rFonts w:ascii="Tahoma" w:hAnsi="Tahoma" w:cs="Tahoma"/>
        </w:rPr>
        <w:t xml:space="preserve">pplicants are asked to project the </w:t>
      </w:r>
      <w:r w:rsidR="008B69CF" w:rsidRPr="008B69CF">
        <w:rPr>
          <w:rFonts w:ascii="Tahoma" w:hAnsi="Tahoma" w:cs="Tahoma"/>
        </w:rPr>
        <w:t>number of retrofitted homes within 6-12 months of program launch and per year thereafter</w:t>
      </w:r>
      <w:r w:rsidR="00786470">
        <w:rPr>
          <w:rFonts w:ascii="Tahoma" w:hAnsi="Tahoma" w:cs="Tahoma"/>
        </w:rPr>
        <w:t xml:space="preserve"> based on their</w:t>
      </w:r>
      <w:r w:rsidR="009E669C">
        <w:rPr>
          <w:rFonts w:ascii="Tahoma" w:hAnsi="Tahoma" w:cs="Tahoma"/>
        </w:rPr>
        <w:t xml:space="preserve"> proposal</w:t>
      </w:r>
      <w:r w:rsidR="008B69CF" w:rsidRPr="008B69CF">
        <w:rPr>
          <w:rFonts w:ascii="Tahoma" w:hAnsi="Tahoma" w:cs="Tahoma"/>
        </w:rPr>
        <w:t xml:space="preserve">. </w:t>
      </w:r>
      <w:r w:rsidR="005F34E1">
        <w:rPr>
          <w:rFonts w:ascii="Tahoma" w:hAnsi="Tahoma" w:cs="Tahoma"/>
        </w:rPr>
        <w:t xml:space="preserve"> </w:t>
      </w:r>
    </w:p>
    <w:p w14:paraId="5CEB3793" w14:textId="4A9C28E9" w:rsidR="008B2F79" w:rsidRPr="00566108" w:rsidRDefault="008B2F79" w:rsidP="00B56D46">
      <w:pPr>
        <w:ind w:left="720" w:hanging="720"/>
        <w:rPr>
          <w:rFonts w:ascii="Tahoma" w:hAnsi="Tahoma" w:cs="Tahoma"/>
          <w:b/>
          <w:bCs/>
        </w:rPr>
      </w:pPr>
      <w:r w:rsidRPr="00566108">
        <w:rPr>
          <w:rFonts w:ascii="Tahoma" w:hAnsi="Tahoma" w:cs="Tahoma"/>
          <w:b/>
          <w:bCs/>
        </w:rPr>
        <w:t>Q</w:t>
      </w:r>
      <w:r w:rsidR="00A16670">
        <w:rPr>
          <w:rFonts w:ascii="Tahoma" w:hAnsi="Tahoma" w:cs="Tahoma"/>
          <w:b/>
          <w:bCs/>
        </w:rPr>
        <w:t>92</w:t>
      </w:r>
      <w:r w:rsidRPr="00566108">
        <w:rPr>
          <w:rFonts w:ascii="Tahoma" w:hAnsi="Tahoma" w:cs="Tahoma"/>
          <w:b/>
          <w:bCs/>
        </w:rPr>
        <w:t>:</w:t>
      </w:r>
      <w:r w:rsidRPr="00566108">
        <w:rPr>
          <w:rFonts w:ascii="Tahoma" w:hAnsi="Tahoma" w:cs="Tahoma"/>
          <w:b/>
          <w:bCs/>
        </w:rPr>
        <w:tab/>
        <w:t>CEC included a preference to limit each household’s retrofit timeline to 30 days whenever possible. To what extent should this preference influence the measures selected for the property?</w:t>
      </w:r>
    </w:p>
    <w:p w14:paraId="501F8EBF" w14:textId="6DA3FF9D" w:rsidR="008B2F79" w:rsidRDefault="008B2F79" w:rsidP="00B56D46">
      <w:pPr>
        <w:ind w:left="720" w:hanging="720"/>
        <w:rPr>
          <w:rFonts w:ascii="Tahoma" w:hAnsi="Tahoma" w:cs="Tahoma"/>
        </w:rPr>
      </w:pPr>
      <w:r>
        <w:rPr>
          <w:rFonts w:ascii="Tahoma" w:hAnsi="Tahoma" w:cs="Tahoma"/>
        </w:rPr>
        <w:t>A</w:t>
      </w:r>
      <w:r w:rsidR="00A16670">
        <w:rPr>
          <w:rFonts w:ascii="Tahoma" w:hAnsi="Tahoma" w:cs="Tahoma"/>
        </w:rPr>
        <w:t>92</w:t>
      </w:r>
      <w:r>
        <w:rPr>
          <w:rFonts w:ascii="Tahoma" w:hAnsi="Tahoma" w:cs="Tahoma"/>
        </w:rPr>
        <w:t>:</w:t>
      </w:r>
      <w:r>
        <w:rPr>
          <w:rFonts w:ascii="Tahoma" w:hAnsi="Tahoma" w:cs="Tahoma"/>
        </w:rPr>
        <w:tab/>
      </w:r>
      <w:r w:rsidR="00587E4A">
        <w:rPr>
          <w:rFonts w:ascii="Tahoma" w:hAnsi="Tahoma" w:cs="Tahoma"/>
        </w:rPr>
        <w:t xml:space="preserve">The purpose of limiting project construction to 30 days </w:t>
      </w:r>
      <w:r w:rsidR="00F53616">
        <w:rPr>
          <w:rFonts w:ascii="Tahoma" w:hAnsi="Tahoma" w:cs="Tahoma"/>
        </w:rPr>
        <w:t>(per home or apartment unit)</w:t>
      </w:r>
      <w:r w:rsidR="004E60FA">
        <w:rPr>
          <w:rFonts w:ascii="Tahoma" w:hAnsi="Tahoma" w:cs="Tahoma"/>
        </w:rPr>
        <w:t>,</w:t>
      </w:r>
      <w:r w:rsidR="00F53616">
        <w:rPr>
          <w:rFonts w:ascii="Tahoma" w:hAnsi="Tahoma" w:cs="Tahoma"/>
        </w:rPr>
        <w:t xml:space="preserve"> </w:t>
      </w:r>
      <w:r w:rsidR="00587E4A">
        <w:rPr>
          <w:rFonts w:ascii="Tahoma" w:hAnsi="Tahoma" w:cs="Tahoma"/>
        </w:rPr>
        <w:t>whenever possible</w:t>
      </w:r>
      <w:r w:rsidR="004E60FA">
        <w:rPr>
          <w:rFonts w:ascii="Tahoma" w:hAnsi="Tahoma" w:cs="Tahoma"/>
        </w:rPr>
        <w:t>,</w:t>
      </w:r>
      <w:r w:rsidR="00587E4A">
        <w:rPr>
          <w:rFonts w:ascii="Tahoma" w:hAnsi="Tahoma" w:cs="Tahoma"/>
        </w:rPr>
        <w:t xml:space="preserve"> is to minimize disruption to the occupants of the home.</w:t>
      </w:r>
      <w:r w:rsidR="00637C7B">
        <w:rPr>
          <w:rFonts w:ascii="Tahoma" w:hAnsi="Tahoma" w:cs="Tahoma"/>
        </w:rPr>
        <w:t xml:space="preserve"> </w:t>
      </w:r>
      <w:r w:rsidR="00315EF0">
        <w:rPr>
          <w:rFonts w:ascii="Tahoma" w:hAnsi="Tahoma" w:cs="Tahoma"/>
        </w:rPr>
        <w:t xml:space="preserve">This is not a firm </w:t>
      </w:r>
      <w:r w:rsidR="00F53616">
        <w:rPr>
          <w:rFonts w:ascii="Tahoma" w:hAnsi="Tahoma" w:cs="Tahoma"/>
        </w:rPr>
        <w:t xml:space="preserve">requirement, since the CEC recognizes that some projects may require more time. Measures should be selected </w:t>
      </w:r>
      <w:r w:rsidR="003D468D">
        <w:rPr>
          <w:rFonts w:ascii="Tahoma" w:hAnsi="Tahoma" w:cs="Tahoma"/>
        </w:rPr>
        <w:t xml:space="preserve">based on the home assessment, standard packages of measures, and analysis of the home’s utility meter data, as described in </w:t>
      </w:r>
      <w:r w:rsidR="00C87EFB">
        <w:rPr>
          <w:rFonts w:ascii="Tahoma" w:hAnsi="Tahoma" w:cs="Tahoma"/>
        </w:rPr>
        <w:t>Scope of Work Task 5.10 (Home Assessments).</w:t>
      </w:r>
    </w:p>
    <w:p w14:paraId="40957752" w14:textId="08A65AED" w:rsidR="000B16B8" w:rsidRPr="00746A4D" w:rsidRDefault="000B16B8" w:rsidP="00B56D46">
      <w:pPr>
        <w:ind w:left="720" w:hanging="720"/>
        <w:rPr>
          <w:rFonts w:ascii="Tahoma" w:hAnsi="Tahoma" w:cs="Tahoma"/>
          <w:b/>
          <w:bCs/>
        </w:rPr>
      </w:pPr>
      <w:r w:rsidRPr="00746A4D">
        <w:rPr>
          <w:rFonts w:ascii="Tahoma" w:hAnsi="Tahoma" w:cs="Tahoma"/>
          <w:b/>
          <w:bCs/>
        </w:rPr>
        <w:t>Q</w:t>
      </w:r>
      <w:r w:rsidR="00A16670">
        <w:rPr>
          <w:rFonts w:ascii="Tahoma" w:hAnsi="Tahoma" w:cs="Tahoma"/>
          <w:b/>
          <w:bCs/>
        </w:rPr>
        <w:t>93</w:t>
      </w:r>
      <w:r w:rsidRPr="00746A4D">
        <w:rPr>
          <w:rFonts w:ascii="Tahoma" w:hAnsi="Tahoma" w:cs="Tahoma"/>
          <w:b/>
          <w:bCs/>
        </w:rPr>
        <w:t>:</w:t>
      </w:r>
      <w:r w:rsidRPr="00746A4D">
        <w:rPr>
          <w:rFonts w:ascii="Tahoma" w:hAnsi="Tahoma" w:cs="Tahoma"/>
          <w:b/>
          <w:bCs/>
        </w:rPr>
        <w:tab/>
        <w:t xml:space="preserve">Will Recipients have access to Recurve analysis or only raw meter data collected </w:t>
      </w:r>
      <w:r w:rsidR="00596405" w:rsidRPr="00746A4D">
        <w:rPr>
          <w:rFonts w:ascii="Tahoma" w:hAnsi="Tahoma" w:cs="Tahoma"/>
          <w:b/>
          <w:bCs/>
        </w:rPr>
        <w:t>within their screening tool? Is it only possible to get access by contracting directly with Recurve?</w:t>
      </w:r>
    </w:p>
    <w:p w14:paraId="5F560EA7" w14:textId="6E1F90CB" w:rsidR="00746A4D" w:rsidRDefault="00746A4D" w:rsidP="00B56D46">
      <w:pPr>
        <w:ind w:left="720" w:hanging="720"/>
        <w:rPr>
          <w:rFonts w:ascii="Tahoma" w:hAnsi="Tahoma" w:cs="Tahoma"/>
        </w:rPr>
      </w:pPr>
      <w:r>
        <w:rPr>
          <w:rFonts w:ascii="Tahoma" w:hAnsi="Tahoma" w:cs="Tahoma"/>
        </w:rPr>
        <w:t>A</w:t>
      </w:r>
      <w:r w:rsidR="00A16670">
        <w:rPr>
          <w:rFonts w:ascii="Tahoma" w:hAnsi="Tahoma" w:cs="Tahoma"/>
        </w:rPr>
        <w:t>93</w:t>
      </w:r>
      <w:r>
        <w:rPr>
          <w:rFonts w:ascii="Tahoma" w:hAnsi="Tahoma" w:cs="Tahoma"/>
        </w:rPr>
        <w:t>:</w:t>
      </w:r>
      <w:r>
        <w:rPr>
          <w:rFonts w:ascii="Tahoma" w:hAnsi="Tahoma" w:cs="Tahoma"/>
        </w:rPr>
        <w:tab/>
      </w:r>
      <w:r w:rsidR="004963C3">
        <w:rPr>
          <w:rFonts w:ascii="Tahoma" w:hAnsi="Tahoma" w:cs="Tahoma"/>
        </w:rPr>
        <w:t xml:space="preserve">As described in Scope of Work Task 5.6 (Household/Property Pre-Screening), the </w:t>
      </w:r>
      <w:r w:rsidRPr="00746A4D">
        <w:rPr>
          <w:rFonts w:ascii="Tahoma" w:hAnsi="Tahoma" w:cs="Tahoma"/>
        </w:rPr>
        <w:t>CEC has an existing contract with Recurve Analytics, Inc</w:t>
      </w:r>
      <w:r w:rsidR="004963C3">
        <w:rPr>
          <w:rFonts w:ascii="Tahoma" w:hAnsi="Tahoma" w:cs="Tahoma"/>
        </w:rPr>
        <w:t>.</w:t>
      </w:r>
      <w:r w:rsidRPr="00746A4D">
        <w:rPr>
          <w:rFonts w:ascii="Tahoma" w:hAnsi="Tahoma" w:cs="Tahoma"/>
        </w:rPr>
        <w:t xml:space="preserve"> to create a screening tool to identify households within each Community Focus Area that are the most </w:t>
      </w:r>
      <w:r w:rsidR="00AD6988">
        <w:rPr>
          <w:rFonts w:ascii="Tahoma" w:hAnsi="Tahoma" w:cs="Tahoma"/>
        </w:rPr>
        <w:t>likely to benefit from</w:t>
      </w:r>
      <w:r w:rsidRPr="00746A4D">
        <w:rPr>
          <w:rFonts w:ascii="Tahoma" w:hAnsi="Tahoma" w:cs="Tahoma"/>
        </w:rPr>
        <w:t xml:space="preserve"> the EBD Direct Install Program based on the lik</w:t>
      </w:r>
      <w:r w:rsidR="00042049">
        <w:rPr>
          <w:rFonts w:ascii="Tahoma" w:hAnsi="Tahoma" w:cs="Tahoma"/>
        </w:rPr>
        <w:t>e</w:t>
      </w:r>
      <w:r w:rsidRPr="00746A4D">
        <w:rPr>
          <w:rFonts w:ascii="Tahoma" w:hAnsi="Tahoma" w:cs="Tahoma"/>
        </w:rPr>
        <w:t>l</w:t>
      </w:r>
      <w:r w:rsidR="00042049">
        <w:rPr>
          <w:rFonts w:ascii="Tahoma" w:hAnsi="Tahoma" w:cs="Tahoma"/>
        </w:rPr>
        <w:t>i</w:t>
      </w:r>
      <w:r w:rsidRPr="00746A4D">
        <w:rPr>
          <w:rFonts w:ascii="Tahoma" w:hAnsi="Tahoma" w:cs="Tahoma"/>
        </w:rPr>
        <w:t xml:space="preserve">hood they will </w:t>
      </w:r>
      <w:r w:rsidR="00A61CBA">
        <w:rPr>
          <w:rFonts w:ascii="Tahoma" w:hAnsi="Tahoma" w:cs="Tahoma"/>
        </w:rPr>
        <w:t xml:space="preserve">reduce fossil fuel </w:t>
      </w:r>
      <w:r w:rsidR="00451A4B">
        <w:rPr>
          <w:rFonts w:ascii="Tahoma" w:hAnsi="Tahoma" w:cs="Tahoma"/>
        </w:rPr>
        <w:t xml:space="preserve">usage </w:t>
      </w:r>
      <w:r w:rsidR="00000046">
        <w:rPr>
          <w:rFonts w:ascii="Tahoma" w:hAnsi="Tahoma" w:cs="Tahoma"/>
        </w:rPr>
        <w:t xml:space="preserve">and </w:t>
      </w:r>
      <w:r w:rsidRPr="00746A4D">
        <w:rPr>
          <w:rFonts w:ascii="Tahoma" w:hAnsi="Tahoma" w:cs="Tahoma"/>
        </w:rPr>
        <w:t xml:space="preserve">experience utility bill savings from decarbonization and other criteria. Regional Administrators will </w:t>
      </w:r>
      <w:r w:rsidR="009914CA" w:rsidRPr="00746A4D">
        <w:rPr>
          <w:rFonts w:ascii="Tahoma" w:hAnsi="Tahoma" w:cs="Tahoma"/>
        </w:rPr>
        <w:t>receive</w:t>
      </w:r>
      <w:r w:rsidRPr="00746A4D">
        <w:rPr>
          <w:rFonts w:ascii="Tahoma" w:hAnsi="Tahoma" w:cs="Tahoma"/>
        </w:rPr>
        <w:t xml:space="preserve"> a list of pre-screened addresses in each Community Focus Area in the region from the CAM and/or </w:t>
      </w:r>
      <w:r w:rsidR="00A21D87">
        <w:rPr>
          <w:rFonts w:ascii="Tahoma" w:hAnsi="Tahoma" w:cs="Tahoma"/>
        </w:rPr>
        <w:t xml:space="preserve">from </w:t>
      </w:r>
      <w:r w:rsidRPr="00746A4D">
        <w:rPr>
          <w:rFonts w:ascii="Tahoma" w:hAnsi="Tahoma" w:cs="Tahoma"/>
        </w:rPr>
        <w:t>Recurve</w:t>
      </w:r>
      <w:r w:rsidR="00A21D87">
        <w:rPr>
          <w:rFonts w:ascii="Tahoma" w:hAnsi="Tahoma" w:cs="Tahoma"/>
        </w:rPr>
        <w:t xml:space="preserve"> Analytics</w:t>
      </w:r>
      <w:r w:rsidRPr="00746A4D">
        <w:rPr>
          <w:rFonts w:ascii="Tahoma" w:hAnsi="Tahoma" w:cs="Tahoma"/>
        </w:rPr>
        <w:t xml:space="preserve"> based on the EBD Screening Dashboard. Recipients may </w:t>
      </w:r>
      <w:r w:rsidR="0003236C">
        <w:rPr>
          <w:rFonts w:ascii="Tahoma" w:hAnsi="Tahoma" w:cs="Tahoma"/>
        </w:rPr>
        <w:t xml:space="preserve">also </w:t>
      </w:r>
      <w:r w:rsidRPr="00746A4D">
        <w:rPr>
          <w:rFonts w:ascii="Tahoma" w:hAnsi="Tahoma" w:cs="Tahoma"/>
        </w:rPr>
        <w:t>choose to contract directly with Recurve Analytics for independent access to the EBD screening dashboard</w:t>
      </w:r>
      <w:r w:rsidR="00C00CB7">
        <w:rPr>
          <w:rFonts w:ascii="Tahoma" w:hAnsi="Tahoma" w:cs="Tahoma"/>
        </w:rPr>
        <w:t xml:space="preserve"> for addresses that consent to sharing their utility meter data with the Recipient</w:t>
      </w:r>
      <w:r w:rsidR="00D859B6">
        <w:rPr>
          <w:rFonts w:ascii="Tahoma" w:hAnsi="Tahoma" w:cs="Tahoma"/>
        </w:rPr>
        <w:t>s</w:t>
      </w:r>
      <w:r w:rsidR="00C00CB7">
        <w:rPr>
          <w:rFonts w:ascii="Tahoma" w:hAnsi="Tahoma" w:cs="Tahoma"/>
        </w:rPr>
        <w:t>.</w:t>
      </w:r>
    </w:p>
    <w:p w14:paraId="5FEA2D58" w14:textId="46C02C7E" w:rsidR="009B7E9C" w:rsidRDefault="00C32C5B" w:rsidP="00B56D46">
      <w:pPr>
        <w:ind w:left="720" w:hanging="720"/>
        <w:rPr>
          <w:rFonts w:ascii="Tahoma" w:hAnsi="Tahoma" w:cs="Tahoma"/>
          <w:b/>
          <w:bCs/>
        </w:rPr>
      </w:pPr>
      <w:r>
        <w:rPr>
          <w:rFonts w:ascii="Tahoma" w:hAnsi="Tahoma" w:cs="Tahoma"/>
          <w:b/>
          <w:bCs/>
        </w:rPr>
        <w:t>Q</w:t>
      </w:r>
      <w:r w:rsidR="00152A4E">
        <w:rPr>
          <w:rFonts w:ascii="Tahoma" w:hAnsi="Tahoma" w:cs="Tahoma"/>
          <w:b/>
          <w:bCs/>
        </w:rPr>
        <w:t>94</w:t>
      </w:r>
      <w:r w:rsidR="009B7E9C" w:rsidRPr="006B061F">
        <w:rPr>
          <w:rFonts w:ascii="Tahoma" w:hAnsi="Tahoma" w:cs="Tahoma"/>
          <w:b/>
          <w:bCs/>
        </w:rPr>
        <w:t>:</w:t>
      </w:r>
      <w:r w:rsidR="009B7E9C" w:rsidRPr="006B061F">
        <w:rPr>
          <w:rFonts w:ascii="Tahoma" w:hAnsi="Tahoma" w:cs="Tahoma"/>
          <w:b/>
          <w:bCs/>
        </w:rPr>
        <w:tab/>
      </w:r>
      <w:r w:rsidR="006B061F" w:rsidRPr="006B061F">
        <w:rPr>
          <w:rFonts w:ascii="Tahoma" w:hAnsi="Tahoma" w:cs="Tahoma"/>
          <w:b/>
          <w:bCs/>
        </w:rPr>
        <w:t>It is unclear if CEC will provide awarding teams with grant funds for retrofit projects upfront. If so, we understand that there’s no need for financing “gap capital” as CEC provided funds will be made available to pay for labor, equipment, etc. Or will CEC only reimburse awardees for completed projects, resulting in project implementers needing to float the project capital to start and complete projects until CEC reimburses a verified project. Can CEC clarify how funds will be distributed, if implementers will have to float the project costs, and if there’s a need for private financing in this program?</w:t>
      </w:r>
    </w:p>
    <w:p w14:paraId="77BA206B" w14:textId="54B8EF45" w:rsidR="00C32C5B" w:rsidRDefault="00C32C5B" w:rsidP="00B56D46">
      <w:pPr>
        <w:ind w:left="720" w:hanging="720"/>
        <w:rPr>
          <w:rFonts w:ascii="Tahoma" w:hAnsi="Tahoma" w:cs="Tahoma"/>
        </w:rPr>
      </w:pPr>
      <w:r w:rsidRPr="00361037">
        <w:rPr>
          <w:rFonts w:ascii="Tahoma" w:hAnsi="Tahoma" w:cs="Tahoma"/>
        </w:rPr>
        <w:t>A</w:t>
      </w:r>
      <w:r w:rsidR="00152A4E">
        <w:rPr>
          <w:rFonts w:ascii="Tahoma" w:hAnsi="Tahoma" w:cs="Tahoma"/>
        </w:rPr>
        <w:t>94</w:t>
      </w:r>
      <w:r w:rsidRPr="00361037">
        <w:rPr>
          <w:rFonts w:ascii="Tahoma" w:hAnsi="Tahoma" w:cs="Tahoma"/>
        </w:rPr>
        <w:t>:</w:t>
      </w:r>
      <w:r w:rsidRPr="00361037">
        <w:rPr>
          <w:rFonts w:ascii="Tahoma" w:hAnsi="Tahoma" w:cs="Tahoma"/>
        </w:rPr>
        <w:tab/>
      </w:r>
      <w:r w:rsidR="00361037">
        <w:rPr>
          <w:rFonts w:ascii="Tahoma" w:hAnsi="Tahoma" w:cs="Tahoma"/>
        </w:rPr>
        <w:t xml:space="preserve">Program Administrators may request </w:t>
      </w:r>
      <w:r w:rsidR="00AC7EF2">
        <w:rPr>
          <w:rFonts w:ascii="Tahoma" w:hAnsi="Tahoma" w:cs="Tahoma"/>
        </w:rPr>
        <w:t xml:space="preserve">advance funds </w:t>
      </w:r>
      <w:r w:rsidR="00E9410B">
        <w:rPr>
          <w:rFonts w:ascii="Tahoma" w:hAnsi="Tahoma" w:cs="Tahoma"/>
        </w:rPr>
        <w:t>from the CEC to cover</w:t>
      </w:r>
      <w:r w:rsidR="00AC7EF2">
        <w:rPr>
          <w:rFonts w:ascii="Tahoma" w:hAnsi="Tahoma" w:cs="Tahoma"/>
        </w:rPr>
        <w:t xml:space="preserve"> </w:t>
      </w:r>
      <w:r w:rsidR="004902D1">
        <w:rPr>
          <w:rFonts w:ascii="Tahoma" w:hAnsi="Tahoma" w:cs="Tahoma"/>
        </w:rPr>
        <w:t>retrofit project costs</w:t>
      </w:r>
      <w:r w:rsidR="00AC7EF2">
        <w:rPr>
          <w:rFonts w:ascii="Tahoma" w:hAnsi="Tahoma" w:cs="Tahoma"/>
        </w:rPr>
        <w:t>.</w:t>
      </w:r>
      <w:r w:rsidR="009E7753">
        <w:rPr>
          <w:rFonts w:ascii="Tahoma" w:hAnsi="Tahoma" w:cs="Tahoma"/>
        </w:rPr>
        <w:t xml:space="preserve"> Please see the Terms and Conditions (Attachment 9)</w:t>
      </w:r>
      <w:r w:rsidR="00BA3249">
        <w:rPr>
          <w:rFonts w:ascii="Tahoma" w:hAnsi="Tahoma" w:cs="Tahoma"/>
        </w:rPr>
        <w:t>, Section 15, for more information</w:t>
      </w:r>
      <w:r w:rsidR="004902D1">
        <w:rPr>
          <w:rFonts w:ascii="Tahoma" w:hAnsi="Tahoma" w:cs="Tahoma"/>
        </w:rPr>
        <w:t xml:space="preserve"> about advance funds</w:t>
      </w:r>
      <w:r w:rsidR="00BA3249">
        <w:rPr>
          <w:rFonts w:ascii="Tahoma" w:hAnsi="Tahoma" w:cs="Tahoma"/>
        </w:rPr>
        <w:t>.</w:t>
      </w:r>
    </w:p>
    <w:p w14:paraId="55489E00" w14:textId="4336BE7F" w:rsidR="00B515DD" w:rsidRDefault="00B515DD" w:rsidP="00B56D46">
      <w:pPr>
        <w:ind w:left="720" w:hanging="720"/>
        <w:rPr>
          <w:rFonts w:ascii="Tahoma" w:hAnsi="Tahoma" w:cs="Tahoma"/>
          <w:b/>
          <w:bCs/>
        </w:rPr>
      </w:pPr>
      <w:r w:rsidRPr="0047053A">
        <w:rPr>
          <w:rFonts w:ascii="Tahoma" w:hAnsi="Tahoma" w:cs="Tahoma"/>
          <w:b/>
          <w:bCs/>
        </w:rPr>
        <w:t>Q</w:t>
      </w:r>
      <w:r w:rsidR="00152A4E">
        <w:rPr>
          <w:rFonts w:ascii="Tahoma" w:hAnsi="Tahoma" w:cs="Tahoma"/>
          <w:b/>
          <w:bCs/>
        </w:rPr>
        <w:t>95</w:t>
      </w:r>
      <w:r w:rsidRPr="0047053A">
        <w:rPr>
          <w:rFonts w:ascii="Tahoma" w:hAnsi="Tahoma" w:cs="Tahoma"/>
          <w:b/>
          <w:bCs/>
        </w:rPr>
        <w:t>:</w:t>
      </w:r>
      <w:r w:rsidRPr="0047053A">
        <w:rPr>
          <w:rFonts w:ascii="Tahoma" w:hAnsi="Tahoma" w:cs="Tahoma"/>
          <w:b/>
          <w:bCs/>
        </w:rPr>
        <w:tab/>
      </w:r>
      <w:r w:rsidR="0047053A" w:rsidRPr="0047053A">
        <w:rPr>
          <w:rFonts w:ascii="Tahoma" w:hAnsi="Tahoma" w:cs="Tahoma"/>
          <w:b/>
          <w:bCs/>
        </w:rPr>
        <w:t>Does the CEC anticipate needing a set-aside planning task for the multifamily sector (or other sectors with specific carveouts) similar to the manufactured ho</w:t>
      </w:r>
      <w:r w:rsidR="00B824B4">
        <w:rPr>
          <w:rFonts w:ascii="Tahoma" w:hAnsi="Tahoma" w:cs="Tahoma"/>
          <w:b/>
          <w:bCs/>
        </w:rPr>
        <w:t>using</w:t>
      </w:r>
      <w:r w:rsidR="0047053A" w:rsidRPr="0047053A">
        <w:rPr>
          <w:rFonts w:ascii="Tahoma" w:hAnsi="Tahoma" w:cs="Tahoma"/>
          <w:b/>
          <w:bCs/>
        </w:rPr>
        <w:t xml:space="preserve"> sector</w:t>
      </w:r>
      <w:r w:rsidR="001310FD">
        <w:rPr>
          <w:rFonts w:ascii="Tahoma" w:hAnsi="Tahoma" w:cs="Tahoma"/>
          <w:b/>
          <w:bCs/>
        </w:rPr>
        <w:t>?</w:t>
      </w:r>
    </w:p>
    <w:p w14:paraId="63E4304D" w14:textId="15242774" w:rsidR="001310FD" w:rsidRDefault="001310FD" w:rsidP="00B56D46">
      <w:pPr>
        <w:ind w:left="720" w:hanging="720"/>
        <w:rPr>
          <w:rFonts w:ascii="Tahoma" w:hAnsi="Tahoma" w:cs="Tahoma"/>
        </w:rPr>
      </w:pPr>
      <w:r w:rsidRPr="001310FD">
        <w:rPr>
          <w:rFonts w:ascii="Tahoma" w:hAnsi="Tahoma" w:cs="Tahoma"/>
        </w:rPr>
        <w:t>A</w:t>
      </w:r>
      <w:r w:rsidR="00152A4E">
        <w:rPr>
          <w:rFonts w:ascii="Tahoma" w:hAnsi="Tahoma" w:cs="Tahoma"/>
        </w:rPr>
        <w:t>95</w:t>
      </w:r>
      <w:r w:rsidRPr="001310FD">
        <w:rPr>
          <w:rFonts w:ascii="Tahoma" w:hAnsi="Tahoma" w:cs="Tahoma"/>
        </w:rPr>
        <w:t>:</w:t>
      </w:r>
      <w:r w:rsidRPr="001310FD">
        <w:rPr>
          <w:rFonts w:ascii="Tahoma" w:hAnsi="Tahoma" w:cs="Tahoma"/>
        </w:rPr>
        <w:tab/>
      </w:r>
      <w:r w:rsidR="00D62CB0">
        <w:rPr>
          <w:rFonts w:ascii="Tahoma" w:hAnsi="Tahoma" w:cs="Tahoma"/>
        </w:rPr>
        <w:t>Applicants are asked to describe their approach to serving multifamily housing</w:t>
      </w:r>
      <w:r w:rsidR="003C6DB1">
        <w:rPr>
          <w:rFonts w:ascii="Tahoma" w:hAnsi="Tahoma" w:cs="Tahoma"/>
        </w:rPr>
        <w:t xml:space="preserve"> in several parts of the Program Narrative</w:t>
      </w:r>
      <w:r w:rsidR="00D62CB0">
        <w:rPr>
          <w:rFonts w:ascii="Tahoma" w:hAnsi="Tahoma" w:cs="Tahoma"/>
        </w:rPr>
        <w:t xml:space="preserve">. </w:t>
      </w:r>
      <w:r w:rsidR="009579A5">
        <w:rPr>
          <w:rFonts w:ascii="Tahoma" w:hAnsi="Tahoma" w:cs="Tahoma"/>
        </w:rPr>
        <w:t xml:space="preserve">Once agreements are in place, </w:t>
      </w:r>
      <w:r w:rsidR="004A2FC4">
        <w:rPr>
          <w:rFonts w:ascii="Tahoma" w:hAnsi="Tahoma" w:cs="Tahoma"/>
        </w:rPr>
        <w:t xml:space="preserve">Recipients </w:t>
      </w:r>
      <w:r w:rsidR="00A262BF">
        <w:rPr>
          <w:rFonts w:ascii="Tahoma" w:hAnsi="Tahoma" w:cs="Tahoma"/>
        </w:rPr>
        <w:t xml:space="preserve">will be required to develop a Manufactured and Mobile Homes Service Plan (see Scope of Work Task </w:t>
      </w:r>
      <w:r w:rsidR="00BA6D85">
        <w:rPr>
          <w:rFonts w:ascii="Tahoma" w:hAnsi="Tahoma" w:cs="Tahoma"/>
        </w:rPr>
        <w:t>5.7</w:t>
      </w:r>
      <w:r w:rsidR="00FD5530">
        <w:rPr>
          <w:rFonts w:ascii="Tahoma" w:hAnsi="Tahoma" w:cs="Tahoma"/>
        </w:rPr>
        <w:t>). There</w:t>
      </w:r>
      <w:r w:rsidR="00BA6D85">
        <w:rPr>
          <w:rFonts w:ascii="Tahoma" w:hAnsi="Tahoma" w:cs="Tahoma"/>
        </w:rPr>
        <w:t xml:space="preserve"> is </w:t>
      </w:r>
      <w:r w:rsidR="003C6DB1">
        <w:rPr>
          <w:rFonts w:ascii="Tahoma" w:hAnsi="Tahoma" w:cs="Tahoma"/>
        </w:rPr>
        <w:t>not a standalone</w:t>
      </w:r>
      <w:r w:rsidR="00BA6D85">
        <w:rPr>
          <w:rFonts w:ascii="Tahoma" w:hAnsi="Tahoma" w:cs="Tahoma"/>
        </w:rPr>
        <w:t xml:space="preserve"> plan required for multifamily housing.</w:t>
      </w:r>
      <w:r w:rsidR="00BA1E28">
        <w:rPr>
          <w:rFonts w:ascii="Tahoma" w:hAnsi="Tahoma" w:cs="Tahoma"/>
        </w:rPr>
        <w:t xml:space="preserve"> Rather, multifamily housing is expected to be addressed </w:t>
      </w:r>
      <w:r w:rsidR="0004789D">
        <w:rPr>
          <w:rFonts w:ascii="Tahoma" w:hAnsi="Tahoma" w:cs="Tahoma"/>
        </w:rPr>
        <w:t>a</w:t>
      </w:r>
      <w:r w:rsidR="00B824B4">
        <w:rPr>
          <w:rFonts w:ascii="Tahoma" w:hAnsi="Tahoma" w:cs="Tahoma"/>
        </w:rPr>
        <w:t>long with single-family homes as part of all implementation tasks.</w:t>
      </w:r>
    </w:p>
    <w:p w14:paraId="552CC562" w14:textId="7962A460" w:rsidR="00B824B4" w:rsidRPr="00A97178" w:rsidRDefault="00B824B4" w:rsidP="004E536C">
      <w:pPr>
        <w:ind w:left="720" w:hanging="720"/>
        <w:rPr>
          <w:rFonts w:ascii="Tahoma" w:hAnsi="Tahoma" w:cs="Tahoma"/>
          <w:b/>
          <w:bCs/>
        </w:rPr>
      </w:pPr>
      <w:r w:rsidRPr="00A97178">
        <w:rPr>
          <w:rFonts w:ascii="Tahoma" w:hAnsi="Tahoma" w:cs="Tahoma"/>
          <w:b/>
          <w:bCs/>
        </w:rPr>
        <w:t>Q</w:t>
      </w:r>
      <w:r w:rsidR="00152A4E">
        <w:rPr>
          <w:rFonts w:ascii="Tahoma" w:hAnsi="Tahoma" w:cs="Tahoma"/>
          <w:b/>
          <w:bCs/>
        </w:rPr>
        <w:t>96</w:t>
      </w:r>
      <w:r w:rsidRPr="00A97178">
        <w:rPr>
          <w:rFonts w:ascii="Tahoma" w:hAnsi="Tahoma" w:cs="Tahoma"/>
          <w:b/>
          <w:bCs/>
        </w:rPr>
        <w:t>:</w:t>
      </w:r>
      <w:r w:rsidRPr="00A97178">
        <w:rPr>
          <w:rFonts w:ascii="Tahoma" w:hAnsi="Tahoma" w:cs="Tahoma"/>
          <w:b/>
          <w:bCs/>
        </w:rPr>
        <w:tab/>
      </w:r>
      <w:r w:rsidR="004E536C" w:rsidRPr="00A97178">
        <w:rPr>
          <w:rFonts w:ascii="Tahoma" w:hAnsi="Tahoma" w:cs="Tahoma"/>
          <w:b/>
          <w:bCs/>
        </w:rPr>
        <w:t>Regarding</w:t>
      </w:r>
      <w:r w:rsidR="00CC239B" w:rsidRPr="00A97178">
        <w:rPr>
          <w:rFonts w:ascii="Tahoma" w:hAnsi="Tahoma" w:cs="Tahoma"/>
          <w:b/>
          <w:bCs/>
        </w:rPr>
        <w:t xml:space="preserve"> Critical Project Review (</w:t>
      </w:r>
      <w:r w:rsidR="004E536C" w:rsidRPr="00A97178">
        <w:rPr>
          <w:rFonts w:ascii="Tahoma" w:hAnsi="Tahoma" w:cs="Tahoma"/>
          <w:b/>
          <w:bCs/>
        </w:rPr>
        <w:t>CPR</w:t>
      </w:r>
      <w:r w:rsidR="00CC239B" w:rsidRPr="00A97178">
        <w:rPr>
          <w:rFonts w:ascii="Tahoma" w:hAnsi="Tahoma" w:cs="Tahoma"/>
          <w:b/>
          <w:bCs/>
        </w:rPr>
        <w:t>)</w:t>
      </w:r>
      <w:r w:rsidR="004E536C" w:rsidRPr="00A97178">
        <w:rPr>
          <w:rFonts w:ascii="Tahoma" w:hAnsi="Tahoma" w:cs="Tahoma"/>
          <w:b/>
          <w:bCs/>
        </w:rPr>
        <w:t xml:space="preserve"> Meetings: is there an anticipated minimum interval for CPR meetings (for example, one a year)? </w:t>
      </w:r>
      <w:r w:rsidR="004E536C" w:rsidRPr="00B93775">
        <w:rPr>
          <w:rFonts w:ascii="Tahoma" w:hAnsi="Tahoma" w:cs="Tahoma"/>
          <w:b/>
          <w:bCs/>
        </w:rPr>
        <w:t>The Scope of Work states “Meeting costs will be borne by the Recipient and not billed to the CEC.” Can these costs be counted as match? Do these meeting costs include the preparation of any CPR report, travel-related costs (if applicable), and time in the meeting? If travel is required to go to Sacramento, would that also be able to be allocated as match?</w:t>
      </w:r>
    </w:p>
    <w:p w14:paraId="6239155C" w14:textId="09132AA3" w:rsidR="004E536C" w:rsidRDefault="004E536C" w:rsidP="004E536C">
      <w:pPr>
        <w:ind w:left="720" w:hanging="720"/>
        <w:rPr>
          <w:rFonts w:ascii="Tahoma" w:hAnsi="Tahoma" w:cs="Tahoma"/>
        </w:rPr>
      </w:pPr>
      <w:r>
        <w:rPr>
          <w:rFonts w:ascii="Tahoma" w:hAnsi="Tahoma" w:cs="Tahoma"/>
        </w:rPr>
        <w:t>A</w:t>
      </w:r>
      <w:r w:rsidR="000E137F">
        <w:rPr>
          <w:rFonts w:ascii="Tahoma" w:hAnsi="Tahoma" w:cs="Tahoma"/>
        </w:rPr>
        <w:t>96</w:t>
      </w:r>
      <w:r>
        <w:rPr>
          <w:rFonts w:ascii="Tahoma" w:hAnsi="Tahoma" w:cs="Tahoma"/>
        </w:rPr>
        <w:t>:</w:t>
      </w:r>
      <w:r>
        <w:tab/>
      </w:r>
      <w:r w:rsidR="00973D29">
        <w:rPr>
          <w:rFonts w:ascii="Tahoma" w:hAnsi="Tahoma" w:cs="Tahoma"/>
        </w:rPr>
        <w:t>The C</w:t>
      </w:r>
      <w:r w:rsidR="004713E5">
        <w:rPr>
          <w:rFonts w:ascii="Tahoma" w:hAnsi="Tahoma" w:cs="Tahoma"/>
        </w:rPr>
        <w:t xml:space="preserve">AM will only schedule CPR meetings </w:t>
      </w:r>
      <w:r w:rsidR="00B97B47">
        <w:rPr>
          <w:rFonts w:ascii="Tahoma" w:hAnsi="Tahoma" w:cs="Tahoma"/>
        </w:rPr>
        <w:t xml:space="preserve">as needed to address </w:t>
      </w:r>
      <w:r w:rsidR="00A97178">
        <w:rPr>
          <w:rFonts w:ascii="Tahoma" w:hAnsi="Tahoma" w:cs="Tahoma"/>
        </w:rPr>
        <w:t>concerns regarding the Recipient’s performance</w:t>
      </w:r>
      <w:r w:rsidR="00CF5E66">
        <w:rPr>
          <w:rFonts w:ascii="Tahoma" w:hAnsi="Tahoma" w:cs="Tahoma"/>
        </w:rPr>
        <w:t xml:space="preserve"> under the Agreement</w:t>
      </w:r>
      <w:r w:rsidR="00A97178">
        <w:rPr>
          <w:rFonts w:ascii="Tahoma" w:hAnsi="Tahoma" w:cs="Tahoma"/>
        </w:rPr>
        <w:t>.</w:t>
      </w:r>
      <w:r w:rsidR="00DD12F6">
        <w:rPr>
          <w:rFonts w:ascii="Tahoma" w:hAnsi="Tahoma" w:cs="Tahoma"/>
        </w:rPr>
        <w:t xml:space="preserve"> Yes, the costs of CPR meetings and associated travel, if needed, may be allocated as match. </w:t>
      </w:r>
    </w:p>
    <w:p w14:paraId="77841CE5" w14:textId="36E88CB1" w:rsidR="00510E32" w:rsidRPr="009B46D4" w:rsidRDefault="00510E32" w:rsidP="004E536C">
      <w:pPr>
        <w:ind w:left="720" w:hanging="720"/>
        <w:rPr>
          <w:rFonts w:ascii="Tahoma" w:hAnsi="Tahoma" w:cs="Tahoma"/>
          <w:b/>
          <w:bCs/>
        </w:rPr>
      </w:pPr>
      <w:r w:rsidRPr="009B46D4">
        <w:rPr>
          <w:rFonts w:ascii="Tahoma" w:hAnsi="Tahoma" w:cs="Tahoma"/>
          <w:b/>
          <w:bCs/>
        </w:rPr>
        <w:t>Q</w:t>
      </w:r>
      <w:r w:rsidR="00FA76F7">
        <w:rPr>
          <w:rFonts w:ascii="Tahoma" w:hAnsi="Tahoma" w:cs="Tahoma"/>
          <w:b/>
          <w:bCs/>
        </w:rPr>
        <w:t>97</w:t>
      </w:r>
      <w:r w:rsidRPr="009B46D4">
        <w:rPr>
          <w:rFonts w:ascii="Tahoma" w:hAnsi="Tahoma" w:cs="Tahoma"/>
          <w:b/>
          <w:bCs/>
        </w:rPr>
        <w:t>:</w:t>
      </w:r>
      <w:r w:rsidRPr="009B46D4">
        <w:rPr>
          <w:rFonts w:ascii="Tahoma" w:hAnsi="Tahoma" w:cs="Tahoma"/>
          <w:b/>
          <w:bCs/>
        </w:rPr>
        <w:tab/>
        <w:t xml:space="preserve">Does the 10% retention apply only to </w:t>
      </w:r>
      <w:r w:rsidR="00477FFE" w:rsidRPr="009B46D4">
        <w:rPr>
          <w:rFonts w:ascii="Tahoma" w:hAnsi="Tahoma" w:cs="Tahoma"/>
          <w:b/>
          <w:bCs/>
        </w:rPr>
        <w:t>administrative costs, or to all cost categories?</w:t>
      </w:r>
    </w:p>
    <w:p w14:paraId="215EA6B0" w14:textId="283EF671" w:rsidR="00477FFE" w:rsidRDefault="00477FFE" w:rsidP="004E536C">
      <w:pPr>
        <w:ind w:left="720" w:hanging="720"/>
        <w:rPr>
          <w:rFonts w:ascii="Tahoma" w:hAnsi="Tahoma" w:cs="Tahoma"/>
        </w:rPr>
      </w:pPr>
      <w:r>
        <w:rPr>
          <w:rFonts w:ascii="Tahoma" w:hAnsi="Tahoma" w:cs="Tahoma"/>
        </w:rPr>
        <w:t>A</w:t>
      </w:r>
      <w:r w:rsidR="00FA76F7">
        <w:rPr>
          <w:rFonts w:ascii="Tahoma" w:hAnsi="Tahoma" w:cs="Tahoma"/>
        </w:rPr>
        <w:t>97</w:t>
      </w:r>
      <w:r>
        <w:rPr>
          <w:rFonts w:ascii="Tahoma" w:hAnsi="Tahoma" w:cs="Tahoma"/>
        </w:rPr>
        <w:t>:</w:t>
      </w:r>
      <w:r>
        <w:rPr>
          <w:rFonts w:ascii="Tahoma" w:hAnsi="Tahoma" w:cs="Tahoma"/>
        </w:rPr>
        <w:tab/>
        <w:t>The 10</w:t>
      </w:r>
      <w:r w:rsidR="00855AC0">
        <w:rPr>
          <w:rFonts w:ascii="Tahoma" w:hAnsi="Tahoma" w:cs="Tahoma"/>
        </w:rPr>
        <w:t xml:space="preserve"> percent</w:t>
      </w:r>
      <w:r>
        <w:rPr>
          <w:rFonts w:ascii="Tahoma" w:hAnsi="Tahoma" w:cs="Tahoma"/>
        </w:rPr>
        <w:t xml:space="preserve"> retention applies only to administrative costs. Please see the Terms and Conditions (Attachment 9), </w:t>
      </w:r>
      <w:r w:rsidR="00F1552F">
        <w:rPr>
          <w:rFonts w:ascii="Tahoma" w:hAnsi="Tahoma" w:cs="Tahoma"/>
        </w:rPr>
        <w:t xml:space="preserve">page 17-18, for </w:t>
      </w:r>
      <w:r w:rsidR="009B46D4">
        <w:rPr>
          <w:rFonts w:ascii="Tahoma" w:hAnsi="Tahoma" w:cs="Tahoma"/>
        </w:rPr>
        <w:t>more information.</w:t>
      </w:r>
    </w:p>
    <w:p w14:paraId="354F5C42" w14:textId="599AC942" w:rsidR="00FE655C" w:rsidRPr="00DC0647" w:rsidRDefault="00635065" w:rsidP="004E536C">
      <w:pPr>
        <w:ind w:left="720" w:hanging="720"/>
        <w:rPr>
          <w:rFonts w:ascii="Tahoma" w:hAnsi="Tahoma" w:cs="Tahoma"/>
          <w:b/>
          <w:bCs/>
        </w:rPr>
      </w:pPr>
      <w:r w:rsidRPr="00DC0647">
        <w:rPr>
          <w:rFonts w:ascii="Tahoma" w:hAnsi="Tahoma" w:cs="Tahoma"/>
          <w:b/>
          <w:bCs/>
        </w:rPr>
        <w:t>Q</w:t>
      </w:r>
      <w:r w:rsidR="00FE655C" w:rsidRPr="00DC0647">
        <w:rPr>
          <w:rFonts w:ascii="Tahoma" w:hAnsi="Tahoma" w:cs="Tahoma"/>
          <w:b/>
          <w:bCs/>
        </w:rPr>
        <w:t>98:</w:t>
      </w:r>
      <w:r w:rsidR="00FE655C" w:rsidRPr="00DC0647">
        <w:rPr>
          <w:rFonts w:ascii="Tahoma" w:hAnsi="Tahoma" w:cs="Tahoma"/>
          <w:b/>
          <w:bCs/>
        </w:rPr>
        <w:tab/>
        <w:t xml:space="preserve">Why does </w:t>
      </w:r>
      <w:r w:rsidRPr="00DC0647">
        <w:rPr>
          <w:rFonts w:ascii="Tahoma" w:hAnsi="Tahoma" w:cs="Tahoma"/>
          <w:b/>
          <w:bCs/>
        </w:rPr>
        <w:t>this program matter?</w:t>
      </w:r>
    </w:p>
    <w:p w14:paraId="79672723" w14:textId="5BD98322" w:rsidR="00635065" w:rsidRDefault="00635065" w:rsidP="004E536C">
      <w:pPr>
        <w:ind w:left="720" w:hanging="720"/>
        <w:rPr>
          <w:rFonts w:ascii="Tahoma" w:hAnsi="Tahoma" w:cs="Tahoma"/>
        </w:rPr>
      </w:pPr>
      <w:r>
        <w:rPr>
          <w:rFonts w:ascii="Tahoma" w:hAnsi="Tahoma" w:cs="Tahoma"/>
        </w:rPr>
        <w:t>A98:</w:t>
      </w:r>
      <w:r>
        <w:tab/>
      </w:r>
      <w:r>
        <w:rPr>
          <w:rFonts w:ascii="Tahoma" w:hAnsi="Tahoma" w:cs="Tahoma"/>
        </w:rPr>
        <w:t xml:space="preserve">Please see </w:t>
      </w:r>
      <w:r w:rsidR="0028328E">
        <w:rPr>
          <w:rFonts w:ascii="Tahoma" w:hAnsi="Tahoma" w:cs="Tahoma"/>
        </w:rPr>
        <w:t xml:space="preserve">Chapter 1 of </w:t>
      </w:r>
      <w:r>
        <w:rPr>
          <w:rFonts w:ascii="Tahoma" w:hAnsi="Tahoma" w:cs="Tahoma"/>
        </w:rPr>
        <w:t xml:space="preserve">the </w:t>
      </w:r>
      <w:r w:rsidR="0028328E">
        <w:rPr>
          <w:rFonts w:ascii="Tahoma" w:hAnsi="Tahoma" w:cs="Tahoma"/>
        </w:rPr>
        <w:t xml:space="preserve">Program </w:t>
      </w:r>
      <w:r w:rsidR="00804D41">
        <w:rPr>
          <w:rFonts w:ascii="Tahoma" w:hAnsi="Tahoma" w:cs="Tahoma"/>
        </w:rPr>
        <w:t xml:space="preserve">Guidelines for </w:t>
      </w:r>
      <w:r w:rsidR="001A7F05">
        <w:rPr>
          <w:rFonts w:ascii="Tahoma" w:hAnsi="Tahoma" w:cs="Tahoma"/>
        </w:rPr>
        <w:t xml:space="preserve">information about the </w:t>
      </w:r>
      <w:r w:rsidR="00C47782">
        <w:rPr>
          <w:rFonts w:ascii="Tahoma" w:hAnsi="Tahoma" w:cs="Tahoma"/>
        </w:rPr>
        <w:t xml:space="preserve">significance, background, and goals of the EBD </w:t>
      </w:r>
      <w:r w:rsidR="002D6492">
        <w:rPr>
          <w:rFonts w:ascii="Tahoma" w:hAnsi="Tahoma" w:cs="Tahoma"/>
        </w:rPr>
        <w:t>program.</w:t>
      </w:r>
    </w:p>
    <w:p w14:paraId="51FAD49A" w14:textId="36DF823A" w:rsidR="00357A60" w:rsidRPr="007801F3" w:rsidRDefault="00357A60" w:rsidP="004E536C">
      <w:pPr>
        <w:ind w:left="720" w:hanging="720"/>
        <w:rPr>
          <w:rFonts w:ascii="Tahoma" w:hAnsi="Tahoma" w:cs="Tahoma"/>
          <w:b/>
          <w:bCs/>
        </w:rPr>
      </w:pPr>
      <w:r w:rsidRPr="007801F3">
        <w:rPr>
          <w:rFonts w:ascii="Tahoma" w:hAnsi="Tahoma" w:cs="Tahoma"/>
          <w:b/>
          <w:bCs/>
        </w:rPr>
        <w:t>Q99:</w:t>
      </w:r>
      <w:r w:rsidRPr="007801F3">
        <w:rPr>
          <w:rFonts w:ascii="Tahoma" w:hAnsi="Tahoma" w:cs="Tahoma"/>
          <w:b/>
          <w:bCs/>
        </w:rPr>
        <w:tab/>
      </w:r>
      <w:r w:rsidR="00791B89" w:rsidRPr="007801F3">
        <w:rPr>
          <w:rFonts w:ascii="Tahoma" w:hAnsi="Tahoma" w:cs="Tahoma"/>
          <w:b/>
          <w:bCs/>
        </w:rPr>
        <w:t>W</w:t>
      </w:r>
      <w:r w:rsidR="00487635" w:rsidRPr="007801F3">
        <w:rPr>
          <w:rFonts w:ascii="Tahoma" w:hAnsi="Tahoma" w:cs="Tahoma"/>
          <w:b/>
          <w:bCs/>
        </w:rPr>
        <w:t xml:space="preserve">hat is the overall </w:t>
      </w:r>
      <w:r w:rsidR="00DB7FA5" w:rsidRPr="007801F3">
        <w:rPr>
          <w:rFonts w:ascii="Tahoma" w:hAnsi="Tahoma" w:cs="Tahoma"/>
          <w:b/>
          <w:bCs/>
        </w:rPr>
        <w:t>status of the EBD program (not just the EBD Direct Install Program)?</w:t>
      </w:r>
    </w:p>
    <w:p w14:paraId="09E282CF" w14:textId="618BA11A" w:rsidR="003C6DB1" w:rsidRDefault="00DB7FA5" w:rsidP="008D075C">
      <w:pPr>
        <w:ind w:left="720" w:hanging="720"/>
        <w:rPr>
          <w:rFonts w:ascii="Tahoma" w:hAnsi="Tahoma" w:cs="Tahoma"/>
        </w:rPr>
      </w:pPr>
      <w:r>
        <w:rPr>
          <w:rFonts w:ascii="Tahoma" w:hAnsi="Tahoma" w:cs="Tahoma"/>
        </w:rPr>
        <w:t>A99:</w:t>
      </w:r>
      <w:r>
        <w:rPr>
          <w:rFonts w:ascii="Tahoma" w:hAnsi="Tahoma" w:cs="Tahoma"/>
        </w:rPr>
        <w:tab/>
        <w:t xml:space="preserve">The EBD program will include three </w:t>
      </w:r>
      <w:r w:rsidR="00EA692C">
        <w:rPr>
          <w:rFonts w:ascii="Tahoma" w:hAnsi="Tahoma" w:cs="Tahoma"/>
        </w:rPr>
        <w:t xml:space="preserve">primary </w:t>
      </w:r>
      <w:r>
        <w:rPr>
          <w:rFonts w:ascii="Tahoma" w:hAnsi="Tahoma" w:cs="Tahoma"/>
        </w:rPr>
        <w:t xml:space="preserve">components: </w:t>
      </w:r>
      <w:r w:rsidR="00EA692C">
        <w:rPr>
          <w:rFonts w:ascii="Tahoma" w:hAnsi="Tahoma" w:cs="Tahoma"/>
        </w:rPr>
        <w:t xml:space="preserve">a Statewide Direct Install Program, a Tribal Direct Install Program, and a Statewide Incentive Program. </w:t>
      </w:r>
      <w:r w:rsidR="00D02811">
        <w:rPr>
          <w:rFonts w:ascii="Tahoma" w:hAnsi="Tahoma" w:cs="Tahoma"/>
        </w:rPr>
        <w:t>The CEC is currently accepting applications for Regional Administrators for the Statewide Direct Install Program through GFO-23-404.</w:t>
      </w:r>
      <w:r w:rsidR="004243CF">
        <w:rPr>
          <w:rFonts w:ascii="Tahoma" w:hAnsi="Tahoma" w:cs="Tahoma"/>
        </w:rPr>
        <w:t xml:space="preserve"> </w:t>
      </w:r>
      <w:r w:rsidR="0025452F">
        <w:rPr>
          <w:rFonts w:ascii="Tahoma" w:hAnsi="Tahoma" w:cs="Tahoma"/>
        </w:rPr>
        <w:t>In the coming months, the CEC will develop guidelines for the Tribal Direct Install Program</w:t>
      </w:r>
      <w:r w:rsidR="0004467F">
        <w:rPr>
          <w:rFonts w:ascii="Tahoma" w:hAnsi="Tahoma" w:cs="Tahoma"/>
        </w:rPr>
        <w:t xml:space="preserve"> and will release more information about the Statewide Incentive Program.</w:t>
      </w:r>
    </w:p>
    <w:p w14:paraId="162E2019" w14:textId="3441EC90" w:rsidR="002D532D" w:rsidRPr="002D532D" w:rsidRDefault="00C066E4" w:rsidP="002D532D">
      <w:pPr>
        <w:pStyle w:val="paragraph"/>
        <w:spacing w:before="0" w:beforeAutospacing="0" w:after="160" w:afterAutospacing="0" w:line="259" w:lineRule="auto"/>
        <w:ind w:left="720" w:hanging="720"/>
        <w:textAlignment w:val="baseline"/>
        <w:rPr>
          <w:rStyle w:val="normaltextrun"/>
          <w:rFonts w:ascii="Segoe UI" w:hAnsi="Segoe UI" w:cs="Segoe UI"/>
          <w:b/>
          <w:bCs/>
          <w:sz w:val="18"/>
          <w:szCs w:val="18"/>
          <w:u w:val="single"/>
        </w:rPr>
      </w:pPr>
      <w:r w:rsidRPr="002D532D">
        <w:rPr>
          <w:rFonts w:ascii="Tahoma" w:hAnsi="Tahoma" w:cs="Tahoma"/>
          <w:b/>
          <w:bCs/>
          <w:sz w:val="22"/>
          <w:szCs w:val="22"/>
          <w:u w:val="single"/>
        </w:rPr>
        <w:t>Q100:</w:t>
      </w:r>
      <w:r w:rsidR="0095030F" w:rsidRPr="002D532D">
        <w:rPr>
          <w:rFonts w:ascii="Tahoma" w:hAnsi="Tahoma" w:cs="Tahoma"/>
          <w:b/>
          <w:bCs/>
          <w:sz w:val="22"/>
          <w:szCs w:val="22"/>
          <w:u w:val="single"/>
        </w:rPr>
        <w:t xml:space="preserve"> </w:t>
      </w:r>
      <w:r w:rsidR="0095030F" w:rsidRPr="0095030F">
        <w:rPr>
          <w:rStyle w:val="normaltextrun"/>
          <w:rFonts w:ascii="Tahoma" w:hAnsi="Tahoma" w:cs="Tahoma"/>
          <w:b/>
          <w:bCs/>
          <w:sz w:val="22"/>
          <w:szCs w:val="22"/>
          <w:u w:val="single"/>
        </w:rPr>
        <w:t>If an organization provides a letter of support for a Regional Administrator applicant, could that organization also be considered to participate in the Advisory Group, or would that be a conflict of interest?</w:t>
      </w:r>
      <w:r w:rsidR="0095030F" w:rsidRPr="0095030F">
        <w:rPr>
          <w:rStyle w:val="eop"/>
          <w:rFonts w:ascii="Tahoma" w:hAnsi="Tahoma" w:cs="Tahoma"/>
          <w:b/>
          <w:bCs/>
          <w:sz w:val="22"/>
          <w:szCs w:val="22"/>
          <w:u w:val="single"/>
        </w:rPr>
        <w:t> </w:t>
      </w:r>
    </w:p>
    <w:p w14:paraId="1BB11AC4" w14:textId="2D997DA9" w:rsidR="0026253A" w:rsidRPr="00DE3B04" w:rsidRDefault="002D532D" w:rsidP="00DE3B04">
      <w:pPr>
        <w:pStyle w:val="paragraph"/>
        <w:spacing w:before="0" w:beforeAutospacing="0" w:after="160" w:afterAutospacing="0" w:line="259" w:lineRule="auto"/>
        <w:ind w:left="720" w:hanging="720"/>
        <w:textAlignment w:val="baseline"/>
        <w:rPr>
          <w:rFonts w:ascii="Tahoma" w:hAnsi="Tahoma" w:cs="Tahoma"/>
          <w:b/>
          <w:bCs/>
          <w:sz w:val="22"/>
          <w:szCs w:val="22"/>
          <w:u w:val="single"/>
        </w:rPr>
      </w:pPr>
      <w:r w:rsidRPr="002D532D">
        <w:rPr>
          <w:rFonts w:ascii="Tahoma" w:hAnsi="Tahoma" w:cs="Tahoma"/>
          <w:b/>
          <w:bCs/>
          <w:sz w:val="22"/>
          <w:szCs w:val="22"/>
          <w:u w:val="single"/>
        </w:rPr>
        <w:t>A</w:t>
      </w:r>
      <w:r>
        <w:rPr>
          <w:rFonts w:ascii="Tahoma" w:hAnsi="Tahoma" w:cs="Tahoma"/>
          <w:b/>
          <w:bCs/>
          <w:sz w:val="22"/>
          <w:szCs w:val="22"/>
          <w:u w:val="single"/>
        </w:rPr>
        <w:t>100</w:t>
      </w:r>
      <w:r w:rsidRPr="002D532D">
        <w:rPr>
          <w:rFonts w:ascii="Tahoma" w:hAnsi="Tahoma" w:cs="Tahoma"/>
          <w:b/>
          <w:bCs/>
          <w:sz w:val="22"/>
          <w:szCs w:val="22"/>
          <w:u w:val="single"/>
        </w:rPr>
        <w:t xml:space="preserve">: </w:t>
      </w:r>
      <w:r>
        <w:rPr>
          <w:rFonts w:ascii="Tahoma" w:hAnsi="Tahoma" w:cs="Tahoma"/>
          <w:b/>
          <w:bCs/>
          <w:sz w:val="22"/>
          <w:szCs w:val="22"/>
          <w:u w:val="single"/>
        </w:rPr>
        <w:tab/>
      </w:r>
      <w:r w:rsidRPr="002D532D">
        <w:rPr>
          <w:rFonts w:ascii="Tahoma" w:hAnsi="Tahoma" w:cs="Tahoma"/>
          <w:b/>
          <w:bCs/>
          <w:sz w:val="22"/>
          <w:szCs w:val="22"/>
          <w:u w:val="single"/>
        </w:rPr>
        <w:t>Providing a letter of support would not automatically disqualify an organization from proposing another representative other than the letter’s signatory for selection to the Advisory Group. Individuals serving on advisory groups to the CEC might be subject to Government Code section 87104 which restricts those advisory members from certain communications with the CEC including appearing in an application for funding. If an organization provides a letter of support for a Regional Administrator applicant, and also wants a representative from that organization to serve on the Advisory Group, then the letter of support should be submitted and signed by another person who is not seeking selection for the Advisory Group. Note that organizations that are paid members of selected Regional Administrator teams will not be eligible to have a representative serve on the Advisory Group. Please see the Scope of Work Task 1.4 for more information on how the Advisory Group will be formed. Please note that the CEC cannot provide legal advice, and Applicants and the prospective signatory who might serve on the advisory group should discuss potential implications with their legal representative.</w:t>
      </w:r>
    </w:p>
    <w:sectPr w:rsidR="0026253A" w:rsidRPr="00DE3B0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CB707" w14:textId="77777777" w:rsidR="004418FB" w:rsidRDefault="004418FB" w:rsidP="00650FD1">
      <w:pPr>
        <w:spacing w:after="0" w:line="240" w:lineRule="auto"/>
      </w:pPr>
      <w:r>
        <w:separator/>
      </w:r>
    </w:p>
  </w:endnote>
  <w:endnote w:type="continuationSeparator" w:id="0">
    <w:p w14:paraId="1CB83DB4" w14:textId="77777777" w:rsidR="004418FB" w:rsidRDefault="004418FB" w:rsidP="00650FD1">
      <w:pPr>
        <w:spacing w:after="0" w:line="240" w:lineRule="auto"/>
      </w:pPr>
      <w:r>
        <w:continuationSeparator/>
      </w:r>
    </w:p>
  </w:endnote>
  <w:endnote w:type="continuationNotice" w:id="1">
    <w:p w14:paraId="7157913D" w14:textId="77777777" w:rsidR="004418FB" w:rsidRDefault="0044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F42F0" w14:textId="77777777" w:rsidR="002308D5" w:rsidRDefault="002308D5" w:rsidP="00FA4783">
    <w:pPr>
      <w:pStyle w:val="Footer"/>
      <w:rPr>
        <w:rFonts w:ascii="Tahoma" w:hAnsi="Tahoma" w:cs="Tahoma"/>
        <w:sz w:val="20"/>
        <w:szCs w:val="20"/>
      </w:rPr>
    </w:pPr>
  </w:p>
  <w:p w14:paraId="747353ED" w14:textId="71162751" w:rsidR="00FA4783" w:rsidRDefault="00FA4783" w:rsidP="00FA4783">
    <w:pPr>
      <w:pStyle w:val="Footer"/>
      <w:rPr>
        <w:rFonts w:ascii="Tahoma" w:hAnsi="Tahoma" w:cs="Tahoma"/>
        <w:sz w:val="20"/>
        <w:szCs w:val="20"/>
      </w:rPr>
    </w:pPr>
    <w:r>
      <w:rPr>
        <w:rFonts w:ascii="Tahoma" w:hAnsi="Tahoma" w:cs="Tahoma"/>
        <w:sz w:val="20"/>
        <w:szCs w:val="20"/>
      </w:rPr>
      <w:t>Questions and Answers</w:t>
    </w:r>
    <w:r w:rsidRPr="007647A1">
      <w:rPr>
        <w:rFonts w:ascii="Tahoma" w:hAnsi="Tahoma" w:cs="Tahoma"/>
        <w:sz w:val="20"/>
        <w:szCs w:val="20"/>
      </w:rPr>
      <w:ptab w:relativeTo="margin" w:alignment="center" w:leader="none"/>
    </w:r>
    <w:sdt>
      <w:sdtPr>
        <w:rPr>
          <w:rFonts w:ascii="Tahoma" w:hAnsi="Tahoma" w:cs="Tahoma"/>
          <w:sz w:val="20"/>
          <w:szCs w:val="20"/>
        </w:rPr>
        <w:id w:val="1728636285"/>
        <w:docPartObj>
          <w:docPartGallery w:val="Page Numbers (Top of Page)"/>
          <w:docPartUnique/>
        </w:docPartObj>
      </w:sdtPr>
      <w:sdtContent>
        <w:r w:rsidRPr="007647A1">
          <w:rPr>
            <w:rFonts w:ascii="Tahoma" w:hAnsi="Tahoma" w:cs="Tahoma"/>
            <w:sz w:val="20"/>
            <w:szCs w:val="20"/>
          </w:rPr>
          <w:t xml:space="preserve">Page </w:t>
        </w:r>
        <w:r w:rsidRPr="007647A1">
          <w:rPr>
            <w:rFonts w:ascii="Tahoma" w:hAnsi="Tahoma" w:cs="Tahoma"/>
            <w:sz w:val="20"/>
            <w:szCs w:val="20"/>
          </w:rPr>
          <w:fldChar w:fldCharType="begin"/>
        </w:r>
        <w:r w:rsidRPr="007647A1">
          <w:rPr>
            <w:rFonts w:ascii="Tahoma" w:hAnsi="Tahoma" w:cs="Tahoma"/>
            <w:sz w:val="20"/>
            <w:szCs w:val="20"/>
          </w:rPr>
          <w:instrText xml:space="preserve"> PAGE </w:instrText>
        </w:r>
        <w:r w:rsidRPr="007647A1">
          <w:rPr>
            <w:rFonts w:ascii="Tahoma" w:hAnsi="Tahoma" w:cs="Tahoma"/>
            <w:sz w:val="20"/>
            <w:szCs w:val="20"/>
          </w:rPr>
          <w:fldChar w:fldCharType="separate"/>
        </w:r>
        <w:r>
          <w:rPr>
            <w:rFonts w:ascii="Tahoma" w:hAnsi="Tahoma" w:cs="Tahoma"/>
            <w:sz w:val="20"/>
            <w:szCs w:val="20"/>
          </w:rPr>
          <w:t>4</w:t>
        </w:r>
        <w:r w:rsidRPr="007647A1">
          <w:rPr>
            <w:rFonts w:ascii="Tahoma" w:hAnsi="Tahoma" w:cs="Tahoma"/>
            <w:sz w:val="20"/>
            <w:szCs w:val="20"/>
          </w:rPr>
          <w:fldChar w:fldCharType="end"/>
        </w:r>
        <w:r w:rsidRPr="007647A1">
          <w:rPr>
            <w:rFonts w:ascii="Tahoma" w:hAnsi="Tahoma" w:cs="Tahoma"/>
            <w:sz w:val="20"/>
            <w:szCs w:val="20"/>
          </w:rPr>
          <w:t xml:space="preserve"> of </w:t>
        </w:r>
        <w:r w:rsidRPr="007647A1">
          <w:rPr>
            <w:rFonts w:ascii="Tahoma" w:hAnsi="Tahoma" w:cs="Tahoma"/>
            <w:sz w:val="20"/>
            <w:szCs w:val="20"/>
          </w:rPr>
          <w:fldChar w:fldCharType="begin"/>
        </w:r>
        <w:r w:rsidRPr="007647A1">
          <w:rPr>
            <w:rFonts w:ascii="Tahoma" w:hAnsi="Tahoma" w:cs="Tahoma"/>
            <w:sz w:val="20"/>
            <w:szCs w:val="20"/>
          </w:rPr>
          <w:instrText xml:space="preserve"> NUMPAGES  </w:instrText>
        </w:r>
        <w:r w:rsidRPr="007647A1">
          <w:rPr>
            <w:rFonts w:ascii="Tahoma" w:hAnsi="Tahoma" w:cs="Tahoma"/>
            <w:sz w:val="20"/>
            <w:szCs w:val="20"/>
          </w:rPr>
          <w:fldChar w:fldCharType="separate"/>
        </w:r>
        <w:r>
          <w:rPr>
            <w:rFonts w:ascii="Tahoma" w:hAnsi="Tahoma" w:cs="Tahoma"/>
            <w:sz w:val="20"/>
            <w:szCs w:val="20"/>
          </w:rPr>
          <w:t>5</w:t>
        </w:r>
        <w:r w:rsidRPr="007647A1">
          <w:rPr>
            <w:rFonts w:ascii="Tahoma" w:hAnsi="Tahoma" w:cs="Tahoma"/>
            <w:sz w:val="20"/>
            <w:szCs w:val="20"/>
          </w:rPr>
          <w:fldChar w:fldCharType="end"/>
        </w:r>
      </w:sdtContent>
    </w:sdt>
    <w:r w:rsidRPr="007647A1">
      <w:rPr>
        <w:rFonts w:ascii="Tahoma" w:hAnsi="Tahoma" w:cs="Tahoma"/>
        <w:sz w:val="20"/>
        <w:szCs w:val="20"/>
      </w:rPr>
      <w:t xml:space="preserve"> </w:t>
    </w:r>
    <w:r w:rsidRPr="007647A1">
      <w:rPr>
        <w:rFonts w:ascii="Tahoma" w:hAnsi="Tahoma" w:cs="Tahoma"/>
        <w:sz w:val="20"/>
        <w:szCs w:val="20"/>
      </w:rPr>
      <w:ptab w:relativeTo="margin" w:alignment="right" w:leader="none"/>
    </w:r>
    <w:r w:rsidRPr="007647A1">
      <w:rPr>
        <w:rFonts w:ascii="Tahoma" w:hAnsi="Tahoma" w:cs="Tahoma"/>
        <w:sz w:val="20"/>
        <w:szCs w:val="20"/>
      </w:rPr>
      <w:t>GFO-</w:t>
    </w:r>
    <w:r>
      <w:rPr>
        <w:rFonts w:ascii="Tahoma" w:hAnsi="Tahoma" w:cs="Tahoma"/>
        <w:sz w:val="20"/>
        <w:szCs w:val="20"/>
      </w:rPr>
      <w:t>23-404</w:t>
    </w:r>
  </w:p>
  <w:p w14:paraId="07679679" w14:textId="77777777" w:rsidR="00FA4783" w:rsidRDefault="00FA4783" w:rsidP="00FA4783">
    <w:pPr>
      <w:pStyle w:val="Footer"/>
      <w:jc w:val="right"/>
      <w:rPr>
        <w:rFonts w:ascii="Tahoma" w:hAnsi="Tahoma" w:cs="Tahoma"/>
        <w:sz w:val="20"/>
        <w:szCs w:val="20"/>
      </w:rPr>
    </w:pPr>
    <w:r>
      <w:rPr>
        <w:rFonts w:ascii="Tahoma" w:hAnsi="Tahoma" w:cs="Tahoma"/>
        <w:sz w:val="20"/>
        <w:szCs w:val="20"/>
      </w:rPr>
      <w:t>EBD Direct Install Program</w:t>
    </w:r>
  </w:p>
  <w:p w14:paraId="10A3C777" w14:textId="2B507D0D" w:rsidR="00650FD1" w:rsidRDefault="00650FD1" w:rsidP="00FA47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96F3" w14:textId="77777777" w:rsidR="004418FB" w:rsidRDefault="004418FB" w:rsidP="00650FD1">
      <w:pPr>
        <w:spacing w:after="0" w:line="240" w:lineRule="auto"/>
      </w:pPr>
      <w:r>
        <w:separator/>
      </w:r>
    </w:p>
  </w:footnote>
  <w:footnote w:type="continuationSeparator" w:id="0">
    <w:p w14:paraId="1FBD2BE2" w14:textId="77777777" w:rsidR="004418FB" w:rsidRDefault="004418FB" w:rsidP="00650FD1">
      <w:pPr>
        <w:spacing w:after="0" w:line="240" w:lineRule="auto"/>
      </w:pPr>
      <w:r>
        <w:continuationSeparator/>
      </w:r>
    </w:p>
  </w:footnote>
  <w:footnote w:type="continuationNotice" w:id="1">
    <w:p w14:paraId="0F353FCB" w14:textId="77777777" w:rsidR="004418FB" w:rsidRDefault="004418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1E05EB"/>
    <w:multiLevelType w:val="hybridMultilevel"/>
    <w:tmpl w:val="58205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1">
      <w:start w:val="1"/>
      <w:numFmt w:val="bullet"/>
      <w:lvlText w:val=""/>
      <w:lvlJc w:val="left"/>
      <w:pPr>
        <w:ind w:left="1080" w:hanging="360"/>
      </w:pPr>
      <w:rPr>
        <w:rFonts w:ascii="Symbol" w:hAnsi="Symbol" w:hint="default"/>
      </w:rPr>
    </w:lvl>
    <w:lvl w:ilvl="3" w:tplc="04090005">
      <w:start w:val="1"/>
      <w:numFmt w:val="bullet"/>
      <w:lvlText w:val=""/>
      <w:lvlJc w:val="left"/>
      <w:pPr>
        <w:ind w:left="1800" w:hanging="360"/>
      </w:pPr>
      <w:rPr>
        <w:rFonts w:ascii="Wingdings" w:hAnsi="Wingdings"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num w:numId="1" w16cid:durableId="1699817035">
    <w:abstractNumId w:val="0"/>
  </w:num>
  <w:num w:numId="2" w16cid:durableId="8742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49F259"/>
    <w:rsid w:val="00000046"/>
    <w:rsid w:val="000015DC"/>
    <w:rsid w:val="000015E8"/>
    <w:rsid w:val="000018E7"/>
    <w:rsid w:val="00006D10"/>
    <w:rsid w:val="00010179"/>
    <w:rsid w:val="00012315"/>
    <w:rsid w:val="00012E9E"/>
    <w:rsid w:val="000155E3"/>
    <w:rsid w:val="00016723"/>
    <w:rsid w:val="000203A1"/>
    <w:rsid w:val="00020E9C"/>
    <w:rsid w:val="0002194D"/>
    <w:rsid w:val="00021DAB"/>
    <w:rsid w:val="00021F34"/>
    <w:rsid w:val="0002367A"/>
    <w:rsid w:val="0002519D"/>
    <w:rsid w:val="0002527E"/>
    <w:rsid w:val="000259EB"/>
    <w:rsid w:val="00025CA7"/>
    <w:rsid w:val="00025FB5"/>
    <w:rsid w:val="00026B69"/>
    <w:rsid w:val="0003236C"/>
    <w:rsid w:val="00032CDF"/>
    <w:rsid w:val="00032D55"/>
    <w:rsid w:val="00033182"/>
    <w:rsid w:val="000331A6"/>
    <w:rsid w:val="000339FE"/>
    <w:rsid w:val="00034164"/>
    <w:rsid w:val="00034836"/>
    <w:rsid w:val="00035FA2"/>
    <w:rsid w:val="00036414"/>
    <w:rsid w:val="000366BA"/>
    <w:rsid w:val="00037FF3"/>
    <w:rsid w:val="0004059C"/>
    <w:rsid w:val="00040AC1"/>
    <w:rsid w:val="00040E4C"/>
    <w:rsid w:val="00042049"/>
    <w:rsid w:val="000431FC"/>
    <w:rsid w:val="00043794"/>
    <w:rsid w:val="00043C67"/>
    <w:rsid w:val="000440E4"/>
    <w:rsid w:val="0004467F"/>
    <w:rsid w:val="0004663E"/>
    <w:rsid w:val="00046C7A"/>
    <w:rsid w:val="000473B5"/>
    <w:rsid w:val="0004789D"/>
    <w:rsid w:val="00051147"/>
    <w:rsid w:val="0005150A"/>
    <w:rsid w:val="00051A3D"/>
    <w:rsid w:val="00052079"/>
    <w:rsid w:val="0005451A"/>
    <w:rsid w:val="000566C8"/>
    <w:rsid w:val="00056AC9"/>
    <w:rsid w:val="00056DBC"/>
    <w:rsid w:val="000578C0"/>
    <w:rsid w:val="00057A11"/>
    <w:rsid w:val="00057E73"/>
    <w:rsid w:val="000601AC"/>
    <w:rsid w:val="000601BB"/>
    <w:rsid w:val="00061071"/>
    <w:rsid w:val="0006218F"/>
    <w:rsid w:val="00062ED5"/>
    <w:rsid w:val="000636F5"/>
    <w:rsid w:val="00065CE5"/>
    <w:rsid w:val="00066038"/>
    <w:rsid w:val="000671C9"/>
    <w:rsid w:val="0006740C"/>
    <w:rsid w:val="00070F12"/>
    <w:rsid w:val="0007149E"/>
    <w:rsid w:val="000728FB"/>
    <w:rsid w:val="00073C6D"/>
    <w:rsid w:val="00075BF7"/>
    <w:rsid w:val="00075CFC"/>
    <w:rsid w:val="000771D5"/>
    <w:rsid w:val="000806B8"/>
    <w:rsid w:val="0008274E"/>
    <w:rsid w:val="00083F4D"/>
    <w:rsid w:val="00083F58"/>
    <w:rsid w:val="000859DB"/>
    <w:rsid w:val="00085D8B"/>
    <w:rsid w:val="00086520"/>
    <w:rsid w:val="00090063"/>
    <w:rsid w:val="00090739"/>
    <w:rsid w:val="00090EDD"/>
    <w:rsid w:val="00092E3B"/>
    <w:rsid w:val="00093D6B"/>
    <w:rsid w:val="0009409F"/>
    <w:rsid w:val="000942C3"/>
    <w:rsid w:val="00095FA8"/>
    <w:rsid w:val="00096CC7"/>
    <w:rsid w:val="000A0020"/>
    <w:rsid w:val="000A04FE"/>
    <w:rsid w:val="000A1A0B"/>
    <w:rsid w:val="000A2BE0"/>
    <w:rsid w:val="000A2E54"/>
    <w:rsid w:val="000A503C"/>
    <w:rsid w:val="000A5293"/>
    <w:rsid w:val="000A73B7"/>
    <w:rsid w:val="000A7488"/>
    <w:rsid w:val="000B12CE"/>
    <w:rsid w:val="000B16B8"/>
    <w:rsid w:val="000B3CBE"/>
    <w:rsid w:val="000B6D7E"/>
    <w:rsid w:val="000B718A"/>
    <w:rsid w:val="000C0AD5"/>
    <w:rsid w:val="000C4360"/>
    <w:rsid w:val="000D1100"/>
    <w:rsid w:val="000D5BAF"/>
    <w:rsid w:val="000D7CA9"/>
    <w:rsid w:val="000E0BC9"/>
    <w:rsid w:val="000E137F"/>
    <w:rsid w:val="000E1775"/>
    <w:rsid w:val="000E2317"/>
    <w:rsid w:val="000E4945"/>
    <w:rsid w:val="000E6EE9"/>
    <w:rsid w:val="000E7074"/>
    <w:rsid w:val="000F03C9"/>
    <w:rsid w:val="000F090F"/>
    <w:rsid w:val="000F1142"/>
    <w:rsid w:val="000F2153"/>
    <w:rsid w:val="000F2F79"/>
    <w:rsid w:val="000F6E99"/>
    <w:rsid w:val="000F7268"/>
    <w:rsid w:val="000F7885"/>
    <w:rsid w:val="00101660"/>
    <w:rsid w:val="001016D9"/>
    <w:rsid w:val="001017B1"/>
    <w:rsid w:val="00102D1D"/>
    <w:rsid w:val="001052B7"/>
    <w:rsid w:val="00105BCE"/>
    <w:rsid w:val="001063BE"/>
    <w:rsid w:val="00111F80"/>
    <w:rsid w:val="0011496F"/>
    <w:rsid w:val="00114D95"/>
    <w:rsid w:val="00115776"/>
    <w:rsid w:val="00115E02"/>
    <w:rsid w:val="00115EAB"/>
    <w:rsid w:val="0011794C"/>
    <w:rsid w:val="001179FF"/>
    <w:rsid w:val="00117C6D"/>
    <w:rsid w:val="001202FB"/>
    <w:rsid w:val="00121135"/>
    <w:rsid w:val="00121D81"/>
    <w:rsid w:val="001225C2"/>
    <w:rsid w:val="00122804"/>
    <w:rsid w:val="001233B1"/>
    <w:rsid w:val="00123F70"/>
    <w:rsid w:val="001240C4"/>
    <w:rsid w:val="00124A7E"/>
    <w:rsid w:val="00124DC5"/>
    <w:rsid w:val="00125071"/>
    <w:rsid w:val="0012650F"/>
    <w:rsid w:val="0012760D"/>
    <w:rsid w:val="0013048E"/>
    <w:rsid w:val="001304C0"/>
    <w:rsid w:val="0013050A"/>
    <w:rsid w:val="001310FD"/>
    <w:rsid w:val="00132040"/>
    <w:rsid w:val="00132DAE"/>
    <w:rsid w:val="001333B3"/>
    <w:rsid w:val="00133794"/>
    <w:rsid w:val="0013534C"/>
    <w:rsid w:val="00135984"/>
    <w:rsid w:val="00135A3C"/>
    <w:rsid w:val="00135E1C"/>
    <w:rsid w:val="00135F2E"/>
    <w:rsid w:val="00136971"/>
    <w:rsid w:val="00136E32"/>
    <w:rsid w:val="0014177F"/>
    <w:rsid w:val="0014196D"/>
    <w:rsid w:val="00142AEB"/>
    <w:rsid w:val="00142FC6"/>
    <w:rsid w:val="00143725"/>
    <w:rsid w:val="001475F4"/>
    <w:rsid w:val="001476DA"/>
    <w:rsid w:val="00150197"/>
    <w:rsid w:val="00150404"/>
    <w:rsid w:val="0015095E"/>
    <w:rsid w:val="001515F4"/>
    <w:rsid w:val="0015290D"/>
    <w:rsid w:val="00152A4E"/>
    <w:rsid w:val="00153C55"/>
    <w:rsid w:val="0015401B"/>
    <w:rsid w:val="0015696C"/>
    <w:rsid w:val="001572A4"/>
    <w:rsid w:val="00157995"/>
    <w:rsid w:val="00157A04"/>
    <w:rsid w:val="00160A55"/>
    <w:rsid w:val="00163045"/>
    <w:rsid w:val="001638A4"/>
    <w:rsid w:val="00164EC1"/>
    <w:rsid w:val="00165548"/>
    <w:rsid w:val="00165AAA"/>
    <w:rsid w:val="00165B0D"/>
    <w:rsid w:val="001672E7"/>
    <w:rsid w:val="001672FA"/>
    <w:rsid w:val="001677CE"/>
    <w:rsid w:val="00170A91"/>
    <w:rsid w:val="001726C7"/>
    <w:rsid w:val="0017479C"/>
    <w:rsid w:val="0017707D"/>
    <w:rsid w:val="001800C0"/>
    <w:rsid w:val="00182069"/>
    <w:rsid w:val="00183475"/>
    <w:rsid w:val="001839A3"/>
    <w:rsid w:val="00183ADB"/>
    <w:rsid w:val="00183FBE"/>
    <w:rsid w:val="0018562D"/>
    <w:rsid w:val="001864E8"/>
    <w:rsid w:val="00187D9E"/>
    <w:rsid w:val="00190695"/>
    <w:rsid w:val="00191227"/>
    <w:rsid w:val="001914A3"/>
    <w:rsid w:val="0019201F"/>
    <w:rsid w:val="00192E60"/>
    <w:rsid w:val="0019312A"/>
    <w:rsid w:val="00193431"/>
    <w:rsid w:val="00193EC7"/>
    <w:rsid w:val="00194414"/>
    <w:rsid w:val="00194576"/>
    <w:rsid w:val="001964F7"/>
    <w:rsid w:val="001972F0"/>
    <w:rsid w:val="0019768B"/>
    <w:rsid w:val="001A1287"/>
    <w:rsid w:val="001A1360"/>
    <w:rsid w:val="001A5005"/>
    <w:rsid w:val="001A624B"/>
    <w:rsid w:val="001A7BC1"/>
    <w:rsid w:val="001A7F05"/>
    <w:rsid w:val="001B303A"/>
    <w:rsid w:val="001B58F4"/>
    <w:rsid w:val="001B5920"/>
    <w:rsid w:val="001B5F85"/>
    <w:rsid w:val="001B6330"/>
    <w:rsid w:val="001B6CE8"/>
    <w:rsid w:val="001B75D8"/>
    <w:rsid w:val="001C2621"/>
    <w:rsid w:val="001C4006"/>
    <w:rsid w:val="001C436C"/>
    <w:rsid w:val="001C4484"/>
    <w:rsid w:val="001C47B8"/>
    <w:rsid w:val="001C5A63"/>
    <w:rsid w:val="001C702D"/>
    <w:rsid w:val="001C73C4"/>
    <w:rsid w:val="001D0090"/>
    <w:rsid w:val="001D0A41"/>
    <w:rsid w:val="001D110A"/>
    <w:rsid w:val="001D1583"/>
    <w:rsid w:val="001D3544"/>
    <w:rsid w:val="001D464B"/>
    <w:rsid w:val="001D62CB"/>
    <w:rsid w:val="001D6A25"/>
    <w:rsid w:val="001D6D06"/>
    <w:rsid w:val="001D72D9"/>
    <w:rsid w:val="001D73E5"/>
    <w:rsid w:val="001E0208"/>
    <w:rsid w:val="001E1489"/>
    <w:rsid w:val="001E1B42"/>
    <w:rsid w:val="001E1D2E"/>
    <w:rsid w:val="001E258B"/>
    <w:rsid w:val="001E5266"/>
    <w:rsid w:val="001E56A1"/>
    <w:rsid w:val="001E75C2"/>
    <w:rsid w:val="001F1F26"/>
    <w:rsid w:val="001F3D18"/>
    <w:rsid w:val="001F4C75"/>
    <w:rsid w:val="001F4D6B"/>
    <w:rsid w:val="002022E0"/>
    <w:rsid w:val="002036B8"/>
    <w:rsid w:val="00203E95"/>
    <w:rsid w:val="00204FDC"/>
    <w:rsid w:val="00205405"/>
    <w:rsid w:val="0020609A"/>
    <w:rsid w:val="00206256"/>
    <w:rsid w:val="00207092"/>
    <w:rsid w:val="002129EE"/>
    <w:rsid w:val="00213CF1"/>
    <w:rsid w:val="002143A4"/>
    <w:rsid w:val="00214DBD"/>
    <w:rsid w:val="00215EFC"/>
    <w:rsid w:val="0021655C"/>
    <w:rsid w:val="00220316"/>
    <w:rsid w:val="00221822"/>
    <w:rsid w:val="002218F1"/>
    <w:rsid w:val="002223F4"/>
    <w:rsid w:val="00223FE0"/>
    <w:rsid w:val="002243E1"/>
    <w:rsid w:val="0022495F"/>
    <w:rsid w:val="0022502C"/>
    <w:rsid w:val="002251A5"/>
    <w:rsid w:val="00225C57"/>
    <w:rsid w:val="0022658F"/>
    <w:rsid w:val="0022778F"/>
    <w:rsid w:val="00227929"/>
    <w:rsid w:val="002308D5"/>
    <w:rsid w:val="00234205"/>
    <w:rsid w:val="002347BA"/>
    <w:rsid w:val="00235214"/>
    <w:rsid w:val="00235387"/>
    <w:rsid w:val="00235578"/>
    <w:rsid w:val="002355DD"/>
    <w:rsid w:val="00236842"/>
    <w:rsid w:val="00236ABF"/>
    <w:rsid w:val="0023744B"/>
    <w:rsid w:val="00237458"/>
    <w:rsid w:val="002377D9"/>
    <w:rsid w:val="00244846"/>
    <w:rsid w:val="002472C7"/>
    <w:rsid w:val="00247B35"/>
    <w:rsid w:val="00250BF7"/>
    <w:rsid w:val="00251BCC"/>
    <w:rsid w:val="002520AF"/>
    <w:rsid w:val="00253304"/>
    <w:rsid w:val="00253E16"/>
    <w:rsid w:val="0025452F"/>
    <w:rsid w:val="00255C67"/>
    <w:rsid w:val="00261A13"/>
    <w:rsid w:val="0026253A"/>
    <w:rsid w:val="002651B7"/>
    <w:rsid w:val="0026578E"/>
    <w:rsid w:val="0026663E"/>
    <w:rsid w:val="0026690E"/>
    <w:rsid w:val="00266C99"/>
    <w:rsid w:val="00267F72"/>
    <w:rsid w:val="002700C6"/>
    <w:rsid w:val="00271614"/>
    <w:rsid w:val="00271A41"/>
    <w:rsid w:val="00272CFB"/>
    <w:rsid w:val="00273FDE"/>
    <w:rsid w:val="0027463B"/>
    <w:rsid w:val="00275160"/>
    <w:rsid w:val="00275E24"/>
    <w:rsid w:val="002767F1"/>
    <w:rsid w:val="00276CBB"/>
    <w:rsid w:val="00280A5B"/>
    <w:rsid w:val="00280C82"/>
    <w:rsid w:val="0028328E"/>
    <w:rsid w:val="00283A5D"/>
    <w:rsid w:val="00283D18"/>
    <w:rsid w:val="00283FB4"/>
    <w:rsid w:val="00284617"/>
    <w:rsid w:val="00285266"/>
    <w:rsid w:val="0028652C"/>
    <w:rsid w:val="002868C6"/>
    <w:rsid w:val="00286E92"/>
    <w:rsid w:val="00290657"/>
    <w:rsid w:val="00291521"/>
    <w:rsid w:val="00291A08"/>
    <w:rsid w:val="002937D0"/>
    <w:rsid w:val="00293E55"/>
    <w:rsid w:val="00293FB0"/>
    <w:rsid w:val="0029445A"/>
    <w:rsid w:val="00294B07"/>
    <w:rsid w:val="002957F0"/>
    <w:rsid w:val="00295DF3"/>
    <w:rsid w:val="00296C19"/>
    <w:rsid w:val="002A0030"/>
    <w:rsid w:val="002A36DA"/>
    <w:rsid w:val="002A3C5B"/>
    <w:rsid w:val="002A45D1"/>
    <w:rsid w:val="002A5656"/>
    <w:rsid w:val="002A58E2"/>
    <w:rsid w:val="002A6FF8"/>
    <w:rsid w:val="002B15D1"/>
    <w:rsid w:val="002B2C95"/>
    <w:rsid w:val="002B5232"/>
    <w:rsid w:val="002B54A7"/>
    <w:rsid w:val="002B697A"/>
    <w:rsid w:val="002B73DA"/>
    <w:rsid w:val="002C09DA"/>
    <w:rsid w:val="002C0EDD"/>
    <w:rsid w:val="002C0F8C"/>
    <w:rsid w:val="002C1C72"/>
    <w:rsid w:val="002C1FBA"/>
    <w:rsid w:val="002C3A0B"/>
    <w:rsid w:val="002C3F7E"/>
    <w:rsid w:val="002C5CDE"/>
    <w:rsid w:val="002D1848"/>
    <w:rsid w:val="002D337C"/>
    <w:rsid w:val="002D3EDB"/>
    <w:rsid w:val="002D532D"/>
    <w:rsid w:val="002D5733"/>
    <w:rsid w:val="002D6492"/>
    <w:rsid w:val="002D6ADF"/>
    <w:rsid w:val="002D708B"/>
    <w:rsid w:val="002E00B7"/>
    <w:rsid w:val="002E0388"/>
    <w:rsid w:val="002E272E"/>
    <w:rsid w:val="002E34B0"/>
    <w:rsid w:val="002E34ED"/>
    <w:rsid w:val="002E38D8"/>
    <w:rsid w:val="002E3BD7"/>
    <w:rsid w:val="002E4D8E"/>
    <w:rsid w:val="002E55E7"/>
    <w:rsid w:val="002E582E"/>
    <w:rsid w:val="002E6FB9"/>
    <w:rsid w:val="002E72ED"/>
    <w:rsid w:val="002F1915"/>
    <w:rsid w:val="002F22DE"/>
    <w:rsid w:val="002F311E"/>
    <w:rsid w:val="002F3763"/>
    <w:rsid w:val="002F40EA"/>
    <w:rsid w:val="002F418A"/>
    <w:rsid w:val="002F4683"/>
    <w:rsid w:val="002F72AA"/>
    <w:rsid w:val="0030042E"/>
    <w:rsid w:val="0030350E"/>
    <w:rsid w:val="00303B29"/>
    <w:rsid w:val="00303F75"/>
    <w:rsid w:val="00304153"/>
    <w:rsid w:val="0030530E"/>
    <w:rsid w:val="00305E72"/>
    <w:rsid w:val="00306CA4"/>
    <w:rsid w:val="00307E1B"/>
    <w:rsid w:val="00310111"/>
    <w:rsid w:val="003120CB"/>
    <w:rsid w:val="003125BA"/>
    <w:rsid w:val="00312A3F"/>
    <w:rsid w:val="0031440C"/>
    <w:rsid w:val="0031457C"/>
    <w:rsid w:val="00315759"/>
    <w:rsid w:val="00315EF0"/>
    <w:rsid w:val="003168A2"/>
    <w:rsid w:val="0031708A"/>
    <w:rsid w:val="00320224"/>
    <w:rsid w:val="00321E39"/>
    <w:rsid w:val="003222AE"/>
    <w:rsid w:val="00322A06"/>
    <w:rsid w:val="00323DAF"/>
    <w:rsid w:val="00323FAD"/>
    <w:rsid w:val="00325843"/>
    <w:rsid w:val="00325F48"/>
    <w:rsid w:val="003267C2"/>
    <w:rsid w:val="00327D43"/>
    <w:rsid w:val="00330995"/>
    <w:rsid w:val="00330CDB"/>
    <w:rsid w:val="00331349"/>
    <w:rsid w:val="003316C9"/>
    <w:rsid w:val="00331D74"/>
    <w:rsid w:val="00333044"/>
    <w:rsid w:val="00333A51"/>
    <w:rsid w:val="00333D49"/>
    <w:rsid w:val="00334E98"/>
    <w:rsid w:val="003355B9"/>
    <w:rsid w:val="003355BA"/>
    <w:rsid w:val="00336692"/>
    <w:rsid w:val="0033752B"/>
    <w:rsid w:val="00337A4C"/>
    <w:rsid w:val="00340524"/>
    <w:rsid w:val="00342468"/>
    <w:rsid w:val="0034426C"/>
    <w:rsid w:val="0034555F"/>
    <w:rsid w:val="00345E1A"/>
    <w:rsid w:val="0034672F"/>
    <w:rsid w:val="00350210"/>
    <w:rsid w:val="00353FDA"/>
    <w:rsid w:val="00354348"/>
    <w:rsid w:val="0035582F"/>
    <w:rsid w:val="003560D7"/>
    <w:rsid w:val="00356CEF"/>
    <w:rsid w:val="0035705C"/>
    <w:rsid w:val="0035765D"/>
    <w:rsid w:val="00357A60"/>
    <w:rsid w:val="003605C4"/>
    <w:rsid w:val="00361037"/>
    <w:rsid w:val="0036183D"/>
    <w:rsid w:val="00362033"/>
    <w:rsid w:val="00362E20"/>
    <w:rsid w:val="00362F9C"/>
    <w:rsid w:val="00364158"/>
    <w:rsid w:val="003644EC"/>
    <w:rsid w:val="00366394"/>
    <w:rsid w:val="0036704E"/>
    <w:rsid w:val="00370B5B"/>
    <w:rsid w:val="00370D15"/>
    <w:rsid w:val="00371C61"/>
    <w:rsid w:val="003727B6"/>
    <w:rsid w:val="00372B0E"/>
    <w:rsid w:val="00372E45"/>
    <w:rsid w:val="00373485"/>
    <w:rsid w:val="00373A74"/>
    <w:rsid w:val="00374177"/>
    <w:rsid w:val="00374CCD"/>
    <w:rsid w:val="00374EC2"/>
    <w:rsid w:val="00375547"/>
    <w:rsid w:val="00375B0D"/>
    <w:rsid w:val="003765AD"/>
    <w:rsid w:val="0037680E"/>
    <w:rsid w:val="00377265"/>
    <w:rsid w:val="00377754"/>
    <w:rsid w:val="00381F62"/>
    <w:rsid w:val="0038511E"/>
    <w:rsid w:val="0038519D"/>
    <w:rsid w:val="00387014"/>
    <w:rsid w:val="0038726D"/>
    <w:rsid w:val="003874CA"/>
    <w:rsid w:val="0038754A"/>
    <w:rsid w:val="00387A9C"/>
    <w:rsid w:val="0039463A"/>
    <w:rsid w:val="00394DDB"/>
    <w:rsid w:val="003955C5"/>
    <w:rsid w:val="00396645"/>
    <w:rsid w:val="003972D3"/>
    <w:rsid w:val="00397C65"/>
    <w:rsid w:val="003A049B"/>
    <w:rsid w:val="003A0E8B"/>
    <w:rsid w:val="003A1E96"/>
    <w:rsid w:val="003A4636"/>
    <w:rsid w:val="003A4F0B"/>
    <w:rsid w:val="003A5111"/>
    <w:rsid w:val="003B340C"/>
    <w:rsid w:val="003B34A0"/>
    <w:rsid w:val="003B3B9A"/>
    <w:rsid w:val="003B4429"/>
    <w:rsid w:val="003B4728"/>
    <w:rsid w:val="003B5081"/>
    <w:rsid w:val="003B5B4F"/>
    <w:rsid w:val="003C158A"/>
    <w:rsid w:val="003C1C23"/>
    <w:rsid w:val="003C1F90"/>
    <w:rsid w:val="003C28D9"/>
    <w:rsid w:val="003C2D1E"/>
    <w:rsid w:val="003C375A"/>
    <w:rsid w:val="003C3C23"/>
    <w:rsid w:val="003C6DB1"/>
    <w:rsid w:val="003C6EE0"/>
    <w:rsid w:val="003C7238"/>
    <w:rsid w:val="003D0EA0"/>
    <w:rsid w:val="003D0FF2"/>
    <w:rsid w:val="003D162D"/>
    <w:rsid w:val="003D1887"/>
    <w:rsid w:val="003D23B4"/>
    <w:rsid w:val="003D2B88"/>
    <w:rsid w:val="003D2C66"/>
    <w:rsid w:val="003D35F6"/>
    <w:rsid w:val="003D406E"/>
    <w:rsid w:val="003D468D"/>
    <w:rsid w:val="003D5DB9"/>
    <w:rsid w:val="003D5DCF"/>
    <w:rsid w:val="003D715A"/>
    <w:rsid w:val="003D7AD7"/>
    <w:rsid w:val="003E130F"/>
    <w:rsid w:val="003E28AD"/>
    <w:rsid w:val="003E519A"/>
    <w:rsid w:val="003E5F30"/>
    <w:rsid w:val="003E674B"/>
    <w:rsid w:val="003E6D88"/>
    <w:rsid w:val="003F0238"/>
    <w:rsid w:val="003F2465"/>
    <w:rsid w:val="003F388D"/>
    <w:rsid w:val="003F5CD2"/>
    <w:rsid w:val="003F656A"/>
    <w:rsid w:val="003F6E0F"/>
    <w:rsid w:val="003F7A65"/>
    <w:rsid w:val="003F7E46"/>
    <w:rsid w:val="004019B1"/>
    <w:rsid w:val="00402A32"/>
    <w:rsid w:val="0040649A"/>
    <w:rsid w:val="00406749"/>
    <w:rsid w:val="00406E83"/>
    <w:rsid w:val="00410753"/>
    <w:rsid w:val="00410B04"/>
    <w:rsid w:val="004113DA"/>
    <w:rsid w:val="00412B34"/>
    <w:rsid w:val="00414F0C"/>
    <w:rsid w:val="00415D1E"/>
    <w:rsid w:val="00416ABF"/>
    <w:rsid w:val="004174B8"/>
    <w:rsid w:val="00417C9E"/>
    <w:rsid w:val="0042029B"/>
    <w:rsid w:val="00420D39"/>
    <w:rsid w:val="00420F0A"/>
    <w:rsid w:val="00421BC0"/>
    <w:rsid w:val="0042238C"/>
    <w:rsid w:val="00422D19"/>
    <w:rsid w:val="004243CF"/>
    <w:rsid w:val="00424416"/>
    <w:rsid w:val="00425A6E"/>
    <w:rsid w:val="004270AD"/>
    <w:rsid w:val="00427A0D"/>
    <w:rsid w:val="00430FF1"/>
    <w:rsid w:val="004343F8"/>
    <w:rsid w:val="004372A0"/>
    <w:rsid w:val="0044050C"/>
    <w:rsid w:val="004410A7"/>
    <w:rsid w:val="004418FB"/>
    <w:rsid w:val="00442DFC"/>
    <w:rsid w:val="00445E04"/>
    <w:rsid w:val="00446A3C"/>
    <w:rsid w:val="00446C84"/>
    <w:rsid w:val="00447B6F"/>
    <w:rsid w:val="00451A4B"/>
    <w:rsid w:val="00451BB0"/>
    <w:rsid w:val="004534F7"/>
    <w:rsid w:val="00454701"/>
    <w:rsid w:val="00455719"/>
    <w:rsid w:val="00455E49"/>
    <w:rsid w:val="00456346"/>
    <w:rsid w:val="0045735D"/>
    <w:rsid w:val="00457B1A"/>
    <w:rsid w:val="00457F93"/>
    <w:rsid w:val="00460D58"/>
    <w:rsid w:val="00461484"/>
    <w:rsid w:val="0046236F"/>
    <w:rsid w:val="004624FD"/>
    <w:rsid w:val="00464DA4"/>
    <w:rsid w:val="00465AA5"/>
    <w:rsid w:val="00466536"/>
    <w:rsid w:val="0046A396"/>
    <w:rsid w:val="0047053A"/>
    <w:rsid w:val="004713E5"/>
    <w:rsid w:val="00472764"/>
    <w:rsid w:val="00476989"/>
    <w:rsid w:val="00477FFE"/>
    <w:rsid w:val="004832DA"/>
    <w:rsid w:val="00484110"/>
    <w:rsid w:val="00484D45"/>
    <w:rsid w:val="0048576E"/>
    <w:rsid w:val="00486027"/>
    <w:rsid w:val="00486685"/>
    <w:rsid w:val="00487635"/>
    <w:rsid w:val="004902D1"/>
    <w:rsid w:val="004903F2"/>
    <w:rsid w:val="004907BE"/>
    <w:rsid w:val="00494E2A"/>
    <w:rsid w:val="004963C3"/>
    <w:rsid w:val="00496E25"/>
    <w:rsid w:val="004A0BDF"/>
    <w:rsid w:val="004A1FEC"/>
    <w:rsid w:val="004A2899"/>
    <w:rsid w:val="004A2B00"/>
    <w:rsid w:val="004A2FC4"/>
    <w:rsid w:val="004A3409"/>
    <w:rsid w:val="004A3EA1"/>
    <w:rsid w:val="004A43ED"/>
    <w:rsid w:val="004A5566"/>
    <w:rsid w:val="004A5872"/>
    <w:rsid w:val="004A5AB1"/>
    <w:rsid w:val="004A63A7"/>
    <w:rsid w:val="004A6AEC"/>
    <w:rsid w:val="004B08EC"/>
    <w:rsid w:val="004B0A77"/>
    <w:rsid w:val="004B0E4A"/>
    <w:rsid w:val="004B1159"/>
    <w:rsid w:val="004B146D"/>
    <w:rsid w:val="004B178A"/>
    <w:rsid w:val="004B3607"/>
    <w:rsid w:val="004B4294"/>
    <w:rsid w:val="004B6E23"/>
    <w:rsid w:val="004C1158"/>
    <w:rsid w:val="004C1374"/>
    <w:rsid w:val="004C25CD"/>
    <w:rsid w:val="004C4047"/>
    <w:rsid w:val="004C5D8F"/>
    <w:rsid w:val="004C6FAE"/>
    <w:rsid w:val="004C7183"/>
    <w:rsid w:val="004C742A"/>
    <w:rsid w:val="004C76D8"/>
    <w:rsid w:val="004C78F2"/>
    <w:rsid w:val="004C7A53"/>
    <w:rsid w:val="004D06A7"/>
    <w:rsid w:val="004D24C0"/>
    <w:rsid w:val="004D4C58"/>
    <w:rsid w:val="004E114B"/>
    <w:rsid w:val="004E3DAB"/>
    <w:rsid w:val="004E3E73"/>
    <w:rsid w:val="004E536C"/>
    <w:rsid w:val="004E60FA"/>
    <w:rsid w:val="004E7119"/>
    <w:rsid w:val="004F0550"/>
    <w:rsid w:val="004F184C"/>
    <w:rsid w:val="004F1BDB"/>
    <w:rsid w:val="004F1CC0"/>
    <w:rsid w:val="004F3E62"/>
    <w:rsid w:val="004F549E"/>
    <w:rsid w:val="004F5753"/>
    <w:rsid w:val="004F58EC"/>
    <w:rsid w:val="004F5F10"/>
    <w:rsid w:val="004F6276"/>
    <w:rsid w:val="004F7324"/>
    <w:rsid w:val="00500E59"/>
    <w:rsid w:val="00501273"/>
    <w:rsid w:val="00501471"/>
    <w:rsid w:val="005029FD"/>
    <w:rsid w:val="00505270"/>
    <w:rsid w:val="0050589D"/>
    <w:rsid w:val="00510E32"/>
    <w:rsid w:val="00513DDE"/>
    <w:rsid w:val="00514106"/>
    <w:rsid w:val="005146F0"/>
    <w:rsid w:val="005147FF"/>
    <w:rsid w:val="00521CE7"/>
    <w:rsid w:val="005232A8"/>
    <w:rsid w:val="00524232"/>
    <w:rsid w:val="00524C76"/>
    <w:rsid w:val="00524F95"/>
    <w:rsid w:val="00524FB2"/>
    <w:rsid w:val="0052619A"/>
    <w:rsid w:val="00526ADD"/>
    <w:rsid w:val="005275D0"/>
    <w:rsid w:val="00527728"/>
    <w:rsid w:val="00530ECF"/>
    <w:rsid w:val="00532B20"/>
    <w:rsid w:val="00532C75"/>
    <w:rsid w:val="0053303A"/>
    <w:rsid w:val="0053519C"/>
    <w:rsid w:val="0053526E"/>
    <w:rsid w:val="00535CA3"/>
    <w:rsid w:val="00535CD4"/>
    <w:rsid w:val="00536256"/>
    <w:rsid w:val="0053776C"/>
    <w:rsid w:val="00540623"/>
    <w:rsid w:val="00543144"/>
    <w:rsid w:val="00545E20"/>
    <w:rsid w:val="005464D4"/>
    <w:rsid w:val="005469EE"/>
    <w:rsid w:val="00546DF5"/>
    <w:rsid w:val="005477D9"/>
    <w:rsid w:val="005479E0"/>
    <w:rsid w:val="00551981"/>
    <w:rsid w:val="005525F0"/>
    <w:rsid w:val="00553090"/>
    <w:rsid w:val="00553493"/>
    <w:rsid w:val="0055652C"/>
    <w:rsid w:val="0056049D"/>
    <w:rsid w:val="00562623"/>
    <w:rsid w:val="005630F5"/>
    <w:rsid w:val="0056410A"/>
    <w:rsid w:val="00565815"/>
    <w:rsid w:val="00565DEE"/>
    <w:rsid w:val="00566108"/>
    <w:rsid w:val="005662D9"/>
    <w:rsid w:val="00571B61"/>
    <w:rsid w:val="00572254"/>
    <w:rsid w:val="00573AFC"/>
    <w:rsid w:val="005740A4"/>
    <w:rsid w:val="00574D78"/>
    <w:rsid w:val="00575148"/>
    <w:rsid w:val="005778D1"/>
    <w:rsid w:val="00580751"/>
    <w:rsid w:val="00580C31"/>
    <w:rsid w:val="0058291D"/>
    <w:rsid w:val="00582AFC"/>
    <w:rsid w:val="0058451D"/>
    <w:rsid w:val="00586990"/>
    <w:rsid w:val="00587370"/>
    <w:rsid w:val="00587E4A"/>
    <w:rsid w:val="005921FF"/>
    <w:rsid w:val="00592FE0"/>
    <w:rsid w:val="00594228"/>
    <w:rsid w:val="00595296"/>
    <w:rsid w:val="00595BF9"/>
    <w:rsid w:val="00595DD3"/>
    <w:rsid w:val="005963A8"/>
    <w:rsid w:val="00596405"/>
    <w:rsid w:val="00596E2A"/>
    <w:rsid w:val="005A0E66"/>
    <w:rsid w:val="005A109C"/>
    <w:rsid w:val="005A1136"/>
    <w:rsid w:val="005A17D5"/>
    <w:rsid w:val="005A1B5B"/>
    <w:rsid w:val="005A20F8"/>
    <w:rsid w:val="005A50F3"/>
    <w:rsid w:val="005A5898"/>
    <w:rsid w:val="005B607B"/>
    <w:rsid w:val="005B785E"/>
    <w:rsid w:val="005C0115"/>
    <w:rsid w:val="005C158A"/>
    <w:rsid w:val="005C22B5"/>
    <w:rsid w:val="005C25B7"/>
    <w:rsid w:val="005C271A"/>
    <w:rsid w:val="005C2BA1"/>
    <w:rsid w:val="005C492A"/>
    <w:rsid w:val="005C4CC4"/>
    <w:rsid w:val="005C6413"/>
    <w:rsid w:val="005D11E5"/>
    <w:rsid w:val="005D1A86"/>
    <w:rsid w:val="005D350B"/>
    <w:rsid w:val="005D3676"/>
    <w:rsid w:val="005D371F"/>
    <w:rsid w:val="005D38B6"/>
    <w:rsid w:val="005D56D0"/>
    <w:rsid w:val="005D56DD"/>
    <w:rsid w:val="005D5CB2"/>
    <w:rsid w:val="005D5CFE"/>
    <w:rsid w:val="005D5FB9"/>
    <w:rsid w:val="005D6758"/>
    <w:rsid w:val="005D7FB1"/>
    <w:rsid w:val="005E2939"/>
    <w:rsid w:val="005E578F"/>
    <w:rsid w:val="005E6911"/>
    <w:rsid w:val="005F21D0"/>
    <w:rsid w:val="005F22A3"/>
    <w:rsid w:val="005F2A6B"/>
    <w:rsid w:val="005F31F0"/>
    <w:rsid w:val="005F34E1"/>
    <w:rsid w:val="005F4DB1"/>
    <w:rsid w:val="005F5800"/>
    <w:rsid w:val="005F64A2"/>
    <w:rsid w:val="005F68AB"/>
    <w:rsid w:val="005F7571"/>
    <w:rsid w:val="00600EA6"/>
    <w:rsid w:val="006012E2"/>
    <w:rsid w:val="00601B1B"/>
    <w:rsid w:val="00602755"/>
    <w:rsid w:val="00602B95"/>
    <w:rsid w:val="0060344F"/>
    <w:rsid w:val="00604AFC"/>
    <w:rsid w:val="0060523A"/>
    <w:rsid w:val="00605633"/>
    <w:rsid w:val="00605719"/>
    <w:rsid w:val="00610411"/>
    <w:rsid w:val="00610EDC"/>
    <w:rsid w:val="00611B3A"/>
    <w:rsid w:val="00616526"/>
    <w:rsid w:val="00621098"/>
    <w:rsid w:val="0062348A"/>
    <w:rsid w:val="006234FA"/>
    <w:rsid w:val="006238EA"/>
    <w:rsid w:val="0062402B"/>
    <w:rsid w:val="00625460"/>
    <w:rsid w:val="00625AF3"/>
    <w:rsid w:val="006266DE"/>
    <w:rsid w:val="00630DA3"/>
    <w:rsid w:val="00630E81"/>
    <w:rsid w:val="0063395D"/>
    <w:rsid w:val="00633DFA"/>
    <w:rsid w:val="006349EF"/>
    <w:rsid w:val="00635065"/>
    <w:rsid w:val="00636359"/>
    <w:rsid w:val="0063649F"/>
    <w:rsid w:val="006366C0"/>
    <w:rsid w:val="0063775A"/>
    <w:rsid w:val="00637C7B"/>
    <w:rsid w:val="006403AB"/>
    <w:rsid w:val="00642FA8"/>
    <w:rsid w:val="00643E32"/>
    <w:rsid w:val="0064447F"/>
    <w:rsid w:val="0064670D"/>
    <w:rsid w:val="006477E8"/>
    <w:rsid w:val="00647A0F"/>
    <w:rsid w:val="006503C7"/>
    <w:rsid w:val="00650BAE"/>
    <w:rsid w:val="00650FD1"/>
    <w:rsid w:val="00651DAD"/>
    <w:rsid w:val="00652D21"/>
    <w:rsid w:val="00653B3D"/>
    <w:rsid w:val="006543BD"/>
    <w:rsid w:val="00654916"/>
    <w:rsid w:val="0065567F"/>
    <w:rsid w:val="00656B3A"/>
    <w:rsid w:val="00656BB1"/>
    <w:rsid w:val="00661100"/>
    <w:rsid w:val="00662329"/>
    <w:rsid w:val="00664458"/>
    <w:rsid w:val="0066463A"/>
    <w:rsid w:val="00665C9A"/>
    <w:rsid w:val="00666C2D"/>
    <w:rsid w:val="006670C1"/>
    <w:rsid w:val="0066762E"/>
    <w:rsid w:val="00670FF9"/>
    <w:rsid w:val="006713B9"/>
    <w:rsid w:val="00671840"/>
    <w:rsid w:val="00671DBB"/>
    <w:rsid w:val="0067473B"/>
    <w:rsid w:val="00677E35"/>
    <w:rsid w:val="00680BF6"/>
    <w:rsid w:val="006816F3"/>
    <w:rsid w:val="0068172E"/>
    <w:rsid w:val="0068278F"/>
    <w:rsid w:val="006841A8"/>
    <w:rsid w:val="0068425B"/>
    <w:rsid w:val="00684C98"/>
    <w:rsid w:val="00684FC6"/>
    <w:rsid w:val="0068535B"/>
    <w:rsid w:val="0068570C"/>
    <w:rsid w:val="00687447"/>
    <w:rsid w:val="0069038E"/>
    <w:rsid w:val="0069092A"/>
    <w:rsid w:val="0069188D"/>
    <w:rsid w:val="00691FEC"/>
    <w:rsid w:val="0069347F"/>
    <w:rsid w:val="00693D3F"/>
    <w:rsid w:val="00693EB3"/>
    <w:rsid w:val="006942AD"/>
    <w:rsid w:val="00695117"/>
    <w:rsid w:val="00695535"/>
    <w:rsid w:val="006962F9"/>
    <w:rsid w:val="0069718E"/>
    <w:rsid w:val="006979B4"/>
    <w:rsid w:val="006A1498"/>
    <w:rsid w:val="006A2CE9"/>
    <w:rsid w:val="006A4925"/>
    <w:rsid w:val="006A5A1C"/>
    <w:rsid w:val="006A62F0"/>
    <w:rsid w:val="006A7D40"/>
    <w:rsid w:val="006A7DEC"/>
    <w:rsid w:val="006B061F"/>
    <w:rsid w:val="006B193E"/>
    <w:rsid w:val="006B2974"/>
    <w:rsid w:val="006B2DC7"/>
    <w:rsid w:val="006B2FF3"/>
    <w:rsid w:val="006B3637"/>
    <w:rsid w:val="006B3C35"/>
    <w:rsid w:val="006B3CC1"/>
    <w:rsid w:val="006B4E98"/>
    <w:rsid w:val="006B5CC6"/>
    <w:rsid w:val="006C075D"/>
    <w:rsid w:val="006C281E"/>
    <w:rsid w:val="006C3961"/>
    <w:rsid w:val="006C3A7A"/>
    <w:rsid w:val="006C3A94"/>
    <w:rsid w:val="006C3CB9"/>
    <w:rsid w:val="006C3FCA"/>
    <w:rsid w:val="006C5402"/>
    <w:rsid w:val="006C5464"/>
    <w:rsid w:val="006C5A10"/>
    <w:rsid w:val="006C6E03"/>
    <w:rsid w:val="006C7CB6"/>
    <w:rsid w:val="006C7EB0"/>
    <w:rsid w:val="006D143B"/>
    <w:rsid w:val="006D1449"/>
    <w:rsid w:val="006D21A2"/>
    <w:rsid w:val="006D2B4C"/>
    <w:rsid w:val="006D5A8A"/>
    <w:rsid w:val="006D61CA"/>
    <w:rsid w:val="006D73E7"/>
    <w:rsid w:val="006D795C"/>
    <w:rsid w:val="006E00F7"/>
    <w:rsid w:val="006E1CFF"/>
    <w:rsid w:val="006E2219"/>
    <w:rsid w:val="006E3065"/>
    <w:rsid w:val="006E3FF7"/>
    <w:rsid w:val="006E4297"/>
    <w:rsid w:val="006E5C27"/>
    <w:rsid w:val="006E680A"/>
    <w:rsid w:val="006E681E"/>
    <w:rsid w:val="006F1035"/>
    <w:rsid w:val="006F1F24"/>
    <w:rsid w:val="006F3E2D"/>
    <w:rsid w:val="006F46F0"/>
    <w:rsid w:val="006F4CD6"/>
    <w:rsid w:val="006F5D2A"/>
    <w:rsid w:val="006F5E47"/>
    <w:rsid w:val="006F72CF"/>
    <w:rsid w:val="00701207"/>
    <w:rsid w:val="00701DA3"/>
    <w:rsid w:val="00703B9C"/>
    <w:rsid w:val="00703D15"/>
    <w:rsid w:val="00707E7E"/>
    <w:rsid w:val="0071184D"/>
    <w:rsid w:val="00712572"/>
    <w:rsid w:val="0071372D"/>
    <w:rsid w:val="00713B13"/>
    <w:rsid w:val="00716FC5"/>
    <w:rsid w:val="007201DD"/>
    <w:rsid w:val="00726588"/>
    <w:rsid w:val="00727DEF"/>
    <w:rsid w:val="007300EC"/>
    <w:rsid w:val="00731041"/>
    <w:rsid w:val="007325A1"/>
    <w:rsid w:val="00734443"/>
    <w:rsid w:val="007351E5"/>
    <w:rsid w:val="0073726B"/>
    <w:rsid w:val="007377C5"/>
    <w:rsid w:val="00737DD9"/>
    <w:rsid w:val="0074206B"/>
    <w:rsid w:val="0074501A"/>
    <w:rsid w:val="00746045"/>
    <w:rsid w:val="00746A4D"/>
    <w:rsid w:val="00746DB3"/>
    <w:rsid w:val="0074799C"/>
    <w:rsid w:val="0075024F"/>
    <w:rsid w:val="00751628"/>
    <w:rsid w:val="00752D30"/>
    <w:rsid w:val="00752DA3"/>
    <w:rsid w:val="00754086"/>
    <w:rsid w:val="007557F8"/>
    <w:rsid w:val="00755BC2"/>
    <w:rsid w:val="00755C6A"/>
    <w:rsid w:val="00756522"/>
    <w:rsid w:val="00760C49"/>
    <w:rsid w:val="00762923"/>
    <w:rsid w:val="00762F19"/>
    <w:rsid w:val="00766432"/>
    <w:rsid w:val="007665A8"/>
    <w:rsid w:val="00770401"/>
    <w:rsid w:val="0077201B"/>
    <w:rsid w:val="007720A0"/>
    <w:rsid w:val="00772B1F"/>
    <w:rsid w:val="007743E2"/>
    <w:rsid w:val="00774489"/>
    <w:rsid w:val="00774990"/>
    <w:rsid w:val="007758BD"/>
    <w:rsid w:val="007764B5"/>
    <w:rsid w:val="00776882"/>
    <w:rsid w:val="007777A9"/>
    <w:rsid w:val="007801F3"/>
    <w:rsid w:val="0078049B"/>
    <w:rsid w:val="007809D9"/>
    <w:rsid w:val="00780B48"/>
    <w:rsid w:val="007813E8"/>
    <w:rsid w:val="00782E82"/>
    <w:rsid w:val="00786470"/>
    <w:rsid w:val="007865A0"/>
    <w:rsid w:val="00786D8F"/>
    <w:rsid w:val="00790C94"/>
    <w:rsid w:val="00790F5A"/>
    <w:rsid w:val="00791577"/>
    <w:rsid w:val="00791B89"/>
    <w:rsid w:val="00792AA1"/>
    <w:rsid w:val="00793355"/>
    <w:rsid w:val="00793384"/>
    <w:rsid w:val="00794305"/>
    <w:rsid w:val="00794AAA"/>
    <w:rsid w:val="00797327"/>
    <w:rsid w:val="007A03D2"/>
    <w:rsid w:val="007A0822"/>
    <w:rsid w:val="007A0A3B"/>
    <w:rsid w:val="007A1977"/>
    <w:rsid w:val="007A1A13"/>
    <w:rsid w:val="007A2A7F"/>
    <w:rsid w:val="007A4874"/>
    <w:rsid w:val="007A5C7A"/>
    <w:rsid w:val="007A5F98"/>
    <w:rsid w:val="007A633F"/>
    <w:rsid w:val="007A69C7"/>
    <w:rsid w:val="007B29F9"/>
    <w:rsid w:val="007B5533"/>
    <w:rsid w:val="007B7955"/>
    <w:rsid w:val="007B7D67"/>
    <w:rsid w:val="007B7D84"/>
    <w:rsid w:val="007C0830"/>
    <w:rsid w:val="007C0921"/>
    <w:rsid w:val="007C1EED"/>
    <w:rsid w:val="007C24F3"/>
    <w:rsid w:val="007C3DB4"/>
    <w:rsid w:val="007C3E62"/>
    <w:rsid w:val="007C4B14"/>
    <w:rsid w:val="007C586D"/>
    <w:rsid w:val="007C677F"/>
    <w:rsid w:val="007C6FC4"/>
    <w:rsid w:val="007C72BE"/>
    <w:rsid w:val="007D3430"/>
    <w:rsid w:val="007D3A21"/>
    <w:rsid w:val="007D459C"/>
    <w:rsid w:val="007D7218"/>
    <w:rsid w:val="007D79DF"/>
    <w:rsid w:val="007E08FC"/>
    <w:rsid w:val="007E1E7D"/>
    <w:rsid w:val="007E240E"/>
    <w:rsid w:val="007E2F77"/>
    <w:rsid w:val="007E5CCD"/>
    <w:rsid w:val="007F0F23"/>
    <w:rsid w:val="007F17AD"/>
    <w:rsid w:val="007F1B5F"/>
    <w:rsid w:val="007F44DE"/>
    <w:rsid w:val="007F58F5"/>
    <w:rsid w:val="007F5BE0"/>
    <w:rsid w:val="007F5CEC"/>
    <w:rsid w:val="007F6C71"/>
    <w:rsid w:val="007F7515"/>
    <w:rsid w:val="00800D20"/>
    <w:rsid w:val="00801A2D"/>
    <w:rsid w:val="0080384B"/>
    <w:rsid w:val="008041EB"/>
    <w:rsid w:val="00804D41"/>
    <w:rsid w:val="0080542C"/>
    <w:rsid w:val="00805A25"/>
    <w:rsid w:val="00806891"/>
    <w:rsid w:val="008071A3"/>
    <w:rsid w:val="00807A7D"/>
    <w:rsid w:val="00810761"/>
    <w:rsid w:val="00810D1C"/>
    <w:rsid w:val="00812084"/>
    <w:rsid w:val="0081275E"/>
    <w:rsid w:val="00812C42"/>
    <w:rsid w:val="00814881"/>
    <w:rsid w:val="00814C1E"/>
    <w:rsid w:val="00817C4A"/>
    <w:rsid w:val="0082004D"/>
    <w:rsid w:val="0082204D"/>
    <w:rsid w:val="008233CD"/>
    <w:rsid w:val="00823AAD"/>
    <w:rsid w:val="0082459C"/>
    <w:rsid w:val="00825C34"/>
    <w:rsid w:val="00825D3B"/>
    <w:rsid w:val="00827B03"/>
    <w:rsid w:val="00827EDC"/>
    <w:rsid w:val="00830B31"/>
    <w:rsid w:val="00832676"/>
    <w:rsid w:val="00834590"/>
    <w:rsid w:val="00835B81"/>
    <w:rsid w:val="00835C0E"/>
    <w:rsid w:val="00837CBE"/>
    <w:rsid w:val="00837F8F"/>
    <w:rsid w:val="00842FEE"/>
    <w:rsid w:val="00845140"/>
    <w:rsid w:val="00846300"/>
    <w:rsid w:val="00847260"/>
    <w:rsid w:val="008501D8"/>
    <w:rsid w:val="00850F99"/>
    <w:rsid w:val="008515EA"/>
    <w:rsid w:val="00852D5C"/>
    <w:rsid w:val="00853423"/>
    <w:rsid w:val="00853E2A"/>
    <w:rsid w:val="008542DF"/>
    <w:rsid w:val="00855A70"/>
    <w:rsid w:val="00855AC0"/>
    <w:rsid w:val="00856B5F"/>
    <w:rsid w:val="0085739F"/>
    <w:rsid w:val="00857DE0"/>
    <w:rsid w:val="00860638"/>
    <w:rsid w:val="00860ACB"/>
    <w:rsid w:val="00861485"/>
    <w:rsid w:val="00862442"/>
    <w:rsid w:val="008639C9"/>
    <w:rsid w:val="008653A6"/>
    <w:rsid w:val="008654D0"/>
    <w:rsid w:val="00865F56"/>
    <w:rsid w:val="0086605F"/>
    <w:rsid w:val="00866B15"/>
    <w:rsid w:val="00866CB4"/>
    <w:rsid w:val="00866FD1"/>
    <w:rsid w:val="00866FEC"/>
    <w:rsid w:val="008700C3"/>
    <w:rsid w:val="0087153D"/>
    <w:rsid w:val="0087296B"/>
    <w:rsid w:val="00872C75"/>
    <w:rsid w:val="008742F7"/>
    <w:rsid w:val="008743F0"/>
    <w:rsid w:val="008744E2"/>
    <w:rsid w:val="008749F4"/>
    <w:rsid w:val="00874C77"/>
    <w:rsid w:val="00874DB6"/>
    <w:rsid w:val="008751DE"/>
    <w:rsid w:val="008755A2"/>
    <w:rsid w:val="008761EA"/>
    <w:rsid w:val="00876381"/>
    <w:rsid w:val="00881817"/>
    <w:rsid w:val="00881C70"/>
    <w:rsid w:val="0088238E"/>
    <w:rsid w:val="008824D6"/>
    <w:rsid w:val="00883E06"/>
    <w:rsid w:val="0088462B"/>
    <w:rsid w:val="00884816"/>
    <w:rsid w:val="008862BC"/>
    <w:rsid w:val="008873E0"/>
    <w:rsid w:val="00887604"/>
    <w:rsid w:val="008917B5"/>
    <w:rsid w:val="0089195C"/>
    <w:rsid w:val="00891C36"/>
    <w:rsid w:val="008A0F98"/>
    <w:rsid w:val="008A3316"/>
    <w:rsid w:val="008A41C9"/>
    <w:rsid w:val="008A48C0"/>
    <w:rsid w:val="008B067B"/>
    <w:rsid w:val="008B2143"/>
    <w:rsid w:val="008B2F79"/>
    <w:rsid w:val="008B66C1"/>
    <w:rsid w:val="008B69CF"/>
    <w:rsid w:val="008C0134"/>
    <w:rsid w:val="008C1011"/>
    <w:rsid w:val="008C2A41"/>
    <w:rsid w:val="008C576E"/>
    <w:rsid w:val="008C5C19"/>
    <w:rsid w:val="008D075C"/>
    <w:rsid w:val="008D080F"/>
    <w:rsid w:val="008D29ED"/>
    <w:rsid w:val="008D314D"/>
    <w:rsid w:val="008D33BB"/>
    <w:rsid w:val="008D72B7"/>
    <w:rsid w:val="008D7BBD"/>
    <w:rsid w:val="008E022A"/>
    <w:rsid w:val="008E055F"/>
    <w:rsid w:val="008E11E2"/>
    <w:rsid w:val="008E121E"/>
    <w:rsid w:val="008E1CB4"/>
    <w:rsid w:val="008E3660"/>
    <w:rsid w:val="008E3D15"/>
    <w:rsid w:val="008E463B"/>
    <w:rsid w:val="008E48EB"/>
    <w:rsid w:val="008E50AA"/>
    <w:rsid w:val="008E6109"/>
    <w:rsid w:val="008F0D19"/>
    <w:rsid w:val="008F11B8"/>
    <w:rsid w:val="008F1420"/>
    <w:rsid w:val="008F2F51"/>
    <w:rsid w:val="008F35A2"/>
    <w:rsid w:val="008F43B7"/>
    <w:rsid w:val="008F46C2"/>
    <w:rsid w:val="008F633B"/>
    <w:rsid w:val="008F7365"/>
    <w:rsid w:val="0090185A"/>
    <w:rsid w:val="00902C61"/>
    <w:rsid w:val="00903E29"/>
    <w:rsid w:val="00904A93"/>
    <w:rsid w:val="00905F07"/>
    <w:rsid w:val="00905F55"/>
    <w:rsid w:val="00906F1D"/>
    <w:rsid w:val="00906F73"/>
    <w:rsid w:val="0090734F"/>
    <w:rsid w:val="00907E68"/>
    <w:rsid w:val="009102EB"/>
    <w:rsid w:val="009111A6"/>
    <w:rsid w:val="009124A0"/>
    <w:rsid w:val="009127A4"/>
    <w:rsid w:val="00912D1E"/>
    <w:rsid w:val="00913086"/>
    <w:rsid w:val="009141A8"/>
    <w:rsid w:val="00916349"/>
    <w:rsid w:val="009169C3"/>
    <w:rsid w:val="00917436"/>
    <w:rsid w:val="00921163"/>
    <w:rsid w:val="00922AC4"/>
    <w:rsid w:val="009231B1"/>
    <w:rsid w:val="00926764"/>
    <w:rsid w:val="009272AC"/>
    <w:rsid w:val="0092797D"/>
    <w:rsid w:val="009323F0"/>
    <w:rsid w:val="00934169"/>
    <w:rsid w:val="009341F3"/>
    <w:rsid w:val="00934510"/>
    <w:rsid w:val="0093673F"/>
    <w:rsid w:val="009367B7"/>
    <w:rsid w:val="009368EB"/>
    <w:rsid w:val="00941295"/>
    <w:rsid w:val="00944102"/>
    <w:rsid w:val="00950300"/>
    <w:rsid w:val="0095030F"/>
    <w:rsid w:val="00951936"/>
    <w:rsid w:val="00953314"/>
    <w:rsid w:val="00953921"/>
    <w:rsid w:val="009553FE"/>
    <w:rsid w:val="00956C59"/>
    <w:rsid w:val="0095794F"/>
    <w:rsid w:val="009579A5"/>
    <w:rsid w:val="009607C0"/>
    <w:rsid w:val="00960985"/>
    <w:rsid w:val="00961001"/>
    <w:rsid w:val="009610C4"/>
    <w:rsid w:val="00962112"/>
    <w:rsid w:val="009626C3"/>
    <w:rsid w:val="009635BF"/>
    <w:rsid w:val="0096385A"/>
    <w:rsid w:val="00965C78"/>
    <w:rsid w:val="00967213"/>
    <w:rsid w:val="009701B6"/>
    <w:rsid w:val="00970CE5"/>
    <w:rsid w:val="0097178E"/>
    <w:rsid w:val="00971917"/>
    <w:rsid w:val="00973293"/>
    <w:rsid w:val="0097338A"/>
    <w:rsid w:val="00973D29"/>
    <w:rsid w:val="00973E12"/>
    <w:rsid w:val="009752DC"/>
    <w:rsid w:val="0097540C"/>
    <w:rsid w:val="0097542D"/>
    <w:rsid w:val="009755B8"/>
    <w:rsid w:val="009755E9"/>
    <w:rsid w:val="009779C3"/>
    <w:rsid w:val="009802AE"/>
    <w:rsid w:val="0098239E"/>
    <w:rsid w:val="00983608"/>
    <w:rsid w:val="00985D4F"/>
    <w:rsid w:val="00985FDD"/>
    <w:rsid w:val="00986F77"/>
    <w:rsid w:val="0098780F"/>
    <w:rsid w:val="0099020A"/>
    <w:rsid w:val="00990877"/>
    <w:rsid w:val="00990D94"/>
    <w:rsid w:val="009914CA"/>
    <w:rsid w:val="00991604"/>
    <w:rsid w:val="00991865"/>
    <w:rsid w:val="009939D6"/>
    <w:rsid w:val="00994AB0"/>
    <w:rsid w:val="00996622"/>
    <w:rsid w:val="00997C98"/>
    <w:rsid w:val="009A0B21"/>
    <w:rsid w:val="009A142B"/>
    <w:rsid w:val="009A1D1D"/>
    <w:rsid w:val="009A6B01"/>
    <w:rsid w:val="009A7168"/>
    <w:rsid w:val="009A74D9"/>
    <w:rsid w:val="009A7BD3"/>
    <w:rsid w:val="009B17CD"/>
    <w:rsid w:val="009B1A08"/>
    <w:rsid w:val="009B1E56"/>
    <w:rsid w:val="009B25C8"/>
    <w:rsid w:val="009B38AF"/>
    <w:rsid w:val="009B42EC"/>
    <w:rsid w:val="009B46D4"/>
    <w:rsid w:val="009B7E9C"/>
    <w:rsid w:val="009B7F45"/>
    <w:rsid w:val="009C10AA"/>
    <w:rsid w:val="009C1362"/>
    <w:rsid w:val="009C3176"/>
    <w:rsid w:val="009C35DA"/>
    <w:rsid w:val="009C3D83"/>
    <w:rsid w:val="009C494E"/>
    <w:rsid w:val="009C543E"/>
    <w:rsid w:val="009C5D95"/>
    <w:rsid w:val="009C6591"/>
    <w:rsid w:val="009C674C"/>
    <w:rsid w:val="009C776F"/>
    <w:rsid w:val="009D0403"/>
    <w:rsid w:val="009D05B6"/>
    <w:rsid w:val="009D1842"/>
    <w:rsid w:val="009D24EF"/>
    <w:rsid w:val="009D467D"/>
    <w:rsid w:val="009D69DA"/>
    <w:rsid w:val="009D6A0A"/>
    <w:rsid w:val="009E0768"/>
    <w:rsid w:val="009E0771"/>
    <w:rsid w:val="009E1537"/>
    <w:rsid w:val="009E154A"/>
    <w:rsid w:val="009E165F"/>
    <w:rsid w:val="009E2242"/>
    <w:rsid w:val="009E2E24"/>
    <w:rsid w:val="009E3A31"/>
    <w:rsid w:val="009E53EA"/>
    <w:rsid w:val="009E5918"/>
    <w:rsid w:val="009E6230"/>
    <w:rsid w:val="009E65BC"/>
    <w:rsid w:val="009E669C"/>
    <w:rsid w:val="009E6F24"/>
    <w:rsid w:val="009E7753"/>
    <w:rsid w:val="009F2073"/>
    <w:rsid w:val="009F3568"/>
    <w:rsid w:val="009F3F00"/>
    <w:rsid w:val="009F4349"/>
    <w:rsid w:val="009F5336"/>
    <w:rsid w:val="009F5A74"/>
    <w:rsid w:val="009F6EBF"/>
    <w:rsid w:val="00A0123F"/>
    <w:rsid w:val="00A03173"/>
    <w:rsid w:val="00A03BAB"/>
    <w:rsid w:val="00A03F86"/>
    <w:rsid w:val="00A0648D"/>
    <w:rsid w:val="00A075B8"/>
    <w:rsid w:val="00A07D24"/>
    <w:rsid w:val="00A10942"/>
    <w:rsid w:val="00A10F8D"/>
    <w:rsid w:val="00A1157E"/>
    <w:rsid w:val="00A128D3"/>
    <w:rsid w:val="00A134E1"/>
    <w:rsid w:val="00A14B7A"/>
    <w:rsid w:val="00A14D35"/>
    <w:rsid w:val="00A14D52"/>
    <w:rsid w:val="00A16670"/>
    <w:rsid w:val="00A214AA"/>
    <w:rsid w:val="00A21D87"/>
    <w:rsid w:val="00A226BE"/>
    <w:rsid w:val="00A23127"/>
    <w:rsid w:val="00A25C8F"/>
    <w:rsid w:val="00A262BF"/>
    <w:rsid w:val="00A266B0"/>
    <w:rsid w:val="00A30261"/>
    <w:rsid w:val="00A316A3"/>
    <w:rsid w:val="00A3394F"/>
    <w:rsid w:val="00A34073"/>
    <w:rsid w:val="00A347B3"/>
    <w:rsid w:val="00A35217"/>
    <w:rsid w:val="00A35AA2"/>
    <w:rsid w:val="00A375A8"/>
    <w:rsid w:val="00A40C99"/>
    <w:rsid w:val="00A40D34"/>
    <w:rsid w:val="00A41762"/>
    <w:rsid w:val="00A4384A"/>
    <w:rsid w:val="00A4450D"/>
    <w:rsid w:val="00A45577"/>
    <w:rsid w:val="00A474A3"/>
    <w:rsid w:val="00A50335"/>
    <w:rsid w:val="00A51C76"/>
    <w:rsid w:val="00A51FAA"/>
    <w:rsid w:val="00A55863"/>
    <w:rsid w:val="00A566E3"/>
    <w:rsid w:val="00A56C54"/>
    <w:rsid w:val="00A570E7"/>
    <w:rsid w:val="00A57B86"/>
    <w:rsid w:val="00A57C42"/>
    <w:rsid w:val="00A600DA"/>
    <w:rsid w:val="00A60CB9"/>
    <w:rsid w:val="00A614C4"/>
    <w:rsid w:val="00A61CBA"/>
    <w:rsid w:val="00A62258"/>
    <w:rsid w:val="00A62AFD"/>
    <w:rsid w:val="00A63E5D"/>
    <w:rsid w:val="00A664DF"/>
    <w:rsid w:val="00A665FC"/>
    <w:rsid w:val="00A66726"/>
    <w:rsid w:val="00A66DE1"/>
    <w:rsid w:val="00A70E51"/>
    <w:rsid w:val="00A712FF"/>
    <w:rsid w:val="00A737CC"/>
    <w:rsid w:val="00A73BDB"/>
    <w:rsid w:val="00A747DA"/>
    <w:rsid w:val="00A74D06"/>
    <w:rsid w:val="00A765AA"/>
    <w:rsid w:val="00A803B0"/>
    <w:rsid w:val="00A80E8F"/>
    <w:rsid w:val="00A82183"/>
    <w:rsid w:val="00A82415"/>
    <w:rsid w:val="00A827B7"/>
    <w:rsid w:val="00A8401C"/>
    <w:rsid w:val="00A84255"/>
    <w:rsid w:val="00A846FC"/>
    <w:rsid w:val="00A84917"/>
    <w:rsid w:val="00A85923"/>
    <w:rsid w:val="00A85A11"/>
    <w:rsid w:val="00A85A81"/>
    <w:rsid w:val="00A90528"/>
    <w:rsid w:val="00A93BE7"/>
    <w:rsid w:val="00A94E4E"/>
    <w:rsid w:val="00A96610"/>
    <w:rsid w:val="00A97178"/>
    <w:rsid w:val="00A97497"/>
    <w:rsid w:val="00AA06FA"/>
    <w:rsid w:val="00AA1C1E"/>
    <w:rsid w:val="00AA1C8B"/>
    <w:rsid w:val="00AA2732"/>
    <w:rsid w:val="00AA2C70"/>
    <w:rsid w:val="00AA5323"/>
    <w:rsid w:val="00AA7591"/>
    <w:rsid w:val="00AB33D7"/>
    <w:rsid w:val="00AB3DA7"/>
    <w:rsid w:val="00AB5874"/>
    <w:rsid w:val="00AB7729"/>
    <w:rsid w:val="00AC0A5B"/>
    <w:rsid w:val="00AC0AD5"/>
    <w:rsid w:val="00AC0D96"/>
    <w:rsid w:val="00AC1A0A"/>
    <w:rsid w:val="00AC27A8"/>
    <w:rsid w:val="00AC2B20"/>
    <w:rsid w:val="00AC2FA8"/>
    <w:rsid w:val="00AC6004"/>
    <w:rsid w:val="00AC68F0"/>
    <w:rsid w:val="00AC7872"/>
    <w:rsid w:val="00AC7EF2"/>
    <w:rsid w:val="00AD1210"/>
    <w:rsid w:val="00AD1212"/>
    <w:rsid w:val="00AD181F"/>
    <w:rsid w:val="00AD2083"/>
    <w:rsid w:val="00AD3C4D"/>
    <w:rsid w:val="00AD4650"/>
    <w:rsid w:val="00AD531F"/>
    <w:rsid w:val="00AD57A6"/>
    <w:rsid w:val="00AD6985"/>
    <w:rsid w:val="00AD6988"/>
    <w:rsid w:val="00AD6A10"/>
    <w:rsid w:val="00AD7F40"/>
    <w:rsid w:val="00AE10B2"/>
    <w:rsid w:val="00AE10CB"/>
    <w:rsid w:val="00AE4BED"/>
    <w:rsid w:val="00AE5AD5"/>
    <w:rsid w:val="00AE7AE3"/>
    <w:rsid w:val="00AF144C"/>
    <w:rsid w:val="00AF2097"/>
    <w:rsid w:val="00AF36DC"/>
    <w:rsid w:val="00AF47AA"/>
    <w:rsid w:val="00AF48F7"/>
    <w:rsid w:val="00AF4A8E"/>
    <w:rsid w:val="00AF5F25"/>
    <w:rsid w:val="00AF6D0E"/>
    <w:rsid w:val="00AF6DF9"/>
    <w:rsid w:val="00AF7658"/>
    <w:rsid w:val="00B00433"/>
    <w:rsid w:val="00B02154"/>
    <w:rsid w:val="00B02922"/>
    <w:rsid w:val="00B033DD"/>
    <w:rsid w:val="00B03A02"/>
    <w:rsid w:val="00B03E03"/>
    <w:rsid w:val="00B03E5B"/>
    <w:rsid w:val="00B03F63"/>
    <w:rsid w:val="00B044F5"/>
    <w:rsid w:val="00B04F9A"/>
    <w:rsid w:val="00B05E82"/>
    <w:rsid w:val="00B06AF7"/>
    <w:rsid w:val="00B06DD2"/>
    <w:rsid w:val="00B07DEB"/>
    <w:rsid w:val="00B11944"/>
    <w:rsid w:val="00B11B06"/>
    <w:rsid w:val="00B1250E"/>
    <w:rsid w:val="00B132C2"/>
    <w:rsid w:val="00B146E6"/>
    <w:rsid w:val="00B1580E"/>
    <w:rsid w:val="00B16582"/>
    <w:rsid w:val="00B176DD"/>
    <w:rsid w:val="00B20059"/>
    <w:rsid w:val="00B22816"/>
    <w:rsid w:val="00B231AE"/>
    <w:rsid w:val="00B23F5E"/>
    <w:rsid w:val="00B25513"/>
    <w:rsid w:val="00B27FC3"/>
    <w:rsid w:val="00B30D6D"/>
    <w:rsid w:val="00B31EBC"/>
    <w:rsid w:val="00B321DA"/>
    <w:rsid w:val="00B326C5"/>
    <w:rsid w:val="00B32E3B"/>
    <w:rsid w:val="00B33096"/>
    <w:rsid w:val="00B352B3"/>
    <w:rsid w:val="00B3559F"/>
    <w:rsid w:val="00B356AD"/>
    <w:rsid w:val="00B37015"/>
    <w:rsid w:val="00B41215"/>
    <w:rsid w:val="00B419D4"/>
    <w:rsid w:val="00B41F34"/>
    <w:rsid w:val="00B42A09"/>
    <w:rsid w:val="00B47CD6"/>
    <w:rsid w:val="00B50629"/>
    <w:rsid w:val="00B5154A"/>
    <w:rsid w:val="00B515DD"/>
    <w:rsid w:val="00B519B3"/>
    <w:rsid w:val="00B54743"/>
    <w:rsid w:val="00B54972"/>
    <w:rsid w:val="00B54F37"/>
    <w:rsid w:val="00B556F6"/>
    <w:rsid w:val="00B56D46"/>
    <w:rsid w:val="00B57C0C"/>
    <w:rsid w:val="00B6071B"/>
    <w:rsid w:val="00B61380"/>
    <w:rsid w:val="00B61C96"/>
    <w:rsid w:val="00B62D31"/>
    <w:rsid w:val="00B62F4B"/>
    <w:rsid w:val="00B63816"/>
    <w:rsid w:val="00B64269"/>
    <w:rsid w:val="00B6550F"/>
    <w:rsid w:val="00B655DF"/>
    <w:rsid w:val="00B656BF"/>
    <w:rsid w:val="00B66CA2"/>
    <w:rsid w:val="00B675C4"/>
    <w:rsid w:val="00B70358"/>
    <w:rsid w:val="00B70F28"/>
    <w:rsid w:val="00B71A96"/>
    <w:rsid w:val="00B73457"/>
    <w:rsid w:val="00B73F98"/>
    <w:rsid w:val="00B7464E"/>
    <w:rsid w:val="00B75AEF"/>
    <w:rsid w:val="00B7681B"/>
    <w:rsid w:val="00B7711A"/>
    <w:rsid w:val="00B80D77"/>
    <w:rsid w:val="00B824B4"/>
    <w:rsid w:val="00B8503C"/>
    <w:rsid w:val="00B8657E"/>
    <w:rsid w:val="00B86918"/>
    <w:rsid w:val="00B90D7E"/>
    <w:rsid w:val="00B90F21"/>
    <w:rsid w:val="00B91629"/>
    <w:rsid w:val="00B91D7E"/>
    <w:rsid w:val="00B91F0E"/>
    <w:rsid w:val="00B91F72"/>
    <w:rsid w:val="00B925AE"/>
    <w:rsid w:val="00B925BA"/>
    <w:rsid w:val="00B92773"/>
    <w:rsid w:val="00B936C4"/>
    <w:rsid w:val="00B93775"/>
    <w:rsid w:val="00B93807"/>
    <w:rsid w:val="00B943C8"/>
    <w:rsid w:val="00B96034"/>
    <w:rsid w:val="00B97B47"/>
    <w:rsid w:val="00BA0F12"/>
    <w:rsid w:val="00BA1E28"/>
    <w:rsid w:val="00BA3249"/>
    <w:rsid w:val="00BA6381"/>
    <w:rsid w:val="00BA66A8"/>
    <w:rsid w:val="00BA6AA0"/>
    <w:rsid w:val="00BA6D85"/>
    <w:rsid w:val="00BB39C4"/>
    <w:rsid w:val="00BB5558"/>
    <w:rsid w:val="00BB5BFA"/>
    <w:rsid w:val="00BC1080"/>
    <w:rsid w:val="00BC129B"/>
    <w:rsid w:val="00BC38D5"/>
    <w:rsid w:val="00BC4022"/>
    <w:rsid w:val="00BC41AA"/>
    <w:rsid w:val="00BC4C2C"/>
    <w:rsid w:val="00BC53DC"/>
    <w:rsid w:val="00BD1170"/>
    <w:rsid w:val="00BD45F9"/>
    <w:rsid w:val="00BD4F2C"/>
    <w:rsid w:val="00BD5025"/>
    <w:rsid w:val="00BD5797"/>
    <w:rsid w:val="00BD7005"/>
    <w:rsid w:val="00BD7B8D"/>
    <w:rsid w:val="00BE0229"/>
    <w:rsid w:val="00BE0FBC"/>
    <w:rsid w:val="00BE3B45"/>
    <w:rsid w:val="00BE577E"/>
    <w:rsid w:val="00BE5E84"/>
    <w:rsid w:val="00BE627F"/>
    <w:rsid w:val="00BE6F6B"/>
    <w:rsid w:val="00BE71E2"/>
    <w:rsid w:val="00BE7D9F"/>
    <w:rsid w:val="00BF03C3"/>
    <w:rsid w:val="00BF0E52"/>
    <w:rsid w:val="00BF17B7"/>
    <w:rsid w:val="00BF4D7C"/>
    <w:rsid w:val="00BF5B8B"/>
    <w:rsid w:val="00BF69D7"/>
    <w:rsid w:val="00BF6C46"/>
    <w:rsid w:val="00BF7D1F"/>
    <w:rsid w:val="00C00050"/>
    <w:rsid w:val="00C000A8"/>
    <w:rsid w:val="00C00CB7"/>
    <w:rsid w:val="00C00D25"/>
    <w:rsid w:val="00C010A4"/>
    <w:rsid w:val="00C01FF8"/>
    <w:rsid w:val="00C023EC"/>
    <w:rsid w:val="00C0286B"/>
    <w:rsid w:val="00C02A2F"/>
    <w:rsid w:val="00C04374"/>
    <w:rsid w:val="00C049AE"/>
    <w:rsid w:val="00C05D46"/>
    <w:rsid w:val="00C062BD"/>
    <w:rsid w:val="00C065F0"/>
    <w:rsid w:val="00C066E4"/>
    <w:rsid w:val="00C07344"/>
    <w:rsid w:val="00C07B16"/>
    <w:rsid w:val="00C122E0"/>
    <w:rsid w:val="00C123A6"/>
    <w:rsid w:val="00C13506"/>
    <w:rsid w:val="00C14579"/>
    <w:rsid w:val="00C16C2B"/>
    <w:rsid w:val="00C1771A"/>
    <w:rsid w:val="00C211B8"/>
    <w:rsid w:val="00C21DAC"/>
    <w:rsid w:val="00C23383"/>
    <w:rsid w:val="00C23A6C"/>
    <w:rsid w:val="00C23AB5"/>
    <w:rsid w:val="00C23BC6"/>
    <w:rsid w:val="00C248F9"/>
    <w:rsid w:val="00C24BA5"/>
    <w:rsid w:val="00C24F13"/>
    <w:rsid w:val="00C261DC"/>
    <w:rsid w:val="00C268BC"/>
    <w:rsid w:val="00C2730E"/>
    <w:rsid w:val="00C30745"/>
    <w:rsid w:val="00C316BB"/>
    <w:rsid w:val="00C32C5B"/>
    <w:rsid w:val="00C32D15"/>
    <w:rsid w:val="00C33470"/>
    <w:rsid w:val="00C337B8"/>
    <w:rsid w:val="00C35F8D"/>
    <w:rsid w:val="00C3761A"/>
    <w:rsid w:val="00C40166"/>
    <w:rsid w:val="00C40A7C"/>
    <w:rsid w:val="00C4107F"/>
    <w:rsid w:val="00C415AF"/>
    <w:rsid w:val="00C416C1"/>
    <w:rsid w:val="00C42C23"/>
    <w:rsid w:val="00C44819"/>
    <w:rsid w:val="00C46153"/>
    <w:rsid w:val="00C461D4"/>
    <w:rsid w:val="00C476F7"/>
    <w:rsid w:val="00C47775"/>
    <w:rsid w:val="00C47782"/>
    <w:rsid w:val="00C47FD9"/>
    <w:rsid w:val="00C50B9C"/>
    <w:rsid w:val="00C51F1E"/>
    <w:rsid w:val="00C528ED"/>
    <w:rsid w:val="00C53877"/>
    <w:rsid w:val="00C54631"/>
    <w:rsid w:val="00C54C3E"/>
    <w:rsid w:val="00C54DE1"/>
    <w:rsid w:val="00C55A90"/>
    <w:rsid w:val="00C57D87"/>
    <w:rsid w:val="00C606BF"/>
    <w:rsid w:val="00C61F24"/>
    <w:rsid w:val="00C63082"/>
    <w:rsid w:val="00C6370A"/>
    <w:rsid w:val="00C64530"/>
    <w:rsid w:val="00C6783C"/>
    <w:rsid w:val="00C67D7B"/>
    <w:rsid w:val="00C67E41"/>
    <w:rsid w:val="00C700B9"/>
    <w:rsid w:val="00C7061D"/>
    <w:rsid w:val="00C709CB"/>
    <w:rsid w:val="00C717B3"/>
    <w:rsid w:val="00C74254"/>
    <w:rsid w:val="00C745D7"/>
    <w:rsid w:val="00C757F7"/>
    <w:rsid w:val="00C75D2D"/>
    <w:rsid w:val="00C8071D"/>
    <w:rsid w:val="00C817A0"/>
    <w:rsid w:val="00C828EE"/>
    <w:rsid w:val="00C839A2"/>
    <w:rsid w:val="00C83C24"/>
    <w:rsid w:val="00C84457"/>
    <w:rsid w:val="00C85F12"/>
    <w:rsid w:val="00C87EFB"/>
    <w:rsid w:val="00C901FE"/>
    <w:rsid w:val="00C903F9"/>
    <w:rsid w:val="00C91FCB"/>
    <w:rsid w:val="00C934BA"/>
    <w:rsid w:val="00C93AE6"/>
    <w:rsid w:val="00C93EAB"/>
    <w:rsid w:val="00C93F1C"/>
    <w:rsid w:val="00C94F9A"/>
    <w:rsid w:val="00C95DC2"/>
    <w:rsid w:val="00C976A4"/>
    <w:rsid w:val="00C97CC9"/>
    <w:rsid w:val="00CA0B8D"/>
    <w:rsid w:val="00CA0C3E"/>
    <w:rsid w:val="00CA178C"/>
    <w:rsid w:val="00CA1AB4"/>
    <w:rsid w:val="00CA1C57"/>
    <w:rsid w:val="00CA2011"/>
    <w:rsid w:val="00CA3285"/>
    <w:rsid w:val="00CA33D2"/>
    <w:rsid w:val="00CA3422"/>
    <w:rsid w:val="00CA34EE"/>
    <w:rsid w:val="00CA3D19"/>
    <w:rsid w:val="00CA3ED5"/>
    <w:rsid w:val="00CA5EC0"/>
    <w:rsid w:val="00CB00E1"/>
    <w:rsid w:val="00CB0862"/>
    <w:rsid w:val="00CB0CCD"/>
    <w:rsid w:val="00CB1BBC"/>
    <w:rsid w:val="00CB2DB0"/>
    <w:rsid w:val="00CB4B21"/>
    <w:rsid w:val="00CB75D8"/>
    <w:rsid w:val="00CB7DDF"/>
    <w:rsid w:val="00CC239B"/>
    <w:rsid w:val="00CC246C"/>
    <w:rsid w:val="00CC4BAF"/>
    <w:rsid w:val="00CC4FC0"/>
    <w:rsid w:val="00CC7B1B"/>
    <w:rsid w:val="00CD1819"/>
    <w:rsid w:val="00CD1A2F"/>
    <w:rsid w:val="00CD3303"/>
    <w:rsid w:val="00CD4829"/>
    <w:rsid w:val="00CD5E4F"/>
    <w:rsid w:val="00CD6F51"/>
    <w:rsid w:val="00CE1A2D"/>
    <w:rsid w:val="00CE1B4E"/>
    <w:rsid w:val="00CE2B03"/>
    <w:rsid w:val="00CE3499"/>
    <w:rsid w:val="00CE4655"/>
    <w:rsid w:val="00CE608E"/>
    <w:rsid w:val="00CE7747"/>
    <w:rsid w:val="00CF0C69"/>
    <w:rsid w:val="00CF1CD6"/>
    <w:rsid w:val="00CF2080"/>
    <w:rsid w:val="00CF2216"/>
    <w:rsid w:val="00CF2635"/>
    <w:rsid w:val="00CF37AE"/>
    <w:rsid w:val="00CF3AFE"/>
    <w:rsid w:val="00CF3B0B"/>
    <w:rsid w:val="00CF3CE4"/>
    <w:rsid w:val="00CF5453"/>
    <w:rsid w:val="00CF5E66"/>
    <w:rsid w:val="00D01FA3"/>
    <w:rsid w:val="00D02811"/>
    <w:rsid w:val="00D03BEA"/>
    <w:rsid w:val="00D03E4F"/>
    <w:rsid w:val="00D06C46"/>
    <w:rsid w:val="00D06D39"/>
    <w:rsid w:val="00D07B74"/>
    <w:rsid w:val="00D1482C"/>
    <w:rsid w:val="00D15193"/>
    <w:rsid w:val="00D154B9"/>
    <w:rsid w:val="00D1643B"/>
    <w:rsid w:val="00D16AB1"/>
    <w:rsid w:val="00D20F20"/>
    <w:rsid w:val="00D2107B"/>
    <w:rsid w:val="00D231E7"/>
    <w:rsid w:val="00D23293"/>
    <w:rsid w:val="00D240BA"/>
    <w:rsid w:val="00D24F14"/>
    <w:rsid w:val="00D255B8"/>
    <w:rsid w:val="00D25DA1"/>
    <w:rsid w:val="00D26785"/>
    <w:rsid w:val="00D26D6B"/>
    <w:rsid w:val="00D30F8B"/>
    <w:rsid w:val="00D3267E"/>
    <w:rsid w:val="00D343A8"/>
    <w:rsid w:val="00D34D69"/>
    <w:rsid w:val="00D350B9"/>
    <w:rsid w:val="00D36707"/>
    <w:rsid w:val="00D36979"/>
    <w:rsid w:val="00D37821"/>
    <w:rsid w:val="00D37B39"/>
    <w:rsid w:val="00D40BEA"/>
    <w:rsid w:val="00D428F6"/>
    <w:rsid w:val="00D43485"/>
    <w:rsid w:val="00D446B0"/>
    <w:rsid w:val="00D462F4"/>
    <w:rsid w:val="00D46930"/>
    <w:rsid w:val="00D46AEA"/>
    <w:rsid w:val="00D4730F"/>
    <w:rsid w:val="00D47ABF"/>
    <w:rsid w:val="00D51C79"/>
    <w:rsid w:val="00D51E17"/>
    <w:rsid w:val="00D53623"/>
    <w:rsid w:val="00D53722"/>
    <w:rsid w:val="00D53AA7"/>
    <w:rsid w:val="00D5418A"/>
    <w:rsid w:val="00D56649"/>
    <w:rsid w:val="00D566E5"/>
    <w:rsid w:val="00D618A3"/>
    <w:rsid w:val="00D62895"/>
    <w:rsid w:val="00D628F3"/>
    <w:rsid w:val="00D62CB0"/>
    <w:rsid w:val="00D62EDE"/>
    <w:rsid w:val="00D639BD"/>
    <w:rsid w:val="00D63FD2"/>
    <w:rsid w:val="00D647FD"/>
    <w:rsid w:val="00D650F4"/>
    <w:rsid w:val="00D66D9C"/>
    <w:rsid w:val="00D67BE1"/>
    <w:rsid w:val="00D719A9"/>
    <w:rsid w:val="00D71D56"/>
    <w:rsid w:val="00D726F1"/>
    <w:rsid w:val="00D7356E"/>
    <w:rsid w:val="00D766B0"/>
    <w:rsid w:val="00D81465"/>
    <w:rsid w:val="00D820E8"/>
    <w:rsid w:val="00D82D98"/>
    <w:rsid w:val="00D82E90"/>
    <w:rsid w:val="00D8453C"/>
    <w:rsid w:val="00D8486D"/>
    <w:rsid w:val="00D859B6"/>
    <w:rsid w:val="00D86426"/>
    <w:rsid w:val="00D8728E"/>
    <w:rsid w:val="00D90EB4"/>
    <w:rsid w:val="00D91441"/>
    <w:rsid w:val="00D92F93"/>
    <w:rsid w:val="00D93176"/>
    <w:rsid w:val="00D95252"/>
    <w:rsid w:val="00D976BA"/>
    <w:rsid w:val="00DA0A49"/>
    <w:rsid w:val="00DA1960"/>
    <w:rsid w:val="00DA4449"/>
    <w:rsid w:val="00DA458D"/>
    <w:rsid w:val="00DA57EA"/>
    <w:rsid w:val="00DA6ADE"/>
    <w:rsid w:val="00DA7487"/>
    <w:rsid w:val="00DB0801"/>
    <w:rsid w:val="00DB11C1"/>
    <w:rsid w:val="00DB2F3C"/>
    <w:rsid w:val="00DB3646"/>
    <w:rsid w:val="00DB48ED"/>
    <w:rsid w:val="00DB56F8"/>
    <w:rsid w:val="00DB578E"/>
    <w:rsid w:val="00DB62DD"/>
    <w:rsid w:val="00DB6435"/>
    <w:rsid w:val="00DB747A"/>
    <w:rsid w:val="00DB7FA5"/>
    <w:rsid w:val="00DC0647"/>
    <w:rsid w:val="00DC1643"/>
    <w:rsid w:val="00DC16CE"/>
    <w:rsid w:val="00DC3FB3"/>
    <w:rsid w:val="00DC4A1F"/>
    <w:rsid w:val="00DC5AD0"/>
    <w:rsid w:val="00DC6053"/>
    <w:rsid w:val="00DC7160"/>
    <w:rsid w:val="00DC731E"/>
    <w:rsid w:val="00DC7CFC"/>
    <w:rsid w:val="00DD12F6"/>
    <w:rsid w:val="00DD24B3"/>
    <w:rsid w:val="00DD48B6"/>
    <w:rsid w:val="00DD54CF"/>
    <w:rsid w:val="00DD6FE6"/>
    <w:rsid w:val="00DE0668"/>
    <w:rsid w:val="00DE18ED"/>
    <w:rsid w:val="00DE2843"/>
    <w:rsid w:val="00DE2AAD"/>
    <w:rsid w:val="00DE2B69"/>
    <w:rsid w:val="00DE3B04"/>
    <w:rsid w:val="00DE5741"/>
    <w:rsid w:val="00DE6CE8"/>
    <w:rsid w:val="00DE730F"/>
    <w:rsid w:val="00DE7464"/>
    <w:rsid w:val="00DE7A0D"/>
    <w:rsid w:val="00DE7F77"/>
    <w:rsid w:val="00DF196C"/>
    <w:rsid w:val="00DF1BAD"/>
    <w:rsid w:val="00DF1C44"/>
    <w:rsid w:val="00DF1C50"/>
    <w:rsid w:val="00DF265A"/>
    <w:rsid w:val="00DF2C85"/>
    <w:rsid w:val="00DF316D"/>
    <w:rsid w:val="00DF3282"/>
    <w:rsid w:val="00DF46DF"/>
    <w:rsid w:val="00DF482E"/>
    <w:rsid w:val="00DF5894"/>
    <w:rsid w:val="00DF5BB6"/>
    <w:rsid w:val="00DF66BC"/>
    <w:rsid w:val="00DF7BD5"/>
    <w:rsid w:val="00E0029E"/>
    <w:rsid w:val="00E004F7"/>
    <w:rsid w:val="00E00629"/>
    <w:rsid w:val="00E00ACF"/>
    <w:rsid w:val="00E015CC"/>
    <w:rsid w:val="00E02BA8"/>
    <w:rsid w:val="00E03EC3"/>
    <w:rsid w:val="00E05B98"/>
    <w:rsid w:val="00E06120"/>
    <w:rsid w:val="00E06B00"/>
    <w:rsid w:val="00E10E92"/>
    <w:rsid w:val="00E11671"/>
    <w:rsid w:val="00E11B88"/>
    <w:rsid w:val="00E12120"/>
    <w:rsid w:val="00E12842"/>
    <w:rsid w:val="00E129C5"/>
    <w:rsid w:val="00E12DA0"/>
    <w:rsid w:val="00E23767"/>
    <w:rsid w:val="00E25164"/>
    <w:rsid w:val="00E27EB9"/>
    <w:rsid w:val="00E3054A"/>
    <w:rsid w:val="00E305F7"/>
    <w:rsid w:val="00E306C3"/>
    <w:rsid w:val="00E310E0"/>
    <w:rsid w:val="00E31754"/>
    <w:rsid w:val="00E31E0E"/>
    <w:rsid w:val="00E32625"/>
    <w:rsid w:val="00E358D6"/>
    <w:rsid w:val="00E36B77"/>
    <w:rsid w:val="00E42AC9"/>
    <w:rsid w:val="00E51DEC"/>
    <w:rsid w:val="00E52547"/>
    <w:rsid w:val="00E52C42"/>
    <w:rsid w:val="00E532CA"/>
    <w:rsid w:val="00E54F05"/>
    <w:rsid w:val="00E55254"/>
    <w:rsid w:val="00E55AD9"/>
    <w:rsid w:val="00E56CBD"/>
    <w:rsid w:val="00E57956"/>
    <w:rsid w:val="00E60C44"/>
    <w:rsid w:val="00E6258E"/>
    <w:rsid w:val="00E63D8F"/>
    <w:rsid w:val="00E64D77"/>
    <w:rsid w:val="00E654C1"/>
    <w:rsid w:val="00E70D01"/>
    <w:rsid w:val="00E71854"/>
    <w:rsid w:val="00E71877"/>
    <w:rsid w:val="00E735A0"/>
    <w:rsid w:val="00E74168"/>
    <w:rsid w:val="00E751F2"/>
    <w:rsid w:val="00E7650C"/>
    <w:rsid w:val="00E774E7"/>
    <w:rsid w:val="00E80DA1"/>
    <w:rsid w:val="00E835B3"/>
    <w:rsid w:val="00E83F24"/>
    <w:rsid w:val="00E84AE1"/>
    <w:rsid w:val="00E84F5F"/>
    <w:rsid w:val="00E85A58"/>
    <w:rsid w:val="00E86589"/>
    <w:rsid w:val="00E877C8"/>
    <w:rsid w:val="00E9153D"/>
    <w:rsid w:val="00E9410B"/>
    <w:rsid w:val="00E94620"/>
    <w:rsid w:val="00E953B4"/>
    <w:rsid w:val="00E9634A"/>
    <w:rsid w:val="00E9745C"/>
    <w:rsid w:val="00E976F6"/>
    <w:rsid w:val="00EA2E92"/>
    <w:rsid w:val="00EA35FC"/>
    <w:rsid w:val="00EA3AC2"/>
    <w:rsid w:val="00EA3D37"/>
    <w:rsid w:val="00EA481F"/>
    <w:rsid w:val="00EA692C"/>
    <w:rsid w:val="00EA7F29"/>
    <w:rsid w:val="00EB2CF1"/>
    <w:rsid w:val="00EB2DDA"/>
    <w:rsid w:val="00EB3137"/>
    <w:rsid w:val="00EB5EC1"/>
    <w:rsid w:val="00EB6550"/>
    <w:rsid w:val="00EB6C2A"/>
    <w:rsid w:val="00EB6CB3"/>
    <w:rsid w:val="00EB76D3"/>
    <w:rsid w:val="00EC05B3"/>
    <w:rsid w:val="00EC097E"/>
    <w:rsid w:val="00EC2F59"/>
    <w:rsid w:val="00EC55D0"/>
    <w:rsid w:val="00EC5DED"/>
    <w:rsid w:val="00EC66AE"/>
    <w:rsid w:val="00EC71F9"/>
    <w:rsid w:val="00EC788B"/>
    <w:rsid w:val="00ED0315"/>
    <w:rsid w:val="00ED0C4E"/>
    <w:rsid w:val="00ED12F8"/>
    <w:rsid w:val="00ED27FD"/>
    <w:rsid w:val="00ED292B"/>
    <w:rsid w:val="00ED47BB"/>
    <w:rsid w:val="00ED4AC1"/>
    <w:rsid w:val="00ED4BEC"/>
    <w:rsid w:val="00ED51C7"/>
    <w:rsid w:val="00ED5569"/>
    <w:rsid w:val="00ED73CC"/>
    <w:rsid w:val="00EE116C"/>
    <w:rsid w:val="00EE215E"/>
    <w:rsid w:val="00EE2A26"/>
    <w:rsid w:val="00EE38C2"/>
    <w:rsid w:val="00EE45F8"/>
    <w:rsid w:val="00EE4A65"/>
    <w:rsid w:val="00EE4D61"/>
    <w:rsid w:val="00EE62BE"/>
    <w:rsid w:val="00EE6D30"/>
    <w:rsid w:val="00EE6E56"/>
    <w:rsid w:val="00EE7347"/>
    <w:rsid w:val="00EF06FD"/>
    <w:rsid w:val="00EF122B"/>
    <w:rsid w:val="00EF4639"/>
    <w:rsid w:val="00EF5396"/>
    <w:rsid w:val="00EF7318"/>
    <w:rsid w:val="00EF7D62"/>
    <w:rsid w:val="00F010CC"/>
    <w:rsid w:val="00F01578"/>
    <w:rsid w:val="00F01DE1"/>
    <w:rsid w:val="00F02CE6"/>
    <w:rsid w:val="00F055B5"/>
    <w:rsid w:val="00F05E1D"/>
    <w:rsid w:val="00F06903"/>
    <w:rsid w:val="00F10441"/>
    <w:rsid w:val="00F10568"/>
    <w:rsid w:val="00F11D1F"/>
    <w:rsid w:val="00F128B6"/>
    <w:rsid w:val="00F1299B"/>
    <w:rsid w:val="00F12F22"/>
    <w:rsid w:val="00F1552F"/>
    <w:rsid w:val="00F16332"/>
    <w:rsid w:val="00F16ECE"/>
    <w:rsid w:val="00F20658"/>
    <w:rsid w:val="00F20756"/>
    <w:rsid w:val="00F22A0F"/>
    <w:rsid w:val="00F238BF"/>
    <w:rsid w:val="00F239C7"/>
    <w:rsid w:val="00F24E2A"/>
    <w:rsid w:val="00F27C48"/>
    <w:rsid w:val="00F30366"/>
    <w:rsid w:val="00F3094A"/>
    <w:rsid w:val="00F3166D"/>
    <w:rsid w:val="00F33EFF"/>
    <w:rsid w:val="00F34396"/>
    <w:rsid w:val="00F34CF9"/>
    <w:rsid w:val="00F358E3"/>
    <w:rsid w:val="00F36136"/>
    <w:rsid w:val="00F36172"/>
    <w:rsid w:val="00F401A1"/>
    <w:rsid w:val="00F4049F"/>
    <w:rsid w:val="00F41432"/>
    <w:rsid w:val="00F419A5"/>
    <w:rsid w:val="00F41EF7"/>
    <w:rsid w:val="00F42CF6"/>
    <w:rsid w:val="00F43BFD"/>
    <w:rsid w:val="00F465C4"/>
    <w:rsid w:val="00F46BE6"/>
    <w:rsid w:val="00F4703E"/>
    <w:rsid w:val="00F5007B"/>
    <w:rsid w:val="00F515C3"/>
    <w:rsid w:val="00F5196B"/>
    <w:rsid w:val="00F51ECE"/>
    <w:rsid w:val="00F5267D"/>
    <w:rsid w:val="00F53616"/>
    <w:rsid w:val="00F5564E"/>
    <w:rsid w:val="00F57358"/>
    <w:rsid w:val="00F57827"/>
    <w:rsid w:val="00F60113"/>
    <w:rsid w:val="00F60285"/>
    <w:rsid w:val="00F62A7C"/>
    <w:rsid w:val="00F62B38"/>
    <w:rsid w:val="00F6421F"/>
    <w:rsid w:val="00F64544"/>
    <w:rsid w:val="00F64610"/>
    <w:rsid w:val="00F64C33"/>
    <w:rsid w:val="00F64D8E"/>
    <w:rsid w:val="00F66448"/>
    <w:rsid w:val="00F6658E"/>
    <w:rsid w:val="00F714C1"/>
    <w:rsid w:val="00F73671"/>
    <w:rsid w:val="00F73B5E"/>
    <w:rsid w:val="00F747F3"/>
    <w:rsid w:val="00F74904"/>
    <w:rsid w:val="00F762EF"/>
    <w:rsid w:val="00F80799"/>
    <w:rsid w:val="00F80B75"/>
    <w:rsid w:val="00F81633"/>
    <w:rsid w:val="00F84F88"/>
    <w:rsid w:val="00F85E17"/>
    <w:rsid w:val="00F85F36"/>
    <w:rsid w:val="00F86EFF"/>
    <w:rsid w:val="00F904B7"/>
    <w:rsid w:val="00F90621"/>
    <w:rsid w:val="00F90BCA"/>
    <w:rsid w:val="00F91FA4"/>
    <w:rsid w:val="00F92691"/>
    <w:rsid w:val="00F9310F"/>
    <w:rsid w:val="00F9451B"/>
    <w:rsid w:val="00F94F87"/>
    <w:rsid w:val="00F95638"/>
    <w:rsid w:val="00F96E2E"/>
    <w:rsid w:val="00F96ED3"/>
    <w:rsid w:val="00FA01F6"/>
    <w:rsid w:val="00FA03A3"/>
    <w:rsid w:val="00FA0706"/>
    <w:rsid w:val="00FA1C13"/>
    <w:rsid w:val="00FA1F81"/>
    <w:rsid w:val="00FA2F55"/>
    <w:rsid w:val="00FA3149"/>
    <w:rsid w:val="00FA333E"/>
    <w:rsid w:val="00FA344A"/>
    <w:rsid w:val="00FA4783"/>
    <w:rsid w:val="00FA54FD"/>
    <w:rsid w:val="00FA76F7"/>
    <w:rsid w:val="00FB00A6"/>
    <w:rsid w:val="00FB0DB3"/>
    <w:rsid w:val="00FB1A8C"/>
    <w:rsid w:val="00FB1D26"/>
    <w:rsid w:val="00FB22BF"/>
    <w:rsid w:val="00FB570E"/>
    <w:rsid w:val="00FB5AE2"/>
    <w:rsid w:val="00FB6FEF"/>
    <w:rsid w:val="00FB75E3"/>
    <w:rsid w:val="00FB7C7C"/>
    <w:rsid w:val="00FC0224"/>
    <w:rsid w:val="00FC098B"/>
    <w:rsid w:val="00FC28F3"/>
    <w:rsid w:val="00FC2EB2"/>
    <w:rsid w:val="00FC5394"/>
    <w:rsid w:val="00FC61E8"/>
    <w:rsid w:val="00FC74D3"/>
    <w:rsid w:val="00FD0BCE"/>
    <w:rsid w:val="00FD165A"/>
    <w:rsid w:val="00FD2198"/>
    <w:rsid w:val="00FD304F"/>
    <w:rsid w:val="00FD35A9"/>
    <w:rsid w:val="00FD41C4"/>
    <w:rsid w:val="00FD441B"/>
    <w:rsid w:val="00FD4792"/>
    <w:rsid w:val="00FD5140"/>
    <w:rsid w:val="00FD5530"/>
    <w:rsid w:val="00FE2655"/>
    <w:rsid w:val="00FE3BFF"/>
    <w:rsid w:val="00FE4341"/>
    <w:rsid w:val="00FE463F"/>
    <w:rsid w:val="00FE556A"/>
    <w:rsid w:val="00FE655C"/>
    <w:rsid w:val="00FE6876"/>
    <w:rsid w:val="00FF035B"/>
    <w:rsid w:val="00FF4370"/>
    <w:rsid w:val="00FF5418"/>
    <w:rsid w:val="00FF701F"/>
    <w:rsid w:val="00FF702B"/>
    <w:rsid w:val="00FF7494"/>
    <w:rsid w:val="020A3A17"/>
    <w:rsid w:val="02118649"/>
    <w:rsid w:val="02BA49CF"/>
    <w:rsid w:val="03DC8108"/>
    <w:rsid w:val="07EEBC60"/>
    <w:rsid w:val="08C821B0"/>
    <w:rsid w:val="08ED28FC"/>
    <w:rsid w:val="099310C4"/>
    <w:rsid w:val="0A44D821"/>
    <w:rsid w:val="0A967AF7"/>
    <w:rsid w:val="0B192691"/>
    <w:rsid w:val="0B74A25D"/>
    <w:rsid w:val="0BBA6C8B"/>
    <w:rsid w:val="0BBA9673"/>
    <w:rsid w:val="0C243EA7"/>
    <w:rsid w:val="0C393BC4"/>
    <w:rsid w:val="0C58586E"/>
    <w:rsid w:val="0C8E0CC4"/>
    <w:rsid w:val="0CCADEEE"/>
    <w:rsid w:val="0CEF8FAC"/>
    <w:rsid w:val="0D898A6C"/>
    <w:rsid w:val="0DCE1BB9"/>
    <w:rsid w:val="0E1BC297"/>
    <w:rsid w:val="0F3E4F09"/>
    <w:rsid w:val="0FAEAACF"/>
    <w:rsid w:val="105E4685"/>
    <w:rsid w:val="122DA02D"/>
    <w:rsid w:val="126915FF"/>
    <w:rsid w:val="126D5B2F"/>
    <w:rsid w:val="12E088C7"/>
    <w:rsid w:val="151B5706"/>
    <w:rsid w:val="15226180"/>
    <w:rsid w:val="1649F259"/>
    <w:rsid w:val="184D6364"/>
    <w:rsid w:val="188643A1"/>
    <w:rsid w:val="196C8A63"/>
    <w:rsid w:val="19B6E390"/>
    <w:rsid w:val="19BB5418"/>
    <w:rsid w:val="19D4D14A"/>
    <w:rsid w:val="1A8EC655"/>
    <w:rsid w:val="1BB5FD41"/>
    <w:rsid w:val="1C38633B"/>
    <w:rsid w:val="1C5BC99A"/>
    <w:rsid w:val="1D5027B2"/>
    <w:rsid w:val="1D6A20A2"/>
    <w:rsid w:val="1E283A53"/>
    <w:rsid w:val="1E904900"/>
    <w:rsid w:val="1F13AB19"/>
    <w:rsid w:val="20897CA7"/>
    <w:rsid w:val="21D8287A"/>
    <w:rsid w:val="21E2D772"/>
    <w:rsid w:val="228B1CB7"/>
    <w:rsid w:val="234DB9EF"/>
    <w:rsid w:val="23BD93E2"/>
    <w:rsid w:val="2486D878"/>
    <w:rsid w:val="24899CE6"/>
    <w:rsid w:val="252C6294"/>
    <w:rsid w:val="2538665B"/>
    <w:rsid w:val="26200AE0"/>
    <w:rsid w:val="274B2308"/>
    <w:rsid w:val="29D20D3D"/>
    <w:rsid w:val="2AAC2585"/>
    <w:rsid w:val="2AE575A2"/>
    <w:rsid w:val="2B3B7592"/>
    <w:rsid w:val="2B86875E"/>
    <w:rsid w:val="2D4249F8"/>
    <w:rsid w:val="2E1F0F9D"/>
    <w:rsid w:val="2E96F1F7"/>
    <w:rsid w:val="300EC116"/>
    <w:rsid w:val="30EFB550"/>
    <w:rsid w:val="315996A6"/>
    <w:rsid w:val="31F27A78"/>
    <w:rsid w:val="329D1848"/>
    <w:rsid w:val="3304A8D2"/>
    <w:rsid w:val="33FB47C8"/>
    <w:rsid w:val="35318787"/>
    <w:rsid w:val="3769EBD7"/>
    <w:rsid w:val="39013554"/>
    <w:rsid w:val="39CEFC3C"/>
    <w:rsid w:val="3ADF5D17"/>
    <w:rsid w:val="3B58902C"/>
    <w:rsid w:val="3C57EA26"/>
    <w:rsid w:val="3C7FA331"/>
    <w:rsid w:val="3E685807"/>
    <w:rsid w:val="3EB55D56"/>
    <w:rsid w:val="3F3E91E7"/>
    <w:rsid w:val="4031BD62"/>
    <w:rsid w:val="40E285E8"/>
    <w:rsid w:val="4188B9EB"/>
    <w:rsid w:val="41A4B49A"/>
    <w:rsid w:val="41A594C7"/>
    <w:rsid w:val="423674D4"/>
    <w:rsid w:val="4270285E"/>
    <w:rsid w:val="4362D25F"/>
    <w:rsid w:val="43CFFF6D"/>
    <w:rsid w:val="43D72044"/>
    <w:rsid w:val="446F16D4"/>
    <w:rsid w:val="44D73BCF"/>
    <w:rsid w:val="45F9EA8E"/>
    <w:rsid w:val="46CC032F"/>
    <w:rsid w:val="46E5C304"/>
    <w:rsid w:val="48724F1B"/>
    <w:rsid w:val="48DB10E6"/>
    <w:rsid w:val="492FC7F1"/>
    <w:rsid w:val="49822AA4"/>
    <w:rsid w:val="4A65184F"/>
    <w:rsid w:val="4A6B5134"/>
    <w:rsid w:val="4AD07F84"/>
    <w:rsid w:val="4B36E7CD"/>
    <w:rsid w:val="4B656B2C"/>
    <w:rsid w:val="4D8FAB9A"/>
    <w:rsid w:val="4D9F257B"/>
    <w:rsid w:val="4DAD3924"/>
    <w:rsid w:val="4E52329A"/>
    <w:rsid w:val="4F0A8178"/>
    <w:rsid w:val="4F2BAAC6"/>
    <w:rsid w:val="4F2DAC7C"/>
    <w:rsid w:val="4F7897B8"/>
    <w:rsid w:val="4FE5629B"/>
    <w:rsid w:val="5039360B"/>
    <w:rsid w:val="50B21AE8"/>
    <w:rsid w:val="50C9DC1B"/>
    <w:rsid w:val="51E16DD9"/>
    <w:rsid w:val="52891B8D"/>
    <w:rsid w:val="5412CCE4"/>
    <w:rsid w:val="54934956"/>
    <w:rsid w:val="54BD97AA"/>
    <w:rsid w:val="55465698"/>
    <w:rsid w:val="56CA605D"/>
    <w:rsid w:val="573826E9"/>
    <w:rsid w:val="576B18B8"/>
    <w:rsid w:val="577561BF"/>
    <w:rsid w:val="57AB9D9B"/>
    <w:rsid w:val="57FBF702"/>
    <w:rsid w:val="591A001F"/>
    <w:rsid w:val="592FB8B6"/>
    <w:rsid w:val="5A76209F"/>
    <w:rsid w:val="5A7D27EA"/>
    <w:rsid w:val="5AEA72F0"/>
    <w:rsid w:val="5B3BB9FD"/>
    <w:rsid w:val="5C2D03A2"/>
    <w:rsid w:val="5DC93E65"/>
    <w:rsid w:val="5DD16BD4"/>
    <w:rsid w:val="5DD6A80E"/>
    <w:rsid w:val="5E0982CD"/>
    <w:rsid w:val="5F8EBB82"/>
    <w:rsid w:val="5FCBD089"/>
    <w:rsid w:val="604C2C43"/>
    <w:rsid w:val="61444DFD"/>
    <w:rsid w:val="61BB6A2D"/>
    <w:rsid w:val="61D92516"/>
    <w:rsid w:val="6326CAF9"/>
    <w:rsid w:val="6341F9CD"/>
    <w:rsid w:val="63A265EF"/>
    <w:rsid w:val="64BCB98C"/>
    <w:rsid w:val="6511F4C8"/>
    <w:rsid w:val="661F1B43"/>
    <w:rsid w:val="66AE033A"/>
    <w:rsid w:val="670CEFAF"/>
    <w:rsid w:val="672F3096"/>
    <w:rsid w:val="682EE2C4"/>
    <w:rsid w:val="68B07547"/>
    <w:rsid w:val="68C8ED00"/>
    <w:rsid w:val="68E725BC"/>
    <w:rsid w:val="6933D1F7"/>
    <w:rsid w:val="695A491D"/>
    <w:rsid w:val="6A88862B"/>
    <w:rsid w:val="6C1F9DAC"/>
    <w:rsid w:val="6C889B93"/>
    <w:rsid w:val="6D64FC91"/>
    <w:rsid w:val="6EDB8A25"/>
    <w:rsid w:val="6F48D9D0"/>
    <w:rsid w:val="6F788C2A"/>
    <w:rsid w:val="705313D8"/>
    <w:rsid w:val="71047EC8"/>
    <w:rsid w:val="72764166"/>
    <w:rsid w:val="73627C75"/>
    <w:rsid w:val="741A938D"/>
    <w:rsid w:val="750E9A6F"/>
    <w:rsid w:val="7613C3E4"/>
    <w:rsid w:val="7A55EFCA"/>
    <w:rsid w:val="7AEA400D"/>
    <w:rsid w:val="7AED4E06"/>
    <w:rsid w:val="7BB681E8"/>
    <w:rsid w:val="7D8114A8"/>
    <w:rsid w:val="7E20E8D2"/>
    <w:rsid w:val="7E9176CA"/>
    <w:rsid w:val="7F4CA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9F259"/>
  <w15:chartTrackingRefBased/>
  <w15:docId w15:val="{4F88B305-A692-4A16-A8BD-E4E3D095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266"/>
    <w:pPr>
      <w:outlineLvl w:val="0"/>
    </w:pPr>
    <w:rPr>
      <w:rFonts w:ascii="Tahoma" w:hAnsi="Tahoma" w:cs="Tahom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5007B"/>
  </w:style>
  <w:style w:type="character" w:styleId="CommentReference">
    <w:name w:val="annotation reference"/>
    <w:basedOn w:val="DefaultParagraphFont"/>
    <w:uiPriority w:val="99"/>
    <w:semiHidden/>
    <w:unhideWhenUsed/>
    <w:rsid w:val="00842FEE"/>
    <w:rPr>
      <w:sz w:val="16"/>
      <w:szCs w:val="16"/>
    </w:rPr>
  </w:style>
  <w:style w:type="paragraph" w:styleId="CommentText">
    <w:name w:val="annotation text"/>
    <w:basedOn w:val="Normal"/>
    <w:link w:val="CommentTextChar"/>
    <w:uiPriority w:val="99"/>
    <w:unhideWhenUsed/>
    <w:rsid w:val="00842FEE"/>
    <w:pPr>
      <w:spacing w:line="240" w:lineRule="auto"/>
    </w:pPr>
    <w:rPr>
      <w:sz w:val="20"/>
      <w:szCs w:val="20"/>
    </w:rPr>
  </w:style>
  <w:style w:type="character" w:customStyle="1" w:styleId="CommentTextChar">
    <w:name w:val="Comment Text Char"/>
    <w:basedOn w:val="DefaultParagraphFont"/>
    <w:link w:val="CommentText"/>
    <w:uiPriority w:val="99"/>
    <w:rsid w:val="00842FEE"/>
    <w:rPr>
      <w:sz w:val="20"/>
      <w:szCs w:val="20"/>
    </w:rPr>
  </w:style>
  <w:style w:type="paragraph" w:styleId="CommentSubject">
    <w:name w:val="annotation subject"/>
    <w:basedOn w:val="CommentText"/>
    <w:next w:val="CommentText"/>
    <w:link w:val="CommentSubjectChar"/>
    <w:uiPriority w:val="99"/>
    <w:semiHidden/>
    <w:unhideWhenUsed/>
    <w:rsid w:val="00842FEE"/>
    <w:rPr>
      <w:b/>
      <w:bCs/>
    </w:rPr>
  </w:style>
  <w:style w:type="character" w:customStyle="1" w:styleId="CommentSubjectChar">
    <w:name w:val="Comment Subject Char"/>
    <w:basedOn w:val="CommentTextChar"/>
    <w:link w:val="CommentSubject"/>
    <w:uiPriority w:val="99"/>
    <w:semiHidden/>
    <w:rsid w:val="00842FEE"/>
    <w:rPr>
      <w:b/>
      <w:bCs/>
      <w:sz w:val="20"/>
      <w:szCs w:val="20"/>
    </w:rPr>
  </w:style>
  <w:style w:type="character" w:customStyle="1" w:styleId="Heading1Char">
    <w:name w:val="Heading 1 Char"/>
    <w:basedOn w:val="DefaultParagraphFont"/>
    <w:link w:val="Heading1"/>
    <w:uiPriority w:val="9"/>
    <w:rsid w:val="001E5266"/>
    <w:rPr>
      <w:rFonts w:ascii="Tahoma" w:hAnsi="Tahoma" w:cs="Tahoma"/>
      <w:b/>
      <w:bCs/>
      <w:i/>
      <w:iCs/>
      <w:u w:val="single"/>
    </w:rPr>
  </w:style>
  <w:style w:type="paragraph" w:styleId="Header">
    <w:name w:val="header"/>
    <w:basedOn w:val="Normal"/>
    <w:link w:val="HeaderChar"/>
    <w:uiPriority w:val="99"/>
    <w:unhideWhenUsed/>
    <w:rsid w:val="0065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FD1"/>
  </w:style>
  <w:style w:type="paragraph" w:styleId="Footer">
    <w:name w:val="footer"/>
    <w:basedOn w:val="Normal"/>
    <w:link w:val="FooterChar"/>
    <w:uiPriority w:val="99"/>
    <w:unhideWhenUsed/>
    <w:rsid w:val="0065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FD1"/>
  </w:style>
  <w:style w:type="paragraph" w:styleId="ListParagraph">
    <w:name w:val="List Paragraph"/>
    <w:aliases w:val="H3,3,POCG Table Text"/>
    <w:basedOn w:val="Normal"/>
    <w:link w:val="ListParagraphChar"/>
    <w:uiPriority w:val="34"/>
    <w:qFormat/>
    <w:rsid w:val="000B718A"/>
    <w:pPr>
      <w:ind w:left="720"/>
      <w:contextualSpacing/>
    </w:pPr>
  </w:style>
  <w:style w:type="character" w:customStyle="1" w:styleId="ListParagraphChar">
    <w:name w:val="List Paragraph Char"/>
    <w:aliases w:val="H3 Char,3 Char,POCG Table Text Char"/>
    <w:basedOn w:val="DefaultParagraphFont"/>
    <w:link w:val="ListParagraph"/>
    <w:uiPriority w:val="34"/>
    <w:locked/>
    <w:rsid w:val="00DB3646"/>
  </w:style>
  <w:style w:type="character" w:styleId="Hyperlink">
    <w:name w:val="Hyperlink"/>
    <w:basedOn w:val="DefaultParagraphFont"/>
    <w:uiPriority w:val="99"/>
    <w:unhideWhenUsed/>
    <w:rsid w:val="00636359"/>
    <w:rPr>
      <w:color w:val="0563C1" w:themeColor="hyperlink"/>
      <w:u w:val="single"/>
    </w:rPr>
  </w:style>
  <w:style w:type="character" w:styleId="UnresolvedMention">
    <w:name w:val="Unresolved Mention"/>
    <w:basedOn w:val="DefaultParagraphFont"/>
    <w:uiPriority w:val="99"/>
    <w:unhideWhenUsed/>
    <w:rsid w:val="00636359"/>
    <w:rPr>
      <w:color w:val="605E5C"/>
      <w:shd w:val="clear" w:color="auto" w:fill="E1DFDD"/>
    </w:rPr>
  </w:style>
  <w:style w:type="paragraph" w:styleId="Revision">
    <w:name w:val="Revision"/>
    <w:hidden/>
    <w:uiPriority w:val="99"/>
    <w:semiHidden/>
    <w:rsid w:val="00B519B3"/>
    <w:pPr>
      <w:spacing w:after="0" w:line="240" w:lineRule="auto"/>
    </w:pPr>
  </w:style>
  <w:style w:type="table" w:styleId="TableGrid">
    <w:name w:val="Table Grid"/>
    <w:basedOn w:val="TableNormal"/>
    <w:uiPriority w:val="39"/>
    <w:rsid w:val="00E02B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A62F0"/>
    <w:rPr>
      <w:color w:val="2B579A"/>
      <w:shd w:val="clear" w:color="auto" w:fill="E1DFDD"/>
    </w:rPr>
  </w:style>
  <w:style w:type="character" w:customStyle="1" w:styleId="eop">
    <w:name w:val="eop"/>
    <w:basedOn w:val="DefaultParagraphFont"/>
    <w:rsid w:val="00057A11"/>
  </w:style>
  <w:style w:type="paragraph" w:customStyle="1" w:styleId="paragraph">
    <w:name w:val="paragraph"/>
    <w:basedOn w:val="Normal"/>
    <w:rsid w:val="00950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95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6650">
      <w:bodyDiv w:val="1"/>
      <w:marLeft w:val="0"/>
      <w:marRight w:val="0"/>
      <w:marTop w:val="0"/>
      <w:marBottom w:val="0"/>
      <w:divBdr>
        <w:top w:val="none" w:sz="0" w:space="0" w:color="auto"/>
        <w:left w:val="none" w:sz="0" w:space="0" w:color="auto"/>
        <w:bottom w:val="none" w:sz="0" w:space="0" w:color="auto"/>
        <w:right w:val="none" w:sz="0" w:space="0" w:color="auto"/>
      </w:divBdr>
      <w:divsChild>
        <w:div w:id="710424955">
          <w:marLeft w:val="0"/>
          <w:marRight w:val="0"/>
          <w:marTop w:val="0"/>
          <w:marBottom w:val="0"/>
          <w:divBdr>
            <w:top w:val="none" w:sz="0" w:space="0" w:color="auto"/>
            <w:left w:val="none" w:sz="0" w:space="0" w:color="auto"/>
            <w:bottom w:val="none" w:sz="0" w:space="0" w:color="auto"/>
            <w:right w:val="none" w:sz="0" w:space="0" w:color="auto"/>
          </w:divBdr>
        </w:div>
        <w:div w:id="897515763">
          <w:marLeft w:val="0"/>
          <w:marRight w:val="0"/>
          <w:marTop w:val="0"/>
          <w:marBottom w:val="0"/>
          <w:divBdr>
            <w:top w:val="none" w:sz="0" w:space="0" w:color="auto"/>
            <w:left w:val="none" w:sz="0" w:space="0" w:color="auto"/>
            <w:bottom w:val="none" w:sz="0" w:space="0" w:color="auto"/>
            <w:right w:val="none" w:sz="0" w:space="0" w:color="auto"/>
          </w:divBdr>
        </w:div>
      </w:divsChild>
    </w:div>
    <w:div w:id="166016322">
      <w:bodyDiv w:val="1"/>
      <w:marLeft w:val="0"/>
      <w:marRight w:val="0"/>
      <w:marTop w:val="0"/>
      <w:marBottom w:val="0"/>
      <w:divBdr>
        <w:top w:val="none" w:sz="0" w:space="0" w:color="auto"/>
        <w:left w:val="none" w:sz="0" w:space="0" w:color="auto"/>
        <w:bottom w:val="none" w:sz="0" w:space="0" w:color="auto"/>
        <w:right w:val="none" w:sz="0" w:space="0" w:color="auto"/>
      </w:divBdr>
    </w:div>
    <w:div w:id="549154868">
      <w:bodyDiv w:val="1"/>
      <w:marLeft w:val="0"/>
      <w:marRight w:val="0"/>
      <w:marTop w:val="0"/>
      <w:marBottom w:val="0"/>
      <w:divBdr>
        <w:top w:val="none" w:sz="0" w:space="0" w:color="auto"/>
        <w:left w:val="none" w:sz="0" w:space="0" w:color="auto"/>
        <w:bottom w:val="none" w:sz="0" w:space="0" w:color="auto"/>
        <w:right w:val="none" w:sz="0" w:space="0" w:color="auto"/>
      </w:divBdr>
    </w:div>
    <w:div w:id="569191525">
      <w:bodyDiv w:val="1"/>
      <w:marLeft w:val="0"/>
      <w:marRight w:val="0"/>
      <w:marTop w:val="0"/>
      <w:marBottom w:val="0"/>
      <w:divBdr>
        <w:top w:val="none" w:sz="0" w:space="0" w:color="auto"/>
        <w:left w:val="none" w:sz="0" w:space="0" w:color="auto"/>
        <w:bottom w:val="none" w:sz="0" w:space="0" w:color="auto"/>
        <w:right w:val="none" w:sz="0" w:space="0" w:color="auto"/>
      </w:divBdr>
      <w:divsChild>
        <w:div w:id="334000455">
          <w:marLeft w:val="0"/>
          <w:marRight w:val="0"/>
          <w:marTop w:val="0"/>
          <w:marBottom w:val="0"/>
          <w:divBdr>
            <w:top w:val="none" w:sz="0" w:space="0" w:color="auto"/>
            <w:left w:val="none" w:sz="0" w:space="0" w:color="auto"/>
            <w:bottom w:val="none" w:sz="0" w:space="0" w:color="auto"/>
            <w:right w:val="none" w:sz="0" w:space="0" w:color="auto"/>
          </w:divBdr>
        </w:div>
        <w:div w:id="349724117">
          <w:marLeft w:val="0"/>
          <w:marRight w:val="0"/>
          <w:marTop w:val="0"/>
          <w:marBottom w:val="0"/>
          <w:divBdr>
            <w:top w:val="none" w:sz="0" w:space="0" w:color="auto"/>
            <w:left w:val="none" w:sz="0" w:space="0" w:color="auto"/>
            <w:bottom w:val="none" w:sz="0" w:space="0" w:color="auto"/>
            <w:right w:val="none" w:sz="0" w:space="0" w:color="auto"/>
          </w:divBdr>
        </w:div>
        <w:div w:id="504827992">
          <w:marLeft w:val="0"/>
          <w:marRight w:val="0"/>
          <w:marTop w:val="0"/>
          <w:marBottom w:val="0"/>
          <w:divBdr>
            <w:top w:val="none" w:sz="0" w:space="0" w:color="auto"/>
            <w:left w:val="none" w:sz="0" w:space="0" w:color="auto"/>
            <w:bottom w:val="none" w:sz="0" w:space="0" w:color="auto"/>
            <w:right w:val="none" w:sz="0" w:space="0" w:color="auto"/>
          </w:divBdr>
          <w:divsChild>
            <w:div w:id="1336885213">
              <w:marLeft w:val="-75"/>
              <w:marRight w:val="0"/>
              <w:marTop w:val="30"/>
              <w:marBottom w:val="30"/>
              <w:divBdr>
                <w:top w:val="none" w:sz="0" w:space="0" w:color="auto"/>
                <w:left w:val="none" w:sz="0" w:space="0" w:color="auto"/>
                <w:bottom w:val="none" w:sz="0" w:space="0" w:color="auto"/>
                <w:right w:val="none" w:sz="0" w:space="0" w:color="auto"/>
              </w:divBdr>
              <w:divsChild>
                <w:div w:id="164326009">
                  <w:marLeft w:val="0"/>
                  <w:marRight w:val="0"/>
                  <w:marTop w:val="0"/>
                  <w:marBottom w:val="0"/>
                  <w:divBdr>
                    <w:top w:val="none" w:sz="0" w:space="0" w:color="auto"/>
                    <w:left w:val="none" w:sz="0" w:space="0" w:color="auto"/>
                    <w:bottom w:val="none" w:sz="0" w:space="0" w:color="auto"/>
                    <w:right w:val="none" w:sz="0" w:space="0" w:color="auto"/>
                  </w:divBdr>
                  <w:divsChild>
                    <w:div w:id="13312673">
                      <w:marLeft w:val="0"/>
                      <w:marRight w:val="0"/>
                      <w:marTop w:val="0"/>
                      <w:marBottom w:val="0"/>
                      <w:divBdr>
                        <w:top w:val="none" w:sz="0" w:space="0" w:color="auto"/>
                        <w:left w:val="none" w:sz="0" w:space="0" w:color="auto"/>
                        <w:bottom w:val="none" w:sz="0" w:space="0" w:color="auto"/>
                        <w:right w:val="none" w:sz="0" w:space="0" w:color="auto"/>
                      </w:divBdr>
                    </w:div>
                  </w:divsChild>
                </w:div>
                <w:div w:id="192420774">
                  <w:marLeft w:val="0"/>
                  <w:marRight w:val="0"/>
                  <w:marTop w:val="0"/>
                  <w:marBottom w:val="0"/>
                  <w:divBdr>
                    <w:top w:val="none" w:sz="0" w:space="0" w:color="auto"/>
                    <w:left w:val="none" w:sz="0" w:space="0" w:color="auto"/>
                    <w:bottom w:val="none" w:sz="0" w:space="0" w:color="auto"/>
                    <w:right w:val="none" w:sz="0" w:space="0" w:color="auto"/>
                  </w:divBdr>
                  <w:divsChild>
                    <w:div w:id="662784242">
                      <w:marLeft w:val="0"/>
                      <w:marRight w:val="0"/>
                      <w:marTop w:val="0"/>
                      <w:marBottom w:val="0"/>
                      <w:divBdr>
                        <w:top w:val="none" w:sz="0" w:space="0" w:color="auto"/>
                        <w:left w:val="none" w:sz="0" w:space="0" w:color="auto"/>
                        <w:bottom w:val="none" w:sz="0" w:space="0" w:color="auto"/>
                        <w:right w:val="none" w:sz="0" w:space="0" w:color="auto"/>
                      </w:divBdr>
                    </w:div>
                  </w:divsChild>
                </w:div>
                <w:div w:id="773332389">
                  <w:marLeft w:val="0"/>
                  <w:marRight w:val="0"/>
                  <w:marTop w:val="0"/>
                  <w:marBottom w:val="0"/>
                  <w:divBdr>
                    <w:top w:val="none" w:sz="0" w:space="0" w:color="auto"/>
                    <w:left w:val="none" w:sz="0" w:space="0" w:color="auto"/>
                    <w:bottom w:val="none" w:sz="0" w:space="0" w:color="auto"/>
                    <w:right w:val="none" w:sz="0" w:space="0" w:color="auto"/>
                  </w:divBdr>
                  <w:divsChild>
                    <w:div w:id="957685490">
                      <w:marLeft w:val="0"/>
                      <w:marRight w:val="0"/>
                      <w:marTop w:val="0"/>
                      <w:marBottom w:val="0"/>
                      <w:divBdr>
                        <w:top w:val="none" w:sz="0" w:space="0" w:color="auto"/>
                        <w:left w:val="none" w:sz="0" w:space="0" w:color="auto"/>
                        <w:bottom w:val="none" w:sz="0" w:space="0" w:color="auto"/>
                        <w:right w:val="none" w:sz="0" w:space="0" w:color="auto"/>
                      </w:divBdr>
                    </w:div>
                  </w:divsChild>
                </w:div>
                <w:div w:id="778109712">
                  <w:marLeft w:val="0"/>
                  <w:marRight w:val="0"/>
                  <w:marTop w:val="0"/>
                  <w:marBottom w:val="0"/>
                  <w:divBdr>
                    <w:top w:val="none" w:sz="0" w:space="0" w:color="auto"/>
                    <w:left w:val="none" w:sz="0" w:space="0" w:color="auto"/>
                    <w:bottom w:val="none" w:sz="0" w:space="0" w:color="auto"/>
                    <w:right w:val="none" w:sz="0" w:space="0" w:color="auto"/>
                  </w:divBdr>
                  <w:divsChild>
                    <w:div w:id="1075860107">
                      <w:marLeft w:val="0"/>
                      <w:marRight w:val="0"/>
                      <w:marTop w:val="0"/>
                      <w:marBottom w:val="0"/>
                      <w:divBdr>
                        <w:top w:val="none" w:sz="0" w:space="0" w:color="auto"/>
                        <w:left w:val="none" w:sz="0" w:space="0" w:color="auto"/>
                        <w:bottom w:val="none" w:sz="0" w:space="0" w:color="auto"/>
                        <w:right w:val="none" w:sz="0" w:space="0" w:color="auto"/>
                      </w:divBdr>
                    </w:div>
                  </w:divsChild>
                </w:div>
                <w:div w:id="825629044">
                  <w:marLeft w:val="0"/>
                  <w:marRight w:val="0"/>
                  <w:marTop w:val="0"/>
                  <w:marBottom w:val="0"/>
                  <w:divBdr>
                    <w:top w:val="none" w:sz="0" w:space="0" w:color="auto"/>
                    <w:left w:val="none" w:sz="0" w:space="0" w:color="auto"/>
                    <w:bottom w:val="none" w:sz="0" w:space="0" w:color="auto"/>
                    <w:right w:val="none" w:sz="0" w:space="0" w:color="auto"/>
                  </w:divBdr>
                  <w:divsChild>
                    <w:div w:id="898631962">
                      <w:marLeft w:val="0"/>
                      <w:marRight w:val="0"/>
                      <w:marTop w:val="0"/>
                      <w:marBottom w:val="0"/>
                      <w:divBdr>
                        <w:top w:val="none" w:sz="0" w:space="0" w:color="auto"/>
                        <w:left w:val="none" w:sz="0" w:space="0" w:color="auto"/>
                        <w:bottom w:val="none" w:sz="0" w:space="0" w:color="auto"/>
                        <w:right w:val="none" w:sz="0" w:space="0" w:color="auto"/>
                      </w:divBdr>
                    </w:div>
                  </w:divsChild>
                </w:div>
                <w:div w:id="1024407544">
                  <w:marLeft w:val="0"/>
                  <w:marRight w:val="0"/>
                  <w:marTop w:val="0"/>
                  <w:marBottom w:val="0"/>
                  <w:divBdr>
                    <w:top w:val="none" w:sz="0" w:space="0" w:color="auto"/>
                    <w:left w:val="none" w:sz="0" w:space="0" w:color="auto"/>
                    <w:bottom w:val="none" w:sz="0" w:space="0" w:color="auto"/>
                    <w:right w:val="none" w:sz="0" w:space="0" w:color="auto"/>
                  </w:divBdr>
                  <w:divsChild>
                    <w:div w:id="1060791321">
                      <w:marLeft w:val="0"/>
                      <w:marRight w:val="0"/>
                      <w:marTop w:val="0"/>
                      <w:marBottom w:val="0"/>
                      <w:divBdr>
                        <w:top w:val="none" w:sz="0" w:space="0" w:color="auto"/>
                        <w:left w:val="none" w:sz="0" w:space="0" w:color="auto"/>
                        <w:bottom w:val="none" w:sz="0" w:space="0" w:color="auto"/>
                        <w:right w:val="none" w:sz="0" w:space="0" w:color="auto"/>
                      </w:divBdr>
                    </w:div>
                  </w:divsChild>
                </w:div>
                <w:div w:id="1147282282">
                  <w:marLeft w:val="0"/>
                  <w:marRight w:val="0"/>
                  <w:marTop w:val="0"/>
                  <w:marBottom w:val="0"/>
                  <w:divBdr>
                    <w:top w:val="none" w:sz="0" w:space="0" w:color="auto"/>
                    <w:left w:val="none" w:sz="0" w:space="0" w:color="auto"/>
                    <w:bottom w:val="none" w:sz="0" w:space="0" w:color="auto"/>
                    <w:right w:val="none" w:sz="0" w:space="0" w:color="auto"/>
                  </w:divBdr>
                  <w:divsChild>
                    <w:div w:id="1521508574">
                      <w:marLeft w:val="0"/>
                      <w:marRight w:val="0"/>
                      <w:marTop w:val="0"/>
                      <w:marBottom w:val="0"/>
                      <w:divBdr>
                        <w:top w:val="none" w:sz="0" w:space="0" w:color="auto"/>
                        <w:left w:val="none" w:sz="0" w:space="0" w:color="auto"/>
                        <w:bottom w:val="none" w:sz="0" w:space="0" w:color="auto"/>
                        <w:right w:val="none" w:sz="0" w:space="0" w:color="auto"/>
                      </w:divBdr>
                    </w:div>
                  </w:divsChild>
                </w:div>
                <w:div w:id="1168444011">
                  <w:marLeft w:val="0"/>
                  <w:marRight w:val="0"/>
                  <w:marTop w:val="0"/>
                  <w:marBottom w:val="0"/>
                  <w:divBdr>
                    <w:top w:val="none" w:sz="0" w:space="0" w:color="auto"/>
                    <w:left w:val="none" w:sz="0" w:space="0" w:color="auto"/>
                    <w:bottom w:val="none" w:sz="0" w:space="0" w:color="auto"/>
                    <w:right w:val="none" w:sz="0" w:space="0" w:color="auto"/>
                  </w:divBdr>
                  <w:divsChild>
                    <w:div w:id="13652863">
                      <w:marLeft w:val="0"/>
                      <w:marRight w:val="0"/>
                      <w:marTop w:val="0"/>
                      <w:marBottom w:val="0"/>
                      <w:divBdr>
                        <w:top w:val="none" w:sz="0" w:space="0" w:color="auto"/>
                        <w:left w:val="none" w:sz="0" w:space="0" w:color="auto"/>
                        <w:bottom w:val="none" w:sz="0" w:space="0" w:color="auto"/>
                        <w:right w:val="none" w:sz="0" w:space="0" w:color="auto"/>
                      </w:divBdr>
                    </w:div>
                  </w:divsChild>
                </w:div>
                <w:div w:id="1493910152">
                  <w:marLeft w:val="0"/>
                  <w:marRight w:val="0"/>
                  <w:marTop w:val="0"/>
                  <w:marBottom w:val="0"/>
                  <w:divBdr>
                    <w:top w:val="none" w:sz="0" w:space="0" w:color="auto"/>
                    <w:left w:val="none" w:sz="0" w:space="0" w:color="auto"/>
                    <w:bottom w:val="none" w:sz="0" w:space="0" w:color="auto"/>
                    <w:right w:val="none" w:sz="0" w:space="0" w:color="auto"/>
                  </w:divBdr>
                  <w:divsChild>
                    <w:div w:id="777794336">
                      <w:marLeft w:val="0"/>
                      <w:marRight w:val="0"/>
                      <w:marTop w:val="0"/>
                      <w:marBottom w:val="0"/>
                      <w:divBdr>
                        <w:top w:val="none" w:sz="0" w:space="0" w:color="auto"/>
                        <w:left w:val="none" w:sz="0" w:space="0" w:color="auto"/>
                        <w:bottom w:val="none" w:sz="0" w:space="0" w:color="auto"/>
                        <w:right w:val="none" w:sz="0" w:space="0" w:color="auto"/>
                      </w:divBdr>
                    </w:div>
                  </w:divsChild>
                </w:div>
                <w:div w:id="1598757342">
                  <w:marLeft w:val="0"/>
                  <w:marRight w:val="0"/>
                  <w:marTop w:val="0"/>
                  <w:marBottom w:val="0"/>
                  <w:divBdr>
                    <w:top w:val="none" w:sz="0" w:space="0" w:color="auto"/>
                    <w:left w:val="none" w:sz="0" w:space="0" w:color="auto"/>
                    <w:bottom w:val="none" w:sz="0" w:space="0" w:color="auto"/>
                    <w:right w:val="none" w:sz="0" w:space="0" w:color="auto"/>
                  </w:divBdr>
                  <w:divsChild>
                    <w:div w:id="1082407392">
                      <w:marLeft w:val="0"/>
                      <w:marRight w:val="0"/>
                      <w:marTop w:val="0"/>
                      <w:marBottom w:val="0"/>
                      <w:divBdr>
                        <w:top w:val="none" w:sz="0" w:space="0" w:color="auto"/>
                        <w:left w:val="none" w:sz="0" w:space="0" w:color="auto"/>
                        <w:bottom w:val="none" w:sz="0" w:space="0" w:color="auto"/>
                        <w:right w:val="none" w:sz="0" w:space="0" w:color="auto"/>
                      </w:divBdr>
                    </w:div>
                  </w:divsChild>
                </w:div>
                <w:div w:id="1611277323">
                  <w:marLeft w:val="0"/>
                  <w:marRight w:val="0"/>
                  <w:marTop w:val="0"/>
                  <w:marBottom w:val="0"/>
                  <w:divBdr>
                    <w:top w:val="none" w:sz="0" w:space="0" w:color="auto"/>
                    <w:left w:val="none" w:sz="0" w:space="0" w:color="auto"/>
                    <w:bottom w:val="none" w:sz="0" w:space="0" w:color="auto"/>
                    <w:right w:val="none" w:sz="0" w:space="0" w:color="auto"/>
                  </w:divBdr>
                  <w:divsChild>
                    <w:div w:id="1870680799">
                      <w:marLeft w:val="0"/>
                      <w:marRight w:val="0"/>
                      <w:marTop w:val="0"/>
                      <w:marBottom w:val="0"/>
                      <w:divBdr>
                        <w:top w:val="none" w:sz="0" w:space="0" w:color="auto"/>
                        <w:left w:val="none" w:sz="0" w:space="0" w:color="auto"/>
                        <w:bottom w:val="none" w:sz="0" w:space="0" w:color="auto"/>
                        <w:right w:val="none" w:sz="0" w:space="0" w:color="auto"/>
                      </w:divBdr>
                    </w:div>
                  </w:divsChild>
                </w:div>
                <w:div w:id="2036536109">
                  <w:marLeft w:val="0"/>
                  <w:marRight w:val="0"/>
                  <w:marTop w:val="0"/>
                  <w:marBottom w:val="0"/>
                  <w:divBdr>
                    <w:top w:val="none" w:sz="0" w:space="0" w:color="auto"/>
                    <w:left w:val="none" w:sz="0" w:space="0" w:color="auto"/>
                    <w:bottom w:val="none" w:sz="0" w:space="0" w:color="auto"/>
                    <w:right w:val="none" w:sz="0" w:space="0" w:color="auto"/>
                  </w:divBdr>
                  <w:divsChild>
                    <w:div w:id="6343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5089">
          <w:marLeft w:val="0"/>
          <w:marRight w:val="0"/>
          <w:marTop w:val="0"/>
          <w:marBottom w:val="0"/>
          <w:divBdr>
            <w:top w:val="none" w:sz="0" w:space="0" w:color="auto"/>
            <w:left w:val="none" w:sz="0" w:space="0" w:color="auto"/>
            <w:bottom w:val="none" w:sz="0" w:space="0" w:color="auto"/>
            <w:right w:val="none" w:sz="0" w:space="0" w:color="auto"/>
          </w:divBdr>
        </w:div>
        <w:div w:id="1466266483">
          <w:marLeft w:val="0"/>
          <w:marRight w:val="0"/>
          <w:marTop w:val="0"/>
          <w:marBottom w:val="0"/>
          <w:divBdr>
            <w:top w:val="none" w:sz="0" w:space="0" w:color="auto"/>
            <w:left w:val="none" w:sz="0" w:space="0" w:color="auto"/>
            <w:bottom w:val="none" w:sz="0" w:space="0" w:color="auto"/>
            <w:right w:val="none" w:sz="0" w:space="0" w:color="auto"/>
          </w:divBdr>
        </w:div>
      </w:divsChild>
    </w:div>
    <w:div w:id="769005472">
      <w:bodyDiv w:val="1"/>
      <w:marLeft w:val="0"/>
      <w:marRight w:val="0"/>
      <w:marTop w:val="0"/>
      <w:marBottom w:val="0"/>
      <w:divBdr>
        <w:top w:val="none" w:sz="0" w:space="0" w:color="auto"/>
        <w:left w:val="none" w:sz="0" w:space="0" w:color="auto"/>
        <w:bottom w:val="none" w:sz="0" w:space="0" w:color="auto"/>
        <w:right w:val="none" w:sz="0" w:space="0" w:color="auto"/>
      </w:divBdr>
    </w:div>
    <w:div w:id="1045250969">
      <w:bodyDiv w:val="1"/>
      <w:marLeft w:val="0"/>
      <w:marRight w:val="0"/>
      <w:marTop w:val="0"/>
      <w:marBottom w:val="0"/>
      <w:divBdr>
        <w:top w:val="none" w:sz="0" w:space="0" w:color="auto"/>
        <w:left w:val="none" w:sz="0" w:space="0" w:color="auto"/>
        <w:bottom w:val="none" w:sz="0" w:space="0" w:color="auto"/>
        <w:right w:val="none" w:sz="0" w:space="0" w:color="auto"/>
      </w:divBdr>
    </w:div>
    <w:div w:id="1076440170">
      <w:bodyDiv w:val="1"/>
      <w:marLeft w:val="0"/>
      <w:marRight w:val="0"/>
      <w:marTop w:val="0"/>
      <w:marBottom w:val="0"/>
      <w:divBdr>
        <w:top w:val="none" w:sz="0" w:space="0" w:color="auto"/>
        <w:left w:val="none" w:sz="0" w:space="0" w:color="auto"/>
        <w:bottom w:val="none" w:sz="0" w:space="0" w:color="auto"/>
        <w:right w:val="none" w:sz="0" w:space="0" w:color="auto"/>
      </w:divBdr>
    </w:div>
    <w:div w:id="1206792029">
      <w:bodyDiv w:val="1"/>
      <w:marLeft w:val="0"/>
      <w:marRight w:val="0"/>
      <w:marTop w:val="0"/>
      <w:marBottom w:val="0"/>
      <w:divBdr>
        <w:top w:val="none" w:sz="0" w:space="0" w:color="auto"/>
        <w:left w:val="none" w:sz="0" w:space="0" w:color="auto"/>
        <w:bottom w:val="none" w:sz="0" w:space="0" w:color="auto"/>
        <w:right w:val="none" w:sz="0" w:space="0" w:color="auto"/>
      </w:divBdr>
    </w:div>
    <w:div w:id="1476994582">
      <w:bodyDiv w:val="1"/>
      <w:marLeft w:val="0"/>
      <w:marRight w:val="0"/>
      <w:marTop w:val="0"/>
      <w:marBottom w:val="0"/>
      <w:divBdr>
        <w:top w:val="none" w:sz="0" w:space="0" w:color="auto"/>
        <w:left w:val="none" w:sz="0" w:space="0" w:color="auto"/>
        <w:bottom w:val="none" w:sz="0" w:space="0" w:color="auto"/>
        <w:right w:val="none" w:sz="0" w:space="0" w:color="auto"/>
      </w:divBdr>
    </w:div>
    <w:div w:id="1743986034">
      <w:bodyDiv w:val="1"/>
      <w:marLeft w:val="0"/>
      <w:marRight w:val="0"/>
      <w:marTop w:val="0"/>
      <w:marBottom w:val="0"/>
      <w:divBdr>
        <w:top w:val="none" w:sz="0" w:space="0" w:color="auto"/>
        <w:left w:val="none" w:sz="0" w:space="0" w:color="auto"/>
        <w:bottom w:val="none" w:sz="0" w:space="0" w:color="auto"/>
        <w:right w:val="none" w:sz="0" w:space="0" w:color="auto"/>
      </w:divBdr>
    </w:div>
    <w:div w:id="21108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nnl.gov/projects/rebate-tools" TargetMode="External"/><Relationship Id="rId5" Type="http://schemas.openxmlformats.org/officeDocument/2006/relationships/styles" Target="styles.xml"/><Relationship Id="rId10" Type="http://schemas.openxmlformats.org/officeDocument/2006/relationships/hyperlink" Target="https://www.energy.gov/sites/default/files/2024-05/ira-home-energy-rebates-data-and-tools-requirements-guide-version-1.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Dixit, Raj@Energy</DisplayName>
        <AccountId>446</AccountId>
        <AccountType/>
      </UserInfo>
      <UserInfo>
        <DisplayName>Codog, Aric@Energy</DisplayName>
        <AccountId>178</AccountId>
        <AccountType/>
      </UserInfo>
    </SharedWithUsers>
  </documentManagement>
</p:properties>
</file>

<file path=customXml/itemProps1.xml><?xml version="1.0" encoding="utf-8"?>
<ds:datastoreItem xmlns:ds="http://schemas.openxmlformats.org/officeDocument/2006/customXml" ds:itemID="{09AC9299-FB6A-417C-945E-DAC485C3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BBACC-B34B-4D26-8D05-4ECA44AF332A}">
  <ds:schemaRefs>
    <ds:schemaRef ds:uri="http://schemas.microsoft.com/sharepoint/v3/contenttype/forms"/>
  </ds:schemaRefs>
</ds:datastoreItem>
</file>

<file path=customXml/itemProps3.xml><?xml version="1.0" encoding="utf-8"?>
<ds:datastoreItem xmlns:ds="http://schemas.openxmlformats.org/officeDocument/2006/customXml" ds:itemID="{27A749EC-B420-47A2-B18A-907BCAE0FDDD}">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8002</Words>
  <Characters>45616</Characters>
  <Application>Microsoft Office Word</Application>
  <DocSecurity>4</DocSecurity>
  <Lines>380</Lines>
  <Paragraphs>107</Paragraphs>
  <ScaleCrop>false</ScaleCrop>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Prince@Energy</dc:creator>
  <cp:keywords/>
  <dc:description/>
  <cp:lastModifiedBy>Mills, Susan@Energy</cp:lastModifiedBy>
  <cp:revision>6</cp:revision>
  <dcterms:created xsi:type="dcterms:W3CDTF">2024-06-14T21:10:00Z</dcterms:created>
  <dcterms:modified xsi:type="dcterms:W3CDTF">2024-06-17T17:06:00Z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794dada865acdafe9939c252f09a1b2c797990b954d8c4a6e4dcf23ceb02755e</vt:lpwstr>
  </property>
</Properties>
</file>