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6F659F94" w:rsidR="009E6C35" w:rsidRPr="003D5F92" w:rsidRDefault="7F6EEA5B" w:rsidP="763F5E5C">
      <w:pPr>
        <w:pStyle w:val="paragraph"/>
        <w:ind w:left="4320"/>
        <w:jc w:val="right"/>
        <w:textAlignment w:val="baseline"/>
        <w:rPr>
          <w:rStyle w:val="normaltextrun"/>
          <w:rFonts w:ascii="Tahoma" w:eastAsia="Tahoma" w:hAnsi="Tahoma" w:cs="Tahoma"/>
        </w:rPr>
      </w:pPr>
      <w:r w:rsidRPr="7659959C">
        <w:rPr>
          <w:rStyle w:val="normaltextrun"/>
          <w:rFonts w:ascii="Tahoma" w:eastAsia="Tahoma" w:hAnsi="Tahoma" w:cs="Tahoma"/>
        </w:rPr>
        <w:t xml:space="preserve">June </w:t>
      </w:r>
      <w:r w:rsidR="001B0E92">
        <w:rPr>
          <w:rStyle w:val="normaltextrun"/>
          <w:rFonts w:ascii="Tahoma" w:eastAsia="Tahoma" w:hAnsi="Tahoma" w:cs="Tahoma"/>
        </w:rPr>
        <w:t>4</w:t>
      </w:r>
      <w:r w:rsidR="0079120A" w:rsidRPr="7659959C">
        <w:rPr>
          <w:rStyle w:val="normaltextrun"/>
          <w:rFonts w:ascii="Tahoma" w:eastAsia="Tahoma" w:hAnsi="Tahoma" w:cs="Tahoma"/>
        </w:rPr>
        <w:t>, 202</w:t>
      </w:r>
      <w:r w:rsidR="00246722" w:rsidRPr="7659959C">
        <w:rPr>
          <w:rStyle w:val="normaltextrun"/>
          <w:rFonts w:ascii="Tahoma" w:eastAsia="Tahoma" w:hAnsi="Tahoma" w:cs="Tahoma"/>
        </w:rPr>
        <w:t>4</w:t>
      </w:r>
    </w:p>
    <w:p w14:paraId="3049D69B" w14:textId="24B96EAC" w:rsidR="00B1122A" w:rsidRPr="003D5F92" w:rsidRDefault="00B1122A" w:rsidP="763F5E5C">
      <w:pPr>
        <w:jc w:val="center"/>
        <w:rPr>
          <w:rFonts w:ascii="Tahoma" w:eastAsia="Tahoma" w:hAnsi="Tahoma" w:cs="Tahoma"/>
          <w:b/>
          <w:bCs/>
        </w:rPr>
      </w:pPr>
      <w:r w:rsidRPr="763F5E5C">
        <w:rPr>
          <w:rFonts w:ascii="Tahoma" w:eastAsia="Tahoma" w:hAnsi="Tahoma" w:cs="Tahoma"/>
          <w:b/>
          <w:bCs/>
        </w:rPr>
        <w:t>GFO-2</w:t>
      </w:r>
      <w:r w:rsidR="00353981" w:rsidRPr="763F5E5C">
        <w:rPr>
          <w:rFonts w:ascii="Tahoma" w:eastAsia="Tahoma" w:hAnsi="Tahoma" w:cs="Tahoma"/>
          <w:b/>
          <w:bCs/>
        </w:rPr>
        <w:t>3-</w:t>
      </w:r>
      <w:r w:rsidR="57746461" w:rsidRPr="763F5E5C">
        <w:rPr>
          <w:rFonts w:ascii="Tahoma" w:eastAsia="Tahoma" w:hAnsi="Tahoma" w:cs="Tahoma"/>
          <w:b/>
          <w:bCs/>
        </w:rPr>
        <w:t>502</w:t>
      </w:r>
    </w:p>
    <w:p w14:paraId="48150308" w14:textId="26BFE59B" w:rsidR="0045786A" w:rsidRPr="003D5F92" w:rsidRDefault="1EB4FE49" w:rsidP="763F5E5C">
      <w:pPr>
        <w:autoSpaceDE w:val="0"/>
        <w:autoSpaceDN w:val="0"/>
        <w:adjustRightInd w:val="0"/>
        <w:jc w:val="center"/>
        <w:rPr>
          <w:rFonts w:ascii="Tahoma" w:eastAsia="Tahoma" w:hAnsi="Tahoma" w:cs="Tahoma"/>
          <w:b/>
          <w:bCs/>
          <w:color w:val="000000"/>
        </w:rPr>
      </w:pPr>
      <w:r w:rsidRPr="5D79CECC">
        <w:rPr>
          <w:rFonts w:ascii="Tahoma" w:eastAsia="Tahoma" w:hAnsi="Tahoma" w:cs="Tahoma"/>
          <w:b/>
          <w:bCs/>
          <w:color w:val="000000" w:themeColor="text1"/>
        </w:rPr>
        <w:t>Industrial Carbon Dioxide Utilization for Value Added Product</w:t>
      </w:r>
      <w:r w:rsidR="00246722" w:rsidRPr="5D79CECC">
        <w:rPr>
          <w:rFonts w:ascii="Tahoma" w:eastAsia="Tahoma" w:hAnsi="Tahoma" w:cs="Tahoma"/>
          <w:b/>
          <w:bCs/>
          <w:color w:val="000000" w:themeColor="text1"/>
        </w:rPr>
        <w:t>s</w:t>
      </w:r>
    </w:p>
    <w:p w14:paraId="04F4E8D0" w14:textId="77777777" w:rsidR="0045786A" w:rsidRPr="003D5F92" w:rsidRDefault="0045786A" w:rsidP="763F5E5C">
      <w:pPr>
        <w:autoSpaceDE w:val="0"/>
        <w:autoSpaceDN w:val="0"/>
        <w:adjustRightInd w:val="0"/>
        <w:jc w:val="center"/>
        <w:rPr>
          <w:rFonts w:ascii="Tahoma" w:eastAsia="Tahoma" w:hAnsi="Tahoma" w:cs="Tahoma"/>
          <w:b/>
          <w:bCs/>
          <w:color w:val="000000"/>
        </w:rPr>
      </w:pPr>
    </w:p>
    <w:p w14:paraId="6587D6BB" w14:textId="031EB692" w:rsidR="00B1122A" w:rsidRPr="003D5F92" w:rsidRDefault="00B1122A" w:rsidP="763F5E5C">
      <w:pPr>
        <w:autoSpaceDE w:val="0"/>
        <w:autoSpaceDN w:val="0"/>
        <w:adjustRightInd w:val="0"/>
        <w:jc w:val="center"/>
        <w:rPr>
          <w:rFonts w:ascii="Tahoma" w:eastAsia="Tahoma" w:hAnsi="Tahoma" w:cs="Tahoma"/>
          <w:b/>
          <w:bCs/>
          <w:color w:val="000000"/>
        </w:rPr>
      </w:pPr>
      <w:r w:rsidRPr="763F5E5C">
        <w:rPr>
          <w:rFonts w:ascii="Tahoma" w:eastAsia="Tahoma" w:hAnsi="Tahoma" w:cs="Tahoma"/>
          <w:b/>
          <w:bCs/>
          <w:color w:val="000000" w:themeColor="text1"/>
        </w:rPr>
        <w:t xml:space="preserve">Addendum </w:t>
      </w:r>
      <w:r w:rsidR="00B96784" w:rsidRPr="763F5E5C">
        <w:rPr>
          <w:rFonts w:ascii="Tahoma" w:eastAsia="Tahoma" w:hAnsi="Tahoma" w:cs="Tahoma"/>
          <w:b/>
          <w:bCs/>
          <w:color w:val="000000" w:themeColor="text1"/>
        </w:rPr>
        <w:t>0</w:t>
      </w:r>
      <w:r w:rsidR="00353981" w:rsidRPr="763F5E5C">
        <w:rPr>
          <w:rFonts w:ascii="Tahoma" w:eastAsia="Tahoma" w:hAnsi="Tahoma" w:cs="Tahoma"/>
          <w:b/>
          <w:bCs/>
          <w:color w:val="000000" w:themeColor="text1"/>
        </w:rPr>
        <w:t>1</w:t>
      </w:r>
    </w:p>
    <w:p w14:paraId="363B15A9" w14:textId="77777777" w:rsidR="00B1122A" w:rsidRPr="003D5F92" w:rsidRDefault="00B1122A" w:rsidP="763F5E5C">
      <w:pPr>
        <w:autoSpaceDE w:val="0"/>
        <w:autoSpaceDN w:val="0"/>
        <w:adjustRightInd w:val="0"/>
        <w:jc w:val="center"/>
        <w:rPr>
          <w:rFonts w:ascii="Tahoma" w:eastAsia="Tahoma" w:hAnsi="Tahoma" w:cs="Tahoma"/>
          <w:b/>
          <w:bCs/>
          <w:color w:val="000000"/>
        </w:rPr>
      </w:pPr>
    </w:p>
    <w:p w14:paraId="5D71961B" w14:textId="538C4057" w:rsidR="0ABBACEA" w:rsidRDefault="0ABBACEA" w:rsidP="60F94552">
      <w:pPr>
        <w:jc w:val="center"/>
        <w:rPr>
          <w:rFonts w:ascii="Tahoma" w:eastAsia="Tahoma" w:hAnsi="Tahoma" w:cs="Tahoma"/>
        </w:rPr>
      </w:pPr>
      <w:r w:rsidRPr="21087F88">
        <w:rPr>
          <w:rFonts w:ascii="Tahoma" w:eastAsia="Tahoma" w:hAnsi="Tahoma" w:cs="Tahoma"/>
          <w:color w:val="000000" w:themeColor="text1"/>
        </w:rPr>
        <w:t xml:space="preserve">Disclaimer: Textual content </w:t>
      </w:r>
      <w:r w:rsidR="4A4587A1" w:rsidRPr="21087F88">
        <w:rPr>
          <w:rFonts w:ascii="Tahoma" w:eastAsia="Tahoma" w:hAnsi="Tahoma" w:cs="Tahoma"/>
          <w:color w:val="000000" w:themeColor="text1"/>
        </w:rPr>
        <w:t xml:space="preserve">contained within brackets and </w:t>
      </w:r>
      <w:r w:rsidRPr="21087F88">
        <w:rPr>
          <w:rFonts w:ascii="Tahoma" w:eastAsia="Tahoma" w:hAnsi="Tahoma" w:cs="Tahoma"/>
          <w:color w:val="000000" w:themeColor="text1"/>
        </w:rPr>
        <w:t xml:space="preserve">with </w:t>
      </w:r>
      <w:r w:rsidRPr="21087F88">
        <w:rPr>
          <w:rFonts w:ascii="Tahoma" w:eastAsia="Tahoma" w:hAnsi="Tahoma" w:cs="Tahoma"/>
          <w:strike/>
          <w:color w:val="000000" w:themeColor="text1"/>
        </w:rPr>
        <w:t>strikethrough</w:t>
      </w:r>
      <w:r w:rsidRPr="21087F88">
        <w:rPr>
          <w:rFonts w:ascii="Tahoma" w:eastAsia="Tahoma" w:hAnsi="Tahoma" w:cs="Tahoma"/>
          <w:color w:val="000000" w:themeColor="text1"/>
        </w:rPr>
        <w:t xml:space="preserve"> was removed</w:t>
      </w:r>
      <w:r w:rsidR="5DF85EA3" w:rsidRPr="21087F88">
        <w:rPr>
          <w:rFonts w:ascii="Tahoma" w:eastAsia="Tahoma" w:hAnsi="Tahoma" w:cs="Tahoma"/>
          <w:color w:val="000000" w:themeColor="text1"/>
        </w:rPr>
        <w:t xml:space="preserve">, and </w:t>
      </w:r>
      <w:r w:rsidR="381A28B9" w:rsidRPr="21087F88">
        <w:rPr>
          <w:rFonts w:ascii="Tahoma" w:eastAsia="Tahoma" w:hAnsi="Tahoma" w:cs="Tahoma"/>
          <w:color w:val="000000" w:themeColor="text1"/>
        </w:rPr>
        <w:t xml:space="preserve">textual content </w:t>
      </w:r>
      <w:r w:rsidR="5DF85EA3" w:rsidRPr="21087F88">
        <w:rPr>
          <w:rFonts w:ascii="Tahoma" w:eastAsia="Tahoma" w:hAnsi="Tahoma" w:cs="Tahoma"/>
          <w:color w:val="000000" w:themeColor="text1"/>
        </w:rPr>
        <w:t xml:space="preserve">in </w:t>
      </w:r>
      <w:r w:rsidR="5DF85EA3" w:rsidRPr="21087F88">
        <w:rPr>
          <w:rFonts w:ascii="Tahoma" w:eastAsia="Tahoma" w:hAnsi="Tahoma" w:cs="Tahoma"/>
          <w:b/>
          <w:bCs/>
          <w:color w:val="000000" w:themeColor="text1"/>
          <w:u w:val="single"/>
        </w:rPr>
        <w:t>bold underline</w:t>
      </w:r>
      <w:r w:rsidR="5DF85EA3" w:rsidRPr="21087F88">
        <w:rPr>
          <w:rFonts w:ascii="Tahoma" w:eastAsia="Tahoma" w:hAnsi="Tahoma" w:cs="Tahoma"/>
          <w:color w:val="000000" w:themeColor="text1"/>
        </w:rPr>
        <w:t xml:space="preserve"> was added</w:t>
      </w:r>
      <w:r w:rsidRPr="21087F88">
        <w:rPr>
          <w:rFonts w:ascii="Tahoma" w:eastAsia="Tahoma" w:hAnsi="Tahoma" w:cs="Tahoma"/>
          <w:color w:val="000000" w:themeColor="text1"/>
        </w:rPr>
        <w:t>.</w:t>
      </w:r>
    </w:p>
    <w:p w14:paraId="2C6872FE" w14:textId="377E0637" w:rsidR="60F94552" w:rsidRDefault="60F94552" w:rsidP="60F94552">
      <w:pPr>
        <w:rPr>
          <w:rFonts w:ascii="Tahoma" w:eastAsia="Tahoma" w:hAnsi="Tahoma" w:cs="Tahoma"/>
          <w:color w:val="000000" w:themeColor="text1"/>
        </w:rPr>
      </w:pPr>
    </w:p>
    <w:p w14:paraId="28220DB1" w14:textId="447ED53E" w:rsidR="00FD441B" w:rsidRPr="003D5F92" w:rsidRDefault="00B1122A" w:rsidP="21087F88">
      <w:pPr>
        <w:autoSpaceDE w:val="0"/>
        <w:autoSpaceDN w:val="0"/>
        <w:adjustRightInd w:val="0"/>
        <w:rPr>
          <w:rFonts w:ascii="Tahoma" w:eastAsia="Tahoma" w:hAnsi="Tahoma" w:cs="Tahoma"/>
          <w:color w:val="000000"/>
        </w:rPr>
      </w:pPr>
      <w:r w:rsidRPr="21087F88">
        <w:rPr>
          <w:rFonts w:ascii="Tahoma" w:eastAsia="Tahoma" w:hAnsi="Tahoma" w:cs="Tahoma"/>
          <w:color w:val="000000" w:themeColor="text1"/>
        </w:rPr>
        <w:t>The purpose of this addendum is to notify potential applicants of changes that have been made to GFO-2</w:t>
      </w:r>
      <w:r w:rsidR="00353981" w:rsidRPr="21087F88">
        <w:rPr>
          <w:rFonts w:ascii="Tahoma" w:eastAsia="Tahoma" w:hAnsi="Tahoma" w:cs="Tahoma"/>
          <w:color w:val="000000" w:themeColor="text1"/>
        </w:rPr>
        <w:t>3-</w:t>
      </w:r>
      <w:r w:rsidR="3F3242DE" w:rsidRPr="21087F88">
        <w:rPr>
          <w:rFonts w:ascii="Tahoma" w:eastAsia="Tahoma" w:hAnsi="Tahoma" w:cs="Tahoma"/>
          <w:color w:val="000000" w:themeColor="text1"/>
        </w:rPr>
        <w:t>502</w:t>
      </w:r>
      <w:r w:rsidR="1FF6FC17" w:rsidRPr="21087F88">
        <w:rPr>
          <w:rFonts w:ascii="Tahoma" w:eastAsia="Tahoma" w:hAnsi="Tahoma" w:cs="Tahoma"/>
          <w:color w:val="000000" w:themeColor="text1"/>
        </w:rPr>
        <w:t xml:space="preserve"> </w:t>
      </w:r>
      <w:r w:rsidR="1FF6FC17" w:rsidRPr="21087F88">
        <w:rPr>
          <w:rFonts w:ascii="Arial" w:eastAsia="Arial" w:hAnsi="Arial" w:cs="Arial"/>
          <w:color w:val="000000" w:themeColor="text1"/>
        </w:rPr>
        <w:t xml:space="preserve">Solicitation Manual (Attachment 00) and </w:t>
      </w:r>
      <w:r w:rsidR="5D267D1D" w:rsidRPr="21087F88">
        <w:rPr>
          <w:rFonts w:ascii="Arial" w:eastAsia="Arial" w:hAnsi="Arial" w:cs="Arial"/>
          <w:color w:val="000000" w:themeColor="text1"/>
        </w:rPr>
        <w:t xml:space="preserve">the Budget </w:t>
      </w:r>
      <w:r w:rsidR="42A63121" w:rsidRPr="21087F88">
        <w:rPr>
          <w:rFonts w:ascii="Arial" w:eastAsia="Arial" w:hAnsi="Arial" w:cs="Arial"/>
          <w:color w:val="000000" w:themeColor="text1"/>
        </w:rPr>
        <w:t xml:space="preserve">Template </w:t>
      </w:r>
      <w:r w:rsidR="1FF6FC17" w:rsidRPr="21087F88">
        <w:rPr>
          <w:rFonts w:ascii="Arial" w:eastAsia="Arial" w:hAnsi="Arial" w:cs="Arial"/>
          <w:color w:val="000000" w:themeColor="text1"/>
        </w:rPr>
        <w:t xml:space="preserve">(Attachment </w:t>
      </w:r>
      <w:r w:rsidR="14E502BA" w:rsidRPr="21087F88">
        <w:rPr>
          <w:rFonts w:ascii="Arial" w:eastAsia="Arial" w:hAnsi="Arial" w:cs="Arial"/>
          <w:color w:val="000000" w:themeColor="text1"/>
        </w:rPr>
        <w:t>0</w:t>
      </w:r>
      <w:r w:rsidR="1FF6FC17" w:rsidRPr="21087F88">
        <w:rPr>
          <w:rFonts w:ascii="Arial" w:eastAsia="Arial" w:hAnsi="Arial" w:cs="Arial"/>
          <w:color w:val="000000" w:themeColor="text1"/>
        </w:rPr>
        <w:t>6)</w:t>
      </w:r>
      <w:r w:rsidRPr="21087F88">
        <w:rPr>
          <w:rFonts w:ascii="Tahoma" w:eastAsia="Tahoma" w:hAnsi="Tahoma" w:cs="Tahoma"/>
          <w:color w:val="000000" w:themeColor="text1"/>
        </w:rPr>
        <w:t>.</w:t>
      </w:r>
      <w:r w:rsidR="1C46B408" w:rsidRPr="21087F88">
        <w:rPr>
          <w:rFonts w:ascii="Arial" w:eastAsia="Arial" w:hAnsi="Arial" w:cs="Arial"/>
          <w:color w:val="000000" w:themeColor="text1"/>
        </w:rPr>
        <w:t xml:space="preserve"> Clarifying language was added in the solicitation manual consistent with written responses to questions asked during the pre-application workshop and written question submittal period.  </w:t>
      </w:r>
      <w:r w:rsidR="1C46B408" w:rsidRPr="21087F88">
        <w:rPr>
          <w:rFonts w:ascii="Tahoma" w:eastAsia="Tahoma" w:hAnsi="Tahoma" w:cs="Tahoma"/>
        </w:rPr>
        <w:t xml:space="preserve"> </w:t>
      </w:r>
      <w:r w:rsidRPr="21087F88">
        <w:rPr>
          <w:rFonts w:ascii="Tahoma" w:eastAsia="Tahoma" w:hAnsi="Tahoma" w:cs="Tahoma"/>
          <w:color w:val="000000" w:themeColor="text1"/>
        </w:rPr>
        <w:t xml:space="preserve"> </w:t>
      </w:r>
    </w:p>
    <w:p w14:paraId="24A5A8EC" w14:textId="77777777" w:rsidR="00FD441B" w:rsidRPr="003D5F92" w:rsidRDefault="00FD441B" w:rsidP="763F5E5C">
      <w:pPr>
        <w:autoSpaceDE w:val="0"/>
        <w:autoSpaceDN w:val="0"/>
        <w:adjustRightInd w:val="0"/>
        <w:rPr>
          <w:rFonts w:ascii="Tahoma" w:eastAsia="Tahoma" w:hAnsi="Tahoma" w:cs="Tahoma"/>
          <w:color w:val="000000"/>
        </w:rPr>
      </w:pPr>
    </w:p>
    <w:p w14:paraId="75680E49" w14:textId="5784FEA8" w:rsidR="008F4EE9" w:rsidRPr="003D5F92" w:rsidRDefault="008F4EE9" w:rsidP="091E666B">
      <w:pPr>
        <w:autoSpaceDE w:val="0"/>
        <w:autoSpaceDN w:val="0"/>
        <w:adjustRightInd w:val="0"/>
        <w:rPr>
          <w:rFonts w:ascii="Tahoma" w:eastAsia="Tahoma" w:hAnsi="Tahoma" w:cs="Tahoma"/>
          <w:color w:val="000000"/>
        </w:rPr>
      </w:pPr>
    </w:p>
    <w:p w14:paraId="12014DBB" w14:textId="5B5DBF81" w:rsidR="23AAFDD4" w:rsidRDefault="0D4933D0" w:rsidP="21087F88">
      <w:pPr>
        <w:rPr>
          <w:rFonts w:ascii="Tahoma" w:eastAsia="Tahoma" w:hAnsi="Tahoma" w:cs="Tahoma"/>
          <w:b/>
          <w:bCs/>
          <w:color w:val="000000" w:themeColor="text1"/>
          <w:u w:val="single"/>
        </w:rPr>
      </w:pPr>
      <w:r w:rsidRPr="00B67AF2">
        <w:rPr>
          <w:rFonts w:ascii="Tahoma" w:eastAsia="Tahoma" w:hAnsi="Tahoma" w:cs="Tahoma"/>
          <w:b/>
          <w:bCs/>
          <w:color w:val="000000" w:themeColor="text1"/>
          <w:u w:val="single"/>
        </w:rPr>
        <w:t>Attachment 00</w:t>
      </w:r>
      <w:r w:rsidRPr="00B67AF2">
        <w:rPr>
          <w:rFonts w:ascii="Tahoma" w:eastAsia="Tahoma" w:hAnsi="Tahoma" w:cs="Tahoma"/>
          <w:color w:val="000000" w:themeColor="text1"/>
          <w:u w:val="single"/>
        </w:rPr>
        <w:t xml:space="preserve"> </w:t>
      </w:r>
      <w:r w:rsidR="70C91680" w:rsidRPr="00104D3A">
        <w:rPr>
          <w:rFonts w:ascii="Tahoma" w:eastAsia="Tahoma" w:hAnsi="Tahoma" w:cs="Tahoma"/>
          <w:b/>
          <w:bCs/>
          <w:color w:val="000000" w:themeColor="text1"/>
          <w:u w:val="single"/>
        </w:rPr>
        <w:t xml:space="preserve">GFO-23-502 </w:t>
      </w:r>
      <w:r w:rsidR="23AAFDD4" w:rsidRPr="00104D3A">
        <w:rPr>
          <w:rFonts w:ascii="Tahoma" w:eastAsia="Tahoma" w:hAnsi="Tahoma" w:cs="Tahoma"/>
          <w:b/>
          <w:bCs/>
          <w:color w:val="000000" w:themeColor="text1"/>
          <w:u w:val="single"/>
        </w:rPr>
        <w:t>Solicitation Manual</w:t>
      </w:r>
      <w:r w:rsidR="64D94A29" w:rsidRPr="00104D3A">
        <w:rPr>
          <w:rFonts w:ascii="Tahoma" w:eastAsia="Tahoma" w:hAnsi="Tahoma" w:cs="Tahoma"/>
          <w:b/>
          <w:bCs/>
          <w:color w:val="000000" w:themeColor="text1"/>
          <w:u w:val="single"/>
        </w:rPr>
        <w:t>:</w:t>
      </w:r>
    </w:p>
    <w:p w14:paraId="04AF3944" w14:textId="2E558A1F" w:rsidR="21087F88" w:rsidRDefault="21087F88" w:rsidP="21087F88">
      <w:pPr>
        <w:rPr>
          <w:rFonts w:ascii="Tahoma" w:eastAsia="Tahoma" w:hAnsi="Tahoma" w:cs="Tahoma"/>
          <w:b/>
          <w:bCs/>
          <w:color w:val="000000" w:themeColor="text1"/>
          <w:u w:val="single"/>
        </w:rPr>
      </w:pPr>
    </w:p>
    <w:p w14:paraId="482D9924" w14:textId="21FE8B9E" w:rsidR="052D9BB5" w:rsidRDefault="052D9BB5" w:rsidP="21087F88">
      <w:pPr>
        <w:pStyle w:val="ListParagraph"/>
        <w:numPr>
          <w:ilvl w:val="0"/>
          <w:numId w:val="2"/>
        </w:numPr>
      </w:pPr>
      <w:r w:rsidRPr="21087F88">
        <w:rPr>
          <w:rFonts w:ascii="Tahoma" w:eastAsia="Tahoma" w:hAnsi="Tahoma" w:cs="Tahoma"/>
        </w:rPr>
        <w:t>Cover Page.</w:t>
      </w:r>
      <w:r w:rsidR="6D1FD88A" w:rsidRPr="21087F88">
        <w:rPr>
          <w:rFonts w:ascii="Arial" w:eastAsia="Arial" w:hAnsi="Arial" w:cs="Arial"/>
          <w:color w:val="000000" w:themeColor="text1"/>
        </w:rPr>
        <w:t xml:space="preserve">  </w:t>
      </w:r>
      <w:r w:rsidR="6D1FD88A" w:rsidRPr="21087F88">
        <w:rPr>
          <w:rFonts w:ascii="Arial" w:eastAsia="Arial" w:hAnsi="Arial" w:cs="Arial"/>
          <w:b/>
          <w:bCs/>
          <w:color w:val="000000" w:themeColor="text1"/>
          <w:u w:val="single"/>
        </w:rPr>
        <w:t>Addendum 1</w:t>
      </w:r>
      <w:r w:rsidR="6D1FD88A" w:rsidRPr="21087F88">
        <w:rPr>
          <w:rFonts w:ascii="Arial" w:eastAsia="Arial" w:hAnsi="Arial" w:cs="Arial"/>
          <w:color w:val="000000" w:themeColor="text1"/>
        </w:rPr>
        <w:t xml:space="preserve"> </w:t>
      </w:r>
      <w:r w:rsidR="6D1FD88A" w:rsidRPr="00104D3A">
        <w:rPr>
          <w:rFonts w:ascii="Arial" w:eastAsia="Arial" w:hAnsi="Arial" w:cs="Arial"/>
          <w:b/>
          <w:bCs/>
          <w:color w:val="000000" w:themeColor="text1"/>
        </w:rPr>
        <w:t>June</w:t>
      </w:r>
      <w:r w:rsidR="6D1FD88A" w:rsidRPr="21087F88">
        <w:rPr>
          <w:rFonts w:ascii="Arial" w:eastAsia="Arial" w:hAnsi="Arial" w:cs="Arial"/>
          <w:strike/>
          <w:color w:val="000000" w:themeColor="text1"/>
        </w:rPr>
        <w:t>March</w:t>
      </w:r>
      <w:r w:rsidR="6D1FD88A" w:rsidRPr="21087F88">
        <w:rPr>
          <w:rFonts w:ascii="Arial" w:eastAsia="Arial" w:hAnsi="Arial" w:cs="Arial"/>
          <w:color w:val="000000" w:themeColor="text1"/>
        </w:rPr>
        <w:t xml:space="preserve"> 2024</w:t>
      </w:r>
    </w:p>
    <w:p w14:paraId="3415C72B" w14:textId="4568B7C5" w:rsidR="41E5390D" w:rsidRDefault="48979C94" w:rsidP="763F5E5C">
      <w:pPr>
        <w:pStyle w:val="ListParagraph"/>
        <w:numPr>
          <w:ilvl w:val="0"/>
          <w:numId w:val="2"/>
        </w:numPr>
        <w:rPr>
          <w:rFonts w:ascii="Tahoma" w:eastAsia="Tahoma" w:hAnsi="Tahoma" w:cs="Tahoma"/>
        </w:rPr>
      </w:pPr>
      <w:r w:rsidRPr="5D79CECC">
        <w:rPr>
          <w:rFonts w:ascii="Tahoma" w:eastAsia="Tahoma" w:hAnsi="Tahoma" w:cs="Tahoma"/>
          <w:color w:val="000000" w:themeColor="text1"/>
        </w:rPr>
        <w:t xml:space="preserve">Section I.C. Project </w:t>
      </w:r>
      <w:r w:rsidR="40DAFBA6" w:rsidRPr="5D79CECC">
        <w:rPr>
          <w:rFonts w:ascii="Tahoma" w:eastAsia="Tahoma" w:hAnsi="Tahoma" w:cs="Tahoma"/>
          <w:color w:val="000000" w:themeColor="text1"/>
        </w:rPr>
        <w:t>F</w:t>
      </w:r>
      <w:r w:rsidRPr="5D79CECC">
        <w:rPr>
          <w:rFonts w:ascii="Tahoma" w:eastAsia="Tahoma" w:hAnsi="Tahoma" w:cs="Tahoma"/>
          <w:color w:val="000000" w:themeColor="text1"/>
        </w:rPr>
        <w:t>ocus</w:t>
      </w:r>
      <w:r w:rsidR="7EF99D5B" w:rsidRPr="5D79CECC">
        <w:rPr>
          <w:rFonts w:ascii="Tahoma" w:eastAsia="Tahoma" w:hAnsi="Tahoma" w:cs="Tahoma"/>
          <w:color w:val="000000" w:themeColor="text1"/>
        </w:rPr>
        <w:t>, page 6</w:t>
      </w:r>
      <w:r w:rsidRPr="5D79CECC">
        <w:rPr>
          <w:rFonts w:ascii="Tahoma" w:eastAsia="Tahoma" w:hAnsi="Tahoma" w:cs="Tahoma"/>
          <w:color w:val="000000" w:themeColor="text1"/>
        </w:rPr>
        <w:t>:</w:t>
      </w:r>
    </w:p>
    <w:p w14:paraId="179F0BB4" w14:textId="43DD1E54" w:rsidR="763F5E5C" w:rsidRDefault="41E5390D" w:rsidP="2896EDDE">
      <w:pPr>
        <w:ind w:left="720"/>
        <w:rPr>
          <w:rFonts w:ascii="Tahoma" w:eastAsia="Tahoma" w:hAnsi="Tahoma" w:cs="Tahoma"/>
          <w:b/>
          <w:bCs/>
          <w:color w:val="000000" w:themeColor="text1"/>
          <w:u w:val="single"/>
        </w:rPr>
      </w:pPr>
      <w:r w:rsidRPr="2896EDDE">
        <w:rPr>
          <w:rFonts w:ascii="Tahoma" w:eastAsia="Tahoma" w:hAnsi="Tahoma" w:cs="Tahoma"/>
          <w:b/>
          <w:bCs/>
          <w:color w:val="000000" w:themeColor="text1"/>
          <w:u w:val="single"/>
        </w:rPr>
        <w:t>Acceptable sources of CO</w:t>
      </w:r>
      <w:r w:rsidRPr="2896EDDE">
        <w:rPr>
          <w:rFonts w:ascii="Tahoma" w:eastAsia="Tahoma" w:hAnsi="Tahoma" w:cs="Tahoma"/>
          <w:b/>
          <w:bCs/>
          <w:color w:val="000000" w:themeColor="text1"/>
          <w:u w:val="single"/>
          <w:vertAlign w:val="subscript"/>
        </w:rPr>
        <w:t>2</w:t>
      </w:r>
      <w:r w:rsidRPr="2896EDDE">
        <w:rPr>
          <w:rFonts w:ascii="Tahoma" w:eastAsia="Tahoma" w:hAnsi="Tahoma" w:cs="Tahoma"/>
          <w:b/>
          <w:bCs/>
          <w:color w:val="000000" w:themeColor="text1"/>
          <w:u w:val="single"/>
        </w:rPr>
        <w:t xml:space="preserve"> for CO</w:t>
      </w:r>
      <w:r w:rsidRPr="2896EDDE">
        <w:rPr>
          <w:rFonts w:ascii="Tahoma" w:eastAsia="Tahoma" w:hAnsi="Tahoma" w:cs="Tahoma"/>
          <w:b/>
          <w:bCs/>
          <w:color w:val="000000" w:themeColor="text1"/>
          <w:u w:val="single"/>
          <w:vertAlign w:val="subscript"/>
        </w:rPr>
        <w:t>2</w:t>
      </w:r>
      <w:r w:rsidRPr="2896EDDE">
        <w:rPr>
          <w:rFonts w:ascii="Tahoma" w:eastAsia="Tahoma" w:hAnsi="Tahoma" w:cs="Tahoma"/>
          <w:b/>
          <w:bCs/>
          <w:color w:val="000000" w:themeColor="text1"/>
          <w:u w:val="single"/>
        </w:rPr>
        <w:t xml:space="preserve"> utilization products include both industrial flue </w:t>
      </w:r>
      <w:r w:rsidR="0C7A389B" w:rsidRPr="2896EDDE">
        <w:rPr>
          <w:rFonts w:ascii="Tahoma" w:eastAsia="Tahoma" w:hAnsi="Tahoma" w:cs="Tahoma"/>
          <w:b/>
          <w:bCs/>
          <w:color w:val="000000" w:themeColor="text1"/>
          <w:u w:val="single"/>
        </w:rPr>
        <w:t xml:space="preserve">or process </w:t>
      </w:r>
      <w:r w:rsidRPr="2896EDDE">
        <w:rPr>
          <w:rFonts w:ascii="Tahoma" w:eastAsia="Tahoma" w:hAnsi="Tahoma" w:cs="Tahoma"/>
          <w:b/>
          <w:bCs/>
          <w:color w:val="000000" w:themeColor="text1"/>
          <w:u w:val="single"/>
        </w:rPr>
        <w:t xml:space="preserve">gas and direct air capture, </w:t>
      </w:r>
      <w:r w:rsidR="0B9F81C4" w:rsidRPr="2896EDDE">
        <w:rPr>
          <w:rFonts w:ascii="Tahoma" w:eastAsia="Tahoma" w:hAnsi="Tahoma" w:cs="Tahoma"/>
          <w:b/>
          <w:bCs/>
          <w:color w:val="000000" w:themeColor="text1"/>
          <w:u w:val="single"/>
        </w:rPr>
        <w:t>as</w:t>
      </w:r>
      <w:r w:rsidRPr="2896EDDE">
        <w:rPr>
          <w:rFonts w:ascii="Tahoma" w:eastAsia="Tahoma" w:hAnsi="Tahoma" w:cs="Tahoma"/>
          <w:b/>
          <w:bCs/>
          <w:color w:val="000000" w:themeColor="text1"/>
          <w:u w:val="single"/>
        </w:rPr>
        <w:t xml:space="preserve"> long as the resulting products can justify benefits to gas ratepayers via reduction of GHG emissions and reduced industrial gas use. Direct air capture technology development is not eligible for funding.</w:t>
      </w:r>
    </w:p>
    <w:p w14:paraId="671D74A0" w14:textId="79703371" w:rsidR="4C800A32" w:rsidRDefault="4C800A32" w:rsidP="21087F88">
      <w:pPr>
        <w:pStyle w:val="ListParagraph"/>
        <w:numPr>
          <w:ilvl w:val="0"/>
          <w:numId w:val="2"/>
        </w:numPr>
        <w:rPr>
          <w:rFonts w:ascii="Tahoma" w:eastAsia="Tahoma" w:hAnsi="Tahoma" w:cs="Tahoma"/>
          <w:color w:val="000000" w:themeColor="text1"/>
        </w:rPr>
      </w:pPr>
      <w:r w:rsidRPr="091E666B">
        <w:rPr>
          <w:rFonts w:ascii="Tahoma" w:eastAsia="Tahoma" w:hAnsi="Tahoma" w:cs="Tahoma"/>
          <w:color w:val="000000" w:themeColor="text1"/>
        </w:rPr>
        <w:t>Section</w:t>
      </w:r>
      <w:r w:rsidR="0BE657A1" w:rsidRPr="091E666B">
        <w:rPr>
          <w:rFonts w:ascii="Tahoma" w:eastAsia="Tahoma" w:hAnsi="Tahoma" w:cs="Tahoma"/>
          <w:color w:val="000000" w:themeColor="text1"/>
        </w:rPr>
        <w:t xml:space="preserve"> I.C.</w:t>
      </w:r>
      <w:r w:rsidR="26E80D30" w:rsidRPr="091E666B">
        <w:rPr>
          <w:rFonts w:ascii="Tahoma" w:eastAsia="Tahoma" w:hAnsi="Tahoma" w:cs="Tahoma"/>
          <w:color w:val="000000" w:themeColor="text1"/>
        </w:rPr>
        <w:t xml:space="preserve"> Project Focus</w:t>
      </w:r>
      <w:r w:rsidR="5F265BFD" w:rsidRPr="091E666B">
        <w:rPr>
          <w:rFonts w:ascii="Tahoma" w:eastAsia="Tahoma" w:hAnsi="Tahoma" w:cs="Tahoma"/>
          <w:color w:val="000000" w:themeColor="text1"/>
        </w:rPr>
        <w:t>,</w:t>
      </w:r>
      <w:r w:rsidR="26E80D30" w:rsidRPr="091E666B">
        <w:rPr>
          <w:rFonts w:ascii="Tahoma" w:eastAsia="Tahoma" w:hAnsi="Tahoma" w:cs="Tahoma"/>
          <w:color w:val="000000" w:themeColor="text1"/>
        </w:rPr>
        <w:t xml:space="preserve"> under </w:t>
      </w:r>
      <w:r w:rsidR="351494B4" w:rsidRPr="091E666B">
        <w:rPr>
          <w:rFonts w:ascii="Tahoma" w:eastAsia="Tahoma" w:hAnsi="Tahoma" w:cs="Tahoma"/>
          <w:color w:val="000000" w:themeColor="text1"/>
        </w:rPr>
        <w:t>“</w:t>
      </w:r>
      <w:r w:rsidR="0BE657A1" w:rsidRPr="091E666B">
        <w:rPr>
          <w:rFonts w:ascii="Tahoma" w:eastAsia="Tahoma" w:hAnsi="Tahoma" w:cs="Tahoma"/>
          <w:color w:val="000000" w:themeColor="text1"/>
        </w:rPr>
        <w:t xml:space="preserve">1. </w:t>
      </w:r>
      <w:r w:rsidR="06F4FEBC" w:rsidRPr="091E666B">
        <w:rPr>
          <w:rFonts w:ascii="Tahoma" w:eastAsia="Tahoma" w:hAnsi="Tahoma" w:cs="Tahoma"/>
          <w:color w:val="000000" w:themeColor="text1"/>
        </w:rPr>
        <w:t>Group 1: Carbon Dioxide Utilization Research and Development</w:t>
      </w:r>
      <w:r w:rsidR="352285FA" w:rsidRPr="091E666B">
        <w:rPr>
          <w:rFonts w:ascii="Tahoma" w:eastAsia="Tahoma" w:hAnsi="Tahoma" w:cs="Tahoma"/>
          <w:color w:val="000000" w:themeColor="text1"/>
        </w:rPr>
        <w:t>”</w:t>
      </w:r>
      <w:r w:rsidR="060270D3" w:rsidRPr="091E666B">
        <w:rPr>
          <w:rFonts w:ascii="Tahoma" w:eastAsia="Tahoma" w:hAnsi="Tahoma" w:cs="Tahoma"/>
          <w:color w:val="000000" w:themeColor="text1"/>
        </w:rPr>
        <w:t>, page 7</w:t>
      </w:r>
      <w:r w:rsidR="0BE657A1" w:rsidRPr="091E666B">
        <w:rPr>
          <w:rFonts w:ascii="Tahoma" w:eastAsia="Tahoma" w:hAnsi="Tahoma" w:cs="Tahoma"/>
          <w:color w:val="000000" w:themeColor="text1"/>
        </w:rPr>
        <w:t>:</w:t>
      </w:r>
    </w:p>
    <w:p w14:paraId="18E9C165" w14:textId="76E9AF91" w:rsidR="763F5E5C" w:rsidRDefault="7EA71E0E" w:rsidP="091E666B">
      <w:pPr>
        <w:ind w:left="720"/>
        <w:rPr>
          <w:rFonts w:ascii="Tahoma" w:eastAsia="Tahoma" w:hAnsi="Tahoma" w:cs="Tahoma"/>
          <w:strike/>
          <w:color w:val="000000" w:themeColor="text1"/>
        </w:rPr>
      </w:pPr>
      <w:r w:rsidRPr="5D79CECC">
        <w:rPr>
          <w:rFonts w:ascii="Tahoma" w:eastAsia="Tahoma" w:hAnsi="Tahoma" w:cs="Tahoma"/>
          <w:strike/>
          <w:color w:val="000000" w:themeColor="text1"/>
        </w:rPr>
        <w:t xml:space="preserve">c. </w:t>
      </w:r>
      <w:r w:rsidR="1D9E6E08" w:rsidRPr="5D79CECC">
        <w:rPr>
          <w:rFonts w:ascii="Tahoma" w:eastAsia="Tahoma" w:hAnsi="Tahoma" w:cs="Tahoma"/>
          <w:strike/>
          <w:color w:val="000000" w:themeColor="text1"/>
        </w:rPr>
        <w:t xml:space="preserve">Identify potential market partners for the CO2-derived commodity and include copies of support letters as requested in Attachment 9.  </w:t>
      </w:r>
    </w:p>
    <w:p w14:paraId="2E27B52E" w14:textId="57BC2A60" w:rsidR="4C800A32" w:rsidRDefault="4C800A32" w:rsidP="21087F88">
      <w:pPr>
        <w:pStyle w:val="ListParagraph"/>
        <w:numPr>
          <w:ilvl w:val="0"/>
          <w:numId w:val="2"/>
        </w:numPr>
        <w:rPr>
          <w:rFonts w:ascii="Arial" w:eastAsia="Arial" w:hAnsi="Arial" w:cs="Arial"/>
          <w:color w:val="000000" w:themeColor="text1"/>
          <w:sz w:val="22"/>
          <w:szCs w:val="22"/>
        </w:rPr>
      </w:pPr>
      <w:r w:rsidRPr="091E666B">
        <w:rPr>
          <w:rFonts w:ascii="Tahoma" w:eastAsia="Tahoma" w:hAnsi="Tahoma" w:cs="Tahoma"/>
          <w:color w:val="000000" w:themeColor="text1"/>
        </w:rPr>
        <w:t>Section</w:t>
      </w:r>
      <w:r w:rsidR="0BCCEC8B" w:rsidRPr="091E666B">
        <w:rPr>
          <w:rFonts w:ascii="Tahoma" w:eastAsia="Tahoma" w:hAnsi="Tahoma" w:cs="Tahoma"/>
          <w:color w:val="000000" w:themeColor="text1"/>
        </w:rPr>
        <w:t xml:space="preserve"> I.C.</w:t>
      </w:r>
      <w:r w:rsidR="0F1E79A7" w:rsidRPr="091E666B">
        <w:rPr>
          <w:rFonts w:ascii="Tahoma" w:eastAsia="Tahoma" w:hAnsi="Tahoma" w:cs="Tahoma"/>
          <w:color w:val="000000" w:themeColor="text1"/>
        </w:rPr>
        <w:t xml:space="preserve"> Project Focus, under</w:t>
      </w:r>
      <w:r w:rsidR="22F72712" w:rsidRPr="091E666B">
        <w:rPr>
          <w:rFonts w:ascii="Tahoma" w:eastAsia="Tahoma" w:hAnsi="Tahoma" w:cs="Tahoma"/>
          <w:color w:val="000000" w:themeColor="text1"/>
        </w:rPr>
        <w:t xml:space="preserve"> </w:t>
      </w:r>
      <w:r w:rsidR="44848718" w:rsidRPr="091E666B">
        <w:rPr>
          <w:rFonts w:ascii="Tahoma" w:eastAsia="Tahoma" w:hAnsi="Tahoma" w:cs="Tahoma"/>
          <w:color w:val="000000" w:themeColor="text1"/>
        </w:rPr>
        <w:t>“2.</w:t>
      </w:r>
      <w:r w:rsidR="0BCCEC8B" w:rsidRPr="091E666B">
        <w:rPr>
          <w:rFonts w:ascii="Tahoma" w:eastAsia="Tahoma" w:hAnsi="Tahoma" w:cs="Tahoma"/>
          <w:color w:val="000000" w:themeColor="text1"/>
        </w:rPr>
        <w:t xml:space="preserve"> </w:t>
      </w:r>
      <w:r w:rsidR="073D6F4A" w:rsidRPr="091E666B">
        <w:rPr>
          <w:rFonts w:ascii="Arial" w:eastAsia="Arial" w:hAnsi="Arial" w:cs="Arial"/>
          <w:b/>
          <w:bCs/>
          <w:color w:val="000000" w:themeColor="text1"/>
          <w:sz w:val="22"/>
          <w:szCs w:val="22"/>
        </w:rPr>
        <w:t>Group 2: Carbon Dioxide Utilization Field Demonstrations</w:t>
      </w:r>
      <w:r w:rsidR="073D6F4A" w:rsidRPr="091E666B">
        <w:t xml:space="preserve"> </w:t>
      </w:r>
      <w:r w:rsidR="3FD39FE8" w:rsidRPr="091E666B">
        <w:t>”</w:t>
      </w:r>
      <w:r w:rsidR="65716EA6" w:rsidRPr="091E666B">
        <w:rPr>
          <w:rFonts w:ascii="Tahoma" w:eastAsia="Tahoma" w:hAnsi="Tahoma" w:cs="Tahoma"/>
          <w:color w:val="000000" w:themeColor="text1"/>
        </w:rPr>
        <w:t>, page 9</w:t>
      </w:r>
      <w:r w:rsidR="0BCCEC8B" w:rsidRPr="091E666B">
        <w:rPr>
          <w:rFonts w:ascii="Tahoma" w:eastAsia="Tahoma" w:hAnsi="Tahoma" w:cs="Tahoma"/>
          <w:color w:val="000000" w:themeColor="text1"/>
        </w:rPr>
        <w:t>:</w:t>
      </w:r>
    </w:p>
    <w:p w14:paraId="3B8FA946" w14:textId="05915DF2" w:rsidR="12179208" w:rsidRDefault="6FE23E81" w:rsidP="21087F88">
      <w:pPr>
        <w:ind w:left="720"/>
        <w:rPr>
          <w:rFonts w:ascii="Tahoma" w:eastAsia="Tahoma" w:hAnsi="Tahoma" w:cs="Tahoma"/>
          <w:color w:val="000000" w:themeColor="text1"/>
        </w:rPr>
      </w:pPr>
      <w:r w:rsidRPr="5D79CECC">
        <w:rPr>
          <w:rFonts w:ascii="Tahoma" w:eastAsia="Tahoma" w:hAnsi="Tahoma" w:cs="Tahoma"/>
          <w:b/>
          <w:bCs/>
          <w:color w:val="000000" w:themeColor="text1"/>
          <w:u w:val="single"/>
        </w:rPr>
        <w:t xml:space="preserve">c. </w:t>
      </w:r>
      <w:r w:rsidR="6023B27F" w:rsidRPr="5D79CECC">
        <w:rPr>
          <w:rFonts w:ascii="Tahoma" w:eastAsia="Tahoma" w:hAnsi="Tahoma" w:cs="Tahoma"/>
          <w:b/>
          <w:bCs/>
          <w:color w:val="000000" w:themeColor="text1"/>
          <w:u w:val="single"/>
        </w:rPr>
        <w:t xml:space="preserve">Identify </w:t>
      </w:r>
      <w:r w:rsidR="0947A5B3" w:rsidRPr="5D79CECC">
        <w:rPr>
          <w:rFonts w:ascii="Tahoma" w:eastAsia="Tahoma" w:hAnsi="Tahoma" w:cs="Tahoma"/>
          <w:b/>
          <w:bCs/>
          <w:color w:val="000000" w:themeColor="text1"/>
          <w:u w:val="single"/>
        </w:rPr>
        <w:t xml:space="preserve">at least two </w:t>
      </w:r>
      <w:r w:rsidR="6023B27F" w:rsidRPr="5D79CECC">
        <w:rPr>
          <w:rFonts w:ascii="Tahoma" w:eastAsia="Tahoma" w:hAnsi="Tahoma" w:cs="Tahoma"/>
          <w:b/>
          <w:bCs/>
          <w:color w:val="000000" w:themeColor="text1"/>
          <w:u w:val="single"/>
        </w:rPr>
        <w:t>potential market partners for the CO</w:t>
      </w:r>
      <w:r w:rsidR="6023B27F" w:rsidRPr="5D79CECC">
        <w:rPr>
          <w:rFonts w:ascii="Tahoma" w:eastAsia="Tahoma" w:hAnsi="Tahoma" w:cs="Tahoma"/>
          <w:b/>
          <w:bCs/>
          <w:color w:val="000000" w:themeColor="text1"/>
          <w:u w:val="single"/>
          <w:vertAlign w:val="subscript"/>
        </w:rPr>
        <w:t>2</w:t>
      </w:r>
      <w:r w:rsidR="6023B27F" w:rsidRPr="5D79CECC">
        <w:rPr>
          <w:rFonts w:ascii="Tahoma" w:eastAsia="Tahoma" w:hAnsi="Tahoma" w:cs="Tahoma"/>
          <w:b/>
          <w:bCs/>
          <w:color w:val="000000" w:themeColor="text1"/>
          <w:u w:val="single"/>
        </w:rPr>
        <w:t>-derived commodity</w:t>
      </w:r>
      <w:r w:rsidR="6CD23872" w:rsidRPr="5D79CECC">
        <w:rPr>
          <w:rFonts w:ascii="Tahoma" w:eastAsia="Tahoma" w:hAnsi="Tahoma" w:cs="Tahoma"/>
          <w:b/>
          <w:bCs/>
          <w:color w:val="000000" w:themeColor="text1"/>
          <w:u w:val="single"/>
        </w:rPr>
        <w:t xml:space="preserve"> </w:t>
      </w:r>
      <w:r w:rsidR="6023B27F" w:rsidRPr="5D79CECC">
        <w:rPr>
          <w:rFonts w:ascii="Tahoma" w:eastAsia="Tahoma" w:hAnsi="Tahoma" w:cs="Tahoma"/>
          <w:b/>
          <w:bCs/>
          <w:color w:val="000000" w:themeColor="text1"/>
          <w:u w:val="single"/>
        </w:rPr>
        <w:t xml:space="preserve">and include copies of support letters as requested in Attachment 9. </w:t>
      </w:r>
    </w:p>
    <w:p w14:paraId="49E84872" w14:textId="30FEE802" w:rsidR="763F5E5C" w:rsidRDefault="12179208" w:rsidP="2896EDDE">
      <w:pPr>
        <w:pStyle w:val="ListParagraph"/>
        <w:numPr>
          <w:ilvl w:val="1"/>
          <w:numId w:val="2"/>
        </w:numPr>
        <w:spacing w:after="120"/>
        <w:ind w:right="720"/>
        <w:jc w:val="both"/>
        <w:rPr>
          <w:rFonts w:ascii="Tahoma" w:eastAsia="Tahoma" w:hAnsi="Tahoma" w:cs="Tahoma"/>
          <w:color w:val="000000" w:themeColor="text1"/>
        </w:rPr>
      </w:pPr>
      <w:r w:rsidRPr="21087F88">
        <w:rPr>
          <w:rFonts w:ascii="Tahoma" w:eastAsia="Tahoma" w:hAnsi="Tahoma" w:cs="Tahoma"/>
          <w:b/>
          <w:bCs/>
          <w:color w:val="000000" w:themeColor="text1"/>
          <w:u w:val="single"/>
        </w:rPr>
        <w:t>As a measure of scale requirements for CO</w:t>
      </w:r>
      <w:r w:rsidRPr="21087F88">
        <w:rPr>
          <w:rFonts w:ascii="Tahoma" w:eastAsia="Tahoma" w:hAnsi="Tahoma" w:cs="Tahoma"/>
          <w:b/>
          <w:bCs/>
          <w:color w:val="000000" w:themeColor="text1"/>
          <w:u w:val="single"/>
          <w:vertAlign w:val="subscript"/>
        </w:rPr>
        <w:t>2</w:t>
      </w:r>
      <w:r w:rsidRPr="21087F88">
        <w:rPr>
          <w:rFonts w:ascii="Tahoma" w:eastAsia="Tahoma" w:hAnsi="Tahoma" w:cs="Tahoma"/>
          <w:b/>
          <w:bCs/>
          <w:color w:val="000000" w:themeColor="text1"/>
          <w:u w:val="single"/>
        </w:rPr>
        <w:t xml:space="preserve"> conversion in Group 2 demonstration projects, </w:t>
      </w:r>
      <w:r w:rsidR="20055118" w:rsidRPr="21087F88">
        <w:rPr>
          <w:rFonts w:ascii="Tahoma" w:eastAsia="Tahoma" w:hAnsi="Tahoma" w:cs="Tahoma"/>
          <w:b/>
          <w:bCs/>
          <w:color w:val="000000" w:themeColor="text1"/>
          <w:u w:val="single"/>
        </w:rPr>
        <w:t xml:space="preserve">each </w:t>
      </w:r>
      <w:r w:rsidRPr="21087F88">
        <w:rPr>
          <w:rFonts w:ascii="Tahoma" w:eastAsia="Tahoma" w:hAnsi="Tahoma" w:cs="Tahoma"/>
          <w:b/>
          <w:bCs/>
          <w:color w:val="000000" w:themeColor="text1"/>
          <w:u w:val="single"/>
        </w:rPr>
        <w:t>purchase agreement must be valued at greater than or equal to 25% of CEC requested funds.</w:t>
      </w:r>
    </w:p>
    <w:p w14:paraId="2FA0F865" w14:textId="6145C9D3" w:rsidR="763F5E5C" w:rsidRDefault="763F5E5C" w:rsidP="21087F88">
      <w:pPr>
        <w:rPr>
          <w:rFonts w:ascii="Tahoma" w:eastAsia="Tahoma" w:hAnsi="Tahoma" w:cs="Tahoma"/>
          <w:color w:val="000000" w:themeColor="text1"/>
        </w:rPr>
      </w:pPr>
    </w:p>
    <w:p w14:paraId="34B514A2" w14:textId="6CE05202" w:rsidR="763F5E5C" w:rsidRDefault="7D857C6D" w:rsidP="21087F88">
      <w:pPr>
        <w:rPr>
          <w:rFonts w:ascii="Tahoma" w:eastAsia="Tahoma" w:hAnsi="Tahoma" w:cs="Tahoma"/>
          <w:color w:val="000000" w:themeColor="text1"/>
        </w:rPr>
      </w:pPr>
      <w:r w:rsidRPr="00C166CE">
        <w:rPr>
          <w:rFonts w:ascii="Tahoma" w:eastAsia="Tahoma" w:hAnsi="Tahoma" w:cs="Tahoma"/>
          <w:b/>
          <w:bCs/>
          <w:color w:val="000000" w:themeColor="text1"/>
          <w:u w:val="single"/>
        </w:rPr>
        <w:lastRenderedPageBreak/>
        <w:t>Attachment 06</w:t>
      </w:r>
      <w:r w:rsidR="262F1C43" w:rsidRPr="00C166CE">
        <w:rPr>
          <w:rFonts w:ascii="Tahoma" w:eastAsia="Tahoma" w:hAnsi="Tahoma" w:cs="Tahoma"/>
          <w:b/>
          <w:bCs/>
          <w:color w:val="000000" w:themeColor="text1"/>
          <w:u w:val="single"/>
        </w:rPr>
        <w:t xml:space="preserve"> Budget </w:t>
      </w:r>
      <w:r w:rsidR="3AC832D5" w:rsidRPr="21087F88">
        <w:rPr>
          <w:rFonts w:ascii="Tahoma" w:eastAsia="Tahoma" w:hAnsi="Tahoma" w:cs="Tahoma"/>
          <w:b/>
          <w:bCs/>
          <w:color w:val="000000" w:themeColor="text1"/>
          <w:u w:val="single"/>
        </w:rPr>
        <w:t>Template</w:t>
      </w:r>
      <w:r w:rsidR="262F1C43" w:rsidRPr="00C166CE">
        <w:rPr>
          <w:rFonts w:ascii="Tahoma" w:eastAsia="Tahoma" w:hAnsi="Tahoma" w:cs="Tahoma"/>
          <w:b/>
          <w:bCs/>
          <w:color w:val="000000" w:themeColor="text1"/>
          <w:u w:val="single"/>
        </w:rPr>
        <w:t>:</w:t>
      </w:r>
    </w:p>
    <w:p w14:paraId="188EB15D" w14:textId="12965116" w:rsidR="763F5E5C" w:rsidRDefault="763F5E5C" w:rsidP="21087F88">
      <w:pPr>
        <w:rPr>
          <w:rFonts w:ascii="Tahoma" w:eastAsia="Tahoma" w:hAnsi="Tahoma" w:cs="Tahoma"/>
          <w:color w:val="000000" w:themeColor="text1"/>
        </w:rPr>
      </w:pPr>
    </w:p>
    <w:p w14:paraId="660160DC" w14:textId="32E2E469" w:rsidR="763F5E5C" w:rsidRDefault="7D857C6D" w:rsidP="21087F88">
      <w:pPr>
        <w:rPr>
          <w:rFonts w:ascii="Tahoma" w:eastAsia="Tahoma" w:hAnsi="Tahoma" w:cs="Tahoma"/>
          <w:color w:val="000000" w:themeColor="text1"/>
        </w:rPr>
      </w:pPr>
      <w:r w:rsidRPr="21087F88">
        <w:rPr>
          <w:rFonts w:ascii="Tahoma" w:eastAsia="Tahoma" w:hAnsi="Tahoma" w:cs="Tahoma"/>
          <w:color w:val="000000" w:themeColor="text1"/>
        </w:rPr>
        <w:t xml:space="preserve">This </w:t>
      </w:r>
      <w:r w:rsidR="5943F7BB" w:rsidRPr="21087F88">
        <w:rPr>
          <w:rFonts w:ascii="Tahoma" w:eastAsia="Tahoma" w:hAnsi="Tahoma" w:cs="Tahoma"/>
          <w:color w:val="000000" w:themeColor="text1"/>
        </w:rPr>
        <w:t xml:space="preserve">revised Attachment 06 </w:t>
      </w:r>
      <w:r w:rsidRPr="21087F88">
        <w:rPr>
          <w:rFonts w:ascii="Tahoma" w:eastAsia="Tahoma" w:hAnsi="Tahoma" w:cs="Tahoma"/>
          <w:color w:val="000000" w:themeColor="text1"/>
        </w:rPr>
        <w:t xml:space="preserve">replaces the Budget Template </w:t>
      </w:r>
      <w:r w:rsidR="5B985FE6" w:rsidRPr="21087F88">
        <w:rPr>
          <w:rFonts w:ascii="Tahoma" w:eastAsia="Tahoma" w:hAnsi="Tahoma" w:cs="Tahoma"/>
          <w:color w:val="000000" w:themeColor="text1"/>
        </w:rPr>
        <w:t>(</w:t>
      </w:r>
      <w:r w:rsidRPr="21087F88">
        <w:rPr>
          <w:rFonts w:ascii="Tahoma" w:eastAsia="Tahoma" w:hAnsi="Tahoma" w:cs="Tahoma"/>
          <w:color w:val="000000" w:themeColor="text1"/>
        </w:rPr>
        <w:t>Attachment 06</w:t>
      </w:r>
      <w:r w:rsidR="1914E6C8" w:rsidRPr="21087F88">
        <w:rPr>
          <w:rFonts w:ascii="Tahoma" w:eastAsia="Tahoma" w:hAnsi="Tahoma" w:cs="Tahoma"/>
          <w:color w:val="000000" w:themeColor="text1"/>
        </w:rPr>
        <w:t>)</w:t>
      </w:r>
      <w:r w:rsidRPr="21087F88">
        <w:rPr>
          <w:rFonts w:ascii="Tahoma" w:eastAsia="Tahoma" w:hAnsi="Tahoma" w:cs="Tahoma"/>
          <w:color w:val="000000" w:themeColor="text1"/>
        </w:rPr>
        <w:t xml:space="preserve"> that was originally posted with errors on the Fringe Benefits tab. Specifically, cells C6 through C13 were corrected to show formatting as dollars ($) and not percentages (%).</w:t>
      </w:r>
    </w:p>
    <w:p w14:paraId="1F715DD6" w14:textId="52C9BFC6" w:rsidR="763F5E5C" w:rsidRDefault="763F5E5C" w:rsidP="763F5E5C">
      <w:pPr>
        <w:rPr>
          <w:rFonts w:ascii="Tahoma" w:eastAsia="Tahoma" w:hAnsi="Tahoma" w:cs="Tahoma"/>
          <w:color w:val="000000" w:themeColor="text1"/>
        </w:rPr>
      </w:pPr>
    </w:p>
    <w:p w14:paraId="5303F674" w14:textId="16571E6E" w:rsidR="00B1122A" w:rsidRPr="003D5F92" w:rsidRDefault="64D94A29" w:rsidP="763F5E5C">
      <w:pPr>
        <w:rPr>
          <w:rFonts w:ascii="Tahoma" w:eastAsia="Tahoma" w:hAnsi="Tahoma" w:cs="Tahoma"/>
          <w:b/>
          <w:bCs/>
        </w:rPr>
      </w:pPr>
      <w:r w:rsidRPr="763F5E5C">
        <w:rPr>
          <w:rFonts w:ascii="Tahoma" w:eastAsia="Tahoma" w:hAnsi="Tahoma" w:cs="Tahoma"/>
          <w:b/>
          <w:bCs/>
        </w:rPr>
        <w:t>Angela Hockaday</w:t>
      </w:r>
    </w:p>
    <w:p w14:paraId="11973288" w14:textId="56687F70" w:rsidR="00E74FF1" w:rsidRPr="003D5F92" w:rsidRDefault="00B1122A" w:rsidP="763F5E5C">
      <w:pPr>
        <w:spacing w:after="480"/>
        <w:rPr>
          <w:rFonts w:ascii="Tahoma" w:eastAsia="Tahoma" w:hAnsi="Tahoma" w:cs="Tahoma"/>
          <w:b/>
          <w:bCs/>
        </w:rPr>
      </w:pPr>
      <w:r w:rsidRPr="763F5E5C">
        <w:rPr>
          <w:rFonts w:ascii="Tahoma" w:eastAsia="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44BE" w14:textId="77777777" w:rsidR="000B0580" w:rsidRDefault="000B0580" w:rsidP="00F86D2B">
      <w:r>
        <w:separator/>
      </w:r>
    </w:p>
  </w:endnote>
  <w:endnote w:type="continuationSeparator" w:id="0">
    <w:p w14:paraId="453657E5" w14:textId="77777777" w:rsidR="000B0580" w:rsidRDefault="000B0580" w:rsidP="00F86D2B">
      <w:r>
        <w:continuationSeparator/>
      </w:r>
    </w:p>
  </w:endnote>
  <w:endnote w:type="continuationNotice" w:id="1">
    <w:p w14:paraId="5B246AD1" w14:textId="77777777" w:rsidR="000B0580" w:rsidRDefault="000B0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9B23" w14:textId="77777777" w:rsidR="000B0580" w:rsidRDefault="000B0580" w:rsidP="00F86D2B">
      <w:r>
        <w:separator/>
      </w:r>
    </w:p>
  </w:footnote>
  <w:footnote w:type="continuationSeparator" w:id="0">
    <w:p w14:paraId="21175EE7" w14:textId="77777777" w:rsidR="000B0580" w:rsidRDefault="000B0580" w:rsidP="00F86D2B">
      <w:r>
        <w:continuationSeparator/>
      </w:r>
    </w:p>
  </w:footnote>
  <w:footnote w:type="continuationNotice" w:id="1">
    <w:p w14:paraId="5FBDA79A" w14:textId="77777777" w:rsidR="000B0580" w:rsidRDefault="000B0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BF41E"/>
    <w:multiLevelType w:val="hybridMultilevel"/>
    <w:tmpl w:val="FBE63362"/>
    <w:lvl w:ilvl="0" w:tplc="F964131A">
      <w:start w:val="1"/>
      <w:numFmt w:val="upperLetter"/>
      <w:lvlText w:val="%1."/>
      <w:lvlJc w:val="left"/>
      <w:pPr>
        <w:ind w:left="720" w:hanging="360"/>
      </w:pPr>
    </w:lvl>
    <w:lvl w:ilvl="1" w:tplc="FFFFFFFF">
      <w:start w:val="1"/>
      <w:numFmt w:val="bullet"/>
      <w:lvlText w:val=""/>
      <w:lvlJc w:val="left"/>
      <w:pPr>
        <w:ind w:left="1440" w:hanging="360"/>
      </w:pPr>
    </w:lvl>
    <w:lvl w:ilvl="2" w:tplc="293A0EAE">
      <w:start w:val="1"/>
      <w:numFmt w:val="lowerRoman"/>
      <w:lvlText w:val="%3."/>
      <w:lvlJc w:val="right"/>
      <w:pPr>
        <w:ind w:left="2160" w:hanging="180"/>
      </w:pPr>
    </w:lvl>
    <w:lvl w:ilvl="3" w:tplc="962477A2">
      <w:start w:val="1"/>
      <w:numFmt w:val="decimal"/>
      <w:lvlText w:val="%4."/>
      <w:lvlJc w:val="left"/>
      <w:pPr>
        <w:ind w:left="2880" w:hanging="360"/>
      </w:pPr>
    </w:lvl>
    <w:lvl w:ilvl="4" w:tplc="1DD28702">
      <w:start w:val="1"/>
      <w:numFmt w:val="lowerLetter"/>
      <w:lvlText w:val="%5."/>
      <w:lvlJc w:val="left"/>
      <w:pPr>
        <w:ind w:left="3600" w:hanging="360"/>
      </w:pPr>
    </w:lvl>
    <w:lvl w:ilvl="5" w:tplc="E968F21A">
      <w:start w:val="1"/>
      <w:numFmt w:val="lowerRoman"/>
      <w:lvlText w:val="%6."/>
      <w:lvlJc w:val="right"/>
      <w:pPr>
        <w:ind w:left="4320" w:hanging="180"/>
      </w:pPr>
    </w:lvl>
    <w:lvl w:ilvl="6" w:tplc="4F7EF03E">
      <w:start w:val="1"/>
      <w:numFmt w:val="decimal"/>
      <w:lvlText w:val="%7."/>
      <w:lvlJc w:val="left"/>
      <w:pPr>
        <w:ind w:left="5040" w:hanging="360"/>
      </w:pPr>
    </w:lvl>
    <w:lvl w:ilvl="7" w:tplc="0EBEF014">
      <w:start w:val="1"/>
      <w:numFmt w:val="lowerLetter"/>
      <w:lvlText w:val="%8."/>
      <w:lvlJc w:val="left"/>
      <w:pPr>
        <w:ind w:left="5760" w:hanging="360"/>
      </w:pPr>
    </w:lvl>
    <w:lvl w:ilvl="8" w:tplc="E848A024">
      <w:start w:val="1"/>
      <w:numFmt w:val="lowerRoman"/>
      <w:lvlText w:val="%9."/>
      <w:lvlJc w:val="right"/>
      <w:pPr>
        <w:ind w:left="6480" w:hanging="180"/>
      </w:pPr>
    </w:lvl>
  </w:abstractNum>
  <w:abstractNum w:abstractNumId="8"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1" w15:restartNumberingAfterBreak="0">
    <w:nsid w:val="77646F12"/>
    <w:multiLevelType w:val="hybridMultilevel"/>
    <w:tmpl w:val="362EEA42"/>
    <w:lvl w:ilvl="0" w:tplc="AA3AE014">
      <w:start w:val="3"/>
      <w:numFmt w:val="lowerLetter"/>
      <w:lvlText w:val="%1."/>
      <w:lvlJc w:val="left"/>
      <w:pPr>
        <w:ind w:left="1080" w:hanging="360"/>
      </w:pPr>
    </w:lvl>
    <w:lvl w:ilvl="1" w:tplc="ED1008EA">
      <w:start w:val="1"/>
      <w:numFmt w:val="bullet"/>
      <w:lvlText w:val=""/>
      <w:lvlJc w:val="left"/>
      <w:pPr>
        <w:ind w:left="1800" w:hanging="360"/>
      </w:pPr>
      <w:rPr>
        <w:rFonts w:ascii="Symbol" w:hAnsi="Symbol" w:hint="default"/>
      </w:rPr>
    </w:lvl>
    <w:lvl w:ilvl="2" w:tplc="6C8A5FE0">
      <w:start w:val="1"/>
      <w:numFmt w:val="lowerRoman"/>
      <w:lvlText w:val="%3."/>
      <w:lvlJc w:val="right"/>
      <w:pPr>
        <w:ind w:left="2160" w:hanging="180"/>
      </w:pPr>
    </w:lvl>
    <w:lvl w:ilvl="3" w:tplc="7EA4E490">
      <w:start w:val="1"/>
      <w:numFmt w:val="decimal"/>
      <w:lvlText w:val="%4."/>
      <w:lvlJc w:val="left"/>
      <w:pPr>
        <w:ind w:left="2880" w:hanging="360"/>
      </w:pPr>
    </w:lvl>
    <w:lvl w:ilvl="4" w:tplc="E9CA8848">
      <w:start w:val="1"/>
      <w:numFmt w:val="lowerLetter"/>
      <w:lvlText w:val="%5."/>
      <w:lvlJc w:val="left"/>
      <w:pPr>
        <w:ind w:left="3600" w:hanging="360"/>
      </w:pPr>
    </w:lvl>
    <w:lvl w:ilvl="5" w:tplc="D1C2B562">
      <w:start w:val="1"/>
      <w:numFmt w:val="lowerRoman"/>
      <w:lvlText w:val="%6."/>
      <w:lvlJc w:val="right"/>
      <w:pPr>
        <w:ind w:left="4320" w:hanging="180"/>
      </w:pPr>
    </w:lvl>
    <w:lvl w:ilvl="6" w:tplc="11E02F84">
      <w:start w:val="1"/>
      <w:numFmt w:val="decimal"/>
      <w:lvlText w:val="%7."/>
      <w:lvlJc w:val="left"/>
      <w:pPr>
        <w:ind w:left="5040" w:hanging="360"/>
      </w:pPr>
    </w:lvl>
    <w:lvl w:ilvl="7" w:tplc="2A72B93E">
      <w:start w:val="1"/>
      <w:numFmt w:val="lowerLetter"/>
      <w:lvlText w:val="%8."/>
      <w:lvlJc w:val="left"/>
      <w:pPr>
        <w:ind w:left="5760" w:hanging="360"/>
      </w:pPr>
    </w:lvl>
    <w:lvl w:ilvl="8" w:tplc="0D6A1422">
      <w:start w:val="1"/>
      <w:numFmt w:val="lowerRoman"/>
      <w:lvlText w:val="%9."/>
      <w:lvlJc w:val="right"/>
      <w:pPr>
        <w:ind w:left="6480" w:hanging="180"/>
      </w:pPr>
    </w:lvl>
  </w:abstractNum>
  <w:abstractNum w:abstractNumId="12"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802508122">
    <w:abstractNumId w:val="11"/>
  </w:num>
  <w:num w:numId="2" w16cid:durableId="1604416809">
    <w:abstractNumId w:val="7"/>
  </w:num>
  <w:num w:numId="3" w16cid:durableId="113015248">
    <w:abstractNumId w:val="10"/>
  </w:num>
  <w:num w:numId="4" w16cid:durableId="2114937146">
    <w:abstractNumId w:val="12"/>
  </w:num>
  <w:num w:numId="5" w16cid:durableId="280697836">
    <w:abstractNumId w:val="1"/>
  </w:num>
  <w:num w:numId="6" w16cid:durableId="413355859">
    <w:abstractNumId w:val="9"/>
  </w:num>
  <w:num w:numId="7" w16cid:durableId="788089280">
    <w:abstractNumId w:val="4"/>
  </w:num>
  <w:num w:numId="8" w16cid:durableId="117572321">
    <w:abstractNumId w:val="5"/>
  </w:num>
  <w:num w:numId="9" w16cid:durableId="1873495320">
    <w:abstractNumId w:val="3"/>
  </w:num>
  <w:num w:numId="10" w16cid:durableId="1962953226">
    <w:abstractNumId w:val="2"/>
  </w:num>
  <w:num w:numId="11" w16cid:durableId="864296668">
    <w:abstractNumId w:val="0"/>
  </w:num>
  <w:num w:numId="12" w16cid:durableId="131096484">
    <w:abstractNumId w:val="8"/>
  </w:num>
  <w:num w:numId="13"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66F21"/>
    <w:rsid w:val="00071316"/>
    <w:rsid w:val="000728DA"/>
    <w:rsid w:val="00074E58"/>
    <w:rsid w:val="0009064B"/>
    <w:rsid w:val="000922CE"/>
    <w:rsid w:val="000A0FA4"/>
    <w:rsid w:val="000A6CE7"/>
    <w:rsid w:val="000B0580"/>
    <w:rsid w:val="000C16AE"/>
    <w:rsid w:val="000D4A7B"/>
    <w:rsid w:val="000E31D6"/>
    <w:rsid w:val="000F0D5B"/>
    <w:rsid w:val="000F5BE1"/>
    <w:rsid w:val="00103791"/>
    <w:rsid w:val="00104D3A"/>
    <w:rsid w:val="00106C10"/>
    <w:rsid w:val="00122045"/>
    <w:rsid w:val="0012428F"/>
    <w:rsid w:val="001261BE"/>
    <w:rsid w:val="0014043C"/>
    <w:rsid w:val="00146C62"/>
    <w:rsid w:val="0014731B"/>
    <w:rsid w:val="001477A0"/>
    <w:rsid w:val="00162611"/>
    <w:rsid w:val="001665C7"/>
    <w:rsid w:val="00167654"/>
    <w:rsid w:val="00190B05"/>
    <w:rsid w:val="001977CD"/>
    <w:rsid w:val="001B0E92"/>
    <w:rsid w:val="001B2889"/>
    <w:rsid w:val="001B46FA"/>
    <w:rsid w:val="001C3CDA"/>
    <w:rsid w:val="001F2E2E"/>
    <w:rsid w:val="001F3152"/>
    <w:rsid w:val="001F62F3"/>
    <w:rsid w:val="00203587"/>
    <w:rsid w:val="00210F3E"/>
    <w:rsid w:val="00235167"/>
    <w:rsid w:val="00246722"/>
    <w:rsid w:val="002533E7"/>
    <w:rsid w:val="002548C5"/>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06293"/>
    <w:rsid w:val="005100D5"/>
    <w:rsid w:val="00524EA9"/>
    <w:rsid w:val="00525E2C"/>
    <w:rsid w:val="00527817"/>
    <w:rsid w:val="00531558"/>
    <w:rsid w:val="00534797"/>
    <w:rsid w:val="00541330"/>
    <w:rsid w:val="00544461"/>
    <w:rsid w:val="00552BB9"/>
    <w:rsid w:val="005568CA"/>
    <w:rsid w:val="00561990"/>
    <w:rsid w:val="00566D9C"/>
    <w:rsid w:val="00577D95"/>
    <w:rsid w:val="005879A0"/>
    <w:rsid w:val="0059609D"/>
    <w:rsid w:val="005B3E1C"/>
    <w:rsid w:val="005D10A7"/>
    <w:rsid w:val="005E6FA2"/>
    <w:rsid w:val="005F0505"/>
    <w:rsid w:val="00601F17"/>
    <w:rsid w:val="00603E43"/>
    <w:rsid w:val="006157EC"/>
    <w:rsid w:val="00615E32"/>
    <w:rsid w:val="00640BB6"/>
    <w:rsid w:val="006511D6"/>
    <w:rsid w:val="00652562"/>
    <w:rsid w:val="00654BE4"/>
    <w:rsid w:val="00661706"/>
    <w:rsid w:val="00663283"/>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B3D5D"/>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B3212"/>
    <w:rsid w:val="009C2013"/>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51D4C"/>
    <w:rsid w:val="00B55552"/>
    <w:rsid w:val="00B564F9"/>
    <w:rsid w:val="00B5781C"/>
    <w:rsid w:val="00B672EF"/>
    <w:rsid w:val="00B67AF2"/>
    <w:rsid w:val="00B80E72"/>
    <w:rsid w:val="00B84D31"/>
    <w:rsid w:val="00B906E9"/>
    <w:rsid w:val="00B965DF"/>
    <w:rsid w:val="00B96784"/>
    <w:rsid w:val="00BA1317"/>
    <w:rsid w:val="00BA3F4C"/>
    <w:rsid w:val="00BA55D6"/>
    <w:rsid w:val="00BB2CCD"/>
    <w:rsid w:val="00BB3B50"/>
    <w:rsid w:val="00BB5DCD"/>
    <w:rsid w:val="00BD77BE"/>
    <w:rsid w:val="00BE7A05"/>
    <w:rsid w:val="00BF0705"/>
    <w:rsid w:val="00C01C97"/>
    <w:rsid w:val="00C03527"/>
    <w:rsid w:val="00C043A7"/>
    <w:rsid w:val="00C0572D"/>
    <w:rsid w:val="00C13499"/>
    <w:rsid w:val="00C166CE"/>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7A1A"/>
    <w:rsid w:val="00CF7FA5"/>
    <w:rsid w:val="00D17966"/>
    <w:rsid w:val="00D2465B"/>
    <w:rsid w:val="00D32C3D"/>
    <w:rsid w:val="00D33013"/>
    <w:rsid w:val="00D3336B"/>
    <w:rsid w:val="00D431C2"/>
    <w:rsid w:val="00D43B83"/>
    <w:rsid w:val="00D44167"/>
    <w:rsid w:val="00D57D7A"/>
    <w:rsid w:val="00D61092"/>
    <w:rsid w:val="00D87C37"/>
    <w:rsid w:val="00D903C5"/>
    <w:rsid w:val="00DB53FE"/>
    <w:rsid w:val="00DF0CE3"/>
    <w:rsid w:val="00E04ADE"/>
    <w:rsid w:val="00E1306D"/>
    <w:rsid w:val="00E210F6"/>
    <w:rsid w:val="00E37F20"/>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52D9BB5"/>
    <w:rsid w:val="0569975A"/>
    <w:rsid w:val="060270D3"/>
    <w:rsid w:val="067C980E"/>
    <w:rsid w:val="06CEB1BF"/>
    <w:rsid w:val="06F4FEBC"/>
    <w:rsid w:val="073D6F4A"/>
    <w:rsid w:val="091E666B"/>
    <w:rsid w:val="0947A5B3"/>
    <w:rsid w:val="09722524"/>
    <w:rsid w:val="0ABBACEA"/>
    <w:rsid w:val="0B63C2CE"/>
    <w:rsid w:val="0B9F81C4"/>
    <w:rsid w:val="0BCCEC8B"/>
    <w:rsid w:val="0BE657A1"/>
    <w:rsid w:val="0C44930A"/>
    <w:rsid w:val="0C7A389B"/>
    <w:rsid w:val="0CDE3617"/>
    <w:rsid w:val="0D4933D0"/>
    <w:rsid w:val="0DCB7EB6"/>
    <w:rsid w:val="0E21A261"/>
    <w:rsid w:val="0F1E79A7"/>
    <w:rsid w:val="102C2EC0"/>
    <w:rsid w:val="112FD50B"/>
    <w:rsid w:val="11F5C5F1"/>
    <w:rsid w:val="12179208"/>
    <w:rsid w:val="14419146"/>
    <w:rsid w:val="14E502BA"/>
    <w:rsid w:val="165922A7"/>
    <w:rsid w:val="16FBF3B6"/>
    <w:rsid w:val="175E1E0B"/>
    <w:rsid w:val="178D5551"/>
    <w:rsid w:val="17AF6052"/>
    <w:rsid w:val="1914E6C8"/>
    <w:rsid w:val="1A7A3CCD"/>
    <w:rsid w:val="1B63353B"/>
    <w:rsid w:val="1BA2020B"/>
    <w:rsid w:val="1C1F3A18"/>
    <w:rsid w:val="1C46B408"/>
    <w:rsid w:val="1C5E42BB"/>
    <w:rsid w:val="1D3B5EDF"/>
    <w:rsid w:val="1D9E6E08"/>
    <w:rsid w:val="1DD01919"/>
    <w:rsid w:val="1EB4FE49"/>
    <w:rsid w:val="1F5554BA"/>
    <w:rsid w:val="1FF6FC17"/>
    <w:rsid w:val="20055118"/>
    <w:rsid w:val="21087F88"/>
    <w:rsid w:val="22F72712"/>
    <w:rsid w:val="23AAFDD4"/>
    <w:rsid w:val="23DAF934"/>
    <w:rsid w:val="2407BBC1"/>
    <w:rsid w:val="247BB7FA"/>
    <w:rsid w:val="25DEAC06"/>
    <w:rsid w:val="25ECEADF"/>
    <w:rsid w:val="262F1C43"/>
    <w:rsid w:val="26E80D30"/>
    <w:rsid w:val="274C0677"/>
    <w:rsid w:val="278C2EA4"/>
    <w:rsid w:val="2896EDDE"/>
    <w:rsid w:val="29AE7AE0"/>
    <w:rsid w:val="2A7A4F8E"/>
    <w:rsid w:val="2C538143"/>
    <w:rsid w:val="2E114FE2"/>
    <w:rsid w:val="2E734862"/>
    <w:rsid w:val="2E751F4E"/>
    <w:rsid w:val="3059E1B2"/>
    <w:rsid w:val="30D2BE5B"/>
    <w:rsid w:val="3325365F"/>
    <w:rsid w:val="3340129D"/>
    <w:rsid w:val="351494B4"/>
    <w:rsid w:val="352285FA"/>
    <w:rsid w:val="35DD4DC9"/>
    <w:rsid w:val="36F31B0F"/>
    <w:rsid w:val="381A28B9"/>
    <w:rsid w:val="38A1A423"/>
    <w:rsid w:val="39C73C44"/>
    <w:rsid w:val="3AC832D5"/>
    <w:rsid w:val="3B95816A"/>
    <w:rsid w:val="3D5294F7"/>
    <w:rsid w:val="3DC969CC"/>
    <w:rsid w:val="3F3242DE"/>
    <w:rsid w:val="3F53A3BD"/>
    <w:rsid w:val="3FD39FE8"/>
    <w:rsid w:val="400E3BD8"/>
    <w:rsid w:val="4093139D"/>
    <w:rsid w:val="40DAFBA6"/>
    <w:rsid w:val="413A14A1"/>
    <w:rsid w:val="4152C8D3"/>
    <w:rsid w:val="41E5390D"/>
    <w:rsid w:val="42A63121"/>
    <w:rsid w:val="42B011BE"/>
    <w:rsid w:val="43CAB45F"/>
    <w:rsid w:val="44230373"/>
    <w:rsid w:val="44394ED1"/>
    <w:rsid w:val="44848718"/>
    <w:rsid w:val="44B3D989"/>
    <w:rsid w:val="45CB42D3"/>
    <w:rsid w:val="48979C94"/>
    <w:rsid w:val="4A4587A1"/>
    <w:rsid w:val="4AD1BDF1"/>
    <w:rsid w:val="4B9F3047"/>
    <w:rsid w:val="4C800A32"/>
    <w:rsid w:val="4D7C6706"/>
    <w:rsid w:val="509E1228"/>
    <w:rsid w:val="50F8296E"/>
    <w:rsid w:val="5210BED0"/>
    <w:rsid w:val="52521B09"/>
    <w:rsid w:val="542E3350"/>
    <w:rsid w:val="54364A3E"/>
    <w:rsid w:val="56554AE2"/>
    <w:rsid w:val="5770E9BA"/>
    <w:rsid w:val="57746461"/>
    <w:rsid w:val="580C090D"/>
    <w:rsid w:val="5878A689"/>
    <w:rsid w:val="5892FD64"/>
    <w:rsid w:val="5943F7BB"/>
    <w:rsid w:val="59B27B82"/>
    <w:rsid w:val="5AC76B1D"/>
    <w:rsid w:val="5ACC29AB"/>
    <w:rsid w:val="5B985FE6"/>
    <w:rsid w:val="5BFB9BE6"/>
    <w:rsid w:val="5D267D1D"/>
    <w:rsid w:val="5D79CECC"/>
    <w:rsid w:val="5DF85EA3"/>
    <w:rsid w:val="5F265BFD"/>
    <w:rsid w:val="6023B27F"/>
    <w:rsid w:val="60F94552"/>
    <w:rsid w:val="611CBACC"/>
    <w:rsid w:val="6199C2F6"/>
    <w:rsid w:val="64D94A29"/>
    <w:rsid w:val="65716EA6"/>
    <w:rsid w:val="65B14D97"/>
    <w:rsid w:val="65C549F9"/>
    <w:rsid w:val="665604F5"/>
    <w:rsid w:val="6B91D137"/>
    <w:rsid w:val="6CD23872"/>
    <w:rsid w:val="6D17A1B1"/>
    <w:rsid w:val="6D1FD88A"/>
    <w:rsid w:val="6D90A4F1"/>
    <w:rsid w:val="6DF39696"/>
    <w:rsid w:val="6E28BA75"/>
    <w:rsid w:val="6FE23E81"/>
    <w:rsid w:val="70C91680"/>
    <w:rsid w:val="71ACF263"/>
    <w:rsid w:val="71ADE2AF"/>
    <w:rsid w:val="73241326"/>
    <w:rsid w:val="751B098B"/>
    <w:rsid w:val="7562B63C"/>
    <w:rsid w:val="763F5E5C"/>
    <w:rsid w:val="7659959C"/>
    <w:rsid w:val="77C845FE"/>
    <w:rsid w:val="77CCBFBC"/>
    <w:rsid w:val="79C2E62B"/>
    <w:rsid w:val="7A1E7D85"/>
    <w:rsid w:val="7C69C2A5"/>
    <w:rsid w:val="7C84BCCD"/>
    <w:rsid w:val="7D857C6D"/>
    <w:rsid w:val="7E7D61C2"/>
    <w:rsid w:val="7EA71E0E"/>
    <w:rsid w:val="7EBFB716"/>
    <w:rsid w:val="7EF99D5B"/>
    <w:rsid w:val="7F6EE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10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1685505E-F93B-4A75-ACB0-9A4678F7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Company>Wobschall Design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Hockaday, Angela@Energy</cp:lastModifiedBy>
  <cp:revision>18</cp:revision>
  <cp:lastPrinted>2019-04-08T16:38:00Z</cp:lastPrinted>
  <dcterms:created xsi:type="dcterms:W3CDTF">2024-04-22T18:05:00Z</dcterms:created>
  <dcterms:modified xsi:type="dcterms:W3CDTF">2024-06-04T15:55:00Z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