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A139" w14:textId="0B9E4CA4" w:rsidR="009161B9" w:rsidRPr="00AA135B" w:rsidRDefault="009161B9" w:rsidP="00DA0D1A">
      <w:pPr>
        <w:pStyle w:val="Heading1"/>
        <w:spacing w:before="0" w:after="240" w:line="240" w:lineRule="auto"/>
        <w:jc w:val="center"/>
        <w:rPr>
          <w:rFonts w:ascii="Arial" w:hAnsi="Arial" w:cs="Arial"/>
          <w:b/>
          <w:bCs/>
          <w:color w:val="auto"/>
          <w:sz w:val="28"/>
          <w:szCs w:val="28"/>
          <w:u w:val="single"/>
        </w:rPr>
      </w:pPr>
      <w:r w:rsidRPr="3FA174FE">
        <w:rPr>
          <w:rFonts w:ascii="Arial" w:hAnsi="Arial" w:cs="Arial"/>
          <w:b/>
          <w:bCs/>
          <w:color w:val="auto"/>
          <w:sz w:val="28"/>
          <w:szCs w:val="28"/>
        </w:rPr>
        <w:t>Questions &amp; Answers</w:t>
      </w:r>
      <w:r w:rsidR="00AA135B" w:rsidRPr="3FA174FE">
        <w:rPr>
          <w:rFonts w:ascii="Arial" w:hAnsi="Arial" w:cs="Arial"/>
          <w:b/>
          <w:bCs/>
          <w:color w:val="auto"/>
          <w:sz w:val="28"/>
          <w:szCs w:val="28"/>
        </w:rPr>
        <w:t xml:space="preserve"> – </w:t>
      </w:r>
      <w:r w:rsidR="00AA135B" w:rsidRPr="3FA174FE">
        <w:rPr>
          <w:rFonts w:ascii="Arial" w:hAnsi="Arial" w:cs="Arial"/>
          <w:b/>
          <w:bCs/>
          <w:color w:val="auto"/>
          <w:sz w:val="28"/>
          <w:szCs w:val="28"/>
          <w:u w:val="single"/>
        </w:rPr>
        <w:t xml:space="preserve">Addendum </w:t>
      </w:r>
      <w:r w:rsidR="009068B4">
        <w:rPr>
          <w:rFonts w:ascii="Arial" w:hAnsi="Arial" w:cs="Arial"/>
          <w:b/>
          <w:bCs/>
          <w:color w:val="auto"/>
          <w:sz w:val="28"/>
          <w:szCs w:val="28"/>
          <w:u w:val="single"/>
        </w:rPr>
        <w:t>0</w:t>
      </w:r>
      <w:r w:rsidR="00AA135B" w:rsidRPr="3FA174FE">
        <w:rPr>
          <w:rFonts w:ascii="Arial" w:hAnsi="Arial" w:cs="Arial"/>
          <w:b/>
          <w:bCs/>
          <w:color w:val="auto"/>
          <w:sz w:val="28"/>
          <w:szCs w:val="28"/>
          <w:u w:val="single"/>
        </w:rPr>
        <w:t>1</w:t>
      </w:r>
    </w:p>
    <w:p w14:paraId="4699213F" w14:textId="6E3D34D5" w:rsidR="00DB077D" w:rsidRPr="00BD7C3A" w:rsidRDefault="009161B9" w:rsidP="00BD7C3A">
      <w:pPr>
        <w:spacing w:after="0"/>
        <w:jc w:val="center"/>
        <w:rPr>
          <w:rFonts w:ascii="Arial" w:hAnsi="Arial" w:cs="Arial"/>
          <w:b/>
          <w:bCs/>
          <w:sz w:val="24"/>
          <w:szCs w:val="24"/>
        </w:rPr>
      </w:pPr>
      <w:r w:rsidRPr="00BD7C3A">
        <w:rPr>
          <w:rFonts w:ascii="Arial" w:hAnsi="Arial" w:cs="Arial"/>
          <w:b/>
          <w:bCs/>
          <w:sz w:val="24"/>
          <w:szCs w:val="24"/>
        </w:rPr>
        <w:t>Military Electric Vehicle (EV) Chargers</w:t>
      </w:r>
      <w:r w:rsidR="00AF3E56" w:rsidRPr="00BD7C3A">
        <w:rPr>
          <w:rFonts w:ascii="Arial" w:hAnsi="Arial" w:cs="Arial"/>
          <w:b/>
          <w:bCs/>
          <w:sz w:val="24"/>
          <w:szCs w:val="24"/>
        </w:rPr>
        <w:t xml:space="preserve"> </w:t>
      </w:r>
      <w:r w:rsidR="00DB077D" w:rsidRPr="00BD7C3A">
        <w:rPr>
          <w:rFonts w:ascii="Arial" w:hAnsi="Arial" w:cs="Arial"/>
          <w:b/>
          <w:bCs/>
          <w:sz w:val="24"/>
          <w:szCs w:val="24"/>
        </w:rPr>
        <w:t>GFO-23-608</w:t>
      </w:r>
    </w:p>
    <w:p w14:paraId="3B7C0E87" w14:textId="15B3615A" w:rsidR="009161B9" w:rsidRPr="00BD7C3A" w:rsidRDefault="000501ED" w:rsidP="00BD7C3A">
      <w:pPr>
        <w:spacing w:after="0"/>
        <w:jc w:val="center"/>
        <w:rPr>
          <w:rFonts w:ascii="Arial" w:hAnsi="Arial" w:cs="Arial"/>
          <w:b/>
          <w:bCs/>
          <w:sz w:val="24"/>
          <w:szCs w:val="24"/>
        </w:rPr>
      </w:pPr>
      <w:r w:rsidRPr="42E7CC45">
        <w:rPr>
          <w:rFonts w:ascii="Arial" w:hAnsi="Arial" w:cs="Arial"/>
          <w:b/>
          <w:bCs/>
          <w:sz w:val="24"/>
          <w:szCs w:val="24"/>
        </w:rPr>
        <w:t>[</w:t>
      </w:r>
      <w:r w:rsidR="009664C0" w:rsidRPr="42E7CC45">
        <w:rPr>
          <w:rFonts w:ascii="Arial" w:hAnsi="Arial" w:cs="Arial"/>
          <w:b/>
          <w:bCs/>
          <w:strike/>
          <w:sz w:val="24"/>
          <w:szCs w:val="24"/>
        </w:rPr>
        <w:t>May 20, 2024</w:t>
      </w:r>
      <w:r w:rsidR="005B33FD" w:rsidRPr="42E7CC45">
        <w:rPr>
          <w:rFonts w:ascii="Arial" w:hAnsi="Arial" w:cs="Arial"/>
          <w:b/>
          <w:bCs/>
          <w:sz w:val="24"/>
          <w:szCs w:val="24"/>
        </w:rPr>
        <w:t>]</w:t>
      </w:r>
      <w:r w:rsidR="009664C0" w:rsidRPr="42E7CC45">
        <w:rPr>
          <w:rFonts w:ascii="Arial" w:hAnsi="Arial" w:cs="Arial"/>
          <w:b/>
          <w:bCs/>
          <w:sz w:val="24"/>
          <w:szCs w:val="24"/>
        </w:rPr>
        <w:t xml:space="preserve"> </w:t>
      </w:r>
      <w:r w:rsidR="291B81B7" w:rsidRPr="42E7CC45">
        <w:rPr>
          <w:rFonts w:ascii="Arial" w:hAnsi="Arial" w:cs="Arial"/>
          <w:b/>
          <w:bCs/>
          <w:sz w:val="24"/>
          <w:szCs w:val="24"/>
          <w:u w:val="single"/>
        </w:rPr>
        <w:t xml:space="preserve">July </w:t>
      </w:r>
      <w:r w:rsidR="00941850">
        <w:rPr>
          <w:rFonts w:ascii="Arial" w:hAnsi="Arial" w:cs="Arial"/>
          <w:b/>
          <w:bCs/>
          <w:sz w:val="24"/>
          <w:szCs w:val="24"/>
          <w:u w:val="single"/>
        </w:rPr>
        <w:t>5</w:t>
      </w:r>
      <w:r w:rsidR="005B2F10" w:rsidRPr="42E7CC45">
        <w:rPr>
          <w:rFonts w:ascii="Arial" w:hAnsi="Arial" w:cs="Arial"/>
          <w:b/>
          <w:bCs/>
          <w:sz w:val="24"/>
          <w:szCs w:val="24"/>
          <w:u w:val="single"/>
        </w:rPr>
        <w:t xml:space="preserve">, </w:t>
      </w:r>
      <w:r w:rsidR="009161B9" w:rsidRPr="42E7CC45">
        <w:rPr>
          <w:rFonts w:ascii="Arial" w:hAnsi="Arial" w:cs="Arial"/>
          <w:b/>
          <w:bCs/>
          <w:sz w:val="24"/>
          <w:szCs w:val="24"/>
          <w:u w:val="single"/>
        </w:rPr>
        <w:t>2024</w:t>
      </w:r>
    </w:p>
    <w:p w14:paraId="6C3E33E1" w14:textId="77777777" w:rsidR="009161B9" w:rsidRPr="00BD7C3A" w:rsidRDefault="009161B9" w:rsidP="00DB077D">
      <w:pPr>
        <w:rPr>
          <w:rFonts w:ascii="Arial" w:hAnsi="Arial" w:cs="Arial"/>
        </w:rPr>
      </w:pPr>
    </w:p>
    <w:p w14:paraId="63B34B66" w14:textId="1B59D3D9" w:rsidR="00231BF8" w:rsidRDefault="00231BF8" w:rsidP="42E7CC45">
      <w:pPr>
        <w:pStyle w:val="paragraph"/>
        <w:spacing w:before="0" w:beforeAutospacing="0" w:after="120" w:afterAutospacing="0"/>
        <w:textAlignment w:val="baseline"/>
        <w:rPr>
          <w:rStyle w:val="normaltextrun"/>
          <w:rFonts w:ascii="Arial" w:hAnsi="Arial" w:cs="Arial"/>
          <w:color w:val="000000" w:themeColor="text1"/>
        </w:rPr>
      </w:pPr>
      <w:r w:rsidRPr="42E7CC45">
        <w:rPr>
          <w:rStyle w:val="normaltextrun"/>
          <w:rFonts w:ascii="Arial" w:hAnsi="Arial" w:cs="Arial"/>
          <w:color w:val="000000" w:themeColor="text1"/>
        </w:rPr>
        <w:t xml:space="preserve">This addendum </w:t>
      </w:r>
      <w:r w:rsidR="00975349" w:rsidRPr="42E7CC45">
        <w:rPr>
          <w:rStyle w:val="normaltextrun"/>
          <w:rFonts w:ascii="Arial" w:hAnsi="Arial" w:cs="Arial"/>
          <w:color w:val="000000" w:themeColor="text1"/>
        </w:rPr>
        <w:t>includes</w:t>
      </w:r>
      <w:r w:rsidR="00B0760B" w:rsidRPr="42E7CC45">
        <w:rPr>
          <w:rStyle w:val="normaltextrun"/>
          <w:rFonts w:ascii="Arial" w:hAnsi="Arial" w:cs="Arial"/>
          <w:color w:val="000000" w:themeColor="text1"/>
        </w:rPr>
        <w:t xml:space="preserve"> questions </w:t>
      </w:r>
      <w:r w:rsidR="00FC205F" w:rsidRPr="42E7CC45">
        <w:rPr>
          <w:rStyle w:val="normaltextrun"/>
          <w:rFonts w:ascii="Arial" w:hAnsi="Arial" w:cs="Arial"/>
          <w:color w:val="000000" w:themeColor="text1"/>
        </w:rPr>
        <w:t xml:space="preserve">received after </w:t>
      </w:r>
      <w:r w:rsidR="006A0CA4" w:rsidRPr="42E7CC45">
        <w:rPr>
          <w:rStyle w:val="normaltextrun"/>
          <w:rFonts w:ascii="Arial" w:hAnsi="Arial" w:cs="Arial"/>
          <w:color w:val="000000" w:themeColor="text1"/>
        </w:rPr>
        <w:t>the posting of the Questions &amp; Answers document on May 20, 2024.</w:t>
      </w:r>
      <w:r w:rsidR="000501ED" w:rsidRPr="42E7CC45">
        <w:rPr>
          <w:rStyle w:val="normaltextrun"/>
          <w:rFonts w:ascii="Arial" w:hAnsi="Arial" w:cs="Arial"/>
          <w:color w:val="000000" w:themeColor="text1"/>
        </w:rPr>
        <w:t xml:space="preserve"> Added language appears in </w:t>
      </w:r>
      <w:r w:rsidR="000501ED" w:rsidRPr="42E7CC45">
        <w:rPr>
          <w:rStyle w:val="normaltextrun"/>
          <w:rFonts w:ascii="Arial" w:hAnsi="Arial" w:cs="Arial"/>
          <w:b/>
          <w:bCs/>
          <w:color w:val="000000" w:themeColor="text1"/>
          <w:u w:val="single"/>
        </w:rPr>
        <w:t>bold underline</w:t>
      </w:r>
      <w:r w:rsidR="000501ED" w:rsidRPr="42E7CC45">
        <w:rPr>
          <w:rStyle w:val="normaltextrun"/>
          <w:rFonts w:ascii="Arial" w:hAnsi="Arial" w:cs="Arial"/>
          <w:color w:val="000000" w:themeColor="text1"/>
        </w:rPr>
        <w:t xml:space="preserve"> and deleted language appears in [</w:t>
      </w:r>
      <w:r w:rsidR="000501ED" w:rsidRPr="42E7CC45">
        <w:rPr>
          <w:rStyle w:val="normaltextrun"/>
          <w:rFonts w:ascii="Arial" w:hAnsi="Arial" w:cs="Arial"/>
          <w:strike/>
          <w:color w:val="000000" w:themeColor="text1"/>
        </w:rPr>
        <w:t>strikethrough</w:t>
      </w:r>
      <w:r w:rsidR="000501ED" w:rsidRPr="42E7CC45">
        <w:rPr>
          <w:rStyle w:val="normaltextrun"/>
          <w:rFonts w:ascii="Arial" w:hAnsi="Arial" w:cs="Arial"/>
          <w:color w:val="000000" w:themeColor="text1"/>
        </w:rPr>
        <w:t>] and within square brackets.</w:t>
      </w:r>
      <w:r w:rsidR="6635FA1D" w:rsidRPr="42E7CC45">
        <w:rPr>
          <w:rStyle w:val="normaltextrun"/>
          <w:rFonts w:ascii="Arial" w:hAnsi="Arial" w:cs="Arial"/>
          <w:color w:val="000000" w:themeColor="text1"/>
        </w:rPr>
        <w:t xml:space="preserve"> The CEC intends to update this document on a continuous basis.</w:t>
      </w:r>
    </w:p>
    <w:p w14:paraId="652C0FEA" w14:textId="30345BD2" w:rsidR="009161B9" w:rsidRPr="0078602A" w:rsidRDefault="009161B9" w:rsidP="009161B9">
      <w:pPr>
        <w:pStyle w:val="paragraph"/>
        <w:spacing w:before="0" w:beforeAutospacing="0" w:after="120" w:afterAutospacing="0"/>
        <w:textAlignment w:val="baseline"/>
        <w:rPr>
          <w:rStyle w:val="normaltextrun"/>
          <w:color w:val="000000" w:themeColor="text1"/>
        </w:rPr>
      </w:pPr>
      <w:r w:rsidRPr="00BD7C3A">
        <w:rPr>
          <w:rStyle w:val="normaltextrun"/>
          <w:rFonts w:ascii="Arial" w:hAnsi="Arial" w:cs="Arial"/>
          <w:color w:val="000000" w:themeColor="text1"/>
        </w:rPr>
        <w:t xml:space="preserve">The following answers are based on California Energy Commission (CEC) staff’s interpretation of the questions received. It is the Applicant’s responsibility to review the purpose of the solicitation and to determine </w:t>
      </w:r>
      <w:bookmarkStart w:id="0" w:name="_Int_Ci3RcFeg"/>
      <w:r w:rsidRPr="00BD7C3A">
        <w:rPr>
          <w:rStyle w:val="normaltextrun"/>
          <w:rFonts w:ascii="Arial" w:hAnsi="Arial" w:cs="Arial"/>
          <w:color w:val="000000" w:themeColor="text1"/>
        </w:rPr>
        <w:t>whether or not</w:t>
      </w:r>
      <w:bookmarkEnd w:id="0"/>
      <w:r w:rsidRPr="00BD7C3A">
        <w:rPr>
          <w:rStyle w:val="normaltextrun"/>
          <w:rFonts w:ascii="Arial" w:hAnsi="Arial" w:cs="Arial"/>
          <w:color w:val="000000" w:themeColor="text1"/>
        </w:rPr>
        <w:t xml:space="preserve"> their proposed project is eligible for funding by reviewing the Eligibility Requirements within the solicitation. The CEC cannot give advice as to </w:t>
      </w:r>
      <w:bookmarkStart w:id="1" w:name="_Int_dZzZtF00"/>
      <w:r w:rsidRPr="00BD7C3A">
        <w:rPr>
          <w:rStyle w:val="normaltextrun"/>
          <w:rFonts w:ascii="Arial" w:hAnsi="Arial" w:cs="Arial"/>
          <w:color w:val="000000" w:themeColor="text1"/>
        </w:rPr>
        <w:t>whether or not</w:t>
      </w:r>
      <w:bookmarkEnd w:id="1"/>
      <w:r w:rsidRPr="00BD7C3A">
        <w:rPr>
          <w:rStyle w:val="normaltextrun"/>
          <w:rFonts w:ascii="Arial" w:hAnsi="Arial" w:cs="Arial"/>
          <w:color w:val="000000" w:themeColor="text1"/>
        </w:rPr>
        <w:t xml:space="preserve"> a particular project is eligible for funding, because not all proposal details are known.</w:t>
      </w:r>
      <w:r w:rsidRPr="0078602A">
        <w:rPr>
          <w:rStyle w:val="normaltextrun"/>
        </w:rPr>
        <w:t> </w:t>
      </w:r>
    </w:p>
    <w:p w14:paraId="5EC3BA7D" w14:textId="666B60B1" w:rsidR="00DB077D" w:rsidRPr="0078602A" w:rsidRDefault="009161B9" w:rsidP="00346730">
      <w:pPr>
        <w:spacing w:after="0"/>
        <w:rPr>
          <w:rStyle w:val="normaltextrun"/>
          <w:rFonts w:eastAsia="Times New Roman"/>
          <w:color w:val="000000" w:themeColor="text1"/>
        </w:rPr>
      </w:pPr>
      <w:r w:rsidRPr="0078602A">
        <w:rPr>
          <w:rStyle w:val="normaltextrun"/>
          <w:rFonts w:ascii="Arial" w:eastAsia="Times New Roman" w:hAnsi="Arial" w:cs="Arial"/>
          <w:color w:val="000000" w:themeColor="text1"/>
          <w:sz w:val="24"/>
          <w:szCs w:val="24"/>
        </w:rPr>
        <w:t>Unless indicated otherwise, all section numbers identified are from the solicitation manual (for example, “Section II.B” refers to Section II.B of the solicitation manual).</w:t>
      </w:r>
      <w:r w:rsidRPr="0078602A">
        <w:rPr>
          <w:rStyle w:val="normaltextrun"/>
          <w:rFonts w:eastAsia="Times New Roman"/>
          <w:color w:val="000000" w:themeColor="text1"/>
        </w:rPr>
        <w:t> </w:t>
      </w:r>
    </w:p>
    <w:p w14:paraId="099CB560" w14:textId="77777777" w:rsidR="005B2F10" w:rsidRDefault="005B2F10" w:rsidP="00F90726">
      <w:pPr>
        <w:spacing w:after="0"/>
        <w:rPr>
          <w:rFonts w:ascii="Arial" w:hAnsi="Arial" w:cs="Arial"/>
          <w:b/>
          <w:bCs/>
          <w:sz w:val="24"/>
          <w:szCs w:val="24"/>
          <w:u w:val="single"/>
        </w:rPr>
      </w:pPr>
    </w:p>
    <w:p w14:paraId="0901C580" w14:textId="0081AB7E" w:rsidR="009161B9" w:rsidRPr="00BD7C3A" w:rsidRDefault="005B2F10" w:rsidP="004A4E09">
      <w:pPr>
        <w:spacing w:before="120" w:line="240" w:lineRule="auto"/>
        <w:rPr>
          <w:rFonts w:ascii="Arial" w:hAnsi="Arial" w:cs="Arial"/>
          <w:b/>
          <w:bCs/>
          <w:sz w:val="24"/>
          <w:szCs w:val="24"/>
          <w:u w:val="single"/>
        </w:rPr>
      </w:pPr>
      <w:r w:rsidRPr="00BD7C3A">
        <w:rPr>
          <w:rFonts w:ascii="Arial" w:hAnsi="Arial" w:cs="Arial"/>
          <w:b/>
          <w:bCs/>
          <w:sz w:val="24"/>
          <w:szCs w:val="24"/>
          <w:u w:val="single"/>
        </w:rPr>
        <w:t>Administrative</w:t>
      </w:r>
    </w:p>
    <w:p w14:paraId="5B03407C" w14:textId="2F0ADA8C"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2345CA">
        <w:rPr>
          <w:rFonts w:ascii="Arial" w:hAnsi="Arial" w:cs="Arial"/>
          <w:b/>
          <w:bCs/>
          <w:sz w:val="24"/>
          <w:szCs w:val="24"/>
        </w:rPr>
        <w:t>1</w:t>
      </w:r>
      <w:r w:rsidRPr="00BD7C3A">
        <w:rPr>
          <w:rFonts w:ascii="Arial" w:hAnsi="Arial" w:cs="Arial"/>
          <w:b/>
          <w:bCs/>
          <w:sz w:val="24"/>
          <w:szCs w:val="24"/>
        </w:rPr>
        <w:t>: Will this webinar and its slides be circulated after the meeting?</w:t>
      </w:r>
    </w:p>
    <w:p w14:paraId="056C817B" w14:textId="12FC62BD" w:rsidR="005B2F10" w:rsidRPr="00BD7C3A" w:rsidRDefault="005B2F10"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2345CA">
        <w:rPr>
          <w:rFonts w:ascii="Arial" w:hAnsi="Arial" w:cs="Arial"/>
          <w:sz w:val="24"/>
          <w:szCs w:val="24"/>
        </w:rPr>
        <w:t>1</w:t>
      </w:r>
      <w:r w:rsidRPr="00BD7C3A">
        <w:rPr>
          <w:rFonts w:ascii="Arial" w:hAnsi="Arial" w:cs="Arial"/>
          <w:sz w:val="24"/>
          <w:szCs w:val="24"/>
        </w:rPr>
        <w:t xml:space="preserve">: Yes, presentation slides and the workshop recording from the Pre-Application workshop help on April 19, 2024 can be found on the solicitation webpage at: </w:t>
      </w:r>
      <w:hyperlink r:id="rId10" w:history="1">
        <w:r w:rsidRPr="009F49AB">
          <w:rPr>
            <w:rStyle w:val="Hyperlink"/>
            <w:rFonts w:ascii="Arial" w:hAnsi="Arial" w:cs="Arial"/>
            <w:color w:val="0000CC"/>
            <w:sz w:val="24"/>
            <w:szCs w:val="24"/>
          </w:rPr>
          <w:t>https://www.energy.ca.gov/solicitations/2024-04/gfo-23-608-military-electric-vehicle-chargers</w:t>
        </w:r>
      </w:hyperlink>
    </w:p>
    <w:p w14:paraId="12225E99" w14:textId="6C265BF3" w:rsidR="005B2F10" w:rsidRPr="00BD7C3A" w:rsidRDefault="3B7796AC" w:rsidP="005B2F10">
      <w:pPr>
        <w:rPr>
          <w:rFonts w:ascii="Arial" w:hAnsi="Arial" w:cs="Arial"/>
          <w:b/>
          <w:bCs/>
          <w:sz w:val="24"/>
          <w:szCs w:val="24"/>
        </w:rPr>
      </w:pPr>
      <w:r w:rsidRPr="00BD7C3A">
        <w:rPr>
          <w:rFonts w:ascii="Arial" w:hAnsi="Arial" w:cs="Arial"/>
          <w:b/>
          <w:bCs/>
          <w:sz w:val="24"/>
          <w:szCs w:val="24"/>
        </w:rPr>
        <w:t>Q</w:t>
      </w:r>
      <w:r w:rsidR="002345CA">
        <w:rPr>
          <w:rFonts w:ascii="Arial" w:hAnsi="Arial" w:cs="Arial"/>
          <w:b/>
          <w:bCs/>
          <w:sz w:val="24"/>
          <w:szCs w:val="24"/>
        </w:rPr>
        <w:t>2</w:t>
      </w:r>
      <w:r w:rsidRPr="00BD7C3A">
        <w:rPr>
          <w:rFonts w:ascii="Arial" w:hAnsi="Arial" w:cs="Arial"/>
          <w:b/>
          <w:bCs/>
          <w:sz w:val="24"/>
          <w:szCs w:val="24"/>
        </w:rPr>
        <w:t xml:space="preserve">: Do you know when the recording from last week will be posted? </w:t>
      </w:r>
    </w:p>
    <w:p w14:paraId="26CDBBDA" w14:textId="72323465" w:rsidR="005B2F10" w:rsidRPr="00BD7C3A" w:rsidRDefault="005B2F10"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2345CA">
        <w:rPr>
          <w:rFonts w:ascii="Arial" w:hAnsi="Arial" w:cs="Arial"/>
          <w:sz w:val="24"/>
          <w:szCs w:val="24"/>
        </w:rPr>
        <w:t>2</w:t>
      </w:r>
      <w:r w:rsidRPr="00BD7C3A">
        <w:rPr>
          <w:rFonts w:ascii="Arial" w:hAnsi="Arial" w:cs="Arial"/>
          <w:sz w:val="24"/>
          <w:szCs w:val="24"/>
        </w:rPr>
        <w:t>: The Pre-Application Workshop recording, presentation and attendee list can be found at:</w:t>
      </w:r>
      <w:r w:rsidRPr="009F49AB">
        <w:rPr>
          <w:rFonts w:ascii="Arial" w:hAnsi="Arial" w:cs="Arial"/>
          <w:color w:val="0000CC"/>
          <w:sz w:val="24"/>
          <w:szCs w:val="24"/>
        </w:rPr>
        <w:t xml:space="preserve"> </w:t>
      </w:r>
      <w:hyperlink r:id="rId11" w:history="1">
        <w:r w:rsidRPr="009F49AB">
          <w:rPr>
            <w:rStyle w:val="Hyperlink"/>
            <w:rFonts w:ascii="Arial" w:hAnsi="Arial" w:cs="Arial"/>
            <w:color w:val="0000CC"/>
            <w:sz w:val="24"/>
            <w:szCs w:val="24"/>
          </w:rPr>
          <w:t>https://www.energy.ca.gov/solicitations/2024-04/gfo-23-608-military-electric-vehicle-chargers</w:t>
        </w:r>
      </w:hyperlink>
      <w:r w:rsidRPr="00BD7C3A">
        <w:rPr>
          <w:rFonts w:ascii="Arial" w:hAnsi="Arial" w:cs="Arial"/>
          <w:sz w:val="24"/>
          <w:szCs w:val="24"/>
        </w:rPr>
        <w:t xml:space="preserve">  </w:t>
      </w:r>
    </w:p>
    <w:p w14:paraId="1160B12E" w14:textId="234B9EAB"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2345CA">
        <w:rPr>
          <w:rFonts w:ascii="Arial" w:hAnsi="Arial" w:cs="Arial"/>
          <w:b/>
          <w:bCs/>
          <w:sz w:val="24"/>
          <w:szCs w:val="24"/>
        </w:rPr>
        <w:t>3</w:t>
      </w:r>
      <w:r w:rsidRPr="00BD7C3A">
        <w:rPr>
          <w:rFonts w:ascii="Arial" w:hAnsi="Arial" w:cs="Arial"/>
          <w:b/>
          <w:bCs/>
          <w:sz w:val="24"/>
          <w:szCs w:val="24"/>
        </w:rPr>
        <w:t>: I am a manufacturer who will be looking for a partner. Where may I find a list of contractors who attended this Zoom?</w:t>
      </w:r>
    </w:p>
    <w:p w14:paraId="4579E423" w14:textId="15F68248" w:rsidR="005B2F10"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2345CA">
        <w:rPr>
          <w:rFonts w:ascii="Arial" w:hAnsi="Arial" w:cs="Arial"/>
          <w:sz w:val="24"/>
          <w:szCs w:val="24"/>
        </w:rPr>
        <w:t>3</w:t>
      </w:r>
      <w:r w:rsidRPr="00BD7C3A">
        <w:rPr>
          <w:rFonts w:ascii="Arial" w:hAnsi="Arial" w:cs="Arial"/>
          <w:sz w:val="24"/>
          <w:szCs w:val="24"/>
        </w:rPr>
        <w:t xml:space="preserve">: The list of attendees can be accessed on the solicitation webpage at: </w:t>
      </w:r>
      <w:bookmarkStart w:id="2" w:name="_Hlk165790441"/>
      <w:r w:rsidR="005B2F10" w:rsidRPr="009F49AB">
        <w:rPr>
          <w:rFonts w:ascii="Arial" w:hAnsi="Arial" w:cs="Arial"/>
          <w:color w:val="0000CC"/>
          <w:sz w:val="24"/>
          <w:szCs w:val="24"/>
        </w:rPr>
        <w:fldChar w:fldCharType="begin"/>
      </w:r>
      <w:r w:rsidR="005B2F10" w:rsidRPr="009F49AB">
        <w:rPr>
          <w:rFonts w:ascii="Arial" w:hAnsi="Arial" w:cs="Arial"/>
          <w:color w:val="0000CC"/>
          <w:sz w:val="24"/>
          <w:szCs w:val="24"/>
        </w:rPr>
        <w:instrText>HYPERLINK "https://www.energy.ca.gov/solicitations/2024-04/gfo-23-608-military-electric-vehicle-chargers"</w:instrText>
      </w:r>
      <w:r w:rsidR="005B2F10" w:rsidRPr="009F49AB">
        <w:rPr>
          <w:rFonts w:ascii="Arial" w:hAnsi="Arial" w:cs="Arial"/>
          <w:color w:val="0000CC"/>
          <w:sz w:val="24"/>
          <w:szCs w:val="24"/>
        </w:rPr>
      </w:r>
      <w:r w:rsidR="005B2F10" w:rsidRPr="009F49AB">
        <w:rPr>
          <w:rFonts w:ascii="Arial" w:hAnsi="Arial" w:cs="Arial"/>
          <w:color w:val="0000CC"/>
          <w:sz w:val="24"/>
          <w:szCs w:val="24"/>
        </w:rPr>
        <w:fldChar w:fldCharType="separate"/>
      </w:r>
      <w:r w:rsidRPr="009F49AB">
        <w:rPr>
          <w:rStyle w:val="Hyperlink"/>
          <w:rFonts w:ascii="Arial" w:hAnsi="Arial" w:cs="Arial"/>
          <w:color w:val="0000CC"/>
          <w:sz w:val="24"/>
          <w:szCs w:val="24"/>
        </w:rPr>
        <w:t>https://www.energy.ca.gov/solicitations/2024-04/gfo-23-608-military-electric-vehicle-chargers</w:t>
      </w:r>
      <w:r w:rsidR="005B2F10" w:rsidRPr="009F49AB">
        <w:rPr>
          <w:rFonts w:ascii="Arial" w:hAnsi="Arial" w:cs="Arial"/>
          <w:color w:val="0000CC"/>
          <w:sz w:val="24"/>
          <w:szCs w:val="24"/>
        </w:rPr>
        <w:fldChar w:fldCharType="end"/>
      </w:r>
      <w:r w:rsidRPr="00BD7C3A">
        <w:rPr>
          <w:rFonts w:ascii="Arial" w:eastAsiaTheme="minorEastAsia" w:hAnsi="Arial" w:cs="Arial"/>
          <w:sz w:val="24"/>
          <w:szCs w:val="24"/>
        </w:rPr>
        <w:t xml:space="preserve"> </w:t>
      </w:r>
      <w:bookmarkEnd w:id="2"/>
    </w:p>
    <w:p w14:paraId="621FBEEE" w14:textId="74AF52D8" w:rsidR="005B2F10" w:rsidRPr="00BD7C3A" w:rsidRDefault="005B2F10" w:rsidP="005B2F10">
      <w:pPr>
        <w:rPr>
          <w:rFonts w:ascii="Arial" w:hAnsi="Arial" w:cs="Arial"/>
          <w:sz w:val="24"/>
          <w:szCs w:val="24"/>
        </w:rPr>
      </w:pPr>
      <w:r w:rsidRPr="00BD7C3A">
        <w:rPr>
          <w:rFonts w:ascii="Arial" w:hAnsi="Arial" w:cs="Arial"/>
          <w:b/>
          <w:bCs/>
          <w:sz w:val="24"/>
          <w:szCs w:val="24"/>
        </w:rPr>
        <w:t>Q</w:t>
      </w:r>
      <w:r w:rsidR="001B6724">
        <w:rPr>
          <w:rFonts w:ascii="Arial" w:hAnsi="Arial" w:cs="Arial"/>
          <w:b/>
          <w:bCs/>
          <w:sz w:val="24"/>
          <w:szCs w:val="24"/>
        </w:rPr>
        <w:t>4</w:t>
      </w:r>
      <w:r w:rsidRPr="00BD7C3A">
        <w:rPr>
          <w:rFonts w:ascii="Arial" w:hAnsi="Arial" w:cs="Arial"/>
          <w:b/>
          <w:bCs/>
          <w:sz w:val="24"/>
          <w:szCs w:val="24"/>
        </w:rPr>
        <w:t>: We’d like to ensure planning between installations/utilities is synchronized.  If awarded, when will the grant be executed? In other words, what's the timeframe between receiving the grant and receiving the funds?</w:t>
      </w:r>
    </w:p>
    <w:p w14:paraId="0EFFA5A0" w14:textId="6EADC3EC" w:rsidR="005B2F10" w:rsidRPr="00BD7C3A" w:rsidRDefault="6426DB84" w:rsidP="7F2D17F3">
      <w:pPr>
        <w:tabs>
          <w:tab w:val="left" w:pos="270"/>
          <w:tab w:val="left" w:pos="360"/>
        </w:tabs>
        <w:ind w:left="270"/>
        <w:rPr>
          <w:rFonts w:ascii="Arial" w:eastAsia="Arial" w:hAnsi="Arial" w:cs="Arial"/>
          <w:sz w:val="24"/>
          <w:szCs w:val="24"/>
        </w:rPr>
      </w:pPr>
      <w:r w:rsidRPr="00BD7C3A">
        <w:rPr>
          <w:rFonts w:ascii="Arial" w:hAnsi="Arial" w:cs="Arial"/>
          <w:sz w:val="24"/>
          <w:szCs w:val="24"/>
        </w:rPr>
        <w:t>A</w:t>
      </w:r>
      <w:r w:rsidR="001B6724">
        <w:rPr>
          <w:rFonts w:ascii="Arial" w:hAnsi="Arial" w:cs="Arial"/>
          <w:sz w:val="24"/>
          <w:szCs w:val="24"/>
        </w:rPr>
        <w:t>4</w:t>
      </w:r>
      <w:r w:rsidRPr="00BD7C3A">
        <w:rPr>
          <w:rFonts w:ascii="Arial" w:hAnsi="Arial" w:cs="Arial"/>
          <w:sz w:val="24"/>
          <w:szCs w:val="24"/>
        </w:rPr>
        <w:t xml:space="preserve">: </w:t>
      </w:r>
      <w:r w:rsidR="4DE152CD" w:rsidRPr="00BD7C3A">
        <w:rPr>
          <w:rFonts w:ascii="Arial" w:hAnsi="Arial" w:cs="Arial"/>
          <w:sz w:val="24"/>
          <w:szCs w:val="24"/>
        </w:rPr>
        <w:t xml:space="preserve">Following a Notice of Proposed Awards (NOPA), </w:t>
      </w:r>
      <w:r w:rsidR="42CCB1D0" w:rsidRPr="00BD7C3A">
        <w:rPr>
          <w:rFonts w:ascii="Arial" w:hAnsi="Arial" w:cs="Arial"/>
          <w:sz w:val="24"/>
          <w:szCs w:val="24"/>
        </w:rPr>
        <w:t xml:space="preserve">proposed awardees will work with the CEC to finalize the agreement package for final Business Meeting approval. </w:t>
      </w:r>
      <w:r w:rsidR="42CCB1D0" w:rsidRPr="00BD7C3A">
        <w:rPr>
          <w:rFonts w:ascii="Arial" w:hAnsi="Arial" w:cs="Arial"/>
          <w:sz w:val="24"/>
          <w:szCs w:val="24"/>
        </w:rPr>
        <w:lastRenderedPageBreak/>
        <w:t xml:space="preserve">This process can take at least 4-6 months (or longer) from the NOPA date.  </w:t>
      </w:r>
      <w:r w:rsidR="2B12CA8B" w:rsidRPr="00BD7C3A">
        <w:rPr>
          <w:rFonts w:ascii="Arial" w:hAnsi="Arial" w:cs="Arial"/>
          <w:sz w:val="24"/>
          <w:szCs w:val="24"/>
        </w:rPr>
        <w:t>For this solicitation</w:t>
      </w:r>
      <w:r w:rsidR="287FA9CD" w:rsidRPr="00BD7C3A">
        <w:rPr>
          <w:rFonts w:ascii="Arial" w:hAnsi="Arial" w:cs="Arial"/>
          <w:sz w:val="24"/>
          <w:szCs w:val="24"/>
        </w:rPr>
        <w:t>, we expect the</w:t>
      </w:r>
      <w:r w:rsidRPr="00BD7C3A">
        <w:rPr>
          <w:rFonts w:ascii="Arial" w:hAnsi="Arial" w:cs="Arial"/>
          <w:sz w:val="24"/>
          <w:szCs w:val="24"/>
        </w:rPr>
        <w:t xml:space="preserve"> first round of selected awardees to have projects presented at a business meeting for approval as early as Q4 of 2024, with </w:t>
      </w:r>
      <w:r w:rsidR="7DC8F2E8" w:rsidRPr="00BD7C3A">
        <w:rPr>
          <w:rFonts w:ascii="Arial" w:hAnsi="Arial" w:cs="Arial"/>
          <w:sz w:val="24"/>
          <w:szCs w:val="24"/>
        </w:rPr>
        <w:t>grant agreement</w:t>
      </w:r>
      <w:r w:rsidRPr="00BD7C3A">
        <w:rPr>
          <w:rFonts w:ascii="Arial" w:hAnsi="Arial" w:cs="Arial"/>
          <w:sz w:val="24"/>
          <w:szCs w:val="24"/>
        </w:rPr>
        <w:t xml:space="preserve"> execution expected as early as Q1 2025</w:t>
      </w:r>
      <w:r w:rsidR="2CB03AA9" w:rsidRPr="00BD7C3A">
        <w:rPr>
          <w:rFonts w:ascii="Arial" w:hAnsi="Arial" w:cs="Arial"/>
          <w:sz w:val="24"/>
          <w:szCs w:val="24"/>
        </w:rPr>
        <w:t>.</w:t>
      </w:r>
      <w:r w:rsidRPr="00BD7C3A">
        <w:rPr>
          <w:rFonts w:ascii="Arial" w:hAnsi="Arial" w:cs="Arial"/>
          <w:sz w:val="24"/>
          <w:szCs w:val="24"/>
        </w:rPr>
        <w:t xml:space="preserve"> </w:t>
      </w:r>
      <w:r w:rsidR="2CB03AA9" w:rsidRPr="00BD7C3A">
        <w:rPr>
          <w:rFonts w:ascii="Arial" w:hAnsi="Arial" w:cs="Arial"/>
          <w:sz w:val="24"/>
          <w:szCs w:val="24"/>
        </w:rPr>
        <w:t>H</w:t>
      </w:r>
      <w:r w:rsidRPr="00BD7C3A">
        <w:rPr>
          <w:rFonts w:ascii="Arial" w:hAnsi="Arial" w:cs="Arial"/>
          <w:sz w:val="24"/>
          <w:szCs w:val="24"/>
        </w:rPr>
        <w:t>owever</w:t>
      </w:r>
      <w:r w:rsidR="21DD0190" w:rsidRPr="00BD7C3A">
        <w:rPr>
          <w:rFonts w:ascii="Arial" w:hAnsi="Arial" w:cs="Arial"/>
          <w:sz w:val="24"/>
          <w:szCs w:val="24"/>
        </w:rPr>
        <w:t>,</w:t>
      </w:r>
      <w:r w:rsidRPr="00BD7C3A">
        <w:rPr>
          <w:rFonts w:ascii="Arial" w:hAnsi="Arial" w:cs="Arial"/>
          <w:sz w:val="24"/>
          <w:szCs w:val="24"/>
        </w:rPr>
        <w:t xml:space="preserve"> th</w:t>
      </w:r>
      <w:r w:rsidR="2CB03AA9" w:rsidRPr="00BD7C3A">
        <w:rPr>
          <w:rFonts w:ascii="Arial" w:hAnsi="Arial" w:cs="Arial"/>
          <w:sz w:val="24"/>
          <w:szCs w:val="24"/>
        </w:rPr>
        <w:t>e timing of Business Meeting approval can vary and</w:t>
      </w:r>
      <w:r w:rsidRPr="00BD7C3A">
        <w:rPr>
          <w:rFonts w:ascii="Arial" w:hAnsi="Arial" w:cs="Arial"/>
          <w:sz w:val="24"/>
          <w:szCs w:val="24"/>
        </w:rPr>
        <w:t xml:space="preserve"> will be dependent on project readiness. </w:t>
      </w:r>
      <w:r w:rsidR="6E8DB2F8" w:rsidRPr="00BD7C3A">
        <w:rPr>
          <w:rFonts w:ascii="Arial" w:hAnsi="Arial" w:cs="Arial"/>
          <w:sz w:val="24"/>
          <w:szCs w:val="24"/>
        </w:rPr>
        <w:t xml:space="preserve">Invoicing </w:t>
      </w:r>
      <w:r w:rsidR="090C0833" w:rsidRPr="00BD7C3A">
        <w:rPr>
          <w:rFonts w:ascii="Arial" w:hAnsi="Arial" w:cs="Arial"/>
          <w:sz w:val="24"/>
          <w:szCs w:val="24"/>
        </w:rPr>
        <w:t xml:space="preserve">and payment for </w:t>
      </w:r>
      <w:r w:rsidR="022E7042" w:rsidRPr="00BD7C3A">
        <w:rPr>
          <w:rFonts w:ascii="Arial" w:hAnsi="Arial" w:cs="Arial"/>
          <w:sz w:val="24"/>
          <w:szCs w:val="24"/>
        </w:rPr>
        <w:t xml:space="preserve">eligible </w:t>
      </w:r>
      <w:r w:rsidR="090C0833" w:rsidRPr="00BD7C3A">
        <w:rPr>
          <w:rFonts w:ascii="Arial" w:hAnsi="Arial" w:cs="Arial"/>
          <w:sz w:val="24"/>
          <w:szCs w:val="24"/>
        </w:rPr>
        <w:t xml:space="preserve">project costs </w:t>
      </w:r>
      <w:r w:rsidR="6E8DB2F8" w:rsidRPr="00BD7C3A">
        <w:rPr>
          <w:rFonts w:ascii="Arial" w:hAnsi="Arial" w:cs="Arial"/>
          <w:sz w:val="24"/>
          <w:szCs w:val="24"/>
        </w:rPr>
        <w:t xml:space="preserve">can begin immediately following </w:t>
      </w:r>
      <w:r w:rsidR="20557677" w:rsidRPr="00BD7C3A">
        <w:rPr>
          <w:rFonts w:ascii="Arial" w:hAnsi="Arial" w:cs="Arial"/>
          <w:sz w:val="24"/>
          <w:szCs w:val="24"/>
        </w:rPr>
        <w:t>grant agreement</w:t>
      </w:r>
      <w:r w:rsidR="6E8DB2F8" w:rsidRPr="00BD7C3A">
        <w:rPr>
          <w:rFonts w:ascii="Arial" w:hAnsi="Arial" w:cs="Arial"/>
          <w:sz w:val="24"/>
          <w:szCs w:val="24"/>
        </w:rPr>
        <w:t xml:space="preserve"> </w:t>
      </w:r>
      <w:r w:rsidR="180A8CBE" w:rsidRPr="00BD7C3A">
        <w:rPr>
          <w:rFonts w:ascii="Arial" w:hAnsi="Arial" w:cs="Arial"/>
          <w:sz w:val="24"/>
          <w:szCs w:val="24"/>
        </w:rPr>
        <w:t>execution</w:t>
      </w:r>
      <w:r w:rsidR="486EE019" w:rsidRPr="00BD7C3A">
        <w:rPr>
          <w:rFonts w:ascii="Arial" w:hAnsi="Arial" w:cs="Arial"/>
          <w:sz w:val="24"/>
          <w:szCs w:val="24"/>
        </w:rPr>
        <w:t>.</w:t>
      </w:r>
      <w:r w:rsidR="79748050" w:rsidRPr="00BD7C3A">
        <w:rPr>
          <w:rFonts w:ascii="Arial" w:hAnsi="Arial" w:cs="Arial"/>
          <w:sz w:val="24"/>
          <w:szCs w:val="24"/>
        </w:rPr>
        <w:t xml:space="preserve"> </w:t>
      </w:r>
      <w:r w:rsidR="02265F96" w:rsidRPr="00BD7C3A">
        <w:rPr>
          <w:rFonts w:ascii="Arial" w:hAnsi="Arial" w:cs="Arial"/>
          <w:sz w:val="24"/>
          <w:szCs w:val="24"/>
        </w:rPr>
        <w:t xml:space="preserve">CEC </w:t>
      </w:r>
      <w:r w:rsidR="4DB440D8" w:rsidRPr="00BD7C3A">
        <w:rPr>
          <w:rFonts w:ascii="Arial" w:hAnsi="Arial" w:cs="Arial"/>
          <w:sz w:val="24"/>
          <w:szCs w:val="24"/>
        </w:rPr>
        <w:t>invoices</w:t>
      </w:r>
      <w:r w:rsidR="02265F96" w:rsidRPr="00BD7C3A">
        <w:rPr>
          <w:rFonts w:ascii="Arial" w:hAnsi="Arial" w:cs="Arial"/>
          <w:sz w:val="24"/>
          <w:szCs w:val="24"/>
        </w:rPr>
        <w:t xml:space="preserve"> are paid in arrears and </w:t>
      </w:r>
      <w:r w:rsidR="4DB440D8" w:rsidRPr="00BD7C3A">
        <w:rPr>
          <w:rFonts w:ascii="Arial" w:hAnsi="Arial" w:cs="Arial"/>
          <w:sz w:val="24"/>
          <w:szCs w:val="24"/>
        </w:rPr>
        <w:t xml:space="preserve">funding is paid to recipients as </w:t>
      </w:r>
      <w:r w:rsidR="6B676C1F" w:rsidRPr="00BD7C3A">
        <w:rPr>
          <w:rFonts w:ascii="Arial" w:hAnsi="Arial" w:cs="Arial"/>
          <w:sz w:val="24"/>
          <w:szCs w:val="24"/>
        </w:rPr>
        <w:t>eligible project costs</w:t>
      </w:r>
      <w:r w:rsidR="4DB440D8" w:rsidRPr="00BD7C3A">
        <w:rPr>
          <w:rFonts w:ascii="Arial" w:hAnsi="Arial" w:cs="Arial"/>
          <w:sz w:val="24"/>
          <w:szCs w:val="24"/>
        </w:rPr>
        <w:t xml:space="preserve"> are incurred throughout the agreement term</w:t>
      </w:r>
      <w:r w:rsidR="76F99EE8" w:rsidRPr="00BD7C3A">
        <w:rPr>
          <w:rFonts w:ascii="Arial" w:hAnsi="Arial" w:cs="Arial"/>
          <w:sz w:val="24"/>
          <w:szCs w:val="24"/>
        </w:rPr>
        <w:t>.</w:t>
      </w:r>
      <w:r w:rsidRPr="00BD7C3A">
        <w:rPr>
          <w:rFonts w:ascii="Arial" w:hAnsi="Arial" w:cs="Arial"/>
          <w:sz w:val="24"/>
          <w:szCs w:val="24"/>
        </w:rPr>
        <w:t xml:space="preserve"> Please refer to Section V.J-L. </w:t>
      </w:r>
      <w:r w:rsidR="52E0BFA3" w:rsidRPr="00BD7C3A">
        <w:rPr>
          <w:rFonts w:ascii="Arial" w:hAnsi="Arial" w:cs="Arial"/>
          <w:sz w:val="24"/>
          <w:szCs w:val="24"/>
        </w:rPr>
        <w:t>under Administration</w:t>
      </w:r>
      <w:r w:rsidRPr="00BD7C3A">
        <w:rPr>
          <w:rFonts w:ascii="Arial" w:hAnsi="Arial" w:cs="Arial"/>
          <w:sz w:val="24"/>
          <w:szCs w:val="24"/>
        </w:rPr>
        <w:t xml:space="preserve"> for additional details (pages 35-36)</w:t>
      </w:r>
      <w:r w:rsidR="58B6DC01" w:rsidRPr="00BD7C3A">
        <w:rPr>
          <w:rFonts w:ascii="Arial" w:hAnsi="Arial" w:cs="Arial"/>
          <w:sz w:val="24"/>
          <w:szCs w:val="24"/>
        </w:rPr>
        <w:t xml:space="preserve"> on the agreement development process</w:t>
      </w:r>
      <w:r w:rsidRPr="00BD7C3A">
        <w:rPr>
          <w:rFonts w:ascii="Arial" w:hAnsi="Arial" w:cs="Arial"/>
          <w:sz w:val="24"/>
          <w:szCs w:val="24"/>
        </w:rPr>
        <w:t>.</w:t>
      </w:r>
      <w:r w:rsidR="28E3B603" w:rsidRPr="00BD7C3A">
        <w:rPr>
          <w:rFonts w:ascii="Arial" w:hAnsi="Arial" w:cs="Arial"/>
          <w:sz w:val="24"/>
          <w:szCs w:val="24"/>
        </w:rPr>
        <w:t xml:space="preserve">  Please also refer to the terms and conditions</w:t>
      </w:r>
      <w:r w:rsidR="5015B963" w:rsidRPr="00BD7C3A">
        <w:rPr>
          <w:rFonts w:ascii="Arial" w:hAnsi="Arial" w:cs="Arial"/>
          <w:sz w:val="24"/>
          <w:szCs w:val="24"/>
        </w:rPr>
        <w:t xml:space="preserve"> </w:t>
      </w:r>
      <w:r w:rsidR="5EC1CADA" w:rsidRPr="00BD7C3A">
        <w:rPr>
          <w:rFonts w:ascii="Arial" w:hAnsi="Arial" w:cs="Arial"/>
          <w:sz w:val="24"/>
          <w:szCs w:val="24"/>
        </w:rPr>
        <w:t xml:space="preserve">information in Section II.A.2 (page 8).  Assuming the standard terms and conditions apply to your organization, please access them </w:t>
      </w:r>
      <w:r w:rsidR="41DA8B84" w:rsidRPr="00BD7C3A">
        <w:rPr>
          <w:rFonts w:ascii="Arial" w:hAnsi="Arial" w:cs="Arial"/>
          <w:sz w:val="24"/>
          <w:szCs w:val="24"/>
        </w:rPr>
        <w:t xml:space="preserve">here </w:t>
      </w:r>
      <w:hyperlink r:id="rId12" w:history="1">
        <w:r w:rsidR="41DA8B84" w:rsidRPr="009F49AB">
          <w:rPr>
            <w:rStyle w:val="Hyperlink"/>
            <w:rFonts w:ascii="Arial" w:eastAsia="Arial" w:hAnsi="Arial" w:cs="Arial"/>
            <w:color w:val="0000CC"/>
            <w:sz w:val="24"/>
            <w:szCs w:val="24"/>
          </w:rPr>
          <w:t>CEC's funding resources website</w:t>
        </w:r>
      </w:hyperlink>
      <w:r w:rsidR="41DA8B84" w:rsidRPr="009F49AB">
        <w:rPr>
          <w:rFonts w:ascii="Arial" w:eastAsia="Arial" w:hAnsi="Arial" w:cs="Arial"/>
          <w:color w:val="0000CC"/>
          <w:sz w:val="24"/>
          <w:szCs w:val="24"/>
          <w:u w:val="single"/>
        </w:rPr>
        <w:t xml:space="preserve"> at</w:t>
      </w:r>
      <w:r w:rsidR="41DA8B84" w:rsidRPr="009F49AB">
        <w:rPr>
          <w:rFonts w:ascii="Arial" w:eastAsia="Arial" w:hAnsi="Arial" w:cs="Arial"/>
          <w:color w:val="0000CC"/>
        </w:rPr>
        <w:t xml:space="preserve"> </w:t>
      </w:r>
      <w:r w:rsidR="41DA8B84" w:rsidRPr="009F49AB">
        <w:rPr>
          <w:rFonts w:ascii="Arial" w:eastAsia="Arial" w:hAnsi="Arial" w:cs="Arial"/>
          <w:color w:val="0000CC"/>
          <w:sz w:val="24"/>
          <w:szCs w:val="24"/>
          <w:u w:val="single"/>
        </w:rPr>
        <w:t>https://www.energy.ca.gov/funding-opportunities/funding-resources</w:t>
      </w:r>
      <w:r w:rsidR="41DA8B84" w:rsidRPr="00BD7C3A">
        <w:rPr>
          <w:rFonts w:ascii="Arial" w:eastAsia="Arial" w:hAnsi="Arial" w:cs="Arial"/>
          <w:sz w:val="24"/>
          <w:szCs w:val="24"/>
        </w:rPr>
        <w:t xml:space="preserve">.  See section 17 Payment of Funds for more information about </w:t>
      </w:r>
      <w:r w:rsidR="47D9DED5" w:rsidRPr="00BD7C3A">
        <w:rPr>
          <w:rFonts w:ascii="Arial" w:eastAsia="Arial" w:hAnsi="Arial" w:cs="Arial"/>
          <w:sz w:val="24"/>
          <w:szCs w:val="24"/>
        </w:rPr>
        <w:t>invoicing and payments.</w:t>
      </w:r>
    </w:p>
    <w:p w14:paraId="59B2DADB" w14:textId="54EA5909"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1B6724">
        <w:rPr>
          <w:rFonts w:ascii="Arial" w:hAnsi="Arial" w:cs="Arial"/>
          <w:b/>
          <w:bCs/>
          <w:sz w:val="24"/>
          <w:szCs w:val="24"/>
        </w:rPr>
        <w:t>5</w:t>
      </w:r>
      <w:r w:rsidRPr="00BD7C3A">
        <w:rPr>
          <w:rFonts w:ascii="Arial" w:hAnsi="Arial" w:cs="Arial"/>
          <w:b/>
          <w:bCs/>
          <w:sz w:val="24"/>
          <w:szCs w:val="24"/>
        </w:rPr>
        <w:t xml:space="preserve">: Can you please confirm that this will be a stand-alone agreement between the winner of the solicitation and CEC? I want to confirm that this will not be an addition to a current government contract and that having a current government contract is only a requirement. </w:t>
      </w:r>
    </w:p>
    <w:p w14:paraId="3D82FBAB" w14:textId="23777537" w:rsidR="005B2F10" w:rsidRPr="00BD7C3A" w:rsidRDefault="6426DB84"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1B6724">
        <w:rPr>
          <w:rFonts w:ascii="Arial" w:hAnsi="Arial" w:cs="Arial"/>
          <w:sz w:val="24"/>
          <w:szCs w:val="24"/>
        </w:rPr>
        <w:t>5</w:t>
      </w:r>
      <w:r w:rsidRPr="00BD7C3A">
        <w:rPr>
          <w:rFonts w:ascii="Arial" w:hAnsi="Arial" w:cs="Arial"/>
          <w:sz w:val="24"/>
          <w:szCs w:val="24"/>
        </w:rPr>
        <w:t xml:space="preserve">: If awarded, successful applicants will have a separate, standalone </w:t>
      </w:r>
      <w:r w:rsidR="6EA11B65" w:rsidRPr="00BD7C3A">
        <w:rPr>
          <w:rFonts w:ascii="Arial" w:hAnsi="Arial" w:cs="Arial"/>
          <w:sz w:val="24"/>
          <w:szCs w:val="24"/>
        </w:rPr>
        <w:t xml:space="preserve">grant </w:t>
      </w:r>
      <w:r w:rsidRPr="00BD7C3A">
        <w:rPr>
          <w:rFonts w:ascii="Arial" w:hAnsi="Arial" w:cs="Arial"/>
          <w:sz w:val="24"/>
          <w:szCs w:val="24"/>
        </w:rPr>
        <w:t xml:space="preserve">agreement with the </w:t>
      </w:r>
      <w:r w:rsidR="3E301C4F" w:rsidRPr="00BD7C3A">
        <w:rPr>
          <w:rFonts w:ascii="Arial" w:hAnsi="Arial" w:cs="Arial"/>
          <w:sz w:val="24"/>
          <w:szCs w:val="24"/>
        </w:rPr>
        <w:t>CEC</w:t>
      </w:r>
      <w:r w:rsidRPr="00BD7C3A">
        <w:rPr>
          <w:rFonts w:ascii="Arial" w:hAnsi="Arial" w:cs="Arial"/>
          <w:sz w:val="24"/>
          <w:szCs w:val="24"/>
        </w:rPr>
        <w:t xml:space="preserve">. </w:t>
      </w:r>
      <w:r w:rsidR="3E301C4F" w:rsidRPr="00BD7C3A">
        <w:rPr>
          <w:rFonts w:ascii="Arial" w:hAnsi="Arial" w:cs="Arial"/>
          <w:sz w:val="24"/>
          <w:szCs w:val="24"/>
        </w:rPr>
        <w:t>However,</w:t>
      </w:r>
      <w:r w:rsidR="5528A3B3" w:rsidRPr="00BD7C3A">
        <w:rPr>
          <w:rFonts w:ascii="Arial" w:hAnsi="Arial" w:cs="Arial"/>
          <w:sz w:val="24"/>
          <w:szCs w:val="24"/>
        </w:rPr>
        <w:t xml:space="preserve"> </w:t>
      </w:r>
      <w:r w:rsidR="6305D33F" w:rsidRPr="00BD7C3A">
        <w:rPr>
          <w:rFonts w:ascii="Arial" w:hAnsi="Arial" w:cs="Arial"/>
          <w:sz w:val="24"/>
          <w:szCs w:val="24"/>
        </w:rPr>
        <w:t>Category 2</w:t>
      </w:r>
      <w:r w:rsidRPr="00BD7C3A">
        <w:rPr>
          <w:rFonts w:ascii="Arial" w:hAnsi="Arial" w:cs="Arial"/>
          <w:sz w:val="24"/>
          <w:szCs w:val="24"/>
        </w:rPr>
        <w:t xml:space="preserve"> </w:t>
      </w:r>
      <w:r w:rsidR="568AEFDE" w:rsidRPr="00BD7C3A">
        <w:rPr>
          <w:rFonts w:ascii="Arial" w:hAnsi="Arial" w:cs="Arial"/>
          <w:sz w:val="24"/>
          <w:szCs w:val="24"/>
        </w:rPr>
        <w:t>applicant</w:t>
      </w:r>
      <w:r w:rsidR="30D39FD1" w:rsidRPr="00BD7C3A">
        <w:rPr>
          <w:rFonts w:ascii="Arial" w:hAnsi="Arial" w:cs="Arial"/>
          <w:sz w:val="24"/>
          <w:szCs w:val="24"/>
        </w:rPr>
        <w:t>s</w:t>
      </w:r>
      <w:r w:rsidRPr="00BD7C3A">
        <w:rPr>
          <w:rFonts w:ascii="Arial" w:hAnsi="Arial" w:cs="Arial"/>
          <w:sz w:val="24"/>
          <w:szCs w:val="24"/>
        </w:rPr>
        <w:t xml:space="preserve"> </w:t>
      </w:r>
      <w:r w:rsidR="337FC372" w:rsidRPr="00BD7C3A">
        <w:rPr>
          <w:rFonts w:ascii="Arial" w:hAnsi="Arial" w:cs="Arial"/>
          <w:sz w:val="24"/>
          <w:szCs w:val="24"/>
        </w:rPr>
        <w:t>are</w:t>
      </w:r>
      <w:r w:rsidRPr="00BD7C3A">
        <w:rPr>
          <w:rFonts w:ascii="Arial" w:hAnsi="Arial" w:cs="Arial"/>
          <w:sz w:val="24"/>
          <w:szCs w:val="24"/>
        </w:rPr>
        <w:t xml:space="preserve"> required to </w:t>
      </w:r>
      <w:r w:rsidR="3513860B" w:rsidRPr="00BD7C3A">
        <w:rPr>
          <w:rFonts w:ascii="Arial" w:hAnsi="Arial" w:cs="Arial"/>
          <w:sz w:val="24"/>
          <w:szCs w:val="24"/>
        </w:rPr>
        <w:t xml:space="preserve">be in contract, or be a subcontractor under an existing contract, with the military with authority to install EV chargers.  Category 2 applicants must </w:t>
      </w:r>
      <w:r w:rsidRPr="00BD7C3A">
        <w:rPr>
          <w:rFonts w:ascii="Arial" w:hAnsi="Arial" w:cs="Arial"/>
          <w:sz w:val="24"/>
          <w:szCs w:val="24"/>
        </w:rPr>
        <w:t>submit their existing military contract</w:t>
      </w:r>
      <w:r w:rsidR="0EF99A09" w:rsidRPr="00BD7C3A">
        <w:rPr>
          <w:rFonts w:ascii="Arial" w:hAnsi="Arial" w:cs="Arial"/>
          <w:sz w:val="24"/>
          <w:szCs w:val="24"/>
        </w:rPr>
        <w:t>(</w:t>
      </w:r>
      <w:r w:rsidRPr="00BD7C3A">
        <w:rPr>
          <w:rFonts w:ascii="Arial" w:hAnsi="Arial" w:cs="Arial"/>
          <w:sz w:val="24"/>
          <w:szCs w:val="24"/>
        </w:rPr>
        <w:t>s</w:t>
      </w:r>
      <w:r w:rsidR="2191D9CD" w:rsidRPr="00BD7C3A">
        <w:rPr>
          <w:rFonts w:ascii="Arial" w:hAnsi="Arial" w:cs="Arial"/>
          <w:sz w:val="24"/>
          <w:szCs w:val="24"/>
        </w:rPr>
        <w:t>)</w:t>
      </w:r>
      <w:r w:rsidRPr="00BD7C3A">
        <w:rPr>
          <w:rFonts w:ascii="Arial" w:hAnsi="Arial" w:cs="Arial"/>
          <w:sz w:val="24"/>
          <w:szCs w:val="24"/>
        </w:rPr>
        <w:t xml:space="preserve"> using Attachment 14 as a part of their application package. Please refer to Section III.D. Application Content, for additional detail</w:t>
      </w:r>
      <w:r w:rsidR="148741E8" w:rsidRPr="00BD7C3A">
        <w:rPr>
          <w:rFonts w:ascii="Arial" w:hAnsi="Arial" w:cs="Arial"/>
          <w:sz w:val="24"/>
          <w:szCs w:val="24"/>
        </w:rPr>
        <w:t>s</w:t>
      </w:r>
      <w:r w:rsidRPr="00BD7C3A">
        <w:rPr>
          <w:rFonts w:ascii="Arial" w:hAnsi="Arial" w:cs="Arial"/>
          <w:sz w:val="24"/>
          <w:szCs w:val="24"/>
        </w:rPr>
        <w:t>. (pages 21-26).</w:t>
      </w:r>
    </w:p>
    <w:p w14:paraId="2B3D01CD" w14:textId="63C297A1" w:rsidR="005B2F10" w:rsidRPr="00BD7C3A" w:rsidRDefault="3B7796AC" w:rsidP="005B2F10">
      <w:pPr>
        <w:rPr>
          <w:rFonts w:ascii="Arial" w:hAnsi="Arial" w:cs="Arial"/>
          <w:b/>
          <w:bCs/>
          <w:sz w:val="24"/>
          <w:szCs w:val="24"/>
        </w:rPr>
      </w:pPr>
      <w:r w:rsidRPr="00BD7C3A">
        <w:rPr>
          <w:rFonts w:ascii="Arial" w:hAnsi="Arial" w:cs="Arial"/>
          <w:b/>
          <w:bCs/>
          <w:sz w:val="24"/>
          <w:szCs w:val="24"/>
        </w:rPr>
        <w:t>Q</w:t>
      </w:r>
      <w:r w:rsidR="001B6724">
        <w:rPr>
          <w:rFonts w:ascii="Arial" w:hAnsi="Arial" w:cs="Arial"/>
          <w:b/>
          <w:bCs/>
          <w:sz w:val="24"/>
          <w:szCs w:val="24"/>
        </w:rPr>
        <w:t>6</w:t>
      </w:r>
      <w:r w:rsidRPr="00BD7C3A">
        <w:rPr>
          <w:rFonts w:ascii="Arial" w:hAnsi="Arial" w:cs="Arial"/>
          <w:b/>
          <w:bCs/>
          <w:sz w:val="24"/>
          <w:szCs w:val="24"/>
        </w:rPr>
        <w:t xml:space="preserve">: Who do we contact at the </w:t>
      </w:r>
      <w:r w:rsidR="62ACC630" w:rsidRPr="00BD7C3A">
        <w:rPr>
          <w:rFonts w:ascii="Arial" w:hAnsi="Arial" w:cs="Arial"/>
          <w:b/>
          <w:bCs/>
          <w:sz w:val="24"/>
          <w:szCs w:val="24"/>
        </w:rPr>
        <w:t>f</w:t>
      </w:r>
      <w:r w:rsidRPr="00BD7C3A">
        <w:rPr>
          <w:rFonts w:ascii="Arial" w:hAnsi="Arial" w:cs="Arial"/>
          <w:b/>
          <w:bCs/>
          <w:sz w:val="24"/>
          <w:szCs w:val="24"/>
        </w:rPr>
        <w:t xml:space="preserve">ederal government to create a charger </w:t>
      </w:r>
      <w:r w:rsidR="5BD47F83" w:rsidRPr="00BD7C3A">
        <w:rPr>
          <w:rFonts w:ascii="Arial" w:hAnsi="Arial" w:cs="Arial"/>
          <w:b/>
          <w:bCs/>
          <w:sz w:val="24"/>
          <w:szCs w:val="24"/>
        </w:rPr>
        <w:t>a</w:t>
      </w:r>
      <w:r w:rsidRPr="00BD7C3A">
        <w:rPr>
          <w:rFonts w:ascii="Arial" w:hAnsi="Arial" w:cs="Arial"/>
          <w:b/>
          <w:bCs/>
          <w:sz w:val="24"/>
          <w:szCs w:val="24"/>
        </w:rPr>
        <w:t>greement we can use to be eligible for the 100% grant category?</w:t>
      </w:r>
    </w:p>
    <w:p w14:paraId="6F112E5C" w14:textId="1E2C438E" w:rsidR="005B2F10" w:rsidRPr="00BD7C3A" w:rsidRDefault="3B7796AC" w:rsidP="00DC3234">
      <w:pPr>
        <w:tabs>
          <w:tab w:val="left" w:pos="270"/>
          <w:tab w:val="left" w:pos="360"/>
        </w:tabs>
        <w:spacing w:after="0"/>
        <w:ind w:left="270"/>
        <w:rPr>
          <w:rFonts w:ascii="Arial" w:hAnsi="Arial" w:cs="Arial"/>
          <w:sz w:val="24"/>
          <w:szCs w:val="24"/>
        </w:rPr>
      </w:pPr>
      <w:r w:rsidRPr="00BD7C3A">
        <w:rPr>
          <w:rFonts w:ascii="Arial" w:hAnsi="Arial" w:cs="Arial"/>
          <w:sz w:val="24"/>
          <w:szCs w:val="24"/>
        </w:rPr>
        <w:t>A</w:t>
      </w:r>
      <w:r w:rsidR="001B6724">
        <w:rPr>
          <w:rFonts w:ascii="Arial" w:hAnsi="Arial" w:cs="Arial"/>
          <w:sz w:val="24"/>
          <w:szCs w:val="24"/>
        </w:rPr>
        <w:t>6</w:t>
      </w:r>
      <w:r w:rsidRPr="00BD7C3A">
        <w:rPr>
          <w:rFonts w:ascii="Arial" w:hAnsi="Arial" w:cs="Arial"/>
          <w:sz w:val="24"/>
          <w:szCs w:val="24"/>
        </w:rPr>
        <w:t>: Applicants must have an existing agreement in place with the federal government at the time of application submittal. Please refer to</w:t>
      </w:r>
      <w:r w:rsidRPr="006C7B81">
        <w:rPr>
          <w:rFonts w:ascii="Arial" w:hAnsi="Arial" w:cs="Arial"/>
          <w:color w:val="0000CC"/>
          <w:sz w:val="24"/>
          <w:szCs w:val="24"/>
        </w:rPr>
        <w:t xml:space="preserve"> </w:t>
      </w:r>
      <w:hyperlink r:id="rId13" w:history="1">
        <w:r w:rsidRPr="006C7B81">
          <w:rPr>
            <w:rStyle w:val="Hyperlink"/>
            <w:rFonts w:ascii="Arial" w:hAnsi="Arial" w:cs="Arial"/>
            <w:color w:val="0000CC"/>
            <w:sz w:val="24"/>
            <w:szCs w:val="24"/>
          </w:rPr>
          <w:t>https://www.grants.gov/search-grants?agencyCode=DOD*</w:t>
        </w:r>
      </w:hyperlink>
      <w:r w:rsidRPr="00BD7C3A">
        <w:rPr>
          <w:rFonts w:ascii="Arial" w:hAnsi="Arial" w:cs="Arial"/>
          <w:sz w:val="24"/>
          <w:szCs w:val="24"/>
        </w:rPr>
        <w:t xml:space="preserve"> for more information on potential opportunities</w:t>
      </w:r>
      <w:r w:rsidR="3CBFD370" w:rsidRPr="00BD7C3A">
        <w:rPr>
          <w:rFonts w:ascii="Arial" w:hAnsi="Arial" w:cs="Arial"/>
          <w:sz w:val="24"/>
          <w:szCs w:val="24"/>
        </w:rPr>
        <w:t>.</w:t>
      </w:r>
      <w:r w:rsidRPr="00BD7C3A">
        <w:rPr>
          <w:rFonts w:ascii="Arial" w:hAnsi="Arial" w:cs="Arial"/>
          <w:sz w:val="24"/>
          <w:szCs w:val="24"/>
        </w:rPr>
        <w:t xml:space="preserve">   </w:t>
      </w:r>
    </w:p>
    <w:p w14:paraId="6B5EC3AE" w14:textId="77777777" w:rsidR="005B2F10" w:rsidRPr="00BD7C3A" w:rsidRDefault="005B2F10" w:rsidP="00DC3234">
      <w:pPr>
        <w:spacing w:after="0"/>
        <w:rPr>
          <w:rFonts w:ascii="Arial" w:hAnsi="Arial" w:cs="Arial"/>
          <w:b/>
          <w:bCs/>
          <w:sz w:val="24"/>
          <w:szCs w:val="24"/>
          <w:u w:val="single"/>
        </w:rPr>
      </w:pPr>
    </w:p>
    <w:p w14:paraId="6E71A314" w14:textId="50412ABB" w:rsidR="005B2F10" w:rsidRPr="00BD7C3A" w:rsidRDefault="005B2F10" w:rsidP="004A4E09">
      <w:pPr>
        <w:spacing w:before="120" w:line="240" w:lineRule="auto"/>
        <w:rPr>
          <w:rFonts w:ascii="Arial" w:hAnsi="Arial" w:cs="Arial"/>
          <w:b/>
          <w:bCs/>
          <w:sz w:val="24"/>
          <w:szCs w:val="24"/>
          <w:u w:val="single"/>
        </w:rPr>
      </w:pPr>
      <w:r w:rsidRPr="00BD7C3A">
        <w:rPr>
          <w:rFonts w:ascii="Arial" w:hAnsi="Arial" w:cs="Arial"/>
          <w:b/>
          <w:bCs/>
          <w:sz w:val="24"/>
          <w:szCs w:val="24"/>
          <w:u w:val="single"/>
        </w:rPr>
        <w:t>Eligibility</w:t>
      </w:r>
    </w:p>
    <w:p w14:paraId="6CC1982C" w14:textId="6DE3E38F" w:rsidR="005B2F10" w:rsidRPr="00BD7C3A" w:rsidRDefault="6426DB84" w:rsidP="005B2F10">
      <w:pPr>
        <w:rPr>
          <w:rFonts w:ascii="Arial" w:hAnsi="Arial" w:cs="Arial"/>
          <w:b/>
          <w:bCs/>
          <w:sz w:val="24"/>
          <w:szCs w:val="24"/>
        </w:rPr>
      </w:pPr>
      <w:r w:rsidRPr="00BD7C3A">
        <w:rPr>
          <w:rFonts w:ascii="Arial" w:hAnsi="Arial" w:cs="Arial"/>
          <w:b/>
          <w:bCs/>
          <w:sz w:val="24"/>
          <w:szCs w:val="24"/>
        </w:rPr>
        <w:t>Q</w:t>
      </w:r>
      <w:r w:rsidR="00DC3234">
        <w:rPr>
          <w:rFonts w:ascii="Arial" w:hAnsi="Arial" w:cs="Arial"/>
          <w:b/>
          <w:bCs/>
          <w:sz w:val="24"/>
          <w:szCs w:val="24"/>
        </w:rPr>
        <w:t>7</w:t>
      </w:r>
      <w:r w:rsidRPr="00BD7C3A">
        <w:rPr>
          <w:rFonts w:ascii="Arial" w:hAnsi="Arial" w:cs="Arial"/>
          <w:b/>
          <w:bCs/>
          <w:sz w:val="24"/>
          <w:szCs w:val="24"/>
        </w:rPr>
        <w:t>: The location of our proposed solar project is very close to a Military area.  We want to apply for the 100% grant opportunity not the 50% grant opportunity.</w:t>
      </w:r>
    </w:p>
    <w:p w14:paraId="06DE71E5" w14:textId="4777DB62" w:rsidR="005B2F10" w:rsidRPr="00BD7C3A" w:rsidRDefault="6426DB84" w:rsidP="24FFEE94">
      <w:pPr>
        <w:tabs>
          <w:tab w:val="left" w:pos="270"/>
          <w:tab w:val="left" w:pos="360"/>
        </w:tabs>
        <w:ind w:left="270"/>
        <w:rPr>
          <w:rFonts w:ascii="Arial" w:hAnsi="Arial" w:cs="Arial"/>
          <w:sz w:val="24"/>
          <w:szCs w:val="24"/>
        </w:rPr>
      </w:pPr>
      <w:r w:rsidRPr="00BD7C3A">
        <w:rPr>
          <w:rFonts w:ascii="Arial" w:hAnsi="Arial" w:cs="Arial"/>
          <w:sz w:val="24"/>
          <w:szCs w:val="24"/>
        </w:rPr>
        <w:t>A</w:t>
      </w:r>
      <w:r w:rsidR="00DC3234">
        <w:rPr>
          <w:rFonts w:ascii="Arial" w:hAnsi="Arial" w:cs="Arial"/>
          <w:sz w:val="24"/>
          <w:szCs w:val="24"/>
        </w:rPr>
        <w:t>7</w:t>
      </w:r>
      <w:r w:rsidRPr="00BD7C3A">
        <w:rPr>
          <w:rFonts w:ascii="Arial" w:hAnsi="Arial" w:cs="Arial"/>
          <w:sz w:val="24"/>
          <w:szCs w:val="24"/>
        </w:rPr>
        <w:t>: To be eligible under Category 2 for 100% of reimbursable costs, a private entity must have an existing contract</w:t>
      </w:r>
      <w:r w:rsidR="3B8800BA" w:rsidRPr="00BD7C3A">
        <w:rPr>
          <w:rFonts w:ascii="Arial" w:hAnsi="Arial" w:cs="Arial"/>
          <w:sz w:val="24"/>
          <w:szCs w:val="24"/>
        </w:rPr>
        <w:t>, or be a subcontractor under an existing contract,</w:t>
      </w:r>
      <w:r w:rsidRPr="00BD7C3A">
        <w:rPr>
          <w:rFonts w:ascii="Arial" w:hAnsi="Arial" w:cs="Arial"/>
          <w:sz w:val="24"/>
          <w:szCs w:val="24"/>
        </w:rPr>
        <w:t xml:space="preserve"> with the military</w:t>
      </w:r>
      <w:r w:rsidR="11E51F20" w:rsidRPr="00BD7C3A">
        <w:rPr>
          <w:rFonts w:ascii="Arial" w:hAnsi="Arial" w:cs="Arial"/>
          <w:sz w:val="24"/>
          <w:szCs w:val="24"/>
        </w:rPr>
        <w:t xml:space="preserve"> </w:t>
      </w:r>
      <w:r w:rsidRPr="00BD7C3A">
        <w:rPr>
          <w:rFonts w:ascii="Arial" w:hAnsi="Arial" w:cs="Arial"/>
          <w:sz w:val="24"/>
          <w:szCs w:val="24"/>
        </w:rPr>
        <w:t>/ federal government to install EV chargers at military bases or</w:t>
      </w:r>
      <w:r w:rsidR="0B92A7A9" w:rsidRPr="00BD7C3A">
        <w:rPr>
          <w:rFonts w:ascii="Arial" w:hAnsi="Arial" w:cs="Arial"/>
          <w:sz w:val="24"/>
          <w:szCs w:val="24"/>
        </w:rPr>
        <w:t xml:space="preserve"> existing </w:t>
      </w:r>
      <w:r w:rsidRPr="00BD7C3A">
        <w:rPr>
          <w:rFonts w:ascii="Arial" w:hAnsi="Arial" w:cs="Arial"/>
          <w:sz w:val="24"/>
          <w:szCs w:val="24"/>
        </w:rPr>
        <w:t xml:space="preserve">military facilities </w:t>
      </w:r>
      <w:r w:rsidR="1DA0209B" w:rsidRPr="00BD7C3A">
        <w:rPr>
          <w:rFonts w:ascii="Arial" w:hAnsi="Arial" w:cs="Arial"/>
          <w:sz w:val="24"/>
          <w:szCs w:val="24"/>
        </w:rPr>
        <w:t xml:space="preserve">off-base and owned by the military </w:t>
      </w:r>
      <w:r w:rsidR="7686BD7F" w:rsidRPr="00BD7C3A">
        <w:rPr>
          <w:rFonts w:ascii="Arial" w:hAnsi="Arial" w:cs="Arial"/>
          <w:sz w:val="24"/>
          <w:szCs w:val="24"/>
        </w:rPr>
        <w:t>with</w:t>
      </w:r>
      <w:r w:rsidR="0B528391" w:rsidRPr="00BD7C3A">
        <w:rPr>
          <w:rFonts w:ascii="Arial" w:hAnsi="Arial" w:cs="Arial"/>
          <w:sz w:val="24"/>
          <w:szCs w:val="24"/>
        </w:rPr>
        <w:t xml:space="preserve"> the </w:t>
      </w:r>
      <w:r w:rsidR="0235C3B8" w:rsidRPr="00BD7C3A">
        <w:rPr>
          <w:rFonts w:ascii="Arial" w:hAnsi="Arial" w:cs="Arial"/>
          <w:sz w:val="24"/>
          <w:szCs w:val="24"/>
        </w:rPr>
        <w:t>m</w:t>
      </w:r>
      <w:r w:rsidR="0B528391" w:rsidRPr="00BD7C3A">
        <w:rPr>
          <w:rFonts w:ascii="Arial" w:hAnsi="Arial" w:cs="Arial"/>
          <w:sz w:val="24"/>
          <w:szCs w:val="24"/>
        </w:rPr>
        <w:t>ilitary base applying for funding</w:t>
      </w:r>
      <w:r w:rsidR="7F1BA983" w:rsidRPr="00BD7C3A">
        <w:rPr>
          <w:rFonts w:ascii="Arial" w:hAnsi="Arial" w:cs="Arial"/>
          <w:sz w:val="24"/>
          <w:szCs w:val="24"/>
        </w:rPr>
        <w:t xml:space="preserve"> </w:t>
      </w:r>
      <w:r w:rsidRPr="00BD7C3A">
        <w:rPr>
          <w:rFonts w:ascii="Arial" w:hAnsi="Arial" w:cs="Arial"/>
          <w:sz w:val="24"/>
          <w:szCs w:val="24"/>
        </w:rPr>
        <w:t xml:space="preserve">in California. </w:t>
      </w:r>
      <w:r w:rsidR="71E1ACF2" w:rsidRPr="00BD7C3A">
        <w:rPr>
          <w:rFonts w:ascii="Arial" w:hAnsi="Arial" w:cs="Arial"/>
          <w:sz w:val="24"/>
          <w:szCs w:val="24"/>
        </w:rPr>
        <w:t>Projects</w:t>
      </w:r>
      <w:r w:rsidR="7147F298" w:rsidRPr="00BD7C3A">
        <w:rPr>
          <w:rFonts w:ascii="Arial" w:hAnsi="Arial" w:cs="Arial"/>
          <w:sz w:val="24"/>
          <w:szCs w:val="24"/>
        </w:rPr>
        <w:t xml:space="preserve"> installed at </w:t>
      </w:r>
      <w:r w:rsidR="71E1ACF2" w:rsidRPr="00BD7C3A">
        <w:rPr>
          <w:rFonts w:ascii="Arial" w:hAnsi="Arial" w:cs="Arial"/>
          <w:sz w:val="24"/>
          <w:szCs w:val="24"/>
        </w:rPr>
        <w:t xml:space="preserve">existing </w:t>
      </w:r>
      <w:r w:rsidR="7147F298" w:rsidRPr="00BD7C3A">
        <w:rPr>
          <w:rFonts w:ascii="Arial" w:hAnsi="Arial" w:cs="Arial"/>
          <w:sz w:val="24"/>
          <w:szCs w:val="24"/>
        </w:rPr>
        <w:t>off</w:t>
      </w:r>
      <w:r w:rsidR="71E1ACF2" w:rsidRPr="00BD7C3A">
        <w:rPr>
          <w:rFonts w:ascii="Arial" w:hAnsi="Arial" w:cs="Arial"/>
          <w:sz w:val="24"/>
          <w:szCs w:val="24"/>
        </w:rPr>
        <w:t>-base military facilities are allowable</w:t>
      </w:r>
      <w:r w:rsidR="7BF02845" w:rsidRPr="00BD7C3A">
        <w:rPr>
          <w:rFonts w:ascii="Arial" w:hAnsi="Arial" w:cs="Arial"/>
          <w:sz w:val="24"/>
          <w:szCs w:val="24"/>
        </w:rPr>
        <w:t>;</w:t>
      </w:r>
      <w:r w:rsidR="71E1ACF2" w:rsidRPr="00BD7C3A">
        <w:rPr>
          <w:rFonts w:ascii="Arial" w:hAnsi="Arial" w:cs="Arial"/>
          <w:sz w:val="24"/>
          <w:szCs w:val="24"/>
        </w:rPr>
        <w:t xml:space="preserve"> projects </w:t>
      </w:r>
      <w:r w:rsidR="7BF02845" w:rsidRPr="00BD7C3A">
        <w:rPr>
          <w:rFonts w:ascii="Arial" w:hAnsi="Arial" w:cs="Arial"/>
          <w:sz w:val="24"/>
          <w:szCs w:val="24"/>
        </w:rPr>
        <w:t xml:space="preserve">close to a military area but not on base or located at off-base military facilities are not. Solar projects that </w:t>
      </w:r>
      <w:r w:rsidR="7C0406D0" w:rsidRPr="00BD7C3A">
        <w:rPr>
          <w:rFonts w:ascii="Arial" w:hAnsi="Arial" w:cs="Arial"/>
          <w:sz w:val="24"/>
          <w:szCs w:val="24"/>
        </w:rPr>
        <w:t xml:space="preserve">do not install EV charging are not </w:t>
      </w:r>
      <w:r w:rsidR="7C0406D0" w:rsidRPr="00BD7C3A">
        <w:rPr>
          <w:rFonts w:ascii="Arial" w:hAnsi="Arial" w:cs="Arial"/>
          <w:sz w:val="24"/>
          <w:szCs w:val="24"/>
        </w:rPr>
        <w:lastRenderedPageBreak/>
        <w:t xml:space="preserve">allowed. </w:t>
      </w:r>
      <w:r w:rsidRPr="00BD7C3A">
        <w:rPr>
          <w:rFonts w:ascii="Arial" w:hAnsi="Arial" w:cs="Arial"/>
          <w:sz w:val="24"/>
          <w:szCs w:val="24"/>
        </w:rPr>
        <w:t xml:space="preserve">Please </w:t>
      </w:r>
      <w:r w:rsidR="7F506624" w:rsidRPr="00BD7C3A">
        <w:rPr>
          <w:rFonts w:ascii="Arial" w:hAnsi="Arial" w:cs="Arial"/>
          <w:sz w:val="24"/>
          <w:szCs w:val="24"/>
        </w:rPr>
        <w:t xml:space="preserve">also </w:t>
      </w:r>
      <w:r w:rsidRPr="00BD7C3A">
        <w:rPr>
          <w:rFonts w:ascii="Arial" w:hAnsi="Arial" w:cs="Arial"/>
          <w:sz w:val="24"/>
          <w:szCs w:val="24"/>
        </w:rPr>
        <w:t>refer to</w:t>
      </w:r>
      <w:r w:rsidR="7A37D631" w:rsidRPr="00BD7C3A">
        <w:rPr>
          <w:rFonts w:ascii="Arial" w:hAnsi="Arial" w:cs="Arial"/>
          <w:sz w:val="24"/>
          <w:szCs w:val="24"/>
        </w:rPr>
        <w:t xml:space="preserve"> Addendum 1 and</w:t>
      </w:r>
      <w:r w:rsidRPr="00BD7C3A">
        <w:rPr>
          <w:rFonts w:ascii="Arial" w:hAnsi="Arial" w:cs="Arial"/>
          <w:sz w:val="24"/>
          <w:szCs w:val="24"/>
        </w:rPr>
        <w:t xml:space="preserve"> Sectio</w:t>
      </w:r>
      <w:r w:rsidR="596B70A7" w:rsidRPr="00BD7C3A">
        <w:rPr>
          <w:rFonts w:ascii="Arial" w:hAnsi="Arial" w:cs="Arial"/>
          <w:sz w:val="24"/>
          <w:szCs w:val="24"/>
        </w:rPr>
        <w:t>n</w:t>
      </w:r>
      <w:r w:rsidRPr="00BD7C3A">
        <w:rPr>
          <w:rFonts w:ascii="Arial" w:hAnsi="Arial" w:cs="Arial"/>
          <w:sz w:val="24"/>
          <w:szCs w:val="24"/>
        </w:rPr>
        <w:t xml:space="preserve"> II.B.1, Project Requirements, for additional detail</w:t>
      </w:r>
      <w:r w:rsidR="02A23802" w:rsidRPr="00BD7C3A">
        <w:rPr>
          <w:rFonts w:ascii="Arial" w:hAnsi="Arial" w:cs="Arial"/>
          <w:sz w:val="24"/>
          <w:szCs w:val="24"/>
        </w:rPr>
        <w:t>s</w:t>
      </w:r>
      <w:r w:rsidRPr="00BD7C3A">
        <w:rPr>
          <w:rFonts w:ascii="Arial" w:hAnsi="Arial" w:cs="Arial"/>
          <w:sz w:val="24"/>
          <w:szCs w:val="24"/>
        </w:rPr>
        <w:t xml:space="preserve"> on project requirements. (pages 9-10). </w:t>
      </w:r>
    </w:p>
    <w:p w14:paraId="36181071" w14:textId="731A0131" w:rsidR="005B2F10" w:rsidRPr="00BD7C3A" w:rsidRDefault="005B2F10" w:rsidP="005B2F10">
      <w:pPr>
        <w:tabs>
          <w:tab w:val="left" w:pos="360"/>
        </w:tabs>
        <w:rPr>
          <w:rFonts w:ascii="Arial" w:hAnsi="Arial" w:cs="Arial"/>
          <w:b/>
          <w:bCs/>
          <w:sz w:val="24"/>
          <w:szCs w:val="24"/>
        </w:rPr>
      </w:pPr>
      <w:r w:rsidRPr="00BD7C3A">
        <w:rPr>
          <w:rFonts w:ascii="Arial" w:hAnsi="Arial" w:cs="Arial"/>
          <w:b/>
          <w:bCs/>
          <w:sz w:val="24"/>
          <w:szCs w:val="24"/>
        </w:rPr>
        <w:t>Q</w:t>
      </w:r>
      <w:r w:rsidR="00DC3234">
        <w:rPr>
          <w:rFonts w:ascii="Arial" w:hAnsi="Arial" w:cs="Arial"/>
          <w:b/>
          <w:bCs/>
          <w:sz w:val="24"/>
          <w:szCs w:val="24"/>
        </w:rPr>
        <w:t>8</w:t>
      </w:r>
      <w:r w:rsidRPr="00BD7C3A">
        <w:rPr>
          <w:rFonts w:ascii="Arial" w:hAnsi="Arial" w:cs="Arial"/>
          <w:b/>
          <w:bCs/>
          <w:sz w:val="24"/>
          <w:szCs w:val="24"/>
        </w:rPr>
        <w:t>: Is charger warranty an eligible cost? Is charger extended warranty an eligible cost?</w:t>
      </w:r>
    </w:p>
    <w:p w14:paraId="17630331" w14:textId="2B343C71" w:rsidR="005B2F10"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8</w:t>
      </w:r>
      <w:r w:rsidRPr="00BD7C3A">
        <w:rPr>
          <w:rFonts w:ascii="Arial" w:hAnsi="Arial" w:cs="Arial"/>
          <w:sz w:val="24"/>
          <w:szCs w:val="24"/>
        </w:rPr>
        <w:t xml:space="preserve">: </w:t>
      </w:r>
      <w:r w:rsidR="69B7B71F" w:rsidRPr="00BD7C3A">
        <w:rPr>
          <w:rFonts w:ascii="Arial" w:hAnsi="Arial" w:cs="Arial"/>
          <w:sz w:val="24"/>
          <w:szCs w:val="24"/>
        </w:rPr>
        <w:t xml:space="preserve">Charger warranties and extended warranties will not be considered </w:t>
      </w:r>
      <w:r w:rsidR="3684128E" w:rsidRPr="00BD7C3A">
        <w:rPr>
          <w:rFonts w:ascii="Arial" w:hAnsi="Arial" w:cs="Arial"/>
          <w:sz w:val="24"/>
          <w:szCs w:val="24"/>
        </w:rPr>
        <w:t xml:space="preserve">an eligible cost </w:t>
      </w:r>
      <w:r w:rsidR="476E1F6D" w:rsidRPr="00BD7C3A">
        <w:rPr>
          <w:rFonts w:ascii="Arial" w:hAnsi="Arial" w:cs="Arial"/>
          <w:sz w:val="24"/>
          <w:szCs w:val="24"/>
        </w:rPr>
        <w:t>for CEC funding</w:t>
      </w:r>
      <w:r w:rsidR="3684128E" w:rsidRPr="00BD7C3A">
        <w:rPr>
          <w:rFonts w:ascii="Arial" w:hAnsi="Arial" w:cs="Arial"/>
          <w:sz w:val="24"/>
          <w:szCs w:val="24"/>
        </w:rPr>
        <w:t xml:space="preserve"> under this </w:t>
      </w:r>
      <w:r w:rsidR="53617927" w:rsidRPr="00BD7C3A">
        <w:rPr>
          <w:rFonts w:ascii="Arial" w:hAnsi="Arial" w:cs="Arial"/>
          <w:sz w:val="24"/>
          <w:szCs w:val="24"/>
        </w:rPr>
        <w:t>solicitation</w:t>
      </w:r>
      <w:r w:rsidR="345C02CE" w:rsidRPr="00BD7C3A">
        <w:rPr>
          <w:rFonts w:ascii="Arial" w:hAnsi="Arial" w:cs="Arial"/>
          <w:sz w:val="24"/>
          <w:szCs w:val="24"/>
        </w:rPr>
        <w:t>.</w:t>
      </w:r>
      <w:r w:rsidR="52A084A1" w:rsidRPr="00BD7C3A">
        <w:rPr>
          <w:rFonts w:ascii="Arial" w:hAnsi="Arial" w:cs="Arial"/>
          <w:sz w:val="24"/>
          <w:szCs w:val="24"/>
        </w:rPr>
        <w:t xml:space="preserve"> </w:t>
      </w:r>
      <w:r w:rsidRPr="00BD7C3A">
        <w:rPr>
          <w:rFonts w:ascii="Arial" w:hAnsi="Arial" w:cs="Arial"/>
          <w:sz w:val="24"/>
          <w:szCs w:val="24"/>
        </w:rPr>
        <w:t xml:space="preserve"> CEC funding for this solicitation will primarily be directed to chargers and associated equipment and installation costs.  </w:t>
      </w:r>
      <w:r w:rsidR="38F5CA8A" w:rsidRPr="00BD7C3A">
        <w:rPr>
          <w:rFonts w:ascii="Arial" w:hAnsi="Arial" w:cs="Arial"/>
          <w:sz w:val="24"/>
          <w:szCs w:val="24"/>
        </w:rPr>
        <w:t>Please refer to Section</w:t>
      </w:r>
      <w:r w:rsidR="44095E8A" w:rsidRPr="00BD7C3A">
        <w:rPr>
          <w:rFonts w:ascii="Arial" w:hAnsi="Arial" w:cs="Arial"/>
          <w:sz w:val="24"/>
          <w:szCs w:val="24"/>
        </w:rPr>
        <w:t xml:space="preserve"> II.</w:t>
      </w:r>
      <w:r w:rsidR="6F48CD34" w:rsidRPr="00BD7C3A">
        <w:rPr>
          <w:rFonts w:ascii="Arial" w:hAnsi="Arial" w:cs="Arial"/>
          <w:sz w:val="24"/>
          <w:szCs w:val="24"/>
        </w:rPr>
        <w:t>B-C</w:t>
      </w:r>
      <w:r w:rsidR="44095E8A" w:rsidRPr="00BD7C3A">
        <w:rPr>
          <w:rFonts w:ascii="Arial" w:hAnsi="Arial" w:cs="Arial"/>
          <w:sz w:val="24"/>
          <w:szCs w:val="24"/>
        </w:rPr>
        <w:t xml:space="preserve">., </w:t>
      </w:r>
      <w:r w:rsidR="64B3AFFB" w:rsidRPr="00BD7C3A">
        <w:rPr>
          <w:rFonts w:ascii="Arial" w:hAnsi="Arial" w:cs="Arial"/>
          <w:sz w:val="24"/>
          <w:szCs w:val="24"/>
        </w:rPr>
        <w:t xml:space="preserve">Project Requirements and </w:t>
      </w:r>
      <w:r w:rsidR="44095E8A" w:rsidRPr="00BD7C3A">
        <w:rPr>
          <w:rFonts w:ascii="Arial" w:hAnsi="Arial" w:cs="Arial"/>
          <w:sz w:val="24"/>
          <w:szCs w:val="24"/>
        </w:rPr>
        <w:t xml:space="preserve">Match Funding Requirements, for more detail </w:t>
      </w:r>
      <w:r w:rsidR="64B3AFFB" w:rsidRPr="00BD7C3A">
        <w:rPr>
          <w:rFonts w:ascii="Arial" w:hAnsi="Arial" w:cs="Arial"/>
          <w:sz w:val="24"/>
          <w:szCs w:val="24"/>
        </w:rPr>
        <w:t>on eligible costs</w:t>
      </w:r>
      <w:r w:rsidR="47FC2501" w:rsidRPr="00BD7C3A">
        <w:rPr>
          <w:rFonts w:ascii="Arial" w:hAnsi="Arial" w:cs="Arial"/>
          <w:sz w:val="24"/>
          <w:szCs w:val="24"/>
        </w:rPr>
        <w:t xml:space="preserve"> (Pages 9-18)</w:t>
      </w:r>
      <w:r w:rsidR="64B3AFFB" w:rsidRPr="00BD7C3A">
        <w:rPr>
          <w:rFonts w:ascii="Arial" w:hAnsi="Arial" w:cs="Arial"/>
          <w:sz w:val="24"/>
          <w:szCs w:val="24"/>
        </w:rPr>
        <w:t>.</w:t>
      </w:r>
    </w:p>
    <w:p w14:paraId="7419D4BD" w14:textId="1CCCB0DF" w:rsidR="005B2F10" w:rsidRPr="00BD7C3A" w:rsidRDefault="3B7796AC" w:rsidP="005B2F10">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9</w:t>
      </w:r>
      <w:r w:rsidRPr="00BD7C3A">
        <w:rPr>
          <w:rFonts w:ascii="Arial" w:hAnsi="Arial" w:cs="Arial"/>
          <w:b/>
          <w:bCs/>
          <w:sz w:val="24"/>
          <w:szCs w:val="24"/>
        </w:rPr>
        <w:t xml:space="preserve">: Is the grant available to expand an existing project that is under construction at a </w:t>
      </w:r>
      <w:r w:rsidR="06CA1369" w:rsidRPr="00BD7C3A">
        <w:rPr>
          <w:rFonts w:ascii="Arial" w:hAnsi="Arial" w:cs="Arial"/>
          <w:b/>
          <w:bCs/>
          <w:sz w:val="24"/>
          <w:szCs w:val="24"/>
        </w:rPr>
        <w:t xml:space="preserve">Military </w:t>
      </w:r>
      <w:r w:rsidRPr="00BD7C3A">
        <w:rPr>
          <w:rFonts w:ascii="Arial" w:hAnsi="Arial" w:cs="Arial"/>
          <w:b/>
          <w:bCs/>
          <w:sz w:val="24"/>
          <w:szCs w:val="24"/>
        </w:rPr>
        <w:t>base? Or is this grant only for new projects?</w:t>
      </w:r>
    </w:p>
    <w:p w14:paraId="393E8490" w14:textId="5EEC1838" w:rsidR="005B2F10"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9</w:t>
      </w:r>
      <w:r w:rsidRPr="00BD7C3A">
        <w:rPr>
          <w:rFonts w:ascii="Arial" w:hAnsi="Arial" w:cs="Arial"/>
          <w:sz w:val="24"/>
          <w:szCs w:val="24"/>
        </w:rPr>
        <w:t xml:space="preserve">: </w:t>
      </w:r>
      <w:r w:rsidR="0259C006" w:rsidRPr="00BD7C3A">
        <w:rPr>
          <w:rFonts w:ascii="Arial" w:hAnsi="Arial" w:cs="Arial"/>
          <w:sz w:val="24"/>
          <w:szCs w:val="24"/>
        </w:rPr>
        <w:t>F</w:t>
      </w:r>
      <w:r w:rsidRPr="00BD7C3A">
        <w:rPr>
          <w:rFonts w:ascii="Arial" w:hAnsi="Arial" w:cs="Arial"/>
          <w:sz w:val="24"/>
          <w:szCs w:val="24"/>
        </w:rPr>
        <w:t>unding from this solicitation can be used to expand on existing projects so long as funding is used for eligible project costs for the installation of new chargers, charging equipment, charging installation costs, and operation and maintenance costs associated with the expansion. Please refer to Section II.B.</w:t>
      </w:r>
      <w:r w:rsidR="1F9AB81A" w:rsidRPr="00BD7C3A">
        <w:rPr>
          <w:rFonts w:ascii="Arial" w:hAnsi="Arial" w:cs="Arial"/>
          <w:sz w:val="24"/>
          <w:szCs w:val="24"/>
        </w:rPr>
        <w:t>, Project Requirements,</w:t>
      </w:r>
      <w:r w:rsidRPr="00BD7C3A">
        <w:rPr>
          <w:rFonts w:ascii="Arial" w:hAnsi="Arial" w:cs="Arial"/>
          <w:sz w:val="24"/>
          <w:szCs w:val="24"/>
        </w:rPr>
        <w:t xml:space="preserve"> for more information on these eligible costs </w:t>
      </w:r>
      <w:r w:rsidR="4C5DB128" w:rsidRPr="00BD7C3A">
        <w:rPr>
          <w:rFonts w:ascii="Arial" w:hAnsi="Arial" w:cs="Arial"/>
          <w:sz w:val="24"/>
          <w:szCs w:val="24"/>
        </w:rPr>
        <w:t>(Page 9).</w:t>
      </w:r>
    </w:p>
    <w:p w14:paraId="2E704A7A" w14:textId="4971EC86" w:rsidR="005B2F10" w:rsidRPr="00BD7C3A" w:rsidRDefault="3B7796AC" w:rsidP="005B2F10">
      <w:pPr>
        <w:tabs>
          <w:tab w:val="left" w:pos="270"/>
        </w:tabs>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10</w:t>
      </w:r>
      <w:r w:rsidRPr="00BD7C3A">
        <w:rPr>
          <w:rFonts w:ascii="Arial" w:hAnsi="Arial" w:cs="Arial"/>
          <w:b/>
          <w:bCs/>
          <w:sz w:val="24"/>
          <w:szCs w:val="24"/>
        </w:rPr>
        <w:t>: Will a L</w:t>
      </w:r>
      <w:r w:rsidR="325E95D3" w:rsidRPr="00BD7C3A">
        <w:rPr>
          <w:rFonts w:ascii="Arial" w:hAnsi="Arial" w:cs="Arial"/>
          <w:b/>
          <w:bCs/>
          <w:sz w:val="24"/>
          <w:szCs w:val="24"/>
        </w:rPr>
        <w:t xml:space="preserve">etter of Intent </w:t>
      </w:r>
      <w:r w:rsidRPr="00BD7C3A">
        <w:rPr>
          <w:rFonts w:ascii="Arial" w:hAnsi="Arial" w:cs="Arial"/>
          <w:b/>
          <w:bCs/>
          <w:sz w:val="24"/>
          <w:szCs w:val="24"/>
        </w:rPr>
        <w:t>with a U.S. federal agency be sufficient to meet the existing EV federal agreements requirement?</w:t>
      </w:r>
    </w:p>
    <w:p w14:paraId="24E5ECB5" w14:textId="46CD3403" w:rsidR="005B2F10" w:rsidRPr="00BD7C3A" w:rsidRDefault="6426DB84"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10</w:t>
      </w:r>
      <w:r w:rsidRPr="00BD7C3A">
        <w:rPr>
          <w:rFonts w:ascii="Arial" w:hAnsi="Arial" w:cs="Arial"/>
          <w:sz w:val="24"/>
          <w:szCs w:val="24"/>
        </w:rPr>
        <w:t>: Applicants should be in contract with the federal government</w:t>
      </w:r>
      <w:r w:rsidR="46753055" w:rsidRPr="00BD7C3A">
        <w:rPr>
          <w:rFonts w:ascii="Arial" w:hAnsi="Arial" w:cs="Arial"/>
          <w:sz w:val="24"/>
          <w:szCs w:val="24"/>
        </w:rPr>
        <w:t>, or be a subcontractor under an existing contract,</w:t>
      </w:r>
      <w:r w:rsidRPr="00BD7C3A">
        <w:rPr>
          <w:rFonts w:ascii="Arial" w:hAnsi="Arial" w:cs="Arial"/>
          <w:sz w:val="24"/>
          <w:szCs w:val="24"/>
        </w:rPr>
        <w:t xml:space="preserve"> at the time of application submission.</w:t>
      </w:r>
      <w:r w:rsidR="5B28ACA8" w:rsidRPr="00BD7C3A">
        <w:rPr>
          <w:rFonts w:ascii="Arial" w:hAnsi="Arial" w:cs="Arial"/>
          <w:sz w:val="24"/>
          <w:szCs w:val="24"/>
        </w:rPr>
        <w:t xml:space="preserve"> </w:t>
      </w:r>
      <w:r w:rsidR="6C87B647" w:rsidRPr="00BD7C3A">
        <w:rPr>
          <w:rFonts w:ascii="Arial" w:hAnsi="Arial" w:cs="Arial"/>
          <w:sz w:val="24"/>
          <w:szCs w:val="24"/>
        </w:rPr>
        <w:t>Please refer to Section II.A.1.</w:t>
      </w:r>
      <w:r w:rsidR="4BFEC612" w:rsidRPr="00BD7C3A">
        <w:rPr>
          <w:rFonts w:ascii="Arial" w:hAnsi="Arial" w:cs="Arial"/>
          <w:sz w:val="24"/>
          <w:szCs w:val="24"/>
        </w:rPr>
        <w:t>, Applicant Requirements,</w:t>
      </w:r>
      <w:r w:rsidR="6C87B647" w:rsidRPr="00BD7C3A">
        <w:rPr>
          <w:rFonts w:ascii="Arial" w:hAnsi="Arial" w:cs="Arial"/>
          <w:sz w:val="24"/>
          <w:szCs w:val="24"/>
        </w:rPr>
        <w:t xml:space="preserve"> for add</w:t>
      </w:r>
      <w:r w:rsidR="56906972" w:rsidRPr="00BD7C3A">
        <w:rPr>
          <w:rFonts w:ascii="Arial" w:hAnsi="Arial" w:cs="Arial"/>
          <w:sz w:val="24"/>
          <w:szCs w:val="24"/>
        </w:rPr>
        <w:t>itional detail on eligibility requirements.</w:t>
      </w:r>
    </w:p>
    <w:p w14:paraId="781E9076" w14:textId="3BEEE338"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11</w:t>
      </w:r>
      <w:r w:rsidRPr="00BD7C3A">
        <w:rPr>
          <w:rFonts w:ascii="Arial" w:hAnsi="Arial" w:cs="Arial"/>
          <w:b/>
          <w:bCs/>
          <w:sz w:val="24"/>
          <w:szCs w:val="24"/>
        </w:rPr>
        <w:t>: Are Level 1 chargers eligible?</w:t>
      </w:r>
    </w:p>
    <w:p w14:paraId="2609D2B6" w14:textId="4F82E011" w:rsidR="005B2F10" w:rsidRPr="00BD7C3A" w:rsidRDefault="3B7796AC" w:rsidP="7F2D17F3">
      <w:pPr>
        <w:tabs>
          <w:tab w:val="left" w:pos="270"/>
          <w:tab w:val="left" w:pos="360"/>
        </w:tabs>
        <w:ind w:left="270"/>
        <w:rPr>
          <w:rFonts w:ascii="Arial" w:hAnsi="Arial" w:cs="Arial"/>
          <w:b/>
          <w:bCs/>
          <w:sz w:val="24"/>
          <w:szCs w:val="24"/>
        </w:rPr>
      </w:pPr>
      <w:r w:rsidRPr="00BD7C3A">
        <w:rPr>
          <w:rFonts w:ascii="Arial" w:hAnsi="Arial" w:cs="Arial"/>
          <w:sz w:val="24"/>
          <w:szCs w:val="24"/>
        </w:rPr>
        <w:t>A</w:t>
      </w:r>
      <w:r w:rsidR="00D23EA3">
        <w:rPr>
          <w:rFonts w:ascii="Arial" w:hAnsi="Arial" w:cs="Arial"/>
          <w:sz w:val="24"/>
          <w:szCs w:val="24"/>
        </w:rPr>
        <w:t>11</w:t>
      </w:r>
      <w:r w:rsidRPr="00BD7C3A">
        <w:rPr>
          <w:rFonts w:ascii="Arial" w:hAnsi="Arial" w:cs="Arial"/>
          <w:sz w:val="24"/>
          <w:szCs w:val="24"/>
        </w:rPr>
        <w:t xml:space="preserve">: No, Level 1 chargers are not eligible under this solicitation. Only Level 2 and DC Fast Chargers are eligible under this agreement. </w:t>
      </w:r>
      <w:r w:rsidR="0A047B28" w:rsidRPr="00BD7C3A">
        <w:rPr>
          <w:rFonts w:ascii="Arial" w:hAnsi="Arial" w:cs="Arial"/>
          <w:sz w:val="24"/>
          <w:szCs w:val="24"/>
        </w:rPr>
        <w:t>Please refer to Section II.B.3. for more detail</w:t>
      </w:r>
      <w:r w:rsidR="78B05E69" w:rsidRPr="00BD7C3A">
        <w:rPr>
          <w:rFonts w:ascii="Arial" w:hAnsi="Arial" w:cs="Arial"/>
          <w:sz w:val="24"/>
          <w:szCs w:val="24"/>
        </w:rPr>
        <w:t xml:space="preserve"> on eligible chargers</w:t>
      </w:r>
      <w:r w:rsidR="0A047B28" w:rsidRPr="00BD7C3A">
        <w:rPr>
          <w:rFonts w:ascii="Arial" w:hAnsi="Arial" w:cs="Arial"/>
          <w:sz w:val="24"/>
          <w:szCs w:val="24"/>
        </w:rPr>
        <w:t xml:space="preserve"> (Page 10).</w:t>
      </w:r>
      <w:r w:rsidR="2ECA982C" w:rsidRPr="00BD7C3A">
        <w:rPr>
          <w:rFonts w:ascii="Arial" w:hAnsi="Arial" w:cs="Arial"/>
          <w:sz w:val="24"/>
          <w:szCs w:val="24"/>
        </w:rPr>
        <w:t xml:space="preserve"> </w:t>
      </w:r>
      <w:r w:rsidR="259C1A98" w:rsidRPr="00BD7C3A">
        <w:rPr>
          <w:rFonts w:ascii="Arial" w:hAnsi="Arial" w:cs="Arial"/>
          <w:sz w:val="24"/>
          <w:szCs w:val="24"/>
        </w:rPr>
        <w:t>A</w:t>
      </w:r>
    </w:p>
    <w:p w14:paraId="01B7CE96" w14:textId="7AE2449A" w:rsidR="005B2F10" w:rsidRPr="00BD7C3A" w:rsidRDefault="3B7796AC" w:rsidP="7F2D17F3">
      <w:pPr>
        <w:tabs>
          <w:tab w:val="left" w:pos="270"/>
          <w:tab w:val="left" w:pos="360"/>
        </w:tabs>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12</w:t>
      </w:r>
      <w:r w:rsidRPr="00BD7C3A">
        <w:rPr>
          <w:rFonts w:ascii="Arial" w:hAnsi="Arial" w:cs="Arial"/>
          <w:b/>
          <w:bCs/>
          <w:sz w:val="24"/>
          <w:szCs w:val="24"/>
        </w:rPr>
        <w:t>: Is this grant eligible for existing EV stations currently active but needing to continue their O&amp;M service?</w:t>
      </w:r>
    </w:p>
    <w:p w14:paraId="037D028C" w14:textId="262EFF41" w:rsidR="005B2F10" w:rsidRPr="00BD7C3A" w:rsidRDefault="3B7796AC" w:rsidP="006C7B81">
      <w:pPr>
        <w:tabs>
          <w:tab w:val="left" w:pos="270"/>
          <w:tab w:val="left" w:pos="360"/>
        </w:tabs>
        <w:spacing w:after="0"/>
        <w:ind w:left="274"/>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12</w:t>
      </w:r>
      <w:r w:rsidRPr="00BD7C3A">
        <w:rPr>
          <w:rFonts w:ascii="Arial" w:hAnsi="Arial" w:cs="Arial"/>
          <w:sz w:val="24"/>
          <w:szCs w:val="24"/>
        </w:rPr>
        <w:t xml:space="preserve">: </w:t>
      </w:r>
      <w:r w:rsidR="49182903" w:rsidRPr="00BD7C3A">
        <w:rPr>
          <w:rFonts w:ascii="Arial" w:hAnsi="Arial" w:cs="Arial"/>
          <w:sz w:val="24"/>
          <w:szCs w:val="24"/>
        </w:rPr>
        <w:t>No, CEC fundi</w:t>
      </w:r>
      <w:r w:rsidR="4A4107D4" w:rsidRPr="00BD7C3A">
        <w:rPr>
          <w:rFonts w:ascii="Arial" w:hAnsi="Arial" w:cs="Arial"/>
          <w:sz w:val="24"/>
          <w:szCs w:val="24"/>
        </w:rPr>
        <w:t xml:space="preserve">ng under this solicitation cannot be used to support existing chargers, infrastructure and </w:t>
      </w:r>
      <w:r w:rsidR="216FF9E9" w:rsidRPr="00BD7C3A">
        <w:rPr>
          <w:rFonts w:ascii="Arial" w:hAnsi="Arial" w:cs="Arial"/>
          <w:sz w:val="24"/>
          <w:szCs w:val="24"/>
        </w:rPr>
        <w:t>ongoing maintenance expenses</w:t>
      </w:r>
      <w:r w:rsidR="3A9EEF0E" w:rsidRPr="00BD7C3A">
        <w:rPr>
          <w:rFonts w:ascii="Arial" w:hAnsi="Arial" w:cs="Arial"/>
          <w:sz w:val="24"/>
          <w:szCs w:val="24"/>
        </w:rPr>
        <w:t>.</w:t>
      </w:r>
      <w:r w:rsidR="49182903" w:rsidRPr="00BD7C3A">
        <w:rPr>
          <w:rFonts w:ascii="Arial" w:hAnsi="Arial" w:cs="Arial"/>
          <w:sz w:val="24"/>
          <w:szCs w:val="24"/>
        </w:rPr>
        <w:t xml:space="preserve"> </w:t>
      </w:r>
      <w:r w:rsidR="51218F43" w:rsidRPr="00BD7C3A">
        <w:rPr>
          <w:rFonts w:ascii="Arial" w:hAnsi="Arial" w:cs="Arial"/>
          <w:sz w:val="24"/>
          <w:szCs w:val="24"/>
        </w:rPr>
        <w:t xml:space="preserve"> </w:t>
      </w:r>
      <w:r w:rsidRPr="00BD7C3A">
        <w:rPr>
          <w:rFonts w:ascii="Arial" w:hAnsi="Arial" w:cs="Arial"/>
          <w:sz w:val="24"/>
          <w:szCs w:val="24"/>
        </w:rPr>
        <w:t xml:space="preserve">This grant funding opportunity </w:t>
      </w:r>
      <w:r w:rsidR="5F04FB6B" w:rsidRPr="00BD7C3A">
        <w:rPr>
          <w:rFonts w:ascii="Arial" w:hAnsi="Arial" w:cs="Arial"/>
          <w:sz w:val="24"/>
          <w:szCs w:val="24"/>
        </w:rPr>
        <w:t>will provide funding for</w:t>
      </w:r>
      <w:r w:rsidR="6C124CA2" w:rsidRPr="00BD7C3A">
        <w:rPr>
          <w:rFonts w:ascii="Arial" w:hAnsi="Arial" w:cs="Arial"/>
          <w:sz w:val="24"/>
          <w:szCs w:val="24"/>
        </w:rPr>
        <w:t xml:space="preserve"> the establishment or expansion of</w:t>
      </w:r>
      <w:r w:rsidR="5F04FB6B" w:rsidRPr="00BD7C3A">
        <w:rPr>
          <w:rFonts w:ascii="Arial" w:hAnsi="Arial" w:cs="Arial"/>
          <w:sz w:val="24"/>
          <w:szCs w:val="24"/>
        </w:rPr>
        <w:t xml:space="preserve"> </w:t>
      </w:r>
      <w:r w:rsidR="49DB08D4" w:rsidRPr="00BD7C3A">
        <w:rPr>
          <w:rFonts w:ascii="Arial" w:hAnsi="Arial" w:cs="Arial"/>
          <w:sz w:val="24"/>
          <w:szCs w:val="24"/>
        </w:rPr>
        <w:t>new</w:t>
      </w:r>
      <w:r w:rsidRPr="00BD7C3A">
        <w:rPr>
          <w:rFonts w:ascii="Arial" w:hAnsi="Arial" w:cs="Arial"/>
          <w:sz w:val="24"/>
          <w:szCs w:val="24"/>
        </w:rPr>
        <w:t xml:space="preserve"> eligible chargers, charging equipment and some charging installation costs</w:t>
      </w:r>
      <w:r w:rsidR="7FC563FD" w:rsidRPr="00BD7C3A">
        <w:rPr>
          <w:rFonts w:ascii="Arial" w:hAnsi="Arial" w:cs="Arial"/>
          <w:sz w:val="24"/>
          <w:szCs w:val="24"/>
        </w:rPr>
        <w:t xml:space="preserve"> for new chargers</w:t>
      </w:r>
      <w:r w:rsidR="1AFB6DC9" w:rsidRPr="00BD7C3A">
        <w:rPr>
          <w:rFonts w:ascii="Arial" w:hAnsi="Arial" w:cs="Arial"/>
          <w:sz w:val="24"/>
          <w:szCs w:val="24"/>
        </w:rPr>
        <w:t xml:space="preserve"> only</w:t>
      </w:r>
      <w:r w:rsidRPr="00BD7C3A">
        <w:rPr>
          <w:rFonts w:ascii="Arial" w:hAnsi="Arial" w:cs="Arial"/>
          <w:sz w:val="24"/>
          <w:szCs w:val="24"/>
        </w:rPr>
        <w:t>. Operation and maintenance costs are also eligible; however</w:t>
      </w:r>
      <w:r w:rsidR="471550EB" w:rsidRPr="00BD7C3A">
        <w:rPr>
          <w:rFonts w:ascii="Arial" w:hAnsi="Arial" w:cs="Arial"/>
          <w:sz w:val="24"/>
          <w:szCs w:val="24"/>
        </w:rPr>
        <w:t>,</w:t>
      </w:r>
      <w:r w:rsidRPr="00BD7C3A">
        <w:rPr>
          <w:rFonts w:ascii="Arial" w:hAnsi="Arial" w:cs="Arial"/>
          <w:sz w:val="24"/>
          <w:szCs w:val="24"/>
        </w:rPr>
        <w:t xml:space="preserve"> these co</w:t>
      </w:r>
      <w:r w:rsidR="471550EB" w:rsidRPr="00BD7C3A">
        <w:rPr>
          <w:rFonts w:ascii="Arial" w:hAnsi="Arial" w:cs="Arial"/>
          <w:sz w:val="24"/>
          <w:szCs w:val="24"/>
        </w:rPr>
        <w:t>s</w:t>
      </w:r>
      <w:r w:rsidRPr="00BD7C3A">
        <w:rPr>
          <w:rFonts w:ascii="Arial" w:hAnsi="Arial" w:cs="Arial"/>
          <w:sz w:val="24"/>
          <w:szCs w:val="24"/>
        </w:rPr>
        <w:t xml:space="preserve">ts are only eligible for </w:t>
      </w:r>
      <w:r w:rsidR="7FC563FD" w:rsidRPr="00BD7C3A">
        <w:rPr>
          <w:rFonts w:ascii="Arial" w:hAnsi="Arial" w:cs="Arial"/>
          <w:sz w:val="24"/>
          <w:szCs w:val="24"/>
        </w:rPr>
        <w:t xml:space="preserve">new </w:t>
      </w:r>
      <w:r w:rsidRPr="00BD7C3A">
        <w:rPr>
          <w:rFonts w:ascii="Arial" w:hAnsi="Arial" w:cs="Arial"/>
          <w:sz w:val="24"/>
          <w:szCs w:val="24"/>
        </w:rPr>
        <w:t>equipment installed under the awarded project and must be fully disclosed and defined in the project budget to be considered. Please refer to Section II.B.1-8</w:t>
      </w:r>
      <w:r w:rsidR="72C5C483" w:rsidRPr="00BD7C3A">
        <w:rPr>
          <w:rFonts w:ascii="Arial" w:hAnsi="Arial" w:cs="Arial"/>
          <w:sz w:val="24"/>
          <w:szCs w:val="24"/>
        </w:rPr>
        <w:t>, Project Requirements,</w:t>
      </w:r>
      <w:r w:rsidRPr="00BD7C3A">
        <w:rPr>
          <w:rFonts w:ascii="Arial" w:hAnsi="Arial" w:cs="Arial"/>
          <w:sz w:val="24"/>
          <w:szCs w:val="24"/>
        </w:rPr>
        <w:t xml:space="preserve"> for additional detail (pages 9-13).</w:t>
      </w:r>
    </w:p>
    <w:p w14:paraId="50CF9466" w14:textId="453CA92D" w:rsidR="005B2F10" w:rsidRPr="00BD7C3A" w:rsidRDefault="005B2F10" w:rsidP="00796174">
      <w:pPr>
        <w:keepNext/>
        <w:spacing w:before="120" w:line="240" w:lineRule="auto"/>
        <w:rPr>
          <w:rFonts w:ascii="Arial" w:hAnsi="Arial" w:cs="Arial"/>
          <w:b/>
          <w:bCs/>
          <w:sz w:val="24"/>
          <w:szCs w:val="24"/>
          <w:u w:val="single"/>
        </w:rPr>
      </w:pPr>
      <w:r w:rsidRPr="00BD7C3A">
        <w:rPr>
          <w:rFonts w:ascii="Arial" w:hAnsi="Arial" w:cs="Arial"/>
          <w:b/>
          <w:bCs/>
          <w:sz w:val="24"/>
          <w:szCs w:val="24"/>
          <w:u w:val="single"/>
        </w:rPr>
        <w:lastRenderedPageBreak/>
        <w:t>Technical</w:t>
      </w:r>
    </w:p>
    <w:p w14:paraId="4982AAEB" w14:textId="5C832AEB" w:rsidR="009161B9" w:rsidRPr="00BD7C3A" w:rsidRDefault="009161B9" w:rsidP="006C7B81">
      <w:pPr>
        <w:keepNext/>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13</w:t>
      </w:r>
      <w:r w:rsidRPr="00BD7C3A">
        <w:rPr>
          <w:rFonts w:ascii="Arial" w:hAnsi="Arial" w:cs="Arial"/>
          <w:b/>
          <w:bCs/>
          <w:sz w:val="24"/>
          <w:szCs w:val="24"/>
        </w:rPr>
        <w:t>: What is the difference between Private and Military as it's used here (Category Table)?</w:t>
      </w:r>
    </w:p>
    <w:p w14:paraId="34E3E485" w14:textId="215CD412" w:rsidR="009161B9" w:rsidRPr="00BD7C3A" w:rsidRDefault="0B6AEC7B"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13</w:t>
      </w:r>
      <w:r w:rsidRPr="00BD7C3A">
        <w:rPr>
          <w:rFonts w:ascii="Arial" w:hAnsi="Arial" w:cs="Arial"/>
          <w:sz w:val="24"/>
          <w:szCs w:val="24"/>
        </w:rPr>
        <w:t>: As defined under Section II.A.1., Eligibility Requirements, of the Solicitation Manual</w:t>
      </w:r>
      <w:r w:rsidR="21531587" w:rsidRPr="00BD7C3A">
        <w:rPr>
          <w:rFonts w:ascii="Arial" w:hAnsi="Arial" w:cs="Arial"/>
          <w:sz w:val="24"/>
          <w:szCs w:val="24"/>
        </w:rPr>
        <w:t>,</w:t>
      </w:r>
      <w:r w:rsidRPr="00BD7C3A">
        <w:rPr>
          <w:rFonts w:ascii="Arial" w:hAnsi="Arial" w:cs="Arial"/>
          <w:sz w:val="24"/>
          <w:szCs w:val="24"/>
        </w:rPr>
        <w:t xml:space="preserve"> authorized private entities are applicants that are in contract, or a subcontractor under an existing contract, with the military with authority to install EV chargers. Military applicants are all branches of the military at facilities in California</w:t>
      </w:r>
      <w:r w:rsidR="63C3384C" w:rsidRPr="00BD7C3A">
        <w:rPr>
          <w:rFonts w:ascii="Arial" w:hAnsi="Arial" w:cs="Arial"/>
          <w:sz w:val="24"/>
          <w:szCs w:val="24"/>
        </w:rPr>
        <w:t xml:space="preserve"> (page 7)</w:t>
      </w:r>
      <w:r w:rsidR="3B7796AC" w:rsidRPr="00BD7C3A">
        <w:rPr>
          <w:rFonts w:ascii="Arial" w:hAnsi="Arial" w:cs="Arial"/>
          <w:sz w:val="24"/>
          <w:szCs w:val="24"/>
        </w:rPr>
        <w:t>.</w:t>
      </w:r>
    </w:p>
    <w:p w14:paraId="242B39E7" w14:textId="2DF6CBF5"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14</w:t>
      </w:r>
      <w:r w:rsidRPr="00BD7C3A">
        <w:rPr>
          <w:rFonts w:ascii="Arial" w:hAnsi="Arial" w:cs="Arial"/>
          <w:b/>
          <w:bCs/>
          <w:sz w:val="24"/>
          <w:szCs w:val="24"/>
        </w:rPr>
        <w:t>: Keeping in mind that chargers must be networked and ISO-15118 ready, and understanding that network security is very important for chargers on military bases/facilities, are FedRAMP-authorized charging products preferred? Or is FedRAMP being considered as a requirement for charging equipment?​</w:t>
      </w:r>
    </w:p>
    <w:p w14:paraId="2959286A" w14:textId="0A89946F" w:rsidR="005B2F10" w:rsidRPr="00BD7C3A" w:rsidRDefault="3B7796AC" w:rsidP="00693077">
      <w:pPr>
        <w:tabs>
          <w:tab w:val="left" w:pos="270"/>
          <w:tab w:val="left" w:pos="360"/>
        </w:tabs>
        <w:spacing w:after="0"/>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14</w:t>
      </w:r>
      <w:r w:rsidRPr="00BD7C3A">
        <w:rPr>
          <w:rFonts w:ascii="Arial" w:hAnsi="Arial" w:cs="Arial"/>
          <w:sz w:val="24"/>
          <w:szCs w:val="24"/>
        </w:rPr>
        <w:t xml:space="preserve">: While FedRAMP is not a requirement under this solicitation, applicants should work with the proposed military branch and their bases/facilities to determine the technologies that are most appropriate. </w:t>
      </w:r>
      <w:r w:rsidR="219FF871" w:rsidRPr="00BD7C3A">
        <w:rPr>
          <w:rFonts w:ascii="Arial" w:hAnsi="Arial" w:cs="Arial"/>
          <w:sz w:val="24"/>
          <w:szCs w:val="24"/>
        </w:rPr>
        <w:t>E</w:t>
      </w:r>
      <w:r w:rsidRPr="00BD7C3A">
        <w:rPr>
          <w:rFonts w:ascii="Arial" w:hAnsi="Arial" w:cs="Arial"/>
          <w:sz w:val="24"/>
          <w:szCs w:val="24"/>
        </w:rPr>
        <w:t>quipment not in the solicitation manual but deemed necessary, by the military, to meet operational and/or security needs are deemed eligible. Please refer to Section II.B.3., Eligible Charging Equipment</w:t>
      </w:r>
      <w:r w:rsidR="7B2AF578" w:rsidRPr="00BD7C3A">
        <w:rPr>
          <w:rFonts w:ascii="Arial" w:hAnsi="Arial" w:cs="Arial"/>
          <w:sz w:val="24"/>
          <w:szCs w:val="24"/>
        </w:rPr>
        <w:t>,</w:t>
      </w:r>
      <w:r w:rsidRPr="00BD7C3A">
        <w:rPr>
          <w:rFonts w:ascii="Arial" w:hAnsi="Arial" w:cs="Arial"/>
          <w:sz w:val="24"/>
          <w:szCs w:val="24"/>
        </w:rPr>
        <w:t xml:space="preserve"> for more detail (pages 10-11).</w:t>
      </w:r>
    </w:p>
    <w:p w14:paraId="5C7027A6" w14:textId="77777777" w:rsidR="005B2F10" w:rsidRPr="00BD7C3A" w:rsidRDefault="005B2F10" w:rsidP="00693077">
      <w:pPr>
        <w:spacing w:after="0"/>
        <w:rPr>
          <w:rFonts w:ascii="Arial" w:hAnsi="Arial" w:cs="Arial"/>
          <w:sz w:val="24"/>
          <w:szCs w:val="24"/>
        </w:rPr>
      </w:pPr>
    </w:p>
    <w:p w14:paraId="55ADED89" w14:textId="580AFCC8" w:rsidR="005B2F10" w:rsidRPr="00BD7C3A" w:rsidRDefault="005B2F10" w:rsidP="005B2F10">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15</w:t>
      </w:r>
      <w:r w:rsidRPr="00BD7C3A">
        <w:rPr>
          <w:rFonts w:ascii="Arial" w:hAnsi="Arial" w:cs="Arial"/>
          <w:b/>
          <w:bCs/>
          <w:sz w:val="24"/>
          <w:szCs w:val="24"/>
        </w:rPr>
        <w:t>: Is WEX integration being considered as the payment source for charging government-owned fleet vehicles?</w:t>
      </w:r>
    </w:p>
    <w:p w14:paraId="0C7E7FA2" w14:textId="71C35550" w:rsidR="005B2F10" w:rsidRPr="00BD7C3A" w:rsidRDefault="3B7796A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D23EA3">
        <w:rPr>
          <w:rFonts w:ascii="Arial" w:hAnsi="Arial" w:cs="Arial"/>
          <w:sz w:val="24"/>
          <w:szCs w:val="24"/>
        </w:rPr>
        <w:t>15</w:t>
      </w:r>
      <w:r w:rsidRPr="00BD7C3A">
        <w:rPr>
          <w:rFonts w:ascii="Arial" w:hAnsi="Arial" w:cs="Arial"/>
          <w:sz w:val="24"/>
          <w:szCs w:val="24"/>
        </w:rPr>
        <w:t>: The CEC has not explicitly defined the payment source that should be used for project</w:t>
      </w:r>
      <w:r w:rsidR="3F582E8C" w:rsidRPr="00BD7C3A">
        <w:rPr>
          <w:rFonts w:ascii="Arial" w:hAnsi="Arial" w:cs="Arial"/>
          <w:sz w:val="24"/>
          <w:szCs w:val="24"/>
        </w:rPr>
        <w:t>s</w:t>
      </w:r>
      <w:r w:rsidRPr="00BD7C3A">
        <w:rPr>
          <w:rFonts w:ascii="Arial" w:hAnsi="Arial" w:cs="Arial"/>
          <w:sz w:val="24"/>
          <w:szCs w:val="24"/>
        </w:rPr>
        <w:t>. Applicants are encouraged to work with the military branch</w:t>
      </w:r>
      <w:r w:rsidR="61DCA3EA" w:rsidRPr="00BD7C3A">
        <w:rPr>
          <w:rFonts w:ascii="Arial" w:hAnsi="Arial" w:cs="Arial"/>
          <w:sz w:val="24"/>
          <w:szCs w:val="24"/>
        </w:rPr>
        <w:t xml:space="preserve"> </w:t>
      </w:r>
      <w:r w:rsidRPr="00BD7C3A">
        <w:rPr>
          <w:rFonts w:ascii="Arial" w:hAnsi="Arial" w:cs="Arial"/>
          <w:sz w:val="24"/>
          <w:szCs w:val="24"/>
        </w:rPr>
        <w:t>/</w:t>
      </w:r>
      <w:r w:rsidR="61DCA3EA" w:rsidRPr="00BD7C3A">
        <w:rPr>
          <w:rFonts w:ascii="Arial" w:hAnsi="Arial" w:cs="Arial"/>
          <w:sz w:val="24"/>
          <w:szCs w:val="24"/>
        </w:rPr>
        <w:t xml:space="preserve"> </w:t>
      </w:r>
      <w:r w:rsidRPr="00BD7C3A">
        <w:rPr>
          <w:rFonts w:ascii="Arial" w:hAnsi="Arial" w:cs="Arial"/>
          <w:sz w:val="24"/>
          <w:szCs w:val="24"/>
        </w:rPr>
        <w:t>federal government to determine the preferred and appropriate payment sources for each project.</w:t>
      </w:r>
    </w:p>
    <w:p w14:paraId="69E0EB9D" w14:textId="2DE81E0D" w:rsidR="005B2F10" w:rsidRPr="00BD7C3A" w:rsidRDefault="6426DB84" w:rsidP="0A8BE6F9">
      <w:pPr>
        <w:rPr>
          <w:rFonts w:ascii="Arial" w:hAnsi="Arial" w:cs="Arial"/>
          <w:b/>
          <w:bCs/>
          <w:sz w:val="24"/>
          <w:szCs w:val="24"/>
        </w:rPr>
      </w:pPr>
      <w:r w:rsidRPr="00BD7C3A">
        <w:rPr>
          <w:rFonts w:ascii="Arial" w:hAnsi="Arial" w:cs="Arial"/>
          <w:b/>
          <w:bCs/>
          <w:sz w:val="24"/>
          <w:szCs w:val="24"/>
        </w:rPr>
        <w:t>Q</w:t>
      </w:r>
      <w:r w:rsidR="00D23EA3">
        <w:rPr>
          <w:rFonts w:ascii="Arial" w:hAnsi="Arial" w:cs="Arial"/>
          <w:b/>
          <w:bCs/>
          <w:sz w:val="24"/>
          <w:szCs w:val="24"/>
        </w:rPr>
        <w:t>16</w:t>
      </w:r>
      <w:r w:rsidRPr="00BD7C3A">
        <w:rPr>
          <w:rFonts w:ascii="Arial" w:hAnsi="Arial" w:cs="Arial"/>
          <w:b/>
          <w:bCs/>
          <w:sz w:val="24"/>
          <w:szCs w:val="24"/>
        </w:rPr>
        <w:t>: I think one slide said any power Level 2 chargers were eligible, another said low power Level 2 were not allowed, can you please clarify? What defines “Low Power Level 2 Chargers” which are noted as ineligible?</w:t>
      </w:r>
    </w:p>
    <w:p w14:paraId="6669A948" w14:textId="79CF3DA1" w:rsidR="777859B3" w:rsidRPr="00BD7C3A" w:rsidRDefault="00204D6C" w:rsidP="00CF327B">
      <w:pPr>
        <w:tabs>
          <w:tab w:val="left" w:pos="270"/>
          <w:tab w:val="left" w:pos="360"/>
        </w:tabs>
        <w:spacing w:after="0"/>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16</w:t>
      </w:r>
      <w:r w:rsidRPr="00BD7C3A">
        <w:rPr>
          <w:rFonts w:ascii="Arial" w:hAnsi="Arial" w:cs="Arial"/>
          <w:sz w:val="24"/>
          <w:szCs w:val="24"/>
        </w:rPr>
        <w:t xml:space="preserve">: Clarification has been added to the Solicitation Manual </w:t>
      </w:r>
      <w:r w:rsidR="1A6AF332" w:rsidRPr="00BD7C3A">
        <w:rPr>
          <w:rFonts w:ascii="Arial" w:hAnsi="Arial" w:cs="Arial"/>
          <w:sz w:val="24"/>
          <w:szCs w:val="24"/>
        </w:rPr>
        <w:t>on minimum power requirements</w:t>
      </w:r>
      <w:r w:rsidR="2C2AB4B1" w:rsidRPr="00BD7C3A">
        <w:rPr>
          <w:rFonts w:ascii="Arial" w:hAnsi="Arial" w:cs="Arial"/>
          <w:sz w:val="24"/>
          <w:szCs w:val="24"/>
        </w:rPr>
        <w:t xml:space="preserve"> for Level 2 Chargers. </w:t>
      </w:r>
      <w:r w:rsidR="1E633BBC" w:rsidRPr="00BD7C3A">
        <w:rPr>
          <w:rFonts w:ascii="Arial" w:hAnsi="Arial" w:cs="Arial"/>
          <w:sz w:val="24"/>
          <w:szCs w:val="24"/>
        </w:rPr>
        <w:t xml:space="preserve">For purposes of this solicitation, all Level 2 chargers (208/240V) installed as part of this GFO shall be configured to deliver, at minimum, 24A to the vehicle.  </w:t>
      </w:r>
      <w:r w:rsidR="2C2AB4B1" w:rsidRPr="00BD7C3A">
        <w:rPr>
          <w:rFonts w:ascii="Arial" w:hAnsi="Arial" w:cs="Arial"/>
          <w:sz w:val="24"/>
          <w:szCs w:val="24"/>
        </w:rPr>
        <w:t>Please refer to Addendum 1</w:t>
      </w:r>
      <w:r w:rsidR="2FE4B6E7" w:rsidRPr="00BD7C3A">
        <w:rPr>
          <w:rFonts w:ascii="Arial" w:hAnsi="Arial" w:cs="Arial"/>
          <w:sz w:val="24"/>
          <w:szCs w:val="24"/>
        </w:rPr>
        <w:t>, and Section II.B.2, Eligible Charger Type</w:t>
      </w:r>
      <w:r w:rsidR="3B112965" w:rsidRPr="00BD7C3A">
        <w:rPr>
          <w:rFonts w:ascii="Arial" w:hAnsi="Arial" w:cs="Arial"/>
          <w:sz w:val="24"/>
          <w:szCs w:val="24"/>
        </w:rPr>
        <w:t>s</w:t>
      </w:r>
      <w:r w:rsidR="2FE4B6E7" w:rsidRPr="00BD7C3A">
        <w:rPr>
          <w:rFonts w:ascii="Arial" w:hAnsi="Arial" w:cs="Arial"/>
          <w:sz w:val="24"/>
          <w:szCs w:val="24"/>
        </w:rPr>
        <w:t xml:space="preserve">, </w:t>
      </w:r>
      <w:r w:rsidR="2C2AB4B1" w:rsidRPr="00BD7C3A">
        <w:rPr>
          <w:rFonts w:ascii="Arial" w:hAnsi="Arial" w:cs="Arial"/>
          <w:sz w:val="24"/>
          <w:szCs w:val="24"/>
        </w:rPr>
        <w:t>for more informa</w:t>
      </w:r>
      <w:r w:rsidR="15AA51E3" w:rsidRPr="00BD7C3A">
        <w:rPr>
          <w:rFonts w:ascii="Arial" w:hAnsi="Arial" w:cs="Arial"/>
          <w:sz w:val="24"/>
          <w:szCs w:val="24"/>
        </w:rPr>
        <w:t>tion on these changes.</w:t>
      </w:r>
    </w:p>
    <w:p w14:paraId="67002FA7" w14:textId="77777777" w:rsidR="00DB077D" w:rsidRPr="00BD7C3A" w:rsidRDefault="00DB077D" w:rsidP="00CF327B">
      <w:pPr>
        <w:spacing w:after="0"/>
        <w:rPr>
          <w:rFonts w:ascii="Arial" w:hAnsi="Arial" w:cs="Arial"/>
          <w:b/>
          <w:bCs/>
          <w:sz w:val="24"/>
          <w:szCs w:val="24"/>
          <w:u w:val="single"/>
        </w:rPr>
      </w:pPr>
    </w:p>
    <w:p w14:paraId="46DB0F8A" w14:textId="5B78609C" w:rsidR="00DB077D" w:rsidRPr="00BD7C3A" w:rsidRDefault="005B2F10" w:rsidP="00796174">
      <w:pPr>
        <w:keepNext/>
        <w:spacing w:before="120" w:line="240" w:lineRule="auto"/>
        <w:rPr>
          <w:rFonts w:ascii="Arial" w:hAnsi="Arial" w:cs="Arial"/>
          <w:b/>
          <w:bCs/>
          <w:sz w:val="24"/>
          <w:szCs w:val="24"/>
          <w:u w:val="single"/>
        </w:rPr>
      </w:pPr>
      <w:r w:rsidRPr="00BD7C3A">
        <w:rPr>
          <w:rFonts w:ascii="Arial" w:hAnsi="Arial" w:cs="Arial"/>
          <w:b/>
          <w:bCs/>
          <w:sz w:val="24"/>
          <w:szCs w:val="24"/>
          <w:u w:val="single"/>
        </w:rPr>
        <w:lastRenderedPageBreak/>
        <w:t>Financial</w:t>
      </w:r>
    </w:p>
    <w:p w14:paraId="79EFD664" w14:textId="319C0EB0" w:rsidR="00DB077D" w:rsidRPr="00BD7C3A" w:rsidRDefault="0B6AEC7B" w:rsidP="00796174">
      <w:pPr>
        <w:keepNext/>
        <w:keepLines/>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17</w:t>
      </w:r>
      <w:r w:rsidRPr="00BD7C3A">
        <w:rPr>
          <w:rFonts w:ascii="Arial" w:hAnsi="Arial" w:cs="Arial"/>
          <w:b/>
          <w:bCs/>
          <w:sz w:val="24"/>
          <w:szCs w:val="24"/>
        </w:rPr>
        <w:t xml:space="preserve">: </w:t>
      </w:r>
      <w:r w:rsidR="55F0A727" w:rsidRPr="00BD7C3A">
        <w:rPr>
          <w:rFonts w:ascii="Arial" w:hAnsi="Arial" w:cs="Arial"/>
          <w:b/>
          <w:bCs/>
          <w:sz w:val="24"/>
          <w:szCs w:val="24"/>
        </w:rPr>
        <w:t xml:space="preserve">Our estimated project permit costs are currently $2.55 Million. </w:t>
      </w:r>
      <w:r w:rsidR="134AA145" w:rsidRPr="00BD7C3A">
        <w:rPr>
          <w:rFonts w:ascii="Arial" w:hAnsi="Arial" w:cs="Arial"/>
          <w:b/>
          <w:bCs/>
          <w:sz w:val="24"/>
          <w:szCs w:val="24"/>
        </w:rPr>
        <w:t xml:space="preserve">Can CEC funds be used to cover permit costs? </w:t>
      </w:r>
    </w:p>
    <w:p w14:paraId="4572DDC5" w14:textId="62FD4228" w:rsidR="00DB077D" w:rsidRPr="00BD7C3A" w:rsidRDefault="0A2DF55F" w:rsidP="7F2D17F3">
      <w:pPr>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17</w:t>
      </w:r>
      <w:r w:rsidRPr="00BD7C3A">
        <w:rPr>
          <w:rFonts w:ascii="Arial" w:hAnsi="Arial" w:cs="Arial"/>
          <w:sz w:val="24"/>
          <w:szCs w:val="24"/>
        </w:rPr>
        <w:t>: CEC funds cannot be used to cover compliance</w:t>
      </w:r>
      <w:r w:rsidR="39A7B67B" w:rsidRPr="00BD7C3A">
        <w:rPr>
          <w:rFonts w:ascii="Arial" w:hAnsi="Arial" w:cs="Arial"/>
          <w:sz w:val="24"/>
          <w:szCs w:val="24"/>
        </w:rPr>
        <w:t xml:space="preserve"> costs.</w:t>
      </w:r>
      <w:r w:rsidR="1EBEBB6A" w:rsidRPr="00BD7C3A">
        <w:rPr>
          <w:rFonts w:ascii="Arial" w:hAnsi="Arial" w:cs="Arial"/>
          <w:sz w:val="24"/>
          <w:szCs w:val="24"/>
        </w:rPr>
        <w:t xml:space="preserve"> Funding for this solicitation </w:t>
      </w:r>
      <w:r w:rsidR="25EA101F" w:rsidRPr="00BD7C3A">
        <w:rPr>
          <w:rFonts w:ascii="Arial" w:hAnsi="Arial" w:cs="Arial"/>
          <w:sz w:val="24"/>
          <w:szCs w:val="24"/>
        </w:rPr>
        <w:t>is limited to the purchase of new chargers and associate</w:t>
      </w:r>
      <w:r w:rsidR="67751AF1" w:rsidRPr="00BD7C3A">
        <w:rPr>
          <w:rFonts w:ascii="Arial" w:hAnsi="Arial" w:cs="Arial"/>
          <w:sz w:val="24"/>
          <w:szCs w:val="24"/>
        </w:rPr>
        <w:t>d</w:t>
      </w:r>
      <w:r w:rsidR="25EA101F" w:rsidRPr="00BD7C3A">
        <w:rPr>
          <w:rFonts w:ascii="Arial" w:hAnsi="Arial" w:cs="Arial"/>
          <w:sz w:val="24"/>
          <w:szCs w:val="24"/>
        </w:rPr>
        <w:t xml:space="preserve"> equipment and installation costs. </w:t>
      </w:r>
      <w:r w:rsidR="44CB4460" w:rsidRPr="00BD7C3A">
        <w:rPr>
          <w:rFonts w:ascii="Arial" w:eastAsia="Arial" w:hAnsi="Arial" w:cs="Arial"/>
          <w:sz w:val="24"/>
          <w:szCs w:val="24"/>
        </w:rPr>
        <w:t xml:space="preserve">Permit costs and the expenses associated with obtaining permits </w:t>
      </w:r>
      <w:r w:rsidR="0B97247B" w:rsidRPr="00BD7C3A">
        <w:rPr>
          <w:rFonts w:ascii="Arial" w:eastAsia="Arial" w:hAnsi="Arial" w:cs="Arial"/>
          <w:sz w:val="24"/>
          <w:szCs w:val="24"/>
        </w:rPr>
        <w:t>may be paid for with match funds</w:t>
      </w:r>
      <w:r w:rsidR="44CB4460" w:rsidRPr="00BD7C3A">
        <w:rPr>
          <w:rFonts w:ascii="Arial" w:eastAsia="Arial" w:hAnsi="Arial" w:cs="Arial"/>
          <w:sz w:val="24"/>
          <w:szCs w:val="24"/>
        </w:rPr>
        <w:t xml:space="preserve">. </w:t>
      </w:r>
      <w:r w:rsidR="25EA101F" w:rsidRPr="00BD7C3A">
        <w:rPr>
          <w:rFonts w:ascii="Arial" w:hAnsi="Arial" w:cs="Arial"/>
          <w:sz w:val="24"/>
          <w:szCs w:val="24"/>
        </w:rPr>
        <w:t>Please refer to Section II</w:t>
      </w:r>
      <w:r w:rsidR="08EE8AB7" w:rsidRPr="00BD7C3A">
        <w:rPr>
          <w:rFonts w:ascii="Arial" w:hAnsi="Arial" w:cs="Arial"/>
          <w:sz w:val="24"/>
          <w:szCs w:val="24"/>
        </w:rPr>
        <w:t>.B.</w:t>
      </w:r>
      <w:r w:rsidR="52E26FA6" w:rsidRPr="00BD7C3A">
        <w:rPr>
          <w:rFonts w:ascii="Arial" w:hAnsi="Arial" w:cs="Arial"/>
          <w:sz w:val="24"/>
          <w:szCs w:val="24"/>
        </w:rPr>
        <w:t>, Project Requirements,</w:t>
      </w:r>
      <w:r w:rsidR="51C05361" w:rsidRPr="00BD7C3A">
        <w:rPr>
          <w:rFonts w:ascii="Arial" w:hAnsi="Arial" w:cs="Arial"/>
          <w:sz w:val="24"/>
          <w:szCs w:val="24"/>
        </w:rPr>
        <w:t xml:space="preserve"> for additional detail.</w:t>
      </w:r>
    </w:p>
    <w:p w14:paraId="5CEFEE75" w14:textId="3DE183EB" w:rsidR="00DB077D" w:rsidRPr="00BD7C3A" w:rsidRDefault="11B9CD0A" w:rsidP="00DB077D">
      <w:pPr>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18</w:t>
      </w:r>
      <w:r w:rsidRPr="00BD7C3A">
        <w:rPr>
          <w:rFonts w:ascii="Arial" w:hAnsi="Arial" w:cs="Arial"/>
          <w:b/>
          <w:bCs/>
          <w:sz w:val="24"/>
          <w:szCs w:val="24"/>
        </w:rPr>
        <w:t xml:space="preserve">: </w:t>
      </w:r>
      <w:r w:rsidR="55F0A727" w:rsidRPr="00BD7C3A">
        <w:rPr>
          <w:rFonts w:ascii="Arial" w:hAnsi="Arial" w:cs="Arial"/>
          <w:b/>
          <w:bCs/>
          <w:sz w:val="24"/>
          <w:szCs w:val="24"/>
        </w:rPr>
        <w:t>Can we apply for two 100% awards?</w:t>
      </w:r>
    </w:p>
    <w:p w14:paraId="036258C1" w14:textId="3FFD856A" w:rsidR="00DB077D" w:rsidRPr="00BD7C3A" w:rsidRDefault="63C3384C"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18</w:t>
      </w:r>
      <w:r w:rsidRPr="00BD7C3A">
        <w:rPr>
          <w:rFonts w:ascii="Arial" w:hAnsi="Arial" w:cs="Arial"/>
          <w:sz w:val="24"/>
          <w:szCs w:val="24"/>
        </w:rPr>
        <w:t xml:space="preserve">: Applicants can apply for multiple awards so long as each application is for a separate and distinct project. Multiple applications cannot be submitted for the same project. However, </w:t>
      </w:r>
      <w:r w:rsidR="51B7F340" w:rsidRPr="00BD7C3A">
        <w:rPr>
          <w:rFonts w:ascii="Arial" w:hAnsi="Arial" w:cs="Arial"/>
          <w:sz w:val="24"/>
          <w:szCs w:val="24"/>
        </w:rPr>
        <w:t>i</w:t>
      </w:r>
      <w:r w:rsidR="5CF519B1" w:rsidRPr="00BD7C3A">
        <w:rPr>
          <w:rFonts w:ascii="Arial" w:hAnsi="Arial" w:cs="Arial"/>
          <w:sz w:val="24"/>
          <w:szCs w:val="24"/>
        </w:rPr>
        <w:t>ndividual applications may include projects at</w:t>
      </w:r>
      <w:r w:rsidRPr="00BD7C3A">
        <w:rPr>
          <w:rFonts w:ascii="Arial" w:hAnsi="Arial" w:cs="Arial"/>
          <w:sz w:val="24"/>
          <w:szCs w:val="24"/>
        </w:rPr>
        <w:t xml:space="preserve"> multiple </w:t>
      </w:r>
      <w:r w:rsidR="5CF519B1" w:rsidRPr="00BD7C3A">
        <w:rPr>
          <w:rFonts w:ascii="Arial" w:hAnsi="Arial" w:cs="Arial"/>
          <w:sz w:val="24"/>
          <w:szCs w:val="24"/>
        </w:rPr>
        <w:t>military sites (e.g., construction agreement for EV charger installations or “charge as a service” agreements at eight different Coast Guard stations.)</w:t>
      </w:r>
      <w:r w:rsidR="2627B5A1" w:rsidRPr="00BD7C3A">
        <w:rPr>
          <w:rFonts w:ascii="Arial" w:hAnsi="Arial" w:cs="Arial"/>
          <w:sz w:val="24"/>
          <w:szCs w:val="24"/>
        </w:rPr>
        <w:t xml:space="preserve"> </w:t>
      </w:r>
      <w:r w:rsidRPr="00BD7C3A">
        <w:rPr>
          <w:rFonts w:ascii="Arial" w:hAnsi="Arial" w:cs="Arial"/>
          <w:sz w:val="24"/>
          <w:szCs w:val="24"/>
        </w:rPr>
        <w:t>Please refer</w:t>
      </w:r>
      <w:r w:rsidR="3B7796AC" w:rsidRPr="00BD7C3A">
        <w:rPr>
          <w:rFonts w:ascii="Arial" w:hAnsi="Arial" w:cs="Arial"/>
          <w:sz w:val="24"/>
          <w:szCs w:val="24"/>
        </w:rPr>
        <w:t xml:space="preserve"> to Section I.H., Maximum Number of Applications, for additional information (page 4).</w:t>
      </w:r>
    </w:p>
    <w:p w14:paraId="6C255E77" w14:textId="3E009C57" w:rsidR="00BE7E2B" w:rsidRPr="00BD7C3A" w:rsidRDefault="47F32A62" w:rsidP="00DB077D">
      <w:pPr>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19</w:t>
      </w:r>
      <w:r w:rsidRPr="00BD7C3A">
        <w:rPr>
          <w:rFonts w:ascii="Arial" w:hAnsi="Arial" w:cs="Arial"/>
          <w:b/>
          <w:bCs/>
          <w:sz w:val="24"/>
          <w:szCs w:val="24"/>
        </w:rPr>
        <w:t xml:space="preserve">: </w:t>
      </w:r>
      <w:r w:rsidR="56F709EC" w:rsidRPr="00BD7C3A">
        <w:rPr>
          <w:rFonts w:ascii="Arial" w:hAnsi="Arial" w:cs="Arial"/>
          <w:b/>
          <w:bCs/>
          <w:sz w:val="24"/>
          <w:szCs w:val="24"/>
        </w:rPr>
        <w:t xml:space="preserve">Can loan funds be used to supplement the 50% </w:t>
      </w:r>
      <w:r w:rsidR="61F624C1" w:rsidRPr="00BD7C3A">
        <w:rPr>
          <w:rFonts w:ascii="Arial" w:hAnsi="Arial" w:cs="Arial"/>
          <w:b/>
          <w:bCs/>
          <w:sz w:val="24"/>
          <w:szCs w:val="24"/>
        </w:rPr>
        <w:t xml:space="preserve">match funding </w:t>
      </w:r>
      <w:r w:rsidR="56F709EC" w:rsidRPr="00BD7C3A">
        <w:rPr>
          <w:rFonts w:ascii="Arial" w:hAnsi="Arial" w:cs="Arial"/>
          <w:b/>
          <w:bCs/>
          <w:sz w:val="24"/>
          <w:szCs w:val="24"/>
        </w:rPr>
        <w:t xml:space="preserve">requirement under </w:t>
      </w:r>
      <w:r w:rsidR="32B852F7" w:rsidRPr="00BD7C3A">
        <w:rPr>
          <w:rFonts w:ascii="Arial" w:hAnsi="Arial" w:cs="Arial"/>
          <w:b/>
          <w:bCs/>
          <w:sz w:val="24"/>
          <w:szCs w:val="24"/>
        </w:rPr>
        <w:t>C</w:t>
      </w:r>
      <w:r w:rsidR="56F709EC" w:rsidRPr="00BD7C3A">
        <w:rPr>
          <w:rFonts w:ascii="Arial" w:hAnsi="Arial" w:cs="Arial"/>
          <w:b/>
          <w:bCs/>
          <w:sz w:val="24"/>
          <w:szCs w:val="24"/>
        </w:rPr>
        <w:t>ategory 1?</w:t>
      </w:r>
    </w:p>
    <w:p w14:paraId="16CE6122" w14:textId="4F06872B" w:rsidR="005B2F10" w:rsidRPr="00BD7C3A" w:rsidRDefault="6426DB84" w:rsidP="005B2F10">
      <w:pPr>
        <w:tabs>
          <w:tab w:val="left" w:pos="270"/>
          <w:tab w:val="left" w:pos="360"/>
        </w:tabs>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19</w:t>
      </w:r>
      <w:r w:rsidRPr="00BD7C3A">
        <w:rPr>
          <w:rFonts w:ascii="Arial" w:hAnsi="Arial" w:cs="Arial"/>
          <w:sz w:val="24"/>
          <w:szCs w:val="24"/>
        </w:rPr>
        <w:t>:</w:t>
      </w:r>
      <w:r w:rsidR="68B2F2FA" w:rsidRPr="00BD7C3A">
        <w:rPr>
          <w:rFonts w:ascii="Arial" w:hAnsi="Arial" w:cs="Arial"/>
          <w:sz w:val="24"/>
          <w:szCs w:val="24"/>
        </w:rPr>
        <w:t xml:space="preserve"> Match funding </w:t>
      </w:r>
      <w:r w:rsidR="525A745F" w:rsidRPr="00BD7C3A">
        <w:rPr>
          <w:rFonts w:ascii="Arial" w:hAnsi="Arial" w:cs="Arial"/>
          <w:sz w:val="24"/>
          <w:szCs w:val="24"/>
        </w:rPr>
        <w:t xml:space="preserve">to meet the minimum </w:t>
      </w:r>
      <w:r w:rsidR="0C0BFDEA" w:rsidRPr="00BD7C3A">
        <w:rPr>
          <w:rFonts w:ascii="Arial" w:hAnsi="Arial" w:cs="Arial"/>
          <w:sz w:val="24"/>
          <w:szCs w:val="24"/>
        </w:rPr>
        <w:t xml:space="preserve">50% match funding requirement </w:t>
      </w:r>
      <w:r w:rsidR="6D3E7C69" w:rsidRPr="00BD7C3A">
        <w:rPr>
          <w:rFonts w:ascii="Arial" w:hAnsi="Arial" w:cs="Arial"/>
          <w:sz w:val="24"/>
          <w:szCs w:val="24"/>
        </w:rPr>
        <w:t xml:space="preserve">for Category 1 projects must </w:t>
      </w:r>
      <w:r w:rsidR="68B2F2FA" w:rsidRPr="00BD7C3A">
        <w:rPr>
          <w:rFonts w:ascii="Arial" w:hAnsi="Arial" w:cs="Arial"/>
          <w:sz w:val="24"/>
          <w:szCs w:val="24"/>
        </w:rPr>
        <w:t xml:space="preserve">be in cash only. </w:t>
      </w:r>
      <w:r w:rsidR="6D3E7C69" w:rsidRPr="00BD7C3A">
        <w:rPr>
          <w:rFonts w:ascii="Arial" w:hAnsi="Arial" w:cs="Arial"/>
          <w:sz w:val="24"/>
          <w:szCs w:val="24"/>
        </w:rPr>
        <w:t>Beyond this minimum, l</w:t>
      </w:r>
      <w:r w:rsidR="68B2F2FA" w:rsidRPr="00BD7C3A">
        <w:rPr>
          <w:rFonts w:ascii="Arial" w:hAnsi="Arial" w:cs="Arial"/>
          <w:sz w:val="24"/>
          <w:szCs w:val="24"/>
        </w:rPr>
        <w:t xml:space="preserve">oan funds can be used to supplement cash match so long as the source is not CEC funding. Please refer to </w:t>
      </w:r>
      <w:r w:rsidRPr="00BD7C3A">
        <w:rPr>
          <w:rFonts w:ascii="Arial" w:hAnsi="Arial" w:cs="Arial"/>
          <w:sz w:val="24"/>
          <w:szCs w:val="24"/>
        </w:rPr>
        <w:t>Section II.C.</w:t>
      </w:r>
      <w:r w:rsidR="6952EB76" w:rsidRPr="00BD7C3A">
        <w:rPr>
          <w:rFonts w:ascii="Arial" w:hAnsi="Arial" w:cs="Arial"/>
          <w:sz w:val="24"/>
          <w:szCs w:val="24"/>
        </w:rPr>
        <w:t>, Match Funding Requirements</w:t>
      </w:r>
      <w:r w:rsidR="67442222" w:rsidRPr="00BD7C3A">
        <w:rPr>
          <w:rFonts w:ascii="Arial" w:hAnsi="Arial" w:cs="Arial"/>
          <w:sz w:val="24"/>
          <w:szCs w:val="24"/>
        </w:rPr>
        <w:t>,</w:t>
      </w:r>
      <w:r w:rsidRPr="00BD7C3A">
        <w:rPr>
          <w:rFonts w:ascii="Arial" w:hAnsi="Arial" w:cs="Arial"/>
          <w:sz w:val="24"/>
          <w:szCs w:val="24"/>
        </w:rPr>
        <w:t xml:space="preserve"> for additional match funding requirements (pages 13-18).</w:t>
      </w:r>
    </w:p>
    <w:p w14:paraId="6D0C4197" w14:textId="3637B774" w:rsidR="009161B9" w:rsidRPr="00BD7C3A" w:rsidRDefault="009161B9" w:rsidP="009161B9">
      <w:pPr>
        <w:rPr>
          <w:rFonts w:ascii="Arial" w:hAnsi="Arial" w:cs="Arial"/>
          <w:b/>
          <w:bCs/>
          <w:sz w:val="24"/>
          <w:szCs w:val="24"/>
        </w:rPr>
      </w:pPr>
      <w:r w:rsidRPr="00BD7C3A">
        <w:rPr>
          <w:rFonts w:ascii="Arial" w:hAnsi="Arial" w:cs="Arial"/>
          <w:b/>
          <w:bCs/>
          <w:sz w:val="24"/>
          <w:szCs w:val="24"/>
        </w:rPr>
        <w:t>Q</w:t>
      </w:r>
      <w:r w:rsidR="009A0D96">
        <w:rPr>
          <w:rFonts w:ascii="Arial" w:hAnsi="Arial" w:cs="Arial"/>
          <w:b/>
          <w:bCs/>
          <w:sz w:val="24"/>
          <w:szCs w:val="24"/>
        </w:rPr>
        <w:t>20</w:t>
      </w:r>
      <w:r w:rsidRPr="00BD7C3A">
        <w:rPr>
          <w:rFonts w:ascii="Arial" w:hAnsi="Arial" w:cs="Arial"/>
          <w:b/>
          <w:bCs/>
          <w:sz w:val="24"/>
          <w:szCs w:val="24"/>
        </w:rPr>
        <w:t>: Do military sites that already have projects in place count as the 50% cost share?</w:t>
      </w:r>
    </w:p>
    <w:p w14:paraId="0A3D3E49" w14:textId="20A7CB98" w:rsidR="009161B9" w:rsidRDefault="0BB51264" w:rsidP="00865869">
      <w:pPr>
        <w:tabs>
          <w:tab w:val="left" w:pos="270"/>
          <w:tab w:val="left" w:pos="360"/>
        </w:tabs>
        <w:spacing w:after="0"/>
        <w:ind w:left="270"/>
        <w:rPr>
          <w:rFonts w:ascii="Arial" w:hAnsi="Arial" w:cs="Arial"/>
          <w:sz w:val="24"/>
          <w:szCs w:val="24"/>
        </w:rPr>
      </w:pPr>
      <w:r w:rsidRPr="00BD7C3A">
        <w:rPr>
          <w:rFonts w:ascii="Arial" w:hAnsi="Arial" w:cs="Arial"/>
          <w:sz w:val="24"/>
          <w:szCs w:val="24"/>
        </w:rPr>
        <w:t>A</w:t>
      </w:r>
      <w:r w:rsidR="009A0D96">
        <w:rPr>
          <w:rFonts w:ascii="Arial" w:hAnsi="Arial" w:cs="Arial"/>
          <w:sz w:val="24"/>
          <w:szCs w:val="24"/>
        </w:rPr>
        <w:t>20</w:t>
      </w:r>
      <w:r w:rsidRPr="00BD7C3A">
        <w:rPr>
          <w:rFonts w:ascii="Arial" w:hAnsi="Arial" w:cs="Arial"/>
          <w:sz w:val="24"/>
          <w:szCs w:val="24"/>
        </w:rPr>
        <w:t xml:space="preserve">: </w:t>
      </w:r>
      <w:r w:rsidR="6426DB84" w:rsidRPr="00BD7C3A">
        <w:rPr>
          <w:rFonts w:ascii="Arial" w:hAnsi="Arial" w:cs="Arial"/>
          <w:sz w:val="24"/>
          <w:szCs w:val="24"/>
        </w:rPr>
        <w:t>M</w:t>
      </w:r>
      <w:r w:rsidRPr="00BD7C3A">
        <w:rPr>
          <w:rFonts w:ascii="Arial" w:hAnsi="Arial" w:cs="Arial"/>
          <w:sz w:val="24"/>
          <w:szCs w:val="24"/>
        </w:rPr>
        <w:t xml:space="preserve">atch share funding </w:t>
      </w:r>
      <w:r w:rsidR="5CAF8724" w:rsidRPr="00BD7C3A">
        <w:rPr>
          <w:rFonts w:ascii="Arial" w:hAnsi="Arial" w:cs="Arial"/>
          <w:sz w:val="24"/>
          <w:szCs w:val="24"/>
        </w:rPr>
        <w:t xml:space="preserve">to meet the minimum 50% match funding requirement for Category 1 projects </w:t>
      </w:r>
      <w:r w:rsidRPr="00BD7C3A">
        <w:rPr>
          <w:rFonts w:ascii="Arial" w:hAnsi="Arial" w:cs="Arial"/>
          <w:sz w:val="24"/>
          <w:szCs w:val="24"/>
        </w:rPr>
        <w:t>under this solicitation must be in the form of cash</w:t>
      </w:r>
      <w:r w:rsidR="6426DB84" w:rsidRPr="00BD7C3A">
        <w:rPr>
          <w:rFonts w:ascii="Arial" w:hAnsi="Arial" w:cs="Arial"/>
          <w:sz w:val="24"/>
          <w:szCs w:val="24"/>
        </w:rPr>
        <w:t xml:space="preserve"> only</w:t>
      </w:r>
      <w:r w:rsidRPr="00BD7C3A">
        <w:rPr>
          <w:rFonts w:ascii="Arial" w:hAnsi="Arial" w:cs="Arial"/>
          <w:sz w:val="24"/>
          <w:szCs w:val="24"/>
        </w:rPr>
        <w:t xml:space="preserve">. </w:t>
      </w:r>
      <w:r w:rsidR="1B8D4830" w:rsidRPr="00BD7C3A">
        <w:rPr>
          <w:rFonts w:ascii="Arial" w:hAnsi="Arial" w:cs="Arial"/>
          <w:sz w:val="24"/>
          <w:szCs w:val="24"/>
        </w:rPr>
        <w:t xml:space="preserve">Eligible cash match funding is </w:t>
      </w:r>
      <w:r w:rsidR="0DE989EB" w:rsidRPr="00BD7C3A">
        <w:rPr>
          <w:rFonts w:ascii="Arial" w:hAnsi="Arial" w:cs="Arial"/>
          <w:sz w:val="24"/>
          <w:szCs w:val="24"/>
        </w:rPr>
        <w:t>any cash f</w:t>
      </w:r>
      <w:r w:rsidR="1B8D4830" w:rsidRPr="00BD7C3A">
        <w:rPr>
          <w:rFonts w:ascii="Arial" w:hAnsi="Arial" w:cs="Arial"/>
          <w:sz w:val="24"/>
          <w:szCs w:val="24"/>
        </w:rPr>
        <w:t>unding expended</w:t>
      </w:r>
      <w:r w:rsidR="0DE989EB" w:rsidRPr="00BD7C3A">
        <w:rPr>
          <w:rFonts w:ascii="Arial" w:hAnsi="Arial" w:cs="Arial"/>
          <w:sz w:val="24"/>
          <w:szCs w:val="24"/>
        </w:rPr>
        <w:t xml:space="preserve"> </w:t>
      </w:r>
      <w:r w:rsidR="7811C445" w:rsidRPr="00BD7C3A">
        <w:rPr>
          <w:rFonts w:ascii="Arial" w:hAnsi="Arial" w:cs="Arial"/>
          <w:sz w:val="24"/>
          <w:szCs w:val="24"/>
        </w:rPr>
        <w:t>following the</w:t>
      </w:r>
      <w:r w:rsidR="28CF151F" w:rsidRPr="00BD7C3A">
        <w:rPr>
          <w:rFonts w:ascii="Arial" w:hAnsi="Arial" w:cs="Arial"/>
          <w:sz w:val="24"/>
          <w:szCs w:val="24"/>
        </w:rPr>
        <w:t xml:space="preserve"> NOPA posting date.</w:t>
      </w:r>
      <w:r w:rsidRPr="00BD7C3A">
        <w:rPr>
          <w:rFonts w:ascii="Arial" w:hAnsi="Arial" w:cs="Arial"/>
          <w:sz w:val="24"/>
          <w:szCs w:val="24"/>
        </w:rPr>
        <w:t xml:space="preserve"> For </w:t>
      </w:r>
      <w:r w:rsidR="68B2F2FA" w:rsidRPr="00BD7C3A">
        <w:rPr>
          <w:rFonts w:ascii="Arial" w:hAnsi="Arial" w:cs="Arial"/>
          <w:sz w:val="24"/>
          <w:szCs w:val="24"/>
        </w:rPr>
        <w:t>C</w:t>
      </w:r>
      <w:r w:rsidRPr="00BD7C3A">
        <w:rPr>
          <w:rFonts w:ascii="Arial" w:hAnsi="Arial" w:cs="Arial"/>
          <w:sz w:val="24"/>
          <w:szCs w:val="24"/>
        </w:rPr>
        <w:t xml:space="preserve">ategory 2, </w:t>
      </w:r>
      <w:r w:rsidR="0FA6B35A" w:rsidRPr="00BD7C3A">
        <w:rPr>
          <w:rFonts w:ascii="Arial" w:hAnsi="Arial" w:cs="Arial"/>
          <w:sz w:val="24"/>
          <w:szCs w:val="24"/>
        </w:rPr>
        <w:t>t</w:t>
      </w:r>
      <w:r w:rsidRPr="00BD7C3A">
        <w:rPr>
          <w:rFonts w:ascii="Arial" w:hAnsi="Arial" w:cs="Arial"/>
          <w:sz w:val="24"/>
          <w:szCs w:val="24"/>
        </w:rPr>
        <w:t xml:space="preserve">he CEC will mirror the project costs under an existing military </w:t>
      </w:r>
      <w:r w:rsidR="68B2F2FA" w:rsidRPr="00BD7C3A">
        <w:rPr>
          <w:rFonts w:ascii="Arial" w:hAnsi="Arial" w:cs="Arial"/>
          <w:sz w:val="24"/>
          <w:szCs w:val="24"/>
        </w:rPr>
        <w:t>agreement and m</w:t>
      </w:r>
      <w:r w:rsidRPr="00BD7C3A">
        <w:rPr>
          <w:rFonts w:ascii="Arial" w:hAnsi="Arial" w:cs="Arial"/>
          <w:sz w:val="24"/>
          <w:szCs w:val="24"/>
        </w:rPr>
        <w:t>atch is not required</w:t>
      </w:r>
      <w:r w:rsidR="68B2F2FA" w:rsidRPr="00BD7C3A">
        <w:rPr>
          <w:rFonts w:ascii="Arial" w:hAnsi="Arial" w:cs="Arial"/>
          <w:sz w:val="24"/>
          <w:szCs w:val="24"/>
        </w:rPr>
        <w:t>.</w:t>
      </w:r>
      <w:r w:rsidR="6426DB84" w:rsidRPr="00BD7C3A">
        <w:rPr>
          <w:rFonts w:ascii="Arial" w:hAnsi="Arial" w:cs="Arial"/>
          <w:sz w:val="24"/>
          <w:szCs w:val="24"/>
        </w:rPr>
        <w:t xml:space="preserve"> Please refer to section II.C.1., Match Funding Requirements, for additional details (pages 13-18).</w:t>
      </w:r>
    </w:p>
    <w:p w14:paraId="534B0175" w14:textId="77777777" w:rsidR="00D83251" w:rsidRDefault="00D83251" w:rsidP="00865869">
      <w:pPr>
        <w:tabs>
          <w:tab w:val="left" w:pos="270"/>
          <w:tab w:val="left" w:pos="360"/>
        </w:tabs>
        <w:spacing w:after="0"/>
        <w:ind w:left="270"/>
        <w:rPr>
          <w:rFonts w:ascii="Arial" w:hAnsi="Arial" w:cs="Arial"/>
          <w:sz w:val="24"/>
          <w:szCs w:val="24"/>
        </w:rPr>
      </w:pPr>
    </w:p>
    <w:p w14:paraId="43C7E4F6" w14:textId="6D07F69D" w:rsidR="00D83251" w:rsidRPr="00D83251" w:rsidRDefault="00C27D99" w:rsidP="00C27D99">
      <w:pPr>
        <w:rPr>
          <w:rFonts w:ascii="Arial" w:hAnsi="Arial" w:cs="Arial"/>
          <w:b/>
          <w:bCs/>
          <w:sz w:val="24"/>
          <w:szCs w:val="24"/>
          <w:u w:val="single"/>
        </w:rPr>
      </w:pPr>
      <w:r w:rsidRPr="00C84463">
        <w:rPr>
          <w:rFonts w:ascii="Arial" w:hAnsi="Arial" w:cs="Arial"/>
          <w:b/>
          <w:bCs/>
          <w:sz w:val="24"/>
          <w:szCs w:val="24"/>
          <w:u w:val="single"/>
        </w:rPr>
        <w:t xml:space="preserve">Q21: </w:t>
      </w:r>
      <w:r w:rsidR="00D83251" w:rsidRPr="00C84463">
        <w:rPr>
          <w:rFonts w:ascii="Arial" w:hAnsi="Arial" w:cs="Arial"/>
          <w:b/>
          <w:bCs/>
          <w:sz w:val="24"/>
          <w:szCs w:val="24"/>
          <w:u w:val="single"/>
        </w:rPr>
        <w:t xml:space="preserve">The solicitation manual states on page 18: “Federal Agreements (Attachment 14)–may describe costs that are not eligible under the CEC grant terms, if they are clearly broken down in the federal agreement (e.g., separate task order and budget line items) so CEC can evaluate the EV charger components and costs to be mirrored in an awarded grant under this solicitation. Only eligible project costs must be listed in the CEC application package documents.” This is not worded clearly – if the Federal Agreement describes costs that are not eligible under the CEC grant terms, do those costs become </w:t>
      </w:r>
      <w:r w:rsidR="00D83251" w:rsidRPr="00C84463">
        <w:rPr>
          <w:rFonts w:ascii="Arial" w:hAnsi="Arial" w:cs="Arial"/>
          <w:b/>
          <w:bCs/>
          <w:sz w:val="24"/>
          <w:szCs w:val="24"/>
          <w:u w:val="single"/>
        </w:rPr>
        <w:lastRenderedPageBreak/>
        <w:t>eligible after the CEC evaluates those costs, since they will be “mirrored” in an award? If only eligible project costs can be listed, how would the applicant describe costs that are not eligible (in their Federal Agreement)?</w:t>
      </w:r>
      <w:r w:rsidR="00C84463" w:rsidRPr="00C84463">
        <w:rPr>
          <w:rFonts w:ascii="Arial" w:hAnsi="Arial" w:cs="Arial"/>
          <w:b/>
          <w:bCs/>
          <w:sz w:val="24"/>
          <w:szCs w:val="24"/>
          <w:u w:val="single"/>
        </w:rPr>
        <w:t xml:space="preserve"> </w:t>
      </w:r>
    </w:p>
    <w:p w14:paraId="60816E73" w14:textId="5A97E7C6" w:rsidR="00181F8D" w:rsidRPr="00AF1150" w:rsidRDefault="00181F8D" w:rsidP="00181F8D">
      <w:pPr>
        <w:tabs>
          <w:tab w:val="left" w:pos="270"/>
          <w:tab w:val="left" w:pos="360"/>
        </w:tabs>
        <w:ind w:left="270"/>
        <w:rPr>
          <w:rFonts w:ascii="Arial" w:hAnsi="Arial" w:cs="Arial"/>
          <w:b/>
          <w:bCs/>
          <w:sz w:val="24"/>
          <w:szCs w:val="24"/>
          <w:u w:val="single"/>
        </w:rPr>
      </w:pPr>
      <w:r w:rsidRPr="42E7CC45">
        <w:rPr>
          <w:rFonts w:ascii="Arial" w:hAnsi="Arial" w:cs="Arial"/>
          <w:b/>
          <w:bCs/>
          <w:sz w:val="24"/>
          <w:szCs w:val="24"/>
          <w:u w:val="single"/>
        </w:rPr>
        <w:t xml:space="preserve">A21: The CEC will only mirror eligible costs listed in </w:t>
      </w:r>
      <w:r w:rsidR="00AE0D0C" w:rsidRPr="42E7CC45">
        <w:rPr>
          <w:rFonts w:ascii="Arial" w:hAnsi="Arial" w:cs="Arial"/>
          <w:b/>
          <w:bCs/>
          <w:sz w:val="24"/>
          <w:szCs w:val="24"/>
          <w:u w:val="single"/>
        </w:rPr>
        <w:t xml:space="preserve">the </w:t>
      </w:r>
      <w:r w:rsidR="38E67646" w:rsidRPr="42E7CC45">
        <w:rPr>
          <w:rFonts w:ascii="Arial" w:hAnsi="Arial" w:cs="Arial"/>
          <w:b/>
          <w:bCs/>
          <w:sz w:val="24"/>
          <w:szCs w:val="24"/>
          <w:u w:val="single"/>
        </w:rPr>
        <w:t>CEC</w:t>
      </w:r>
      <w:r w:rsidR="004C0042" w:rsidRPr="42E7CC45">
        <w:rPr>
          <w:rFonts w:ascii="Arial" w:hAnsi="Arial" w:cs="Arial"/>
          <w:b/>
          <w:bCs/>
          <w:sz w:val="24"/>
          <w:szCs w:val="24"/>
          <w:u w:val="single"/>
        </w:rPr>
        <w:t>-</w:t>
      </w:r>
      <w:r w:rsidR="38E67646" w:rsidRPr="42E7CC45">
        <w:rPr>
          <w:rFonts w:ascii="Arial" w:hAnsi="Arial" w:cs="Arial"/>
          <w:b/>
          <w:bCs/>
          <w:sz w:val="24"/>
          <w:szCs w:val="24"/>
          <w:u w:val="single"/>
        </w:rPr>
        <w:t xml:space="preserve">funded </w:t>
      </w:r>
      <w:r w:rsidRPr="42E7CC45">
        <w:rPr>
          <w:rFonts w:ascii="Arial" w:hAnsi="Arial" w:cs="Arial"/>
          <w:b/>
          <w:bCs/>
          <w:sz w:val="24"/>
          <w:szCs w:val="24"/>
          <w:u w:val="single"/>
        </w:rPr>
        <w:t>grant agreement</w:t>
      </w:r>
      <w:r w:rsidR="6E9B7040" w:rsidRPr="42E7CC45">
        <w:rPr>
          <w:rFonts w:ascii="Arial" w:hAnsi="Arial" w:cs="Arial"/>
          <w:b/>
          <w:bCs/>
          <w:sz w:val="24"/>
          <w:szCs w:val="24"/>
          <w:u w:val="single"/>
        </w:rPr>
        <w:t xml:space="preserve"> between the CEC and grant recipient</w:t>
      </w:r>
      <w:r w:rsidRPr="42E7CC45">
        <w:rPr>
          <w:rFonts w:ascii="Arial" w:hAnsi="Arial" w:cs="Arial"/>
          <w:b/>
          <w:bCs/>
          <w:sz w:val="24"/>
          <w:szCs w:val="24"/>
          <w:u w:val="single"/>
        </w:rPr>
        <w:t xml:space="preserve">. </w:t>
      </w:r>
      <w:r w:rsidR="000A2499" w:rsidRPr="42E7CC45">
        <w:rPr>
          <w:rFonts w:ascii="Arial" w:hAnsi="Arial" w:cs="Arial"/>
          <w:b/>
          <w:bCs/>
          <w:sz w:val="24"/>
          <w:szCs w:val="24"/>
          <w:u w:val="single"/>
        </w:rPr>
        <w:t>O</w:t>
      </w:r>
      <w:r w:rsidRPr="42E7CC45">
        <w:rPr>
          <w:rFonts w:ascii="Arial" w:hAnsi="Arial" w:cs="Arial"/>
          <w:b/>
          <w:bCs/>
          <w:sz w:val="24"/>
          <w:szCs w:val="24"/>
          <w:u w:val="single"/>
        </w:rPr>
        <w:t xml:space="preserve">nly eligible costs per the solicitation manual should be included in the CEC budget submitted (Attachment 5). </w:t>
      </w:r>
      <w:r w:rsidR="009330FF" w:rsidRPr="42E7CC45">
        <w:rPr>
          <w:rFonts w:ascii="Arial" w:hAnsi="Arial" w:cs="Arial"/>
          <w:b/>
          <w:bCs/>
          <w:sz w:val="24"/>
          <w:szCs w:val="24"/>
          <w:u w:val="single"/>
        </w:rPr>
        <w:t>I</w:t>
      </w:r>
      <w:r w:rsidRPr="42E7CC45">
        <w:rPr>
          <w:rFonts w:ascii="Arial" w:hAnsi="Arial" w:cs="Arial"/>
          <w:b/>
          <w:bCs/>
          <w:sz w:val="24"/>
          <w:szCs w:val="24"/>
          <w:u w:val="single"/>
        </w:rPr>
        <w:t xml:space="preserve">neligible costs should not be listed in the CEC budget (Attachment 5), but </w:t>
      </w:r>
      <w:r w:rsidR="352F7EDC" w:rsidRPr="42E7CC45">
        <w:rPr>
          <w:rFonts w:ascii="Arial" w:hAnsi="Arial" w:cs="Arial"/>
          <w:b/>
          <w:bCs/>
          <w:sz w:val="24"/>
          <w:szCs w:val="24"/>
          <w:u w:val="single"/>
        </w:rPr>
        <w:t xml:space="preserve">all </w:t>
      </w:r>
      <w:r w:rsidRPr="42E7CC45">
        <w:rPr>
          <w:rFonts w:ascii="Arial" w:hAnsi="Arial" w:cs="Arial"/>
          <w:b/>
          <w:bCs/>
          <w:sz w:val="24"/>
          <w:szCs w:val="24"/>
          <w:u w:val="single"/>
        </w:rPr>
        <w:t xml:space="preserve">costs </w:t>
      </w:r>
      <w:r w:rsidR="00FC3DA6" w:rsidRPr="42E7CC45">
        <w:rPr>
          <w:rFonts w:ascii="Arial" w:hAnsi="Arial" w:cs="Arial"/>
          <w:b/>
          <w:bCs/>
          <w:sz w:val="24"/>
          <w:szCs w:val="24"/>
          <w:u w:val="single"/>
        </w:rPr>
        <w:t>(i.e.</w:t>
      </w:r>
      <w:r w:rsidR="009F054A" w:rsidRPr="42E7CC45">
        <w:rPr>
          <w:rFonts w:ascii="Arial" w:hAnsi="Arial" w:cs="Arial"/>
          <w:b/>
          <w:bCs/>
          <w:sz w:val="24"/>
          <w:szCs w:val="24"/>
          <w:u w:val="single"/>
        </w:rPr>
        <w:t xml:space="preserve"> eligible and ineligible</w:t>
      </w:r>
      <w:r w:rsidR="00F25E67" w:rsidRPr="42E7CC45">
        <w:rPr>
          <w:rFonts w:ascii="Arial" w:hAnsi="Arial" w:cs="Arial"/>
          <w:b/>
          <w:bCs/>
          <w:sz w:val="24"/>
          <w:szCs w:val="24"/>
          <w:u w:val="single"/>
        </w:rPr>
        <w:t xml:space="preserve">) </w:t>
      </w:r>
      <w:r w:rsidRPr="42E7CC45">
        <w:rPr>
          <w:rFonts w:ascii="Arial" w:hAnsi="Arial" w:cs="Arial"/>
          <w:b/>
          <w:bCs/>
          <w:sz w:val="24"/>
          <w:szCs w:val="24"/>
          <w:u w:val="single"/>
        </w:rPr>
        <w:t>as related to</w:t>
      </w:r>
      <w:r w:rsidR="0041798A" w:rsidRPr="42E7CC45">
        <w:rPr>
          <w:rFonts w:ascii="Arial" w:hAnsi="Arial" w:cs="Arial"/>
          <w:b/>
          <w:bCs/>
          <w:sz w:val="24"/>
          <w:szCs w:val="24"/>
          <w:u w:val="single"/>
        </w:rPr>
        <w:t xml:space="preserve"> both</w:t>
      </w:r>
      <w:r w:rsidRPr="42E7CC45">
        <w:rPr>
          <w:rFonts w:ascii="Arial" w:hAnsi="Arial" w:cs="Arial"/>
          <w:b/>
          <w:bCs/>
          <w:sz w:val="24"/>
          <w:szCs w:val="24"/>
          <w:u w:val="single"/>
        </w:rPr>
        <w:t xml:space="preserve"> the CEC</w:t>
      </w:r>
      <w:r w:rsidR="00D375C6" w:rsidRPr="42E7CC45">
        <w:rPr>
          <w:rFonts w:ascii="Arial" w:hAnsi="Arial" w:cs="Arial"/>
          <w:b/>
          <w:bCs/>
          <w:sz w:val="24"/>
          <w:szCs w:val="24"/>
          <w:u w:val="single"/>
        </w:rPr>
        <w:t>-</w:t>
      </w:r>
      <w:r w:rsidRPr="42E7CC45">
        <w:rPr>
          <w:rFonts w:ascii="Arial" w:hAnsi="Arial" w:cs="Arial"/>
          <w:b/>
          <w:bCs/>
          <w:sz w:val="24"/>
          <w:szCs w:val="24"/>
          <w:u w:val="single"/>
        </w:rPr>
        <w:t xml:space="preserve">funded portion of the project </w:t>
      </w:r>
      <w:r w:rsidR="5DEC0F32" w:rsidRPr="42E7CC45">
        <w:rPr>
          <w:rFonts w:ascii="Arial" w:hAnsi="Arial" w:cs="Arial"/>
          <w:b/>
          <w:bCs/>
          <w:sz w:val="24"/>
          <w:szCs w:val="24"/>
          <w:u w:val="single"/>
        </w:rPr>
        <w:t>and associated with the federal agreement (if applicable)</w:t>
      </w:r>
      <w:r w:rsidR="7E90B14F" w:rsidRPr="42E7CC45">
        <w:rPr>
          <w:rFonts w:ascii="Arial" w:hAnsi="Arial" w:cs="Arial"/>
          <w:b/>
          <w:bCs/>
          <w:sz w:val="24"/>
          <w:szCs w:val="24"/>
          <w:u w:val="single"/>
        </w:rPr>
        <w:t xml:space="preserve">, </w:t>
      </w:r>
      <w:r w:rsidRPr="42E7CC45">
        <w:rPr>
          <w:rFonts w:ascii="Arial" w:hAnsi="Arial" w:cs="Arial"/>
          <w:b/>
          <w:bCs/>
          <w:sz w:val="24"/>
          <w:szCs w:val="24"/>
          <w:u w:val="single"/>
        </w:rPr>
        <w:t>should be provided in Attachment 14.</w:t>
      </w:r>
    </w:p>
    <w:p w14:paraId="1F9324DC" w14:textId="77777777" w:rsidR="004131D8" w:rsidRDefault="004131D8" w:rsidP="00BB1E5A">
      <w:pPr>
        <w:spacing w:after="0"/>
        <w:rPr>
          <w:rFonts w:ascii="Arial" w:hAnsi="Arial" w:cs="Arial"/>
          <w:b/>
          <w:bCs/>
          <w:sz w:val="24"/>
          <w:szCs w:val="24"/>
          <w:u w:val="single"/>
        </w:rPr>
      </w:pPr>
    </w:p>
    <w:p w14:paraId="486847E1" w14:textId="2B81327C" w:rsidR="0017250A" w:rsidRDefault="007850A0" w:rsidP="00BB1E5A">
      <w:pPr>
        <w:spacing w:after="0"/>
        <w:rPr>
          <w:rFonts w:ascii="Arial" w:hAnsi="Arial" w:cs="Arial"/>
          <w:b/>
          <w:bCs/>
          <w:sz w:val="24"/>
          <w:szCs w:val="24"/>
          <w:u w:val="single"/>
        </w:rPr>
      </w:pPr>
      <w:r>
        <w:rPr>
          <w:rFonts w:ascii="Arial" w:hAnsi="Arial" w:cs="Arial"/>
          <w:b/>
          <w:bCs/>
          <w:sz w:val="24"/>
          <w:szCs w:val="24"/>
          <w:u w:val="single"/>
        </w:rPr>
        <w:t>Q2</w:t>
      </w:r>
      <w:r w:rsidR="00494702">
        <w:rPr>
          <w:rFonts w:ascii="Arial" w:hAnsi="Arial" w:cs="Arial"/>
          <w:b/>
          <w:bCs/>
          <w:sz w:val="24"/>
          <w:szCs w:val="24"/>
          <w:u w:val="single"/>
        </w:rPr>
        <w:t>2</w:t>
      </w:r>
      <w:r>
        <w:rPr>
          <w:rFonts w:ascii="Arial" w:hAnsi="Arial" w:cs="Arial"/>
          <w:b/>
          <w:bCs/>
          <w:sz w:val="24"/>
          <w:szCs w:val="24"/>
          <w:u w:val="single"/>
        </w:rPr>
        <w:t>: If w</w:t>
      </w:r>
      <w:r w:rsidRPr="007850A0">
        <w:rPr>
          <w:rFonts w:ascii="Arial" w:hAnsi="Arial" w:cs="Arial"/>
          <w:b/>
          <w:bCs/>
          <w:sz w:val="24"/>
          <w:szCs w:val="24"/>
          <w:u w:val="single"/>
        </w:rPr>
        <w:t>e have</w:t>
      </w:r>
      <w:r w:rsidR="00BA6780">
        <w:rPr>
          <w:rFonts w:ascii="Arial" w:hAnsi="Arial" w:cs="Arial"/>
          <w:b/>
          <w:bCs/>
          <w:sz w:val="24"/>
          <w:szCs w:val="24"/>
          <w:u w:val="single"/>
        </w:rPr>
        <w:t xml:space="preserve"> projects</w:t>
      </w:r>
      <w:r w:rsidRPr="007850A0">
        <w:rPr>
          <w:rFonts w:ascii="Arial" w:hAnsi="Arial" w:cs="Arial"/>
          <w:b/>
          <w:bCs/>
          <w:sz w:val="24"/>
          <w:szCs w:val="24"/>
          <w:u w:val="single"/>
        </w:rPr>
        <w:t xml:space="preserve"> </w:t>
      </w:r>
      <w:r>
        <w:rPr>
          <w:rFonts w:ascii="Arial" w:hAnsi="Arial" w:cs="Arial"/>
          <w:b/>
          <w:bCs/>
          <w:sz w:val="24"/>
          <w:szCs w:val="24"/>
          <w:u w:val="single"/>
        </w:rPr>
        <w:t>that</w:t>
      </w:r>
      <w:r w:rsidRPr="007850A0">
        <w:rPr>
          <w:rFonts w:ascii="Arial" w:hAnsi="Arial" w:cs="Arial"/>
          <w:b/>
          <w:bCs/>
          <w:sz w:val="24"/>
          <w:szCs w:val="24"/>
          <w:u w:val="single"/>
        </w:rPr>
        <w:t xml:space="preserve"> will be constructed on State owned land using a ROW/lease</w:t>
      </w:r>
      <w:r w:rsidR="008900FA">
        <w:rPr>
          <w:rFonts w:ascii="Arial" w:hAnsi="Arial" w:cs="Arial"/>
          <w:b/>
          <w:bCs/>
          <w:sz w:val="24"/>
          <w:szCs w:val="24"/>
          <w:u w:val="single"/>
        </w:rPr>
        <w:t>, a</w:t>
      </w:r>
      <w:r w:rsidR="00BB1E5A" w:rsidRPr="00BB1E5A">
        <w:rPr>
          <w:rFonts w:ascii="Arial" w:hAnsi="Arial" w:cs="Arial"/>
          <w:b/>
          <w:bCs/>
          <w:sz w:val="24"/>
          <w:szCs w:val="24"/>
          <w:u w:val="single"/>
        </w:rPr>
        <w:t xml:space="preserve">re we allowed to use grant funds to pay State processing for the </w:t>
      </w:r>
      <w:r w:rsidR="003132FB">
        <w:rPr>
          <w:rFonts w:ascii="Arial" w:hAnsi="Arial" w:cs="Arial"/>
          <w:b/>
          <w:bCs/>
          <w:sz w:val="24"/>
          <w:szCs w:val="24"/>
          <w:u w:val="single"/>
        </w:rPr>
        <w:t>right of way/</w:t>
      </w:r>
      <w:r w:rsidR="00BB1E5A" w:rsidRPr="00BB1E5A">
        <w:rPr>
          <w:rFonts w:ascii="Arial" w:hAnsi="Arial" w:cs="Arial"/>
          <w:b/>
          <w:bCs/>
          <w:sz w:val="24"/>
          <w:szCs w:val="24"/>
          <w:u w:val="single"/>
        </w:rPr>
        <w:t>lease?</w:t>
      </w:r>
      <w:r>
        <w:rPr>
          <w:rFonts w:ascii="Arial" w:hAnsi="Arial" w:cs="Arial"/>
          <w:b/>
          <w:bCs/>
          <w:sz w:val="24"/>
          <w:szCs w:val="24"/>
          <w:u w:val="single"/>
        </w:rPr>
        <w:t xml:space="preserve"> </w:t>
      </w:r>
    </w:p>
    <w:p w14:paraId="313516AB" w14:textId="77777777" w:rsidR="002814A9" w:rsidRDefault="002814A9" w:rsidP="00BB1E5A">
      <w:pPr>
        <w:spacing w:after="0"/>
        <w:rPr>
          <w:rFonts w:ascii="Arial" w:hAnsi="Arial" w:cs="Arial"/>
          <w:b/>
          <w:bCs/>
          <w:sz w:val="24"/>
          <w:szCs w:val="24"/>
          <w:u w:val="single"/>
        </w:rPr>
      </w:pPr>
    </w:p>
    <w:p w14:paraId="346E24F9" w14:textId="0F7872C1" w:rsidR="0017250A" w:rsidRPr="00AF1150" w:rsidRDefault="002814A9" w:rsidP="002814A9">
      <w:pPr>
        <w:tabs>
          <w:tab w:val="left" w:pos="270"/>
          <w:tab w:val="left" w:pos="360"/>
        </w:tabs>
        <w:ind w:left="270"/>
        <w:rPr>
          <w:rFonts w:ascii="Arial" w:hAnsi="Arial" w:cs="Arial"/>
          <w:b/>
          <w:bCs/>
          <w:sz w:val="24"/>
          <w:szCs w:val="24"/>
          <w:u w:val="single"/>
        </w:rPr>
      </w:pPr>
      <w:r w:rsidRPr="42E7CC45">
        <w:rPr>
          <w:rFonts w:ascii="Arial" w:hAnsi="Arial" w:cs="Arial"/>
          <w:b/>
          <w:bCs/>
          <w:sz w:val="24"/>
          <w:szCs w:val="24"/>
          <w:u w:val="single"/>
        </w:rPr>
        <w:t>A</w:t>
      </w:r>
      <w:r w:rsidR="002B0275" w:rsidRPr="42E7CC45">
        <w:rPr>
          <w:rFonts w:ascii="Arial" w:hAnsi="Arial" w:cs="Arial"/>
          <w:b/>
          <w:bCs/>
          <w:sz w:val="24"/>
          <w:szCs w:val="24"/>
          <w:u w:val="single"/>
        </w:rPr>
        <w:t>2</w:t>
      </w:r>
      <w:r w:rsidR="00494702" w:rsidRPr="42E7CC45">
        <w:rPr>
          <w:rFonts w:ascii="Arial" w:hAnsi="Arial" w:cs="Arial"/>
          <w:b/>
          <w:bCs/>
          <w:sz w:val="24"/>
          <w:szCs w:val="24"/>
          <w:u w:val="single"/>
        </w:rPr>
        <w:t>2</w:t>
      </w:r>
      <w:r w:rsidRPr="42E7CC45">
        <w:rPr>
          <w:rFonts w:ascii="Arial" w:hAnsi="Arial" w:cs="Arial"/>
          <w:b/>
          <w:bCs/>
          <w:sz w:val="24"/>
          <w:szCs w:val="24"/>
          <w:u w:val="single"/>
        </w:rPr>
        <w:t>: No</w:t>
      </w:r>
      <w:r w:rsidR="00F44952" w:rsidRPr="42E7CC45">
        <w:rPr>
          <w:rFonts w:ascii="Arial" w:hAnsi="Arial" w:cs="Arial"/>
          <w:b/>
          <w:bCs/>
          <w:sz w:val="24"/>
          <w:szCs w:val="24"/>
          <w:u w:val="single"/>
        </w:rPr>
        <w:t>, CEC</w:t>
      </w:r>
      <w:r w:rsidR="00112ACD" w:rsidRPr="42E7CC45">
        <w:rPr>
          <w:rFonts w:ascii="Arial" w:hAnsi="Arial" w:cs="Arial"/>
          <w:b/>
          <w:bCs/>
          <w:sz w:val="24"/>
          <w:szCs w:val="24"/>
          <w:u w:val="single"/>
        </w:rPr>
        <w:t xml:space="preserve"> will not </w:t>
      </w:r>
      <w:r w:rsidR="00496955" w:rsidRPr="42E7CC45">
        <w:rPr>
          <w:rFonts w:ascii="Arial" w:hAnsi="Arial" w:cs="Arial"/>
          <w:b/>
          <w:bCs/>
          <w:sz w:val="24"/>
          <w:szCs w:val="24"/>
          <w:u w:val="single"/>
        </w:rPr>
        <w:t xml:space="preserve">reimburse </w:t>
      </w:r>
      <w:r w:rsidR="00212AC8" w:rsidRPr="42E7CC45">
        <w:rPr>
          <w:rFonts w:ascii="Arial" w:hAnsi="Arial" w:cs="Arial"/>
          <w:b/>
          <w:bCs/>
          <w:sz w:val="24"/>
          <w:szCs w:val="24"/>
          <w:u w:val="single"/>
        </w:rPr>
        <w:t xml:space="preserve">for </w:t>
      </w:r>
      <w:r w:rsidR="00F44952" w:rsidRPr="42E7CC45">
        <w:rPr>
          <w:rFonts w:ascii="Arial" w:hAnsi="Arial" w:cs="Arial"/>
          <w:b/>
          <w:bCs/>
          <w:sz w:val="24"/>
          <w:szCs w:val="24"/>
          <w:u w:val="single"/>
        </w:rPr>
        <w:t xml:space="preserve">compliance </w:t>
      </w:r>
      <w:r w:rsidR="00685D3D" w:rsidRPr="42E7CC45">
        <w:rPr>
          <w:rFonts w:ascii="Arial" w:hAnsi="Arial" w:cs="Arial"/>
          <w:b/>
          <w:bCs/>
          <w:sz w:val="24"/>
          <w:szCs w:val="24"/>
          <w:u w:val="single"/>
        </w:rPr>
        <w:t>costs</w:t>
      </w:r>
      <w:r w:rsidRPr="42E7CC45">
        <w:rPr>
          <w:rFonts w:ascii="Arial" w:hAnsi="Arial" w:cs="Arial"/>
          <w:b/>
          <w:bCs/>
          <w:sz w:val="24"/>
          <w:szCs w:val="24"/>
          <w:u w:val="single"/>
        </w:rPr>
        <w:t>.</w:t>
      </w:r>
      <w:r w:rsidR="00A67A46" w:rsidRPr="42E7CC45">
        <w:rPr>
          <w:rFonts w:ascii="Arial" w:hAnsi="Arial" w:cs="Arial"/>
          <w:b/>
          <w:bCs/>
          <w:sz w:val="24"/>
          <w:szCs w:val="24"/>
          <w:u w:val="single"/>
        </w:rPr>
        <w:t xml:space="preserve"> </w:t>
      </w:r>
      <w:r w:rsidR="00A96685" w:rsidRPr="42E7CC45">
        <w:rPr>
          <w:rFonts w:ascii="Arial" w:hAnsi="Arial" w:cs="Arial"/>
          <w:b/>
          <w:bCs/>
          <w:sz w:val="24"/>
          <w:szCs w:val="24"/>
          <w:u w:val="single"/>
        </w:rPr>
        <w:t xml:space="preserve">Per Section </w:t>
      </w:r>
      <w:r w:rsidR="002D6BC0" w:rsidRPr="42E7CC45">
        <w:rPr>
          <w:rFonts w:ascii="Arial" w:hAnsi="Arial" w:cs="Arial"/>
          <w:b/>
          <w:bCs/>
          <w:sz w:val="24"/>
          <w:szCs w:val="24"/>
          <w:u w:val="single"/>
        </w:rPr>
        <w:t>III.</w:t>
      </w:r>
      <w:r w:rsidR="00F44952" w:rsidRPr="42E7CC45">
        <w:rPr>
          <w:rFonts w:ascii="Arial" w:hAnsi="Arial" w:cs="Arial"/>
          <w:b/>
          <w:bCs/>
          <w:sz w:val="24"/>
          <w:szCs w:val="24"/>
          <w:u w:val="single"/>
        </w:rPr>
        <w:t>D.</w:t>
      </w:r>
      <w:r w:rsidR="00685D3D" w:rsidRPr="42E7CC45">
        <w:rPr>
          <w:rFonts w:ascii="Arial" w:hAnsi="Arial" w:cs="Arial"/>
          <w:b/>
          <w:bCs/>
          <w:sz w:val="24"/>
          <w:szCs w:val="24"/>
          <w:u w:val="single"/>
        </w:rPr>
        <w:t xml:space="preserve">5 </w:t>
      </w:r>
      <w:r w:rsidR="00AD5812" w:rsidRPr="42E7CC45">
        <w:rPr>
          <w:rFonts w:ascii="Arial" w:hAnsi="Arial" w:cs="Arial"/>
          <w:b/>
          <w:bCs/>
          <w:sz w:val="24"/>
          <w:szCs w:val="24"/>
          <w:u w:val="single"/>
        </w:rPr>
        <w:t>(Application Content, Budget Forms), “</w:t>
      </w:r>
      <w:r w:rsidR="00A20D3E" w:rsidRPr="42E7CC45">
        <w:rPr>
          <w:rFonts w:ascii="Arial" w:hAnsi="Arial" w:cs="Arial"/>
          <w:b/>
          <w:bCs/>
          <w:i/>
          <w:iCs/>
          <w:sz w:val="24"/>
          <w:szCs w:val="24"/>
          <w:u w:val="single"/>
        </w:rPr>
        <w:t>Applicants must budget for permits, insurance, etc. CEC will not reimburse expenditures for permitting or insurance. However, these expenditures can be included as match share expenditure</w:t>
      </w:r>
      <w:r w:rsidR="00A20D3E" w:rsidRPr="42E7CC45">
        <w:rPr>
          <w:rFonts w:ascii="Arial" w:hAnsi="Arial" w:cs="Arial"/>
          <w:b/>
          <w:bCs/>
          <w:sz w:val="24"/>
          <w:szCs w:val="24"/>
          <w:u w:val="single"/>
        </w:rPr>
        <w:t>.</w:t>
      </w:r>
      <w:r w:rsidR="00AB694A" w:rsidRPr="42E7CC45">
        <w:rPr>
          <w:rFonts w:ascii="Arial" w:hAnsi="Arial" w:cs="Arial"/>
          <w:b/>
          <w:bCs/>
          <w:sz w:val="24"/>
          <w:szCs w:val="24"/>
          <w:u w:val="single"/>
        </w:rPr>
        <w:t>” (page 24).</w:t>
      </w:r>
    </w:p>
    <w:p w14:paraId="48C17F8E" w14:textId="77777777" w:rsidR="00BB1E5A" w:rsidRPr="00BD7C3A" w:rsidRDefault="00BB1E5A" w:rsidP="00865869">
      <w:pPr>
        <w:spacing w:after="0"/>
        <w:rPr>
          <w:rFonts w:ascii="Arial" w:hAnsi="Arial" w:cs="Arial"/>
          <w:b/>
          <w:bCs/>
          <w:sz w:val="24"/>
          <w:szCs w:val="24"/>
          <w:u w:val="single"/>
        </w:rPr>
      </w:pPr>
    </w:p>
    <w:p w14:paraId="2FD16B88" w14:textId="4A493B86" w:rsidR="005B2F10" w:rsidRPr="00BD7C3A" w:rsidRDefault="005B2F10" w:rsidP="004A4E09">
      <w:pPr>
        <w:spacing w:before="120" w:line="240" w:lineRule="auto"/>
        <w:rPr>
          <w:rFonts w:ascii="Arial" w:hAnsi="Arial" w:cs="Arial"/>
          <w:b/>
          <w:bCs/>
          <w:sz w:val="24"/>
          <w:szCs w:val="24"/>
          <w:u w:val="single"/>
        </w:rPr>
      </w:pPr>
      <w:r w:rsidRPr="00BD7C3A">
        <w:rPr>
          <w:rFonts w:ascii="Arial" w:hAnsi="Arial" w:cs="Arial"/>
          <w:b/>
          <w:bCs/>
          <w:sz w:val="24"/>
          <w:szCs w:val="24"/>
          <w:u w:val="single"/>
        </w:rPr>
        <w:t>Evaluation</w:t>
      </w:r>
    </w:p>
    <w:p w14:paraId="354AC438" w14:textId="49FA8B4D" w:rsidR="009161B9" w:rsidRPr="00BD7C3A" w:rsidRDefault="00AC2D17" w:rsidP="005B2F10">
      <w:pPr>
        <w:rPr>
          <w:rFonts w:ascii="Arial" w:hAnsi="Arial" w:cs="Arial"/>
          <w:b/>
          <w:bCs/>
          <w:sz w:val="24"/>
          <w:szCs w:val="24"/>
        </w:rPr>
      </w:pPr>
      <w:r w:rsidRPr="42E7CC45">
        <w:rPr>
          <w:rFonts w:ascii="Arial" w:hAnsi="Arial" w:cs="Arial"/>
          <w:b/>
          <w:bCs/>
          <w:sz w:val="24"/>
          <w:szCs w:val="24"/>
        </w:rPr>
        <w:t>[</w:t>
      </w:r>
      <w:r w:rsidRPr="42E7CC45">
        <w:rPr>
          <w:rFonts w:ascii="Arial" w:hAnsi="Arial" w:cs="Arial"/>
          <w:b/>
          <w:bCs/>
          <w:strike/>
          <w:sz w:val="24"/>
          <w:szCs w:val="24"/>
        </w:rPr>
        <w:t>Q21:</w:t>
      </w:r>
      <w:r w:rsidRPr="42E7CC45">
        <w:rPr>
          <w:rFonts w:ascii="Arial" w:hAnsi="Arial" w:cs="Arial"/>
          <w:b/>
          <w:bCs/>
          <w:sz w:val="24"/>
          <w:szCs w:val="24"/>
        </w:rPr>
        <w:t xml:space="preserve">] </w:t>
      </w:r>
      <w:r w:rsidR="47F32A62" w:rsidRPr="42E7CC45">
        <w:rPr>
          <w:rFonts w:ascii="Arial" w:hAnsi="Arial" w:cs="Arial"/>
          <w:b/>
          <w:bCs/>
          <w:sz w:val="24"/>
          <w:szCs w:val="24"/>
          <w:u w:val="single"/>
        </w:rPr>
        <w:t>Q</w:t>
      </w:r>
      <w:r w:rsidR="009A0D96" w:rsidRPr="42E7CC45">
        <w:rPr>
          <w:rFonts w:ascii="Arial" w:hAnsi="Arial" w:cs="Arial"/>
          <w:b/>
          <w:bCs/>
          <w:sz w:val="24"/>
          <w:szCs w:val="24"/>
          <w:u w:val="single"/>
        </w:rPr>
        <w:t>2</w:t>
      </w:r>
      <w:r w:rsidR="00494702" w:rsidRPr="42E7CC45">
        <w:rPr>
          <w:rFonts w:ascii="Arial" w:hAnsi="Arial" w:cs="Arial"/>
          <w:b/>
          <w:bCs/>
          <w:sz w:val="24"/>
          <w:szCs w:val="24"/>
          <w:u w:val="single"/>
        </w:rPr>
        <w:t>3</w:t>
      </w:r>
      <w:r w:rsidR="47F32A62" w:rsidRPr="42E7CC45">
        <w:rPr>
          <w:rFonts w:ascii="Arial" w:hAnsi="Arial" w:cs="Arial"/>
          <w:b/>
          <w:bCs/>
          <w:sz w:val="24"/>
          <w:szCs w:val="24"/>
          <w:u w:val="single"/>
        </w:rPr>
        <w:t>:</w:t>
      </w:r>
      <w:r w:rsidR="47F32A62" w:rsidRPr="42E7CC45">
        <w:rPr>
          <w:rFonts w:ascii="Arial" w:hAnsi="Arial" w:cs="Arial"/>
          <w:b/>
          <w:bCs/>
          <w:sz w:val="24"/>
          <w:szCs w:val="24"/>
        </w:rPr>
        <w:t xml:space="preserve"> Will operations and maintenance be considered under </w:t>
      </w:r>
      <w:r w:rsidR="39135EFD" w:rsidRPr="42E7CC45">
        <w:rPr>
          <w:rFonts w:ascii="Arial" w:hAnsi="Arial" w:cs="Arial"/>
          <w:b/>
          <w:bCs/>
          <w:sz w:val="24"/>
          <w:szCs w:val="24"/>
        </w:rPr>
        <w:t xml:space="preserve">the Implementation and </w:t>
      </w:r>
      <w:r w:rsidR="47F32A62" w:rsidRPr="42E7CC45">
        <w:rPr>
          <w:rFonts w:ascii="Arial" w:hAnsi="Arial" w:cs="Arial"/>
          <w:b/>
          <w:bCs/>
          <w:sz w:val="24"/>
          <w:szCs w:val="24"/>
        </w:rPr>
        <w:t>Technical Readiness</w:t>
      </w:r>
      <w:r w:rsidR="39135EFD" w:rsidRPr="42E7CC45">
        <w:rPr>
          <w:rFonts w:ascii="Arial" w:hAnsi="Arial" w:cs="Arial"/>
          <w:b/>
          <w:bCs/>
          <w:sz w:val="24"/>
          <w:szCs w:val="24"/>
        </w:rPr>
        <w:t xml:space="preserve"> evaluation criterion</w:t>
      </w:r>
      <w:r w:rsidR="47F32A62" w:rsidRPr="42E7CC45">
        <w:rPr>
          <w:rFonts w:ascii="Arial" w:hAnsi="Arial" w:cs="Arial"/>
          <w:b/>
          <w:bCs/>
          <w:sz w:val="24"/>
          <w:szCs w:val="24"/>
        </w:rPr>
        <w:t>?</w:t>
      </w:r>
    </w:p>
    <w:p w14:paraId="105677E1" w14:textId="329A8191" w:rsidR="009161B9" w:rsidRDefault="004D1C91" w:rsidP="005B2F10">
      <w:pPr>
        <w:tabs>
          <w:tab w:val="left" w:pos="270"/>
          <w:tab w:val="left" w:pos="360"/>
        </w:tabs>
        <w:ind w:left="270"/>
        <w:rPr>
          <w:rFonts w:ascii="Arial" w:hAnsi="Arial" w:cs="Arial"/>
          <w:sz w:val="24"/>
          <w:szCs w:val="24"/>
        </w:rPr>
      </w:pPr>
      <w:r w:rsidRPr="42E7CC45">
        <w:rPr>
          <w:rFonts w:ascii="Arial" w:hAnsi="Arial" w:cs="Arial"/>
          <w:sz w:val="24"/>
          <w:szCs w:val="24"/>
        </w:rPr>
        <w:t>[</w:t>
      </w:r>
      <w:r w:rsidRPr="42E7CC45">
        <w:rPr>
          <w:rFonts w:ascii="Arial" w:hAnsi="Arial" w:cs="Arial"/>
          <w:strike/>
          <w:sz w:val="24"/>
          <w:szCs w:val="24"/>
        </w:rPr>
        <w:t>A21:</w:t>
      </w:r>
      <w:r w:rsidRPr="42E7CC45">
        <w:rPr>
          <w:rFonts w:ascii="Arial" w:hAnsi="Arial" w:cs="Arial"/>
          <w:sz w:val="24"/>
          <w:szCs w:val="24"/>
        </w:rPr>
        <w:t xml:space="preserve">] </w:t>
      </w:r>
      <w:r w:rsidR="3B7796AC" w:rsidRPr="42E7CC45">
        <w:rPr>
          <w:rFonts w:ascii="Arial" w:hAnsi="Arial" w:cs="Arial"/>
          <w:b/>
          <w:bCs/>
          <w:sz w:val="24"/>
          <w:szCs w:val="24"/>
          <w:u w:val="single"/>
        </w:rPr>
        <w:t>A</w:t>
      </w:r>
      <w:r w:rsidR="009A0D96" w:rsidRPr="42E7CC45">
        <w:rPr>
          <w:rFonts w:ascii="Arial" w:hAnsi="Arial" w:cs="Arial"/>
          <w:b/>
          <w:bCs/>
          <w:sz w:val="24"/>
          <w:szCs w:val="24"/>
          <w:u w:val="single"/>
        </w:rPr>
        <w:t>2</w:t>
      </w:r>
      <w:r w:rsidR="00494702" w:rsidRPr="42E7CC45">
        <w:rPr>
          <w:rFonts w:ascii="Arial" w:hAnsi="Arial" w:cs="Arial"/>
          <w:b/>
          <w:bCs/>
          <w:sz w:val="24"/>
          <w:szCs w:val="24"/>
          <w:u w:val="single"/>
        </w:rPr>
        <w:t>3</w:t>
      </w:r>
      <w:r w:rsidR="3B7796AC" w:rsidRPr="42E7CC45">
        <w:rPr>
          <w:rFonts w:ascii="Arial" w:hAnsi="Arial" w:cs="Arial"/>
          <w:b/>
          <w:bCs/>
          <w:sz w:val="24"/>
          <w:szCs w:val="24"/>
          <w:u w:val="single"/>
        </w:rPr>
        <w:t>:</w:t>
      </w:r>
      <w:r w:rsidR="3B7796AC" w:rsidRPr="42E7CC45">
        <w:rPr>
          <w:rFonts w:ascii="Arial" w:hAnsi="Arial" w:cs="Arial"/>
          <w:sz w:val="24"/>
          <w:szCs w:val="24"/>
        </w:rPr>
        <w:t xml:space="preserve"> Operation and maintenance are not explicitly defined in the evaluation criteria, however applicants should provide additional information on the associated operation and maintenance costs in their project narrative and proposed budget where applicable. </w:t>
      </w:r>
      <w:r w:rsidR="224FDD4D" w:rsidRPr="42E7CC45">
        <w:rPr>
          <w:rFonts w:ascii="Arial" w:hAnsi="Arial" w:cs="Arial"/>
          <w:sz w:val="24"/>
          <w:szCs w:val="24"/>
        </w:rPr>
        <w:t xml:space="preserve"> Please refer to Section IV.E</w:t>
      </w:r>
      <w:r w:rsidR="51BA2993" w:rsidRPr="42E7CC45">
        <w:rPr>
          <w:rFonts w:ascii="Arial" w:hAnsi="Arial" w:cs="Arial"/>
          <w:sz w:val="24"/>
          <w:szCs w:val="24"/>
        </w:rPr>
        <w:t>, Evaluation Criteria</w:t>
      </w:r>
      <w:r w:rsidR="224FDD4D" w:rsidRPr="42E7CC45">
        <w:rPr>
          <w:rFonts w:ascii="Arial" w:hAnsi="Arial" w:cs="Arial"/>
          <w:sz w:val="24"/>
          <w:szCs w:val="24"/>
        </w:rPr>
        <w:t xml:space="preserve"> for more detail on the </w:t>
      </w:r>
      <w:r w:rsidR="0A51A30A" w:rsidRPr="42E7CC45">
        <w:rPr>
          <w:rFonts w:ascii="Arial" w:hAnsi="Arial" w:cs="Arial"/>
          <w:sz w:val="24"/>
          <w:szCs w:val="24"/>
        </w:rPr>
        <w:t>technical evaluation criteri</w:t>
      </w:r>
      <w:r w:rsidR="37BBABFB" w:rsidRPr="42E7CC45">
        <w:rPr>
          <w:rFonts w:ascii="Arial" w:hAnsi="Arial" w:cs="Arial"/>
          <w:sz w:val="24"/>
          <w:szCs w:val="24"/>
        </w:rPr>
        <w:t>on</w:t>
      </w:r>
      <w:r w:rsidR="224FDD4D" w:rsidRPr="42E7CC45">
        <w:rPr>
          <w:rFonts w:ascii="Arial" w:hAnsi="Arial" w:cs="Arial"/>
          <w:sz w:val="24"/>
          <w:szCs w:val="24"/>
        </w:rPr>
        <w:t xml:space="preserve"> (Page 31). </w:t>
      </w:r>
    </w:p>
    <w:p w14:paraId="46D4047A" w14:textId="77777777" w:rsidR="00461A31" w:rsidRPr="00F003B6" w:rsidRDefault="00461A31" w:rsidP="00F003B6">
      <w:pPr>
        <w:spacing w:before="120" w:line="240" w:lineRule="auto"/>
        <w:rPr>
          <w:rFonts w:ascii="Arial" w:hAnsi="Arial" w:cs="Arial"/>
          <w:b/>
          <w:bCs/>
          <w:sz w:val="24"/>
          <w:szCs w:val="24"/>
          <w:u w:val="single"/>
        </w:rPr>
      </w:pPr>
    </w:p>
    <w:p w14:paraId="32A628FE" w14:textId="1C91D807" w:rsidR="00CC655B" w:rsidRPr="00F003B6" w:rsidRDefault="0043635D" w:rsidP="00F003B6">
      <w:pPr>
        <w:spacing w:before="120" w:line="240" w:lineRule="auto"/>
        <w:rPr>
          <w:rFonts w:ascii="Arial" w:hAnsi="Arial" w:cs="Arial"/>
          <w:b/>
          <w:bCs/>
          <w:sz w:val="24"/>
          <w:szCs w:val="24"/>
          <w:u w:val="single"/>
        </w:rPr>
      </w:pPr>
      <w:r w:rsidRPr="00F003B6">
        <w:rPr>
          <w:rFonts w:ascii="Arial" w:hAnsi="Arial" w:cs="Arial"/>
          <w:b/>
          <w:bCs/>
          <w:sz w:val="24"/>
          <w:szCs w:val="24"/>
          <w:u w:val="single"/>
        </w:rPr>
        <w:t>Application</w:t>
      </w:r>
      <w:r w:rsidR="00CC655B" w:rsidRPr="00F003B6">
        <w:rPr>
          <w:rFonts w:ascii="Arial" w:hAnsi="Arial" w:cs="Arial"/>
          <w:b/>
          <w:bCs/>
          <w:sz w:val="24"/>
          <w:szCs w:val="24"/>
          <w:u w:val="single"/>
        </w:rPr>
        <w:t xml:space="preserve"> and Agreement</w:t>
      </w:r>
      <w:r w:rsidRPr="00F003B6">
        <w:rPr>
          <w:rFonts w:ascii="Arial" w:hAnsi="Arial" w:cs="Arial"/>
          <w:b/>
          <w:bCs/>
          <w:sz w:val="24"/>
          <w:szCs w:val="24"/>
          <w:u w:val="single"/>
        </w:rPr>
        <w:t xml:space="preserve"> </w:t>
      </w:r>
      <w:r w:rsidR="00CC655B" w:rsidRPr="00F003B6">
        <w:rPr>
          <w:rFonts w:ascii="Arial" w:hAnsi="Arial" w:cs="Arial"/>
          <w:b/>
          <w:bCs/>
          <w:sz w:val="24"/>
          <w:szCs w:val="24"/>
          <w:u w:val="single"/>
        </w:rPr>
        <w:t>Development</w:t>
      </w:r>
    </w:p>
    <w:p w14:paraId="219C1F6F" w14:textId="1DE02658" w:rsidR="008328E0" w:rsidRPr="0059585E" w:rsidRDefault="008328E0" w:rsidP="008328E0">
      <w:pPr>
        <w:rPr>
          <w:rFonts w:ascii="Arial" w:hAnsi="Arial" w:cs="Arial"/>
          <w:b/>
          <w:bCs/>
          <w:sz w:val="24"/>
          <w:szCs w:val="24"/>
          <w:u w:val="single"/>
        </w:rPr>
      </w:pPr>
      <w:r w:rsidRPr="00C84463">
        <w:rPr>
          <w:rFonts w:ascii="Arial" w:hAnsi="Arial" w:cs="Arial"/>
          <w:b/>
          <w:bCs/>
          <w:sz w:val="24"/>
          <w:szCs w:val="24"/>
          <w:u w:val="single"/>
        </w:rPr>
        <w:t>Q2</w:t>
      </w:r>
      <w:r w:rsidR="00494702" w:rsidRPr="00C84463">
        <w:rPr>
          <w:rFonts w:ascii="Arial" w:hAnsi="Arial" w:cs="Arial"/>
          <w:b/>
          <w:bCs/>
          <w:sz w:val="24"/>
          <w:szCs w:val="24"/>
          <w:u w:val="single"/>
        </w:rPr>
        <w:t>4</w:t>
      </w:r>
      <w:r w:rsidRPr="00C84463">
        <w:rPr>
          <w:rFonts w:ascii="Arial" w:hAnsi="Arial" w:cs="Arial"/>
          <w:b/>
          <w:bCs/>
          <w:sz w:val="24"/>
          <w:szCs w:val="24"/>
          <w:u w:val="single"/>
        </w:rPr>
        <w:t xml:space="preserve">: Is an Other Transaction Authority (OTA) production contract needed to apply for the EVSE solicitation. OTA is used for the Department of Defense to carry out certain prototypes, research and production projects. We want to ensure that the applicant does not need this to submit their application and that the contract between CEC and the vendor will be a separate contract. </w:t>
      </w:r>
    </w:p>
    <w:p w14:paraId="15049448" w14:textId="4ACD1146" w:rsidR="0059585E" w:rsidRPr="00AF1150" w:rsidRDefault="008328E0" w:rsidP="0059585E">
      <w:pPr>
        <w:tabs>
          <w:tab w:val="left" w:pos="270"/>
          <w:tab w:val="left" w:pos="360"/>
        </w:tabs>
        <w:ind w:left="270"/>
        <w:rPr>
          <w:rFonts w:ascii="Arial" w:hAnsi="Arial" w:cs="Arial"/>
          <w:b/>
          <w:bCs/>
          <w:sz w:val="24"/>
          <w:szCs w:val="24"/>
          <w:u w:val="single"/>
        </w:rPr>
      </w:pPr>
      <w:r w:rsidRPr="42E7CC45">
        <w:rPr>
          <w:rFonts w:ascii="Arial" w:hAnsi="Arial" w:cs="Arial"/>
          <w:b/>
          <w:bCs/>
          <w:sz w:val="24"/>
          <w:szCs w:val="24"/>
          <w:u w:val="single"/>
        </w:rPr>
        <w:t>A2</w:t>
      </w:r>
      <w:r w:rsidR="00494702" w:rsidRPr="42E7CC45">
        <w:rPr>
          <w:rFonts w:ascii="Arial" w:hAnsi="Arial" w:cs="Arial"/>
          <w:b/>
          <w:bCs/>
          <w:sz w:val="24"/>
          <w:szCs w:val="24"/>
          <w:u w:val="single"/>
        </w:rPr>
        <w:t>4</w:t>
      </w:r>
      <w:r w:rsidRPr="42E7CC45">
        <w:rPr>
          <w:rFonts w:ascii="Arial" w:hAnsi="Arial" w:cs="Arial"/>
          <w:b/>
          <w:bCs/>
          <w:sz w:val="24"/>
          <w:szCs w:val="24"/>
          <w:u w:val="single"/>
        </w:rPr>
        <w:t xml:space="preserve">: The CEC agreement </w:t>
      </w:r>
      <w:r w:rsidR="00EB56E4" w:rsidRPr="42E7CC45">
        <w:rPr>
          <w:rFonts w:ascii="Arial" w:hAnsi="Arial" w:cs="Arial"/>
          <w:b/>
          <w:bCs/>
          <w:sz w:val="24"/>
          <w:szCs w:val="24"/>
          <w:u w:val="single"/>
        </w:rPr>
        <w:t xml:space="preserve">with the grant recipient </w:t>
      </w:r>
      <w:r w:rsidRPr="42E7CC45">
        <w:rPr>
          <w:rFonts w:ascii="Arial" w:hAnsi="Arial" w:cs="Arial"/>
          <w:b/>
          <w:bCs/>
          <w:sz w:val="24"/>
          <w:szCs w:val="24"/>
          <w:u w:val="single"/>
        </w:rPr>
        <w:t xml:space="preserve">will be a stand-alone agreement separate from other agreements the applicant has with the federal </w:t>
      </w:r>
      <w:r w:rsidRPr="42E7CC45">
        <w:rPr>
          <w:rFonts w:ascii="Arial" w:hAnsi="Arial" w:cs="Arial"/>
          <w:b/>
          <w:bCs/>
          <w:sz w:val="24"/>
          <w:szCs w:val="24"/>
          <w:u w:val="single"/>
        </w:rPr>
        <w:lastRenderedPageBreak/>
        <w:t xml:space="preserve">government. The applicant only has to be in contract with the federal government </w:t>
      </w:r>
      <w:r w:rsidR="0057427F" w:rsidRPr="42E7CC45">
        <w:rPr>
          <w:rFonts w:ascii="Arial" w:hAnsi="Arial" w:cs="Arial"/>
          <w:b/>
          <w:bCs/>
          <w:sz w:val="24"/>
          <w:szCs w:val="24"/>
          <w:u w:val="single"/>
        </w:rPr>
        <w:t xml:space="preserve">so it </w:t>
      </w:r>
      <w:r w:rsidR="00A4645E" w:rsidRPr="42E7CC45">
        <w:rPr>
          <w:rFonts w:ascii="Arial" w:hAnsi="Arial" w:cs="Arial"/>
          <w:b/>
          <w:bCs/>
          <w:sz w:val="24"/>
          <w:szCs w:val="24"/>
          <w:u w:val="single"/>
        </w:rPr>
        <w:t xml:space="preserve">has authority </w:t>
      </w:r>
      <w:r w:rsidRPr="42E7CC45">
        <w:rPr>
          <w:rFonts w:ascii="Arial" w:hAnsi="Arial" w:cs="Arial"/>
          <w:b/>
          <w:bCs/>
          <w:sz w:val="24"/>
          <w:szCs w:val="24"/>
          <w:u w:val="single"/>
        </w:rPr>
        <w:t>to complete charging</w:t>
      </w:r>
      <w:r w:rsidR="00EF74EC" w:rsidRPr="42E7CC45">
        <w:rPr>
          <w:rFonts w:ascii="Arial" w:hAnsi="Arial" w:cs="Arial"/>
          <w:b/>
          <w:bCs/>
          <w:sz w:val="24"/>
          <w:szCs w:val="24"/>
          <w:u w:val="single"/>
        </w:rPr>
        <w:t xml:space="preserve"> infrastructure</w:t>
      </w:r>
      <w:r w:rsidRPr="42E7CC45">
        <w:rPr>
          <w:rFonts w:ascii="Arial" w:hAnsi="Arial" w:cs="Arial"/>
          <w:b/>
          <w:bCs/>
          <w:sz w:val="24"/>
          <w:szCs w:val="24"/>
          <w:u w:val="single"/>
        </w:rPr>
        <w:t xml:space="preserve"> installations and eligible work under this </w:t>
      </w:r>
      <w:r w:rsidR="00FE26CB" w:rsidRPr="42E7CC45">
        <w:rPr>
          <w:rFonts w:ascii="Arial" w:hAnsi="Arial" w:cs="Arial"/>
          <w:b/>
          <w:bCs/>
          <w:sz w:val="24"/>
          <w:szCs w:val="24"/>
          <w:u w:val="single"/>
        </w:rPr>
        <w:t>solicitation</w:t>
      </w:r>
      <w:r w:rsidRPr="42E7CC45">
        <w:rPr>
          <w:rFonts w:ascii="Arial" w:hAnsi="Arial" w:cs="Arial"/>
          <w:b/>
          <w:bCs/>
          <w:sz w:val="24"/>
          <w:szCs w:val="24"/>
          <w:u w:val="single"/>
        </w:rPr>
        <w:t xml:space="preserve">, but there are no restrictions on eligible types of contracts. The existing contract with the federal government is the legal means for the applicant to access the base and do the work </w:t>
      </w:r>
      <w:r w:rsidR="00C3448B" w:rsidRPr="42E7CC45">
        <w:rPr>
          <w:rFonts w:ascii="Arial" w:hAnsi="Arial" w:cs="Arial"/>
          <w:b/>
          <w:bCs/>
          <w:sz w:val="24"/>
          <w:szCs w:val="24"/>
          <w:u w:val="single"/>
        </w:rPr>
        <w:t xml:space="preserve">the </w:t>
      </w:r>
      <w:r w:rsidRPr="42E7CC45">
        <w:rPr>
          <w:rFonts w:ascii="Arial" w:hAnsi="Arial" w:cs="Arial"/>
          <w:b/>
          <w:bCs/>
          <w:sz w:val="24"/>
          <w:szCs w:val="24"/>
          <w:u w:val="single"/>
        </w:rPr>
        <w:t>CEC is funding. </w:t>
      </w:r>
    </w:p>
    <w:p w14:paraId="5E5AA0A4" w14:textId="2B222212" w:rsidR="00310127" w:rsidRPr="00C84463" w:rsidRDefault="00310127" w:rsidP="00310127">
      <w:pPr>
        <w:rPr>
          <w:rFonts w:ascii="Arial" w:hAnsi="Arial" w:cs="Arial"/>
          <w:b/>
          <w:bCs/>
          <w:sz w:val="24"/>
          <w:szCs w:val="24"/>
          <w:u w:val="single"/>
        </w:rPr>
      </w:pPr>
      <w:r w:rsidRPr="00C84463">
        <w:rPr>
          <w:rFonts w:ascii="Arial" w:hAnsi="Arial" w:cs="Arial"/>
          <w:b/>
          <w:bCs/>
          <w:sz w:val="24"/>
          <w:szCs w:val="24"/>
          <w:u w:val="single"/>
        </w:rPr>
        <w:t>Q2</w:t>
      </w:r>
      <w:r w:rsidR="00494702" w:rsidRPr="00C84463">
        <w:rPr>
          <w:rFonts w:ascii="Arial" w:hAnsi="Arial" w:cs="Arial"/>
          <w:b/>
          <w:bCs/>
          <w:sz w:val="24"/>
          <w:szCs w:val="24"/>
          <w:u w:val="single"/>
        </w:rPr>
        <w:t>5</w:t>
      </w:r>
      <w:r w:rsidRPr="00C84463">
        <w:rPr>
          <w:rFonts w:ascii="Arial" w:hAnsi="Arial" w:cs="Arial"/>
          <w:b/>
          <w:bCs/>
          <w:sz w:val="24"/>
          <w:szCs w:val="24"/>
          <w:u w:val="single"/>
        </w:rPr>
        <w:t>: Is it proper to list </w:t>
      </w:r>
      <w:r w:rsidR="00857AAE">
        <w:rPr>
          <w:rFonts w:ascii="Arial" w:hAnsi="Arial" w:cs="Arial"/>
          <w:b/>
          <w:bCs/>
          <w:sz w:val="24"/>
          <w:szCs w:val="24"/>
          <w:u w:val="single"/>
        </w:rPr>
        <w:t xml:space="preserve">a </w:t>
      </w:r>
      <w:r w:rsidRPr="00C84463">
        <w:rPr>
          <w:rFonts w:ascii="Arial" w:hAnsi="Arial" w:cs="Arial"/>
          <w:b/>
          <w:bCs/>
          <w:sz w:val="24"/>
          <w:szCs w:val="24"/>
          <w:u w:val="single"/>
        </w:rPr>
        <w:t>project</w:t>
      </w:r>
      <w:r w:rsidR="00857AAE">
        <w:rPr>
          <w:rFonts w:ascii="Arial" w:hAnsi="Arial" w:cs="Arial"/>
          <w:b/>
          <w:bCs/>
          <w:sz w:val="24"/>
          <w:szCs w:val="24"/>
          <w:u w:val="single"/>
        </w:rPr>
        <w:t>’s</w:t>
      </w:r>
      <w:r w:rsidRPr="00C84463">
        <w:rPr>
          <w:rFonts w:ascii="Arial" w:hAnsi="Arial" w:cs="Arial"/>
          <w:b/>
          <w:bCs/>
          <w:sz w:val="24"/>
          <w:szCs w:val="24"/>
          <w:u w:val="single"/>
        </w:rPr>
        <w:t xml:space="preserve"> </w:t>
      </w:r>
      <w:r w:rsidR="00A01311">
        <w:rPr>
          <w:rFonts w:ascii="Arial" w:hAnsi="Arial" w:cs="Arial"/>
          <w:b/>
          <w:bCs/>
          <w:sz w:val="24"/>
          <w:szCs w:val="24"/>
          <w:u w:val="single"/>
        </w:rPr>
        <w:t xml:space="preserve">engineering, procurement, and construction </w:t>
      </w:r>
      <w:r w:rsidR="00857AAE">
        <w:rPr>
          <w:rFonts w:ascii="Arial" w:hAnsi="Arial" w:cs="Arial"/>
          <w:b/>
          <w:bCs/>
          <w:sz w:val="24"/>
          <w:szCs w:val="24"/>
          <w:u w:val="single"/>
        </w:rPr>
        <w:t>company or third-</w:t>
      </w:r>
      <w:r w:rsidRPr="00C84463">
        <w:rPr>
          <w:rFonts w:ascii="Arial" w:hAnsi="Arial" w:cs="Arial"/>
          <w:b/>
          <w:bCs/>
          <w:sz w:val="24"/>
          <w:szCs w:val="24"/>
          <w:u w:val="single"/>
        </w:rPr>
        <w:t xml:space="preserve">party </w:t>
      </w:r>
      <w:r w:rsidR="00857AAE">
        <w:rPr>
          <w:rFonts w:ascii="Arial" w:hAnsi="Arial" w:cs="Arial"/>
          <w:b/>
          <w:bCs/>
          <w:sz w:val="24"/>
          <w:szCs w:val="24"/>
          <w:u w:val="single"/>
        </w:rPr>
        <w:t>e</w:t>
      </w:r>
      <w:r w:rsidRPr="00C84463">
        <w:rPr>
          <w:rFonts w:ascii="Arial" w:hAnsi="Arial" w:cs="Arial"/>
          <w:b/>
          <w:bCs/>
          <w:sz w:val="24"/>
          <w:szCs w:val="24"/>
          <w:u w:val="single"/>
        </w:rPr>
        <w:t xml:space="preserve">nvironmental </w:t>
      </w:r>
      <w:r w:rsidR="00857AAE">
        <w:rPr>
          <w:rFonts w:ascii="Arial" w:hAnsi="Arial" w:cs="Arial"/>
          <w:b/>
          <w:bCs/>
          <w:sz w:val="24"/>
          <w:szCs w:val="24"/>
          <w:u w:val="single"/>
        </w:rPr>
        <w:t>and</w:t>
      </w:r>
      <w:r w:rsidRPr="00C84463">
        <w:rPr>
          <w:rFonts w:ascii="Arial" w:hAnsi="Arial" w:cs="Arial"/>
          <w:b/>
          <w:bCs/>
          <w:sz w:val="24"/>
          <w:szCs w:val="24"/>
          <w:u w:val="single"/>
        </w:rPr>
        <w:t xml:space="preserve"> </w:t>
      </w:r>
      <w:r w:rsidR="00857AAE">
        <w:rPr>
          <w:rFonts w:ascii="Arial" w:hAnsi="Arial" w:cs="Arial"/>
          <w:b/>
          <w:bCs/>
          <w:sz w:val="24"/>
          <w:szCs w:val="24"/>
          <w:u w:val="single"/>
        </w:rPr>
        <w:t>e</w:t>
      </w:r>
      <w:r w:rsidRPr="00C84463">
        <w:rPr>
          <w:rFonts w:ascii="Arial" w:hAnsi="Arial" w:cs="Arial"/>
          <w:b/>
          <w:bCs/>
          <w:sz w:val="24"/>
          <w:szCs w:val="24"/>
          <w:u w:val="single"/>
        </w:rPr>
        <w:t>lectrical engineer company as subrecipients and project team members </w:t>
      </w:r>
      <w:r w:rsidR="00DB4273">
        <w:rPr>
          <w:rFonts w:ascii="Arial" w:hAnsi="Arial" w:cs="Arial"/>
          <w:b/>
          <w:bCs/>
          <w:sz w:val="24"/>
          <w:szCs w:val="24"/>
          <w:u w:val="single"/>
        </w:rPr>
        <w:t>(</w:t>
      </w:r>
      <w:r w:rsidR="00857AAE">
        <w:rPr>
          <w:rFonts w:ascii="Arial" w:hAnsi="Arial" w:cs="Arial"/>
          <w:b/>
          <w:bCs/>
          <w:sz w:val="24"/>
          <w:szCs w:val="24"/>
          <w:u w:val="single"/>
        </w:rPr>
        <w:t>a</w:t>
      </w:r>
      <w:r w:rsidRPr="00C84463">
        <w:rPr>
          <w:rFonts w:ascii="Arial" w:hAnsi="Arial" w:cs="Arial"/>
          <w:b/>
          <w:bCs/>
          <w:sz w:val="24"/>
          <w:szCs w:val="24"/>
          <w:u w:val="single"/>
        </w:rPr>
        <w:t>s opposed to listing them as vendors</w:t>
      </w:r>
      <w:r w:rsidR="00DB4273">
        <w:rPr>
          <w:rFonts w:ascii="Arial" w:hAnsi="Arial" w:cs="Arial"/>
          <w:b/>
          <w:bCs/>
          <w:sz w:val="24"/>
          <w:szCs w:val="24"/>
          <w:u w:val="single"/>
        </w:rPr>
        <w:t xml:space="preserve">) if </w:t>
      </w:r>
      <w:r w:rsidRPr="00C84463">
        <w:rPr>
          <w:rFonts w:ascii="Arial" w:hAnsi="Arial" w:cs="Arial"/>
          <w:b/>
          <w:bCs/>
          <w:sz w:val="24"/>
          <w:szCs w:val="24"/>
          <w:u w:val="single"/>
        </w:rPr>
        <w:t xml:space="preserve">they are heavily involved in making major decisions </w:t>
      </w:r>
      <w:r w:rsidR="00857AAE">
        <w:rPr>
          <w:rFonts w:ascii="Arial" w:hAnsi="Arial" w:cs="Arial"/>
          <w:b/>
          <w:bCs/>
          <w:sz w:val="24"/>
          <w:szCs w:val="24"/>
          <w:u w:val="single"/>
        </w:rPr>
        <w:t xml:space="preserve">in </w:t>
      </w:r>
      <w:r w:rsidRPr="00C84463">
        <w:rPr>
          <w:rFonts w:ascii="Arial" w:hAnsi="Arial" w:cs="Arial"/>
          <w:b/>
          <w:bCs/>
          <w:sz w:val="24"/>
          <w:szCs w:val="24"/>
          <w:u w:val="single"/>
        </w:rPr>
        <w:t>the project? </w:t>
      </w:r>
    </w:p>
    <w:p w14:paraId="5CBE75D9" w14:textId="3C10E064" w:rsidR="002D0FD4" w:rsidRPr="00C84463" w:rsidRDefault="00D11F41" w:rsidP="00157A2E">
      <w:pPr>
        <w:tabs>
          <w:tab w:val="left" w:pos="270"/>
          <w:tab w:val="left" w:pos="360"/>
        </w:tabs>
        <w:ind w:left="270"/>
        <w:rPr>
          <w:rFonts w:ascii="Arial" w:hAnsi="Arial" w:cs="Arial"/>
          <w:sz w:val="24"/>
          <w:szCs w:val="24"/>
        </w:rPr>
      </w:pPr>
      <w:r w:rsidRPr="42E7CC45">
        <w:rPr>
          <w:rFonts w:ascii="Arial" w:hAnsi="Arial" w:cs="Arial"/>
          <w:b/>
          <w:bCs/>
          <w:sz w:val="24"/>
          <w:szCs w:val="24"/>
          <w:u w:val="single"/>
        </w:rPr>
        <w:t>A2</w:t>
      </w:r>
      <w:r w:rsidR="00494702" w:rsidRPr="42E7CC45">
        <w:rPr>
          <w:rFonts w:ascii="Arial" w:hAnsi="Arial" w:cs="Arial"/>
          <w:b/>
          <w:bCs/>
          <w:sz w:val="24"/>
          <w:szCs w:val="24"/>
          <w:u w:val="single"/>
        </w:rPr>
        <w:t>5</w:t>
      </w:r>
      <w:r w:rsidRPr="42E7CC45">
        <w:rPr>
          <w:rFonts w:ascii="Arial" w:hAnsi="Arial" w:cs="Arial"/>
          <w:b/>
          <w:bCs/>
          <w:sz w:val="24"/>
          <w:szCs w:val="24"/>
          <w:u w:val="single"/>
        </w:rPr>
        <w:t xml:space="preserve">: </w:t>
      </w:r>
      <w:r w:rsidR="00A61171" w:rsidRPr="42E7CC45">
        <w:rPr>
          <w:rFonts w:ascii="Arial" w:hAnsi="Arial" w:cs="Arial"/>
          <w:b/>
          <w:bCs/>
          <w:sz w:val="24"/>
          <w:szCs w:val="24"/>
          <w:u w:val="single"/>
        </w:rPr>
        <w:t>This is correct. Per ECAMS category guidance, a</w:t>
      </w:r>
      <w:r w:rsidR="007B1BF7" w:rsidRPr="42E7CC45">
        <w:rPr>
          <w:rFonts w:ascii="Arial" w:hAnsi="Arial" w:cs="Arial"/>
          <w:b/>
          <w:bCs/>
          <w:sz w:val="24"/>
          <w:szCs w:val="24"/>
          <w:u w:val="single"/>
        </w:rPr>
        <w:t> </w:t>
      </w:r>
      <w:r w:rsidR="00A61171" w:rsidRPr="42E7CC45">
        <w:rPr>
          <w:rFonts w:ascii="Arial" w:hAnsi="Arial" w:cs="Arial"/>
          <w:b/>
          <w:bCs/>
          <w:sz w:val="24"/>
          <w:szCs w:val="24"/>
          <w:u w:val="single"/>
        </w:rPr>
        <w:t xml:space="preserve">subrecipient is </w:t>
      </w:r>
      <w:r w:rsidR="007B1BF7" w:rsidRPr="42E7CC45">
        <w:rPr>
          <w:rFonts w:ascii="Arial" w:hAnsi="Arial" w:cs="Arial"/>
          <w:b/>
          <w:bCs/>
          <w:sz w:val="24"/>
          <w:szCs w:val="24"/>
          <w:u w:val="single"/>
        </w:rPr>
        <w:t>an entity that receives grant funds directly from the Recipient and is entrusted by the Recipient to make decisions about how to conduct some of the grant’s activities.  A Subrecipient’s role involves discretion over grant activities and is not merely just selling goods or services. </w:t>
      </w:r>
      <w:r w:rsidR="00310ED0" w:rsidRPr="42E7CC45">
        <w:rPr>
          <w:rFonts w:ascii="Arial" w:hAnsi="Arial" w:cs="Arial"/>
          <w:b/>
          <w:bCs/>
          <w:sz w:val="24"/>
          <w:szCs w:val="24"/>
          <w:u w:val="single"/>
        </w:rPr>
        <w:t>For mor</w:t>
      </w:r>
      <w:r w:rsidR="00476E51" w:rsidRPr="42E7CC45">
        <w:rPr>
          <w:rFonts w:ascii="Arial" w:hAnsi="Arial" w:cs="Arial"/>
          <w:b/>
          <w:bCs/>
          <w:sz w:val="24"/>
          <w:szCs w:val="24"/>
          <w:u w:val="single"/>
        </w:rPr>
        <w:t>e</w:t>
      </w:r>
      <w:r w:rsidR="00310ED0" w:rsidRPr="42E7CC45">
        <w:rPr>
          <w:rFonts w:ascii="Arial" w:hAnsi="Arial" w:cs="Arial"/>
          <w:b/>
          <w:bCs/>
          <w:sz w:val="24"/>
          <w:szCs w:val="24"/>
          <w:u w:val="single"/>
        </w:rPr>
        <w:t xml:space="preserve"> information, please visit the ECAM</w:t>
      </w:r>
      <w:r w:rsidR="003F7CFA" w:rsidRPr="42E7CC45">
        <w:rPr>
          <w:rFonts w:ascii="Arial" w:hAnsi="Arial" w:cs="Arial"/>
          <w:b/>
          <w:bCs/>
          <w:sz w:val="24"/>
          <w:szCs w:val="24"/>
          <w:u w:val="single"/>
        </w:rPr>
        <w:t>S</w:t>
      </w:r>
      <w:r w:rsidR="00310ED0" w:rsidRPr="42E7CC45">
        <w:rPr>
          <w:rFonts w:ascii="Arial" w:hAnsi="Arial" w:cs="Arial"/>
          <w:b/>
          <w:bCs/>
          <w:sz w:val="24"/>
          <w:szCs w:val="24"/>
          <w:u w:val="single"/>
        </w:rPr>
        <w:t xml:space="preserve"> </w:t>
      </w:r>
      <w:r w:rsidR="004F04E8" w:rsidRPr="42E7CC45">
        <w:rPr>
          <w:rFonts w:ascii="Arial" w:hAnsi="Arial" w:cs="Arial"/>
          <w:b/>
          <w:bCs/>
          <w:sz w:val="24"/>
          <w:szCs w:val="24"/>
          <w:u w:val="single"/>
        </w:rPr>
        <w:t>R</w:t>
      </w:r>
      <w:r w:rsidR="00D20E37" w:rsidRPr="42E7CC45">
        <w:rPr>
          <w:rFonts w:ascii="Arial" w:hAnsi="Arial" w:cs="Arial"/>
          <w:b/>
          <w:bCs/>
          <w:sz w:val="24"/>
          <w:szCs w:val="24"/>
          <w:u w:val="single"/>
        </w:rPr>
        <w:t>esource</w:t>
      </w:r>
      <w:r w:rsidR="004F04E8" w:rsidRPr="42E7CC45">
        <w:rPr>
          <w:rFonts w:ascii="Arial" w:hAnsi="Arial" w:cs="Arial"/>
          <w:b/>
          <w:bCs/>
          <w:sz w:val="24"/>
          <w:szCs w:val="24"/>
          <w:u w:val="single"/>
        </w:rPr>
        <w:t>s</w:t>
      </w:r>
      <w:r w:rsidR="00D20E37" w:rsidRPr="42E7CC45">
        <w:rPr>
          <w:rFonts w:ascii="Arial" w:hAnsi="Arial" w:cs="Arial"/>
          <w:b/>
          <w:bCs/>
          <w:sz w:val="24"/>
          <w:szCs w:val="24"/>
          <w:u w:val="single"/>
        </w:rPr>
        <w:t xml:space="preserve"> </w:t>
      </w:r>
      <w:r w:rsidR="00515598" w:rsidRPr="42E7CC45">
        <w:rPr>
          <w:rFonts w:ascii="Arial" w:hAnsi="Arial" w:cs="Arial"/>
          <w:b/>
          <w:bCs/>
          <w:sz w:val="24"/>
          <w:szCs w:val="24"/>
          <w:u w:val="single"/>
        </w:rPr>
        <w:t>B</w:t>
      </w:r>
      <w:r w:rsidR="00D20E37" w:rsidRPr="42E7CC45">
        <w:rPr>
          <w:rFonts w:ascii="Arial" w:hAnsi="Arial" w:cs="Arial"/>
          <w:b/>
          <w:bCs/>
          <w:sz w:val="24"/>
          <w:szCs w:val="24"/>
          <w:u w:val="single"/>
        </w:rPr>
        <w:t xml:space="preserve">udget </w:t>
      </w:r>
      <w:r w:rsidR="00515598" w:rsidRPr="42E7CC45">
        <w:rPr>
          <w:rFonts w:ascii="Arial" w:hAnsi="Arial" w:cs="Arial"/>
          <w:b/>
          <w:bCs/>
          <w:sz w:val="24"/>
          <w:szCs w:val="24"/>
          <w:u w:val="single"/>
        </w:rPr>
        <w:t>C</w:t>
      </w:r>
      <w:r w:rsidR="00D20E37" w:rsidRPr="42E7CC45">
        <w:rPr>
          <w:rFonts w:ascii="Arial" w:hAnsi="Arial" w:cs="Arial"/>
          <w:b/>
          <w:bCs/>
          <w:sz w:val="24"/>
          <w:szCs w:val="24"/>
          <w:u w:val="single"/>
        </w:rPr>
        <w:t xml:space="preserve">ategory </w:t>
      </w:r>
      <w:r w:rsidR="00515598" w:rsidRPr="42E7CC45">
        <w:rPr>
          <w:rFonts w:ascii="Arial" w:hAnsi="Arial" w:cs="Arial"/>
          <w:b/>
          <w:bCs/>
          <w:sz w:val="24"/>
          <w:szCs w:val="24"/>
          <w:u w:val="single"/>
        </w:rPr>
        <w:t>G</w:t>
      </w:r>
      <w:r w:rsidR="00D20E37" w:rsidRPr="42E7CC45">
        <w:rPr>
          <w:rFonts w:ascii="Arial" w:hAnsi="Arial" w:cs="Arial"/>
          <w:b/>
          <w:bCs/>
          <w:sz w:val="24"/>
          <w:szCs w:val="24"/>
          <w:u w:val="single"/>
        </w:rPr>
        <w:t xml:space="preserve">uidance page under Subrecipients &amp; Vendors at: </w:t>
      </w:r>
      <w:hyperlink r:id="rId14">
        <w:r w:rsidR="008700AD" w:rsidRPr="42E7CC45">
          <w:rPr>
            <w:rStyle w:val="Hyperlink"/>
            <w:rFonts w:ascii="Arial" w:hAnsi="Arial" w:cs="Arial"/>
            <w:sz w:val="24"/>
            <w:szCs w:val="24"/>
          </w:rPr>
          <w:t>https://www.energy.ca.gov/funding-opportunities/funding-resources/ecams-resources/budget-category-guidance?auHash=cEItgat6JNbO9BFGeVqe4E5T6koCOgTaqliFX6bmwtg</w:t>
        </w:r>
      </w:hyperlink>
      <w:r w:rsidR="008700AD" w:rsidRPr="42E7CC45">
        <w:rPr>
          <w:rFonts w:ascii="Arial" w:hAnsi="Arial" w:cs="Arial"/>
          <w:sz w:val="24"/>
          <w:szCs w:val="24"/>
        </w:rPr>
        <w:t xml:space="preserve"> </w:t>
      </w:r>
    </w:p>
    <w:p w14:paraId="3CDFA7C2" w14:textId="6C50FE5C" w:rsidR="00494702" w:rsidRDefault="00494702" w:rsidP="00494702">
      <w:pPr>
        <w:rPr>
          <w:rFonts w:ascii="Arial" w:hAnsi="Arial" w:cs="Arial"/>
          <w:b/>
          <w:bCs/>
          <w:sz w:val="24"/>
          <w:szCs w:val="24"/>
          <w:u w:val="single"/>
        </w:rPr>
      </w:pPr>
      <w:r w:rsidRPr="42E7CC45">
        <w:rPr>
          <w:rFonts w:ascii="Arial" w:hAnsi="Arial" w:cs="Arial"/>
          <w:b/>
          <w:bCs/>
          <w:sz w:val="24"/>
          <w:szCs w:val="24"/>
          <w:u w:val="single"/>
        </w:rPr>
        <w:t xml:space="preserve">Q26: </w:t>
      </w:r>
      <w:r w:rsidR="31E2B0E3" w:rsidRPr="42E7CC45">
        <w:rPr>
          <w:rFonts w:ascii="Arial" w:hAnsi="Arial" w:cs="Arial"/>
          <w:b/>
          <w:bCs/>
          <w:sz w:val="24"/>
          <w:szCs w:val="24"/>
          <w:u w:val="single"/>
        </w:rPr>
        <w:t>Assuming the project is on state land and</w:t>
      </w:r>
      <w:r w:rsidRPr="42E7CC45">
        <w:rPr>
          <w:rFonts w:ascii="Arial" w:hAnsi="Arial" w:cs="Arial"/>
          <w:b/>
          <w:bCs/>
          <w:sz w:val="24"/>
          <w:szCs w:val="24"/>
          <w:u w:val="single"/>
        </w:rPr>
        <w:t xml:space="preserve"> the project must go through the permit process before our application is granted, the State can't give us a signed letter unconditionally committing the site for the project as required by the grant application. So</w:t>
      </w:r>
      <w:r w:rsidR="22133FD6" w:rsidRPr="42E7CC45">
        <w:rPr>
          <w:rFonts w:ascii="Arial" w:hAnsi="Arial" w:cs="Arial"/>
          <w:b/>
          <w:bCs/>
          <w:sz w:val="24"/>
          <w:szCs w:val="24"/>
          <w:u w:val="single"/>
        </w:rPr>
        <w:t>,</w:t>
      </w:r>
      <w:r w:rsidRPr="42E7CC45">
        <w:rPr>
          <w:rFonts w:ascii="Arial" w:hAnsi="Arial" w:cs="Arial"/>
          <w:b/>
          <w:bCs/>
          <w:sz w:val="24"/>
          <w:szCs w:val="24"/>
          <w:u w:val="single"/>
        </w:rPr>
        <w:t xml:space="preserve"> what do we do to meet this requirement?</w:t>
      </w:r>
      <w:r w:rsidR="00C84463" w:rsidRPr="42E7CC45">
        <w:rPr>
          <w:rFonts w:ascii="Arial" w:hAnsi="Arial" w:cs="Arial"/>
          <w:b/>
          <w:bCs/>
          <w:sz w:val="24"/>
          <w:szCs w:val="24"/>
          <w:u w:val="single"/>
        </w:rPr>
        <w:t xml:space="preserve"> </w:t>
      </w:r>
    </w:p>
    <w:p w14:paraId="6B339344" w14:textId="1303CF56" w:rsidR="00494702" w:rsidRPr="00AF1150" w:rsidRDefault="00494702" w:rsidP="00494702">
      <w:pPr>
        <w:tabs>
          <w:tab w:val="left" w:pos="270"/>
          <w:tab w:val="left" w:pos="360"/>
        </w:tabs>
        <w:ind w:left="270"/>
        <w:rPr>
          <w:rFonts w:ascii="Arial" w:hAnsi="Arial" w:cs="Arial"/>
          <w:b/>
          <w:bCs/>
          <w:sz w:val="24"/>
          <w:szCs w:val="24"/>
          <w:u w:val="single"/>
        </w:rPr>
      </w:pPr>
      <w:bookmarkStart w:id="3" w:name="_Hlk170302760"/>
      <w:r w:rsidRPr="42E7CC45">
        <w:rPr>
          <w:rFonts w:ascii="Arial" w:hAnsi="Arial" w:cs="Arial"/>
          <w:b/>
          <w:bCs/>
          <w:sz w:val="24"/>
          <w:szCs w:val="24"/>
          <w:u w:val="single"/>
        </w:rPr>
        <w:t>A26: Letters of commitment from lead agencies related to the permitting and CEQA project can be included as a part of the application and can include language that provides conditional approval pending CEC application approval.</w:t>
      </w:r>
      <w:r w:rsidR="00237855" w:rsidRPr="42E7CC45">
        <w:rPr>
          <w:rFonts w:ascii="Arial" w:hAnsi="Arial" w:cs="Arial"/>
          <w:b/>
          <w:bCs/>
          <w:sz w:val="24"/>
          <w:szCs w:val="24"/>
          <w:u w:val="single"/>
        </w:rPr>
        <w:t xml:space="preserve"> Additionally,</w:t>
      </w:r>
      <w:r w:rsidR="002433D5" w:rsidRPr="42E7CC45">
        <w:rPr>
          <w:rFonts w:ascii="Arial" w:hAnsi="Arial" w:cs="Arial"/>
          <w:b/>
          <w:bCs/>
          <w:sz w:val="24"/>
          <w:szCs w:val="24"/>
          <w:u w:val="single"/>
        </w:rPr>
        <w:t xml:space="preserve"> documentation</w:t>
      </w:r>
      <w:r w:rsidR="00AB5D71" w:rsidRPr="42E7CC45">
        <w:rPr>
          <w:rFonts w:ascii="Arial" w:hAnsi="Arial" w:cs="Arial"/>
          <w:b/>
          <w:bCs/>
          <w:sz w:val="24"/>
          <w:szCs w:val="24"/>
          <w:u w:val="single"/>
        </w:rPr>
        <w:t xml:space="preserve"> may be provided</w:t>
      </w:r>
      <w:r w:rsidR="002433D5" w:rsidRPr="42E7CC45">
        <w:rPr>
          <w:rFonts w:ascii="Arial" w:hAnsi="Arial" w:cs="Arial"/>
          <w:b/>
          <w:bCs/>
          <w:sz w:val="24"/>
          <w:szCs w:val="24"/>
          <w:u w:val="single"/>
        </w:rPr>
        <w:t xml:space="preserve"> such as</w:t>
      </w:r>
      <w:r w:rsidR="00F53BE1" w:rsidRPr="42E7CC45">
        <w:rPr>
          <w:rFonts w:ascii="Arial" w:hAnsi="Arial" w:cs="Arial"/>
          <w:b/>
          <w:bCs/>
          <w:sz w:val="24"/>
          <w:szCs w:val="24"/>
          <w:u w:val="single"/>
        </w:rPr>
        <w:t xml:space="preserve"> a letter</w:t>
      </w:r>
      <w:r w:rsidR="00F82B82" w:rsidRPr="42E7CC45">
        <w:rPr>
          <w:rFonts w:ascii="Arial" w:hAnsi="Arial" w:cs="Arial"/>
          <w:b/>
          <w:bCs/>
          <w:sz w:val="24"/>
          <w:szCs w:val="24"/>
          <w:u w:val="single"/>
        </w:rPr>
        <w:t xml:space="preserve"> from</w:t>
      </w:r>
      <w:r w:rsidR="00F53BE1" w:rsidRPr="42E7CC45">
        <w:rPr>
          <w:rFonts w:ascii="Arial" w:hAnsi="Arial" w:cs="Arial"/>
          <w:b/>
          <w:bCs/>
          <w:sz w:val="24"/>
          <w:szCs w:val="24"/>
          <w:u w:val="single"/>
        </w:rPr>
        <w:t xml:space="preserve"> the local agency ackno</w:t>
      </w:r>
      <w:r w:rsidR="00F82B82" w:rsidRPr="42E7CC45">
        <w:rPr>
          <w:rFonts w:ascii="Arial" w:hAnsi="Arial" w:cs="Arial"/>
          <w:b/>
          <w:bCs/>
          <w:sz w:val="24"/>
          <w:szCs w:val="24"/>
          <w:u w:val="single"/>
        </w:rPr>
        <w:t>wledging</w:t>
      </w:r>
      <w:r w:rsidR="00C735C8" w:rsidRPr="42E7CC45">
        <w:rPr>
          <w:rFonts w:ascii="Arial" w:hAnsi="Arial" w:cs="Arial"/>
          <w:b/>
          <w:bCs/>
          <w:sz w:val="24"/>
          <w:szCs w:val="24"/>
          <w:u w:val="single"/>
        </w:rPr>
        <w:t xml:space="preserve"> its role in the CEQA process, or a permit application to the lead agency that is stamped as </w:t>
      </w:r>
      <w:r w:rsidR="00DF3949" w:rsidRPr="42E7CC45">
        <w:rPr>
          <w:rFonts w:ascii="Arial" w:hAnsi="Arial" w:cs="Arial"/>
          <w:b/>
          <w:bCs/>
          <w:sz w:val="24"/>
          <w:szCs w:val="24"/>
          <w:u w:val="single"/>
        </w:rPr>
        <w:t>received.</w:t>
      </w:r>
      <w:r w:rsidRPr="42E7CC45">
        <w:rPr>
          <w:rFonts w:ascii="Arial" w:hAnsi="Arial" w:cs="Arial"/>
          <w:b/>
          <w:bCs/>
          <w:sz w:val="24"/>
          <w:szCs w:val="24"/>
          <w:u w:val="single"/>
        </w:rPr>
        <w:t xml:space="preserve"> However, applicants should work with the associated military base or branch they are partnering with to determine permitting needs and requirements.</w:t>
      </w:r>
      <w:bookmarkEnd w:id="3"/>
      <w:r w:rsidRPr="42E7CC45">
        <w:rPr>
          <w:rFonts w:ascii="Arial" w:hAnsi="Arial" w:cs="Arial"/>
          <w:b/>
          <w:bCs/>
          <w:sz w:val="24"/>
          <w:szCs w:val="24"/>
          <w:u w:val="single"/>
        </w:rPr>
        <w:t xml:space="preserve"> Please refer to Section III.D.9-10, Letters of Support and CEQA Worksheet for more information (pages 25-26).</w:t>
      </w:r>
    </w:p>
    <w:p w14:paraId="70890F41" w14:textId="77777777" w:rsidR="002D0FD4" w:rsidRPr="00BD7C3A" w:rsidRDefault="002D0FD4" w:rsidP="005B2F10">
      <w:pPr>
        <w:tabs>
          <w:tab w:val="left" w:pos="270"/>
          <w:tab w:val="left" w:pos="360"/>
        </w:tabs>
        <w:ind w:left="270"/>
        <w:rPr>
          <w:rFonts w:ascii="Arial" w:hAnsi="Arial" w:cs="Arial"/>
          <w:sz w:val="24"/>
          <w:szCs w:val="24"/>
        </w:rPr>
      </w:pPr>
    </w:p>
    <w:sectPr w:rsidR="002D0FD4" w:rsidRPr="00BD7C3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72108" w14:textId="77777777" w:rsidR="0091474C" w:rsidRDefault="0091474C" w:rsidP="009161B9">
      <w:pPr>
        <w:spacing w:after="0" w:line="240" w:lineRule="auto"/>
      </w:pPr>
      <w:r>
        <w:separator/>
      </w:r>
    </w:p>
  </w:endnote>
  <w:endnote w:type="continuationSeparator" w:id="0">
    <w:p w14:paraId="697BAB99" w14:textId="77777777" w:rsidR="0091474C" w:rsidRDefault="0091474C" w:rsidP="009161B9">
      <w:pPr>
        <w:spacing w:after="0" w:line="240" w:lineRule="auto"/>
      </w:pPr>
      <w:r>
        <w:continuationSeparator/>
      </w:r>
    </w:p>
  </w:endnote>
  <w:endnote w:type="continuationNotice" w:id="1">
    <w:p w14:paraId="7DA4F062" w14:textId="77777777" w:rsidR="0091474C" w:rsidRDefault="00914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1208F" w14:textId="18D2F032" w:rsidR="009161B9" w:rsidRPr="00580CF6" w:rsidRDefault="003D3065">
    <w:pPr>
      <w:pStyle w:val="Footer"/>
      <w:rPr>
        <w:rFonts w:ascii="Arial" w:hAnsi="Arial" w:cs="Arial"/>
        <w:sz w:val="20"/>
        <w:szCs w:val="20"/>
      </w:rPr>
    </w:pPr>
    <w:r w:rsidRPr="003D3065">
      <w:rPr>
        <w:rFonts w:ascii="Arial" w:hAnsi="Arial" w:cs="Arial"/>
        <w:sz w:val="20"/>
        <w:szCs w:val="20"/>
      </w:rPr>
      <w:t>[</w:t>
    </w:r>
    <w:r w:rsidR="009161B9" w:rsidRPr="00494702">
      <w:rPr>
        <w:rFonts w:ascii="Arial" w:hAnsi="Arial" w:cs="Arial"/>
        <w:strike/>
        <w:sz w:val="20"/>
        <w:szCs w:val="20"/>
      </w:rPr>
      <w:t>May 2024</w:t>
    </w:r>
    <w:r w:rsidRPr="003D3065">
      <w:rPr>
        <w:rFonts w:ascii="Arial" w:hAnsi="Arial" w:cs="Arial"/>
        <w:sz w:val="20"/>
        <w:szCs w:val="20"/>
      </w:rPr>
      <w:t>]</w:t>
    </w:r>
    <w:r w:rsidR="00494702">
      <w:rPr>
        <w:rFonts w:ascii="Arial" w:hAnsi="Arial" w:cs="Arial"/>
        <w:sz w:val="20"/>
        <w:szCs w:val="20"/>
      </w:rPr>
      <w:t xml:space="preserve"> </w:t>
    </w:r>
    <w:r w:rsidR="00494702" w:rsidRPr="00494702">
      <w:rPr>
        <w:rFonts w:ascii="Arial" w:hAnsi="Arial" w:cs="Arial"/>
        <w:b/>
        <w:bCs/>
        <w:sz w:val="20"/>
        <w:szCs w:val="20"/>
        <w:u w:val="single"/>
      </w:rPr>
      <w:t>Ju</w:t>
    </w:r>
    <w:r>
      <w:rPr>
        <w:rFonts w:ascii="Arial" w:hAnsi="Arial" w:cs="Arial"/>
        <w:b/>
        <w:bCs/>
        <w:sz w:val="20"/>
        <w:szCs w:val="20"/>
        <w:u w:val="single"/>
      </w:rPr>
      <w:t>ly</w:t>
    </w:r>
    <w:r w:rsidR="00494702" w:rsidRPr="00494702">
      <w:rPr>
        <w:rFonts w:ascii="Arial" w:hAnsi="Arial" w:cs="Arial"/>
        <w:b/>
        <w:bCs/>
        <w:sz w:val="20"/>
        <w:szCs w:val="20"/>
        <w:u w:val="single"/>
      </w:rPr>
      <w:t xml:space="preserve"> 2024</w:t>
    </w:r>
    <w:r w:rsidR="009161B9" w:rsidRPr="00580CF6">
      <w:rPr>
        <w:rFonts w:ascii="Arial" w:hAnsi="Arial" w:cs="Arial"/>
        <w:sz w:val="20"/>
        <w:szCs w:val="20"/>
      </w:rPr>
      <w:tab/>
    </w:r>
    <w:r w:rsidR="00580CF6" w:rsidRPr="00580CF6">
      <w:rPr>
        <w:rFonts w:ascii="Arial" w:hAnsi="Arial" w:cs="Arial"/>
        <w:sz w:val="20"/>
        <w:szCs w:val="20"/>
      </w:rPr>
      <w:t>P</w:t>
    </w:r>
    <w:r w:rsidR="00D847C0" w:rsidRPr="00580CF6">
      <w:rPr>
        <w:rFonts w:ascii="Arial" w:eastAsiaTheme="majorEastAsia" w:hAnsi="Arial" w:cs="Arial"/>
        <w:noProof/>
        <w:sz w:val="20"/>
        <w:szCs w:val="20"/>
      </w:rPr>
      <w:t xml:space="preserve">age </w:t>
    </w:r>
    <w:r w:rsidR="00D847C0" w:rsidRPr="00580CF6">
      <w:rPr>
        <w:rFonts w:ascii="Arial" w:eastAsiaTheme="majorEastAsia" w:hAnsi="Arial" w:cs="Arial"/>
        <w:noProof/>
        <w:sz w:val="20"/>
        <w:szCs w:val="20"/>
      </w:rPr>
      <w:fldChar w:fldCharType="begin"/>
    </w:r>
    <w:r w:rsidR="00D847C0" w:rsidRPr="00580CF6">
      <w:rPr>
        <w:rFonts w:ascii="Arial" w:eastAsiaTheme="majorEastAsia" w:hAnsi="Arial" w:cs="Arial"/>
        <w:noProof/>
        <w:sz w:val="20"/>
        <w:szCs w:val="20"/>
      </w:rPr>
      <w:instrText xml:space="preserve"> PAGE  \* Arabic  \* MERGEFORMAT </w:instrText>
    </w:r>
    <w:r w:rsidR="00D847C0" w:rsidRPr="00580CF6">
      <w:rPr>
        <w:rFonts w:ascii="Arial" w:eastAsiaTheme="majorEastAsia" w:hAnsi="Arial" w:cs="Arial"/>
        <w:noProof/>
        <w:sz w:val="20"/>
        <w:szCs w:val="20"/>
      </w:rPr>
      <w:fldChar w:fldCharType="separate"/>
    </w:r>
    <w:r w:rsidR="00D847C0" w:rsidRPr="00580CF6">
      <w:rPr>
        <w:rFonts w:ascii="Arial" w:eastAsiaTheme="majorEastAsia" w:hAnsi="Arial" w:cs="Arial"/>
        <w:noProof/>
        <w:sz w:val="20"/>
        <w:szCs w:val="20"/>
      </w:rPr>
      <w:t>1</w:t>
    </w:r>
    <w:r w:rsidR="00D847C0" w:rsidRPr="00580CF6">
      <w:rPr>
        <w:rFonts w:ascii="Arial" w:eastAsiaTheme="majorEastAsia" w:hAnsi="Arial" w:cs="Arial"/>
        <w:noProof/>
        <w:sz w:val="20"/>
        <w:szCs w:val="20"/>
      </w:rPr>
      <w:fldChar w:fldCharType="end"/>
    </w:r>
    <w:r w:rsidR="00D847C0" w:rsidRPr="00580CF6">
      <w:rPr>
        <w:rFonts w:ascii="Arial" w:eastAsiaTheme="majorEastAsia" w:hAnsi="Arial" w:cs="Arial"/>
        <w:noProof/>
        <w:sz w:val="20"/>
        <w:szCs w:val="20"/>
      </w:rPr>
      <w:t xml:space="preserve"> of </w:t>
    </w:r>
    <w:r w:rsidR="00D847C0" w:rsidRPr="00580CF6">
      <w:rPr>
        <w:rFonts w:ascii="Arial" w:eastAsiaTheme="majorEastAsia" w:hAnsi="Arial" w:cs="Arial"/>
        <w:noProof/>
        <w:sz w:val="20"/>
        <w:szCs w:val="20"/>
      </w:rPr>
      <w:fldChar w:fldCharType="begin"/>
    </w:r>
    <w:r w:rsidR="00D847C0" w:rsidRPr="00580CF6">
      <w:rPr>
        <w:rFonts w:ascii="Arial" w:eastAsiaTheme="majorEastAsia" w:hAnsi="Arial" w:cs="Arial"/>
        <w:noProof/>
        <w:sz w:val="20"/>
        <w:szCs w:val="20"/>
      </w:rPr>
      <w:instrText xml:space="preserve"> NUMPAGES  \* Arabic  \* MERGEFORMAT </w:instrText>
    </w:r>
    <w:r w:rsidR="00D847C0" w:rsidRPr="00580CF6">
      <w:rPr>
        <w:rFonts w:ascii="Arial" w:eastAsiaTheme="majorEastAsia" w:hAnsi="Arial" w:cs="Arial"/>
        <w:noProof/>
        <w:sz w:val="20"/>
        <w:szCs w:val="20"/>
      </w:rPr>
      <w:fldChar w:fldCharType="separate"/>
    </w:r>
    <w:r w:rsidR="00D847C0" w:rsidRPr="00580CF6">
      <w:rPr>
        <w:rFonts w:ascii="Arial" w:eastAsiaTheme="majorEastAsia" w:hAnsi="Arial" w:cs="Arial"/>
        <w:noProof/>
        <w:sz w:val="20"/>
        <w:szCs w:val="20"/>
      </w:rPr>
      <w:t>2</w:t>
    </w:r>
    <w:r w:rsidR="00D847C0" w:rsidRPr="00580CF6">
      <w:rPr>
        <w:rFonts w:ascii="Arial" w:eastAsiaTheme="majorEastAsia" w:hAnsi="Arial" w:cs="Arial"/>
        <w:noProof/>
        <w:sz w:val="20"/>
        <w:szCs w:val="20"/>
      </w:rPr>
      <w:fldChar w:fldCharType="end"/>
    </w:r>
    <w:r w:rsidR="009161B9" w:rsidRPr="00580CF6">
      <w:rPr>
        <w:rFonts w:ascii="Arial" w:hAnsi="Arial" w:cs="Arial"/>
        <w:sz w:val="20"/>
        <w:szCs w:val="20"/>
      </w:rPr>
      <w:tab/>
      <w:t>GFO-23-608</w:t>
    </w:r>
  </w:p>
  <w:p w14:paraId="31588B2B" w14:textId="41EA8053" w:rsidR="009161B9" w:rsidRPr="00580CF6" w:rsidRDefault="009161B9" w:rsidP="009161B9">
    <w:pPr>
      <w:pStyle w:val="Footer"/>
      <w:jc w:val="right"/>
      <w:rPr>
        <w:rFonts w:ascii="Arial" w:hAnsi="Arial" w:cs="Arial"/>
        <w:sz w:val="20"/>
        <w:szCs w:val="20"/>
      </w:rPr>
    </w:pPr>
    <w:r w:rsidRPr="00580CF6">
      <w:rPr>
        <w:rFonts w:ascii="Arial" w:hAnsi="Arial" w:cs="Arial"/>
        <w:sz w:val="20"/>
        <w:szCs w:val="20"/>
      </w:rPr>
      <w:t>Military Electric Vehicle (EV) Chargers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2084C" w14:textId="77777777" w:rsidR="0091474C" w:rsidRDefault="0091474C" w:rsidP="009161B9">
      <w:pPr>
        <w:spacing w:after="0" w:line="240" w:lineRule="auto"/>
      </w:pPr>
      <w:r>
        <w:separator/>
      </w:r>
    </w:p>
  </w:footnote>
  <w:footnote w:type="continuationSeparator" w:id="0">
    <w:p w14:paraId="50F22B74" w14:textId="77777777" w:rsidR="0091474C" w:rsidRDefault="0091474C" w:rsidP="009161B9">
      <w:pPr>
        <w:spacing w:after="0" w:line="240" w:lineRule="auto"/>
      </w:pPr>
      <w:r>
        <w:continuationSeparator/>
      </w:r>
    </w:p>
  </w:footnote>
  <w:footnote w:type="continuationNotice" w:id="1">
    <w:p w14:paraId="60F4C848" w14:textId="77777777" w:rsidR="0091474C" w:rsidRDefault="009147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31BCC"/>
    <w:multiLevelType w:val="hybridMultilevel"/>
    <w:tmpl w:val="6ADE2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21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7D"/>
    <w:rsid w:val="000072F5"/>
    <w:rsid w:val="00012631"/>
    <w:rsid w:val="00017302"/>
    <w:rsid w:val="0002162C"/>
    <w:rsid w:val="00021DFC"/>
    <w:rsid w:val="00037784"/>
    <w:rsid w:val="000403C5"/>
    <w:rsid w:val="00041398"/>
    <w:rsid w:val="00047693"/>
    <w:rsid w:val="000501ED"/>
    <w:rsid w:val="00055575"/>
    <w:rsid w:val="00064E99"/>
    <w:rsid w:val="00077AF1"/>
    <w:rsid w:val="000925D2"/>
    <w:rsid w:val="0009334A"/>
    <w:rsid w:val="0009358C"/>
    <w:rsid w:val="0009745C"/>
    <w:rsid w:val="000A0EAE"/>
    <w:rsid w:val="000A2499"/>
    <w:rsid w:val="000A79C2"/>
    <w:rsid w:val="000C2016"/>
    <w:rsid w:val="000C490D"/>
    <w:rsid w:val="000E06AE"/>
    <w:rsid w:val="000E153B"/>
    <w:rsid w:val="000F0BA2"/>
    <w:rsid w:val="000F0D4D"/>
    <w:rsid w:val="000F3F12"/>
    <w:rsid w:val="000F4E81"/>
    <w:rsid w:val="000F6D01"/>
    <w:rsid w:val="00112ACD"/>
    <w:rsid w:val="00122FB0"/>
    <w:rsid w:val="00123EC3"/>
    <w:rsid w:val="00130E26"/>
    <w:rsid w:val="00132691"/>
    <w:rsid w:val="00133DA2"/>
    <w:rsid w:val="00142029"/>
    <w:rsid w:val="00142508"/>
    <w:rsid w:val="0015134D"/>
    <w:rsid w:val="00152CDF"/>
    <w:rsid w:val="00156E8F"/>
    <w:rsid w:val="00157A2E"/>
    <w:rsid w:val="00157DC6"/>
    <w:rsid w:val="00160D4F"/>
    <w:rsid w:val="00163242"/>
    <w:rsid w:val="00166375"/>
    <w:rsid w:val="0017250A"/>
    <w:rsid w:val="0017342D"/>
    <w:rsid w:val="00181F8D"/>
    <w:rsid w:val="00185B43"/>
    <w:rsid w:val="001B12D5"/>
    <w:rsid w:val="001B6724"/>
    <w:rsid w:val="001C3812"/>
    <w:rsid w:val="001E3150"/>
    <w:rsid w:val="001F4AFE"/>
    <w:rsid w:val="00204D6C"/>
    <w:rsid w:val="00205800"/>
    <w:rsid w:val="00210731"/>
    <w:rsid w:val="00212AC8"/>
    <w:rsid w:val="00217DF4"/>
    <w:rsid w:val="00221769"/>
    <w:rsid w:val="00222739"/>
    <w:rsid w:val="00225D15"/>
    <w:rsid w:val="002273A6"/>
    <w:rsid w:val="00231BF8"/>
    <w:rsid w:val="002345CA"/>
    <w:rsid w:val="002366E4"/>
    <w:rsid w:val="00237855"/>
    <w:rsid w:val="00240D9E"/>
    <w:rsid w:val="00241295"/>
    <w:rsid w:val="002433D5"/>
    <w:rsid w:val="002472B4"/>
    <w:rsid w:val="0025795B"/>
    <w:rsid w:val="00263AFC"/>
    <w:rsid w:val="002739C5"/>
    <w:rsid w:val="00275465"/>
    <w:rsid w:val="00276877"/>
    <w:rsid w:val="00280ACB"/>
    <w:rsid w:val="002814A9"/>
    <w:rsid w:val="002817EE"/>
    <w:rsid w:val="002863F6"/>
    <w:rsid w:val="00291DCE"/>
    <w:rsid w:val="002A416E"/>
    <w:rsid w:val="002A4F27"/>
    <w:rsid w:val="002A5FE4"/>
    <w:rsid w:val="002A77D8"/>
    <w:rsid w:val="002B0275"/>
    <w:rsid w:val="002B06A5"/>
    <w:rsid w:val="002B5B9F"/>
    <w:rsid w:val="002C2414"/>
    <w:rsid w:val="002D080A"/>
    <w:rsid w:val="002D0FD4"/>
    <w:rsid w:val="002D1BD7"/>
    <w:rsid w:val="002D6BC0"/>
    <w:rsid w:val="002E7056"/>
    <w:rsid w:val="002E7F44"/>
    <w:rsid w:val="002F214A"/>
    <w:rsid w:val="0030339B"/>
    <w:rsid w:val="00310127"/>
    <w:rsid w:val="00310ED0"/>
    <w:rsid w:val="003132FB"/>
    <w:rsid w:val="00316D2F"/>
    <w:rsid w:val="00317433"/>
    <w:rsid w:val="0032349A"/>
    <w:rsid w:val="003246FE"/>
    <w:rsid w:val="003318AF"/>
    <w:rsid w:val="00340404"/>
    <w:rsid w:val="00343CE2"/>
    <w:rsid w:val="00346730"/>
    <w:rsid w:val="003477B8"/>
    <w:rsid w:val="003520DA"/>
    <w:rsid w:val="00352EB2"/>
    <w:rsid w:val="003602DC"/>
    <w:rsid w:val="00365C8E"/>
    <w:rsid w:val="003759F3"/>
    <w:rsid w:val="00385503"/>
    <w:rsid w:val="00386F81"/>
    <w:rsid w:val="00392367"/>
    <w:rsid w:val="00392FA0"/>
    <w:rsid w:val="003947B0"/>
    <w:rsid w:val="003A3CDE"/>
    <w:rsid w:val="003B17B5"/>
    <w:rsid w:val="003B2513"/>
    <w:rsid w:val="003C0CE7"/>
    <w:rsid w:val="003C5A8B"/>
    <w:rsid w:val="003C6822"/>
    <w:rsid w:val="003D3065"/>
    <w:rsid w:val="003E0E56"/>
    <w:rsid w:val="003E2AC3"/>
    <w:rsid w:val="003E6639"/>
    <w:rsid w:val="003F18BC"/>
    <w:rsid w:val="003F1DC2"/>
    <w:rsid w:val="003F7CFA"/>
    <w:rsid w:val="004051EA"/>
    <w:rsid w:val="004077FD"/>
    <w:rsid w:val="0041019C"/>
    <w:rsid w:val="004131D8"/>
    <w:rsid w:val="0041798A"/>
    <w:rsid w:val="0042763D"/>
    <w:rsid w:val="00427E99"/>
    <w:rsid w:val="0043635D"/>
    <w:rsid w:val="00436C65"/>
    <w:rsid w:val="004413EE"/>
    <w:rsid w:val="004466D1"/>
    <w:rsid w:val="00461A31"/>
    <w:rsid w:val="00475E03"/>
    <w:rsid w:val="00476E51"/>
    <w:rsid w:val="00491CB4"/>
    <w:rsid w:val="00494702"/>
    <w:rsid w:val="00495BD0"/>
    <w:rsid w:val="00496955"/>
    <w:rsid w:val="004A4E09"/>
    <w:rsid w:val="004B1A14"/>
    <w:rsid w:val="004B7B9D"/>
    <w:rsid w:val="004C0042"/>
    <w:rsid w:val="004C1566"/>
    <w:rsid w:val="004D1C91"/>
    <w:rsid w:val="004E47C4"/>
    <w:rsid w:val="004F04E8"/>
    <w:rsid w:val="004F0DF6"/>
    <w:rsid w:val="004F362F"/>
    <w:rsid w:val="00511BAB"/>
    <w:rsid w:val="0051514A"/>
    <w:rsid w:val="00515598"/>
    <w:rsid w:val="0051611A"/>
    <w:rsid w:val="0052383C"/>
    <w:rsid w:val="00523C13"/>
    <w:rsid w:val="00525B1F"/>
    <w:rsid w:val="00531069"/>
    <w:rsid w:val="00532DCC"/>
    <w:rsid w:val="00551A4C"/>
    <w:rsid w:val="00563AF1"/>
    <w:rsid w:val="00564E29"/>
    <w:rsid w:val="0057427F"/>
    <w:rsid w:val="00580CF6"/>
    <w:rsid w:val="0059056D"/>
    <w:rsid w:val="0059585E"/>
    <w:rsid w:val="005A0700"/>
    <w:rsid w:val="005B1B8B"/>
    <w:rsid w:val="005B2F10"/>
    <w:rsid w:val="005B33FD"/>
    <w:rsid w:val="005C4534"/>
    <w:rsid w:val="005C6195"/>
    <w:rsid w:val="005D00FB"/>
    <w:rsid w:val="005D7443"/>
    <w:rsid w:val="005E3D09"/>
    <w:rsid w:val="005E4F66"/>
    <w:rsid w:val="005E6A43"/>
    <w:rsid w:val="005E716A"/>
    <w:rsid w:val="00603A55"/>
    <w:rsid w:val="006064E0"/>
    <w:rsid w:val="00607DF5"/>
    <w:rsid w:val="00615437"/>
    <w:rsid w:val="00620418"/>
    <w:rsid w:val="006212CF"/>
    <w:rsid w:val="006219FD"/>
    <w:rsid w:val="0062265E"/>
    <w:rsid w:val="006251CA"/>
    <w:rsid w:val="00626A1B"/>
    <w:rsid w:val="0063335A"/>
    <w:rsid w:val="00634AA9"/>
    <w:rsid w:val="00653EBF"/>
    <w:rsid w:val="00655447"/>
    <w:rsid w:val="006563F3"/>
    <w:rsid w:val="00660F50"/>
    <w:rsid w:val="006618D0"/>
    <w:rsid w:val="00665D2B"/>
    <w:rsid w:val="00667667"/>
    <w:rsid w:val="00674582"/>
    <w:rsid w:val="00676973"/>
    <w:rsid w:val="00685D3D"/>
    <w:rsid w:val="006863F5"/>
    <w:rsid w:val="0068736D"/>
    <w:rsid w:val="00693077"/>
    <w:rsid w:val="00694D1F"/>
    <w:rsid w:val="0069631F"/>
    <w:rsid w:val="00696E9E"/>
    <w:rsid w:val="006A0CA4"/>
    <w:rsid w:val="006B0AAB"/>
    <w:rsid w:val="006C047A"/>
    <w:rsid w:val="006C227D"/>
    <w:rsid w:val="006C39D3"/>
    <w:rsid w:val="006C7B81"/>
    <w:rsid w:val="006D3823"/>
    <w:rsid w:val="006D5197"/>
    <w:rsid w:val="006E0266"/>
    <w:rsid w:val="006E3F4F"/>
    <w:rsid w:val="006E60C5"/>
    <w:rsid w:val="006F2E87"/>
    <w:rsid w:val="006F3A80"/>
    <w:rsid w:val="00706C66"/>
    <w:rsid w:val="00711CF9"/>
    <w:rsid w:val="007303EF"/>
    <w:rsid w:val="0073129C"/>
    <w:rsid w:val="007325D4"/>
    <w:rsid w:val="00735F73"/>
    <w:rsid w:val="0073620C"/>
    <w:rsid w:val="007424E2"/>
    <w:rsid w:val="00747392"/>
    <w:rsid w:val="0075291B"/>
    <w:rsid w:val="00761DCF"/>
    <w:rsid w:val="00773FF9"/>
    <w:rsid w:val="0077769E"/>
    <w:rsid w:val="007820A1"/>
    <w:rsid w:val="007850A0"/>
    <w:rsid w:val="0078602A"/>
    <w:rsid w:val="00786858"/>
    <w:rsid w:val="00786D47"/>
    <w:rsid w:val="00796174"/>
    <w:rsid w:val="007A2605"/>
    <w:rsid w:val="007A43C3"/>
    <w:rsid w:val="007B1BF7"/>
    <w:rsid w:val="007C500C"/>
    <w:rsid w:val="007D788B"/>
    <w:rsid w:val="007E453A"/>
    <w:rsid w:val="007E7646"/>
    <w:rsid w:val="007F13C2"/>
    <w:rsid w:val="00801610"/>
    <w:rsid w:val="00805F45"/>
    <w:rsid w:val="00807551"/>
    <w:rsid w:val="008231EB"/>
    <w:rsid w:val="0082652C"/>
    <w:rsid w:val="008328E0"/>
    <w:rsid w:val="00837917"/>
    <w:rsid w:val="0084374E"/>
    <w:rsid w:val="008438DA"/>
    <w:rsid w:val="008534E5"/>
    <w:rsid w:val="00857AAE"/>
    <w:rsid w:val="0086081F"/>
    <w:rsid w:val="00865210"/>
    <w:rsid w:val="00865869"/>
    <w:rsid w:val="008700AD"/>
    <w:rsid w:val="00873B8C"/>
    <w:rsid w:val="008811E6"/>
    <w:rsid w:val="008875F1"/>
    <w:rsid w:val="008900FA"/>
    <w:rsid w:val="00896022"/>
    <w:rsid w:val="008A12F7"/>
    <w:rsid w:val="008A3C6F"/>
    <w:rsid w:val="008B719A"/>
    <w:rsid w:val="008D1083"/>
    <w:rsid w:val="008D17A5"/>
    <w:rsid w:val="008D5526"/>
    <w:rsid w:val="008D6F2C"/>
    <w:rsid w:val="008E7A70"/>
    <w:rsid w:val="008F02CE"/>
    <w:rsid w:val="008F11D2"/>
    <w:rsid w:val="009068B4"/>
    <w:rsid w:val="00911199"/>
    <w:rsid w:val="0091157B"/>
    <w:rsid w:val="009130A2"/>
    <w:rsid w:val="0091474C"/>
    <w:rsid w:val="009161B9"/>
    <w:rsid w:val="00916AE1"/>
    <w:rsid w:val="00920BA6"/>
    <w:rsid w:val="00924BDF"/>
    <w:rsid w:val="00925F20"/>
    <w:rsid w:val="00930063"/>
    <w:rsid w:val="009330FF"/>
    <w:rsid w:val="00935F56"/>
    <w:rsid w:val="00936FE0"/>
    <w:rsid w:val="009403DE"/>
    <w:rsid w:val="009411CB"/>
    <w:rsid w:val="00941850"/>
    <w:rsid w:val="00943992"/>
    <w:rsid w:val="009454F0"/>
    <w:rsid w:val="009454FA"/>
    <w:rsid w:val="009664C0"/>
    <w:rsid w:val="009714AA"/>
    <w:rsid w:val="00974E4B"/>
    <w:rsid w:val="00975349"/>
    <w:rsid w:val="00976C8F"/>
    <w:rsid w:val="00977E08"/>
    <w:rsid w:val="00980191"/>
    <w:rsid w:val="00990AFB"/>
    <w:rsid w:val="009A0B70"/>
    <w:rsid w:val="009A0D96"/>
    <w:rsid w:val="009B2F01"/>
    <w:rsid w:val="009B3A0A"/>
    <w:rsid w:val="009B709F"/>
    <w:rsid w:val="009B71EE"/>
    <w:rsid w:val="009B7CFA"/>
    <w:rsid w:val="009C0246"/>
    <w:rsid w:val="009C13B6"/>
    <w:rsid w:val="009C5168"/>
    <w:rsid w:val="009C7A01"/>
    <w:rsid w:val="009C7B56"/>
    <w:rsid w:val="009D0EB1"/>
    <w:rsid w:val="009D70CC"/>
    <w:rsid w:val="009F023F"/>
    <w:rsid w:val="009F054A"/>
    <w:rsid w:val="009F1D31"/>
    <w:rsid w:val="009F49AB"/>
    <w:rsid w:val="009F4FB1"/>
    <w:rsid w:val="00A01311"/>
    <w:rsid w:val="00A02345"/>
    <w:rsid w:val="00A1451B"/>
    <w:rsid w:val="00A20D3E"/>
    <w:rsid w:val="00A31857"/>
    <w:rsid w:val="00A32939"/>
    <w:rsid w:val="00A45555"/>
    <w:rsid w:val="00A4645E"/>
    <w:rsid w:val="00A464E0"/>
    <w:rsid w:val="00A47BEA"/>
    <w:rsid w:val="00A503B3"/>
    <w:rsid w:val="00A61171"/>
    <w:rsid w:val="00A62378"/>
    <w:rsid w:val="00A6792F"/>
    <w:rsid w:val="00A67A46"/>
    <w:rsid w:val="00A76E80"/>
    <w:rsid w:val="00A83338"/>
    <w:rsid w:val="00A8466C"/>
    <w:rsid w:val="00A856D0"/>
    <w:rsid w:val="00A93824"/>
    <w:rsid w:val="00A96685"/>
    <w:rsid w:val="00AA135B"/>
    <w:rsid w:val="00AA49A4"/>
    <w:rsid w:val="00AB16F9"/>
    <w:rsid w:val="00AB3E23"/>
    <w:rsid w:val="00AB5D71"/>
    <w:rsid w:val="00AB694A"/>
    <w:rsid w:val="00AC031B"/>
    <w:rsid w:val="00AC2D17"/>
    <w:rsid w:val="00AC3571"/>
    <w:rsid w:val="00AC4C9B"/>
    <w:rsid w:val="00AD5812"/>
    <w:rsid w:val="00AE0D0C"/>
    <w:rsid w:val="00AE5E8F"/>
    <w:rsid w:val="00AF1150"/>
    <w:rsid w:val="00AF351E"/>
    <w:rsid w:val="00AF3E56"/>
    <w:rsid w:val="00AF4970"/>
    <w:rsid w:val="00AF7248"/>
    <w:rsid w:val="00B0420F"/>
    <w:rsid w:val="00B0760B"/>
    <w:rsid w:val="00B10839"/>
    <w:rsid w:val="00B219BA"/>
    <w:rsid w:val="00B2204B"/>
    <w:rsid w:val="00B22EA8"/>
    <w:rsid w:val="00B25D90"/>
    <w:rsid w:val="00B26C79"/>
    <w:rsid w:val="00B34EE1"/>
    <w:rsid w:val="00B36347"/>
    <w:rsid w:val="00B40DCC"/>
    <w:rsid w:val="00B43C53"/>
    <w:rsid w:val="00B44B15"/>
    <w:rsid w:val="00B471FA"/>
    <w:rsid w:val="00B50C80"/>
    <w:rsid w:val="00B52CCD"/>
    <w:rsid w:val="00B544F5"/>
    <w:rsid w:val="00B559B2"/>
    <w:rsid w:val="00B57C5A"/>
    <w:rsid w:val="00B67B68"/>
    <w:rsid w:val="00B7408C"/>
    <w:rsid w:val="00B74217"/>
    <w:rsid w:val="00B856D8"/>
    <w:rsid w:val="00B86E03"/>
    <w:rsid w:val="00B87129"/>
    <w:rsid w:val="00B90E34"/>
    <w:rsid w:val="00B933FD"/>
    <w:rsid w:val="00B9385C"/>
    <w:rsid w:val="00B94ADF"/>
    <w:rsid w:val="00B95DDB"/>
    <w:rsid w:val="00BA1B9F"/>
    <w:rsid w:val="00BA1D6D"/>
    <w:rsid w:val="00BA2495"/>
    <w:rsid w:val="00BA5DB5"/>
    <w:rsid w:val="00BA6780"/>
    <w:rsid w:val="00BB1400"/>
    <w:rsid w:val="00BB1B5E"/>
    <w:rsid w:val="00BB1E5A"/>
    <w:rsid w:val="00BB3D5C"/>
    <w:rsid w:val="00BB7B27"/>
    <w:rsid w:val="00BC01F7"/>
    <w:rsid w:val="00BC4347"/>
    <w:rsid w:val="00BC5352"/>
    <w:rsid w:val="00BD3FFB"/>
    <w:rsid w:val="00BD5109"/>
    <w:rsid w:val="00BD788F"/>
    <w:rsid w:val="00BD7C3A"/>
    <w:rsid w:val="00BE10AA"/>
    <w:rsid w:val="00BE4DE0"/>
    <w:rsid w:val="00BE5985"/>
    <w:rsid w:val="00BE6244"/>
    <w:rsid w:val="00BE7E2B"/>
    <w:rsid w:val="00BF175B"/>
    <w:rsid w:val="00C040CC"/>
    <w:rsid w:val="00C15FF5"/>
    <w:rsid w:val="00C167A9"/>
    <w:rsid w:val="00C27D99"/>
    <w:rsid w:val="00C31AF0"/>
    <w:rsid w:val="00C3448B"/>
    <w:rsid w:val="00C34F83"/>
    <w:rsid w:val="00C4039C"/>
    <w:rsid w:val="00C5196C"/>
    <w:rsid w:val="00C55E7A"/>
    <w:rsid w:val="00C60DED"/>
    <w:rsid w:val="00C64F53"/>
    <w:rsid w:val="00C735C8"/>
    <w:rsid w:val="00C74D38"/>
    <w:rsid w:val="00C84463"/>
    <w:rsid w:val="00C87FC1"/>
    <w:rsid w:val="00CA1417"/>
    <w:rsid w:val="00CA44CD"/>
    <w:rsid w:val="00CC06D0"/>
    <w:rsid w:val="00CC2428"/>
    <w:rsid w:val="00CC655B"/>
    <w:rsid w:val="00CC77FF"/>
    <w:rsid w:val="00CF327B"/>
    <w:rsid w:val="00CF4765"/>
    <w:rsid w:val="00D05A06"/>
    <w:rsid w:val="00D11F41"/>
    <w:rsid w:val="00D20E37"/>
    <w:rsid w:val="00D23EA3"/>
    <w:rsid w:val="00D34F66"/>
    <w:rsid w:val="00D375C6"/>
    <w:rsid w:val="00D378F8"/>
    <w:rsid w:val="00D40033"/>
    <w:rsid w:val="00D44984"/>
    <w:rsid w:val="00D55455"/>
    <w:rsid w:val="00D67F3F"/>
    <w:rsid w:val="00D761EA"/>
    <w:rsid w:val="00D76EA6"/>
    <w:rsid w:val="00D809A4"/>
    <w:rsid w:val="00D83251"/>
    <w:rsid w:val="00D847C0"/>
    <w:rsid w:val="00D847FB"/>
    <w:rsid w:val="00D8565E"/>
    <w:rsid w:val="00D90311"/>
    <w:rsid w:val="00D9107D"/>
    <w:rsid w:val="00D929AD"/>
    <w:rsid w:val="00D93A42"/>
    <w:rsid w:val="00D94142"/>
    <w:rsid w:val="00D97D90"/>
    <w:rsid w:val="00DA0D1A"/>
    <w:rsid w:val="00DA1BFD"/>
    <w:rsid w:val="00DA2C34"/>
    <w:rsid w:val="00DA4546"/>
    <w:rsid w:val="00DA4583"/>
    <w:rsid w:val="00DA5341"/>
    <w:rsid w:val="00DB077D"/>
    <w:rsid w:val="00DB4273"/>
    <w:rsid w:val="00DC083A"/>
    <w:rsid w:val="00DC3234"/>
    <w:rsid w:val="00DD1C55"/>
    <w:rsid w:val="00DF3949"/>
    <w:rsid w:val="00DF509E"/>
    <w:rsid w:val="00E00EEB"/>
    <w:rsid w:val="00E0788F"/>
    <w:rsid w:val="00E10EBF"/>
    <w:rsid w:val="00E25D3C"/>
    <w:rsid w:val="00E25DC3"/>
    <w:rsid w:val="00E3760E"/>
    <w:rsid w:val="00E4146B"/>
    <w:rsid w:val="00E4580A"/>
    <w:rsid w:val="00E458CF"/>
    <w:rsid w:val="00E52AD2"/>
    <w:rsid w:val="00E6535D"/>
    <w:rsid w:val="00E70B08"/>
    <w:rsid w:val="00E70D75"/>
    <w:rsid w:val="00E71751"/>
    <w:rsid w:val="00E7333C"/>
    <w:rsid w:val="00E76026"/>
    <w:rsid w:val="00E81966"/>
    <w:rsid w:val="00E82E14"/>
    <w:rsid w:val="00E921EE"/>
    <w:rsid w:val="00E94F5C"/>
    <w:rsid w:val="00EA6B98"/>
    <w:rsid w:val="00EB56E4"/>
    <w:rsid w:val="00ED759F"/>
    <w:rsid w:val="00EF10D7"/>
    <w:rsid w:val="00EF5550"/>
    <w:rsid w:val="00EF74EC"/>
    <w:rsid w:val="00F003B6"/>
    <w:rsid w:val="00F019B5"/>
    <w:rsid w:val="00F02D5A"/>
    <w:rsid w:val="00F068A1"/>
    <w:rsid w:val="00F074F1"/>
    <w:rsid w:val="00F13C9D"/>
    <w:rsid w:val="00F16AD8"/>
    <w:rsid w:val="00F21753"/>
    <w:rsid w:val="00F2247E"/>
    <w:rsid w:val="00F25E67"/>
    <w:rsid w:val="00F25ECE"/>
    <w:rsid w:val="00F26290"/>
    <w:rsid w:val="00F330A2"/>
    <w:rsid w:val="00F35362"/>
    <w:rsid w:val="00F44952"/>
    <w:rsid w:val="00F47A3D"/>
    <w:rsid w:val="00F51DE6"/>
    <w:rsid w:val="00F53BE1"/>
    <w:rsid w:val="00F55FA8"/>
    <w:rsid w:val="00F62B24"/>
    <w:rsid w:val="00F65E95"/>
    <w:rsid w:val="00F723DE"/>
    <w:rsid w:val="00F75DBA"/>
    <w:rsid w:val="00F82B82"/>
    <w:rsid w:val="00F83331"/>
    <w:rsid w:val="00F90726"/>
    <w:rsid w:val="00F92D53"/>
    <w:rsid w:val="00FA1731"/>
    <w:rsid w:val="00FB1A13"/>
    <w:rsid w:val="00FB1CDC"/>
    <w:rsid w:val="00FB60C7"/>
    <w:rsid w:val="00FC205F"/>
    <w:rsid w:val="00FC3DA6"/>
    <w:rsid w:val="00FC45C0"/>
    <w:rsid w:val="00FC4C27"/>
    <w:rsid w:val="00FD08F2"/>
    <w:rsid w:val="00FD44D7"/>
    <w:rsid w:val="00FD750C"/>
    <w:rsid w:val="00FD7D23"/>
    <w:rsid w:val="00FE26CB"/>
    <w:rsid w:val="00FE7322"/>
    <w:rsid w:val="00FE7981"/>
    <w:rsid w:val="00FF703C"/>
    <w:rsid w:val="014F319B"/>
    <w:rsid w:val="01C4671D"/>
    <w:rsid w:val="02265F96"/>
    <w:rsid w:val="022E7042"/>
    <w:rsid w:val="0235C3B8"/>
    <w:rsid w:val="0259C006"/>
    <w:rsid w:val="02A23802"/>
    <w:rsid w:val="0340D481"/>
    <w:rsid w:val="0360377E"/>
    <w:rsid w:val="039F4C85"/>
    <w:rsid w:val="03D6F8C8"/>
    <w:rsid w:val="047E061F"/>
    <w:rsid w:val="05525E18"/>
    <w:rsid w:val="05950850"/>
    <w:rsid w:val="06159590"/>
    <w:rsid w:val="0691F3B3"/>
    <w:rsid w:val="069AC201"/>
    <w:rsid w:val="06A2376D"/>
    <w:rsid w:val="06CA1369"/>
    <w:rsid w:val="0749E81D"/>
    <w:rsid w:val="07ABF43B"/>
    <w:rsid w:val="084935D0"/>
    <w:rsid w:val="08E126F4"/>
    <w:rsid w:val="08EE8AB7"/>
    <w:rsid w:val="090C0833"/>
    <w:rsid w:val="09E2E198"/>
    <w:rsid w:val="0A047B28"/>
    <w:rsid w:val="0A2DF55F"/>
    <w:rsid w:val="0A2EC645"/>
    <w:rsid w:val="0A51A30A"/>
    <w:rsid w:val="0A6229D8"/>
    <w:rsid w:val="0A736740"/>
    <w:rsid w:val="0A8BE6F9"/>
    <w:rsid w:val="0B528391"/>
    <w:rsid w:val="0B6AEC7B"/>
    <w:rsid w:val="0B92A7A9"/>
    <w:rsid w:val="0B97247B"/>
    <w:rsid w:val="0BB51264"/>
    <w:rsid w:val="0BFA88F3"/>
    <w:rsid w:val="0C0BFDEA"/>
    <w:rsid w:val="0C64B1E4"/>
    <w:rsid w:val="0CCFE741"/>
    <w:rsid w:val="0D5185F9"/>
    <w:rsid w:val="0DB0F567"/>
    <w:rsid w:val="0DE989EB"/>
    <w:rsid w:val="0E7C6308"/>
    <w:rsid w:val="0EB7F352"/>
    <w:rsid w:val="0EF99A09"/>
    <w:rsid w:val="0FA6B35A"/>
    <w:rsid w:val="105F7564"/>
    <w:rsid w:val="107DCF8D"/>
    <w:rsid w:val="1093C122"/>
    <w:rsid w:val="10E3A0C6"/>
    <w:rsid w:val="11500485"/>
    <w:rsid w:val="118E13E1"/>
    <w:rsid w:val="11B9CD0A"/>
    <w:rsid w:val="11E51F20"/>
    <w:rsid w:val="120A54A0"/>
    <w:rsid w:val="13394A85"/>
    <w:rsid w:val="134AA145"/>
    <w:rsid w:val="138B99FB"/>
    <w:rsid w:val="13B14DB2"/>
    <w:rsid w:val="13B3D908"/>
    <w:rsid w:val="142036EB"/>
    <w:rsid w:val="145E1185"/>
    <w:rsid w:val="148741E8"/>
    <w:rsid w:val="14C5B4A3"/>
    <w:rsid w:val="15AA51E3"/>
    <w:rsid w:val="16076372"/>
    <w:rsid w:val="162117B4"/>
    <w:rsid w:val="1724A34A"/>
    <w:rsid w:val="17E685E6"/>
    <w:rsid w:val="1801299A"/>
    <w:rsid w:val="1808C6F3"/>
    <w:rsid w:val="180A8CBE"/>
    <w:rsid w:val="187C724F"/>
    <w:rsid w:val="18AEF74C"/>
    <w:rsid w:val="18F3A80E"/>
    <w:rsid w:val="19F78232"/>
    <w:rsid w:val="1A4B7F7D"/>
    <w:rsid w:val="1A6AF332"/>
    <w:rsid w:val="1A7F7799"/>
    <w:rsid w:val="1AC1AC38"/>
    <w:rsid w:val="1AFB6DC9"/>
    <w:rsid w:val="1B0E0649"/>
    <w:rsid w:val="1B8D4830"/>
    <w:rsid w:val="1C6A57EE"/>
    <w:rsid w:val="1CFCC2E9"/>
    <w:rsid w:val="1DA0209B"/>
    <w:rsid w:val="1DAB18F3"/>
    <w:rsid w:val="1E633BBC"/>
    <w:rsid w:val="1EBEBB6A"/>
    <w:rsid w:val="1EF9A414"/>
    <w:rsid w:val="1F9AB81A"/>
    <w:rsid w:val="20557677"/>
    <w:rsid w:val="21531587"/>
    <w:rsid w:val="216FF9E9"/>
    <w:rsid w:val="2191D9CD"/>
    <w:rsid w:val="219FF871"/>
    <w:rsid w:val="21BA94A8"/>
    <w:rsid w:val="21DD0190"/>
    <w:rsid w:val="220E4C35"/>
    <w:rsid w:val="22133FD6"/>
    <w:rsid w:val="224FDD4D"/>
    <w:rsid w:val="22659013"/>
    <w:rsid w:val="2294AFDC"/>
    <w:rsid w:val="23477D8E"/>
    <w:rsid w:val="24FFEE94"/>
    <w:rsid w:val="25241ED8"/>
    <w:rsid w:val="259C1A98"/>
    <w:rsid w:val="25CF9B60"/>
    <w:rsid w:val="25EA101F"/>
    <w:rsid w:val="2627B5A1"/>
    <w:rsid w:val="2664C6AF"/>
    <w:rsid w:val="26D712B5"/>
    <w:rsid w:val="27484F68"/>
    <w:rsid w:val="274A0DDD"/>
    <w:rsid w:val="27895185"/>
    <w:rsid w:val="287FA9CD"/>
    <w:rsid w:val="28A66978"/>
    <w:rsid w:val="28CF151F"/>
    <w:rsid w:val="28E3B603"/>
    <w:rsid w:val="291B81B7"/>
    <w:rsid w:val="295816BA"/>
    <w:rsid w:val="297DEF0E"/>
    <w:rsid w:val="29857F7F"/>
    <w:rsid w:val="2A5FAC36"/>
    <w:rsid w:val="2AE119EE"/>
    <w:rsid w:val="2B12CA8B"/>
    <w:rsid w:val="2B98C515"/>
    <w:rsid w:val="2BC2625E"/>
    <w:rsid w:val="2C1FF9F3"/>
    <w:rsid w:val="2C25B487"/>
    <w:rsid w:val="2C2AB4B1"/>
    <w:rsid w:val="2C584B48"/>
    <w:rsid w:val="2C9ED9DA"/>
    <w:rsid w:val="2CB03AA9"/>
    <w:rsid w:val="2CB14094"/>
    <w:rsid w:val="2D2AB3AA"/>
    <w:rsid w:val="2D52BEDC"/>
    <w:rsid w:val="2D697C0E"/>
    <w:rsid w:val="2ECA982C"/>
    <w:rsid w:val="2FE4B6E7"/>
    <w:rsid w:val="3018D108"/>
    <w:rsid w:val="307B3185"/>
    <w:rsid w:val="30CE76BD"/>
    <w:rsid w:val="30D39FD1"/>
    <w:rsid w:val="314324FD"/>
    <w:rsid w:val="31E2B0E3"/>
    <w:rsid w:val="31FDCB10"/>
    <w:rsid w:val="325E95D3"/>
    <w:rsid w:val="32601841"/>
    <w:rsid w:val="3290D469"/>
    <w:rsid w:val="32B852F7"/>
    <w:rsid w:val="32F6ABC4"/>
    <w:rsid w:val="331646E4"/>
    <w:rsid w:val="3335231E"/>
    <w:rsid w:val="337FC372"/>
    <w:rsid w:val="33FDFFA1"/>
    <w:rsid w:val="345C02CE"/>
    <w:rsid w:val="34B3566F"/>
    <w:rsid w:val="3513860B"/>
    <w:rsid w:val="352F7EDC"/>
    <w:rsid w:val="355C4762"/>
    <w:rsid w:val="359D8FC6"/>
    <w:rsid w:val="365C67E1"/>
    <w:rsid w:val="367C91C1"/>
    <w:rsid w:val="3684128E"/>
    <w:rsid w:val="36C3EFBB"/>
    <w:rsid w:val="36EDE0C8"/>
    <w:rsid w:val="3779855C"/>
    <w:rsid w:val="37BBABFB"/>
    <w:rsid w:val="38C36BD0"/>
    <w:rsid w:val="38E67646"/>
    <w:rsid w:val="38F5CA8A"/>
    <w:rsid w:val="3909F076"/>
    <w:rsid w:val="39135EFD"/>
    <w:rsid w:val="39178760"/>
    <w:rsid w:val="39A7B67B"/>
    <w:rsid w:val="39D3E202"/>
    <w:rsid w:val="39D62B4A"/>
    <w:rsid w:val="39F4A1D2"/>
    <w:rsid w:val="3A07DEC6"/>
    <w:rsid w:val="3A5418C8"/>
    <w:rsid w:val="3A89D295"/>
    <w:rsid w:val="3A9EEF0E"/>
    <w:rsid w:val="3AC4DD3D"/>
    <w:rsid w:val="3B112965"/>
    <w:rsid w:val="3B1EA55C"/>
    <w:rsid w:val="3B2D0500"/>
    <w:rsid w:val="3B7796AC"/>
    <w:rsid w:val="3B8800BA"/>
    <w:rsid w:val="3BEFE929"/>
    <w:rsid w:val="3BF03ACF"/>
    <w:rsid w:val="3CBFD370"/>
    <w:rsid w:val="3CC7E827"/>
    <w:rsid w:val="3D81D44B"/>
    <w:rsid w:val="3DD760B1"/>
    <w:rsid w:val="3E2337A9"/>
    <w:rsid w:val="3E301C4F"/>
    <w:rsid w:val="3EDD112E"/>
    <w:rsid w:val="3EEB897E"/>
    <w:rsid w:val="3EF40CCE"/>
    <w:rsid w:val="3EF49A3B"/>
    <w:rsid w:val="3EF80932"/>
    <w:rsid w:val="3F582E8C"/>
    <w:rsid w:val="3F733112"/>
    <w:rsid w:val="3FA174FE"/>
    <w:rsid w:val="3FC26B56"/>
    <w:rsid w:val="409FE98A"/>
    <w:rsid w:val="40BD1568"/>
    <w:rsid w:val="40D4E2BF"/>
    <w:rsid w:val="41437168"/>
    <w:rsid w:val="41B18D99"/>
    <w:rsid w:val="41BAC589"/>
    <w:rsid w:val="41DA8B84"/>
    <w:rsid w:val="4214606B"/>
    <w:rsid w:val="4244AB02"/>
    <w:rsid w:val="42CCB1D0"/>
    <w:rsid w:val="42E7CC45"/>
    <w:rsid w:val="43E3ED7D"/>
    <w:rsid w:val="43FAFB0E"/>
    <w:rsid w:val="44095E8A"/>
    <w:rsid w:val="44457C08"/>
    <w:rsid w:val="446ADA35"/>
    <w:rsid w:val="44CB4460"/>
    <w:rsid w:val="44E0DCDC"/>
    <w:rsid w:val="458321F5"/>
    <w:rsid w:val="4596CB6F"/>
    <w:rsid w:val="459C88D6"/>
    <w:rsid w:val="45DACBEB"/>
    <w:rsid w:val="4602220D"/>
    <w:rsid w:val="466AD187"/>
    <w:rsid w:val="46753055"/>
    <w:rsid w:val="471550EB"/>
    <w:rsid w:val="471FCD62"/>
    <w:rsid w:val="476E1F6D"/>
    <w:rsid w:val="47AE2BB1"/>
    <w:rsid w:val="47D9DED5"/>
    <w:rsid w:val="47F32A62"/>
    <w:rsid w:val="47FC2501"/>
    <w:rsid w:val="480FAEE7"/>
    <w:rsid w:val="4844B23E"/>
    <w:rsid w:val="486EE019"/>
    <w:rsid w:val="4887C6C9"/>
    <w:rsid w:val="49070F09"/>
    <w:rsid w:val="49182903"/>
    <w:rsid w:val="49BBAB2C"/>
    <w:rsid w:val="49C01825"/>
    <w:rsid w:val="49D65DA4"/>
    <w:rsid w:val="49DB08D4"/>
    <w:rsid w:val="49EE81FF"/>
    <w:rsid w:val="4A205DC9"/>
    <w:rsid w:val="4A4107D4"/>
    <w:rsid w:val="4A80EBB3"/>
    <w:rsid w:val="4A973AA8"/>
    <w:rsid w:val="4AFB2097"/>
    <w:rsid w:val="4B1FCEF9"/>
    <w:rsid w:val="4B8B0F72"/>
    <w:rsid w:val="4BFEC612"/>
    <w:rsid w:val="4C5DB128"/>
    <w:rsid w:val="4D96886C"/>
    <w:rsid w:val="4DB440D8"/>
    <w:rsid w:val="4DE152CD"/>
    <w:rsid w:val="4DF40DF4"/>
    <w:rsid w:val="4DF972E8"/>
    <w:rsid w:val="4E3E475E"/>
    <w:rsid w:val="4E6DD3EE"/>
    <w:rsid w:val="4EE25F90"/>
    <w:rsid w:val="4F16815F"/>
    <w:rsid w:val="4FA58D57"/>
    <w:rsid w:val="4FC6A741"/>
    <w:rsid w:val="500AFA99"/>
    <w:rsid w:val="5015B963"/>
    <w:rsid w:val="503170A8"/>
    <w:rsid w:val="5038E659"/>
    <w:rsid w:val="50BA10D5"/>
    <w:rsid w:val="51218F43"/>
    <w:rsid w:val="51B7F340"/>
    <w:rsid w:val="51BA2993"/>
    <w:rsid w:val="51C05361"/>
    <w:rsid w:val="5255E136"/>
    <w:rsid w:val="525A745F"/>
    <w:rsid w:val="52A084A1"/>
    <w:rsid w:val="52E0BFA3"/>
    <w:rsid w:val="52E26FA6"/>
    <w:rsid w:val="52E898F5"/>
    <w:rsid w:val="5326A16A"/>
    <w:rsid w:val="5328950C"/>
    <w:rsid w:val="53617927"/>
    <w:rsid w:val="5494B14B"/>
    <w:rsid w:val="5504E1CB"/>
    <w:rsid w:val="551E59F3"/>
    <w:rsid w:val="5528A3B3"/>
    <w:rsid w:val="5583378D"/>
    <w:rsid w:val="55F0A727"/>
    <w:rsid w:val="568AEFDE"/>
    <w:rsid w:val="56906972"/>
    <w:rsid w:val="56F709EC"/>
    <w:rsid w:val="5742A82C"/>
    <w:rsid w:val="575F9DCB"/>
    <w:rsid w:val="581D154C"/>
    <w:rsid w:val="587F4714"/>
    <w:rsid w:val="58B6DC01"/>
    <w:rsid w:val="58D8EC97"/>
    <w:rsid w:val="5950A194"/>
    <w:rsid w:val="596B70A7"/>
    <w:rsid w:val="59B6A959"/>
    <w:rsid w:val="59B8754F"/>
    <w:rsid w:val="5A44B064"/>
    <w:rsid w:val="5A550A81"/>
    <w:rsid w:val="5A66D6C8"/>
    <w:rsid w:val="5A856AEF"/>
    <w:rsid w:val="5AF129A3"/>
    <w:rsid w:val="5B28ACA8"/>
    <w:rsid w:val="5BA91D0C"/>
    <w:rsid w:val="5BD47F83"/>
    <w:rsid w:val="5BF44DBF"/>
    <w:rsid w:val="5C213B50"/>
    <w:rsid w:val="5C8C01EC"/>
    <w:rsid w:val="5CAF8724"/>
    <w:rsid w:val="5CF519B1"/>
    <w:rsid w:val="5D74E2FC"/>
    <w:rsid w:val="5DAC5DBA"/>
    <w:rsid w:val="5DEC0F32"/>
    <w:rsid w:val="5EA6864F"/>
    <w:rsid w:val="5EC1CADA"/>
    <w:rsid w:val="5EFBCD69"/>
    <w:rsid w:val="5F04FB6B"/>
    <w:rsid w:val="5F8F9071"/>
    <w:rsid w:val="60544474"/>
    <w:rsid w:val="61DCA3EA"/>
    <w:rsid w:val="61F624C1"/>
    <w:rsid w:val="62A0FC7F"/>
    <w:rsid w:val="62ACC630"/>
    <w:rsid w:val="6305D33F"/>
    <w:rsid w:val="63C3384C"/>
    <w:rsid w:val="63E4FF0E"/>
    <w:rsid w:val="6426DB84"/>
    <w:rsid w:val="6459CFCA"/>
    <w:rsid w:val="6483A1D3"/>
    <w:rsid w:val="64B3AFFB"/>
    <w:rsid w:val="65913BFB"/>
    <w:rsid w:val="6635FA1D"/>
    <w:rsid w:val="66398DEC"/>
    <w:rsid w:val="667E4058"/>
    <w:rsid w:val="66C0F229"/>
    <w:rsid w:val="66FB0E16"/>
    <w:rsid w:val="67442222"/>
    <w:rsid w:val="67751AF1"/>
    <w:rsid w:val="67CEB493"/>
    <w:rsid w:val="684C3F05"/>
    <w:rsid w:val="68B2F2FA"/>
    <w:rsid w:val="68B98052"/>
    <w:rsid w:val="6948EE75"/>
    <w:rsid w:val="6952EB76"/>
    <w:rsid w:val="69B7B71F"/>
    <w:rsid w:val="69F92B18"/>
    <w:rsid w:val="6A71B865"/>
    <w:rsid w:val="6B044160"/>
    <w:rsid w:val="6B676C1F"/>
    <w:rsid w:val="6B69E66A"/>
    <w:rsid w:val="6BCCAB3E"/>
    <w:rsid w:val="6C124CA2"/>
    <w:rsid w:val="6C2D23BA"/>
    <w:rsid w:val="6C5A0E14"/>
    <w:rsid w:val="6C87B647"/>
    <w:rsid w:val="6CE92468"/>
    <w:rsid w:val="6D33FFB7"/>
    <w:rsid w:val="6D3E7C69"/>
    <w:rsid w:val="6E8DB2F8"/>
    <w:rsid w:val="6E9B7040"/>
    <w:rsid w:val="6EA11B65"/>
    <w:rsid w:val="6EC50B43"/>
    <w:rsid w:val="6ED2D21B"/>
    <w:rsid w:val="6F2CC3A7"/>
    <w:rsid w:val="6F48CD34"/>
    <w:rsid w:val="6F70CC3E"/>
    <w:rsid w:val="6F7C1187"/>
    <w:rsid w:val="70872DE4"/>
    <w:rsid w:val="70B51E30"/>
    <w:rsid w:val="7147F298"/>
    <w:rsid w:val="71B3C348"/>
    <w:rsid w:val="71C03637"/>
    <w:rsid w:val="71E1ACF2"/>
    <w:rsid w:val="71FE9330"/>
    <w:rsid w:val="725A5332"/>
    <w:rsid w:val="72AE8E24"/>
    <w:rsid w:val="72C5C483"/>
    <w:rsid w:val="72D68113"/>
    <w:rsid w:val="730C7008"/>
    <w:rsid w:val="734F93A9"/>
    <w:rsid w:val="739ECDEB"/>
    <w:rsid w:val="73AC955B"/>
    <w:rsid w:val="73E3E274"/>
    <w:rsid w:val="746832BA"/>
    <w:rsid w:val="749EF32B"/>
    <w:rsid w:val="74EC64DC"/>
    <w:rsid w:val="75008147"/>
    <w:rsid w:val="751D78A6"/>
    <w:rsid w:val="7563B687"/>
    <w:rsid w:val="7621896A"/>
    <w:rsid w:val="7686BD7F"/>
    <w:rsid w:val="76F99EE8"/>
    <w:rsid w:val="7723A292"/>
    <w:rsid w:val="777859B3"/>
    <w:rsid w:val="77806800"/>
    <w:rsid w:val="7811C445"/>
    <w:rsid w:val="78B05E69"/>
    <w:rsid w:val="7919AD0B"/>
    <w:rsid w:val="791C3861"/>
    <w:rsid w:val="79206414"/>
    <w:rsid w:val="793EE5DF"/>
    <w:rsid w:val="794F5170"/>
    <w:rsid w:val="795F98A5"/>
    <w:rsid w:val="79748050"/>
    <w:rsid w:val="7A2ADC7D"/>
    <w:rsid w:val="7A37D631"/>
    <w:rsid w:val="7A54BC52"/>
    <w:rsid w:val="7A5B4354"/>
    <w:rsid w:val="7A8CA371"/>
    <w:rsid w:val="7B2AF578"/>
    <w:rsid w:val="7B7B9F22"/>
    <w:rsid w:val="7BF02845"/>
    <w:rsid w:val="7BF713B5"/>
    <w:rsid w:val="7C0406D0"/>
    <w:rsid w:val="7CC5C1AA"/>
    <w:rsid w:val="7D92E416"/>
    <w:rsid w:val="7D94FD0F"/>
    <w:rsid w:val="7DC8F2E8"/>
    <w:rsid w:val="7E90B14F"/>
    <w:rsid w:val="7EEF5971"/>
    <w:rsid w:val="7F1BA983"/>
    <w:rsid w:val="7F2D17F3"/>
    <w:rsid w:val="7F506624"/>
    <w:rsid w:val="7F51F34B"/>
    <w:rsid w:val="7FC563FD"/>
    <w:rsid w:val="7FE2F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A671"/>
  <w15:chartTrackingRefBased/>
  <w15:docId w15:val="{3AC10675-48A5-44C0-8679-FC7E4F3F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A9"/>
  </w:style>
  <w:style w:type="paragraph" w:styleId="Heading1">
    <w:name w:val="heading 1"/>
    <w:basedOn w:val="Normal"/>
    <w:next w:val="Normal"/>
    <w:link w:val="Heading1Char"/>
    <w:uiPriority w:val="9"/>
    <w:qFormat/>
    <w:rsid w:val="004E4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6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61B9"/>
  </w:style>
  <w:style w:type="character" w:customStyle="1" w:styleId="eop">
    <w:name w:val="eop"/>
    <w:basedOn w:val="DefaultParagraphFont"/>
    <w:rsid w:val="009161B9"/>
  </w:style>
  <w:style w:type="paragraph" w:styleId="Header">
    <w:name w:val="header"/>
    <w:basedOn w:val="Normal"/>
    <w:link w:val="HeaderChar"/>
    <w:uiPriority w:val="99"/>
    <w:unhideWhenUsed/>
    <w:rsid w:val="00916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B9"/>
  </w:style>
  <w:style w:type="paragraph" w:styleId="Footer">
    <w:name w:val="footer"/>
    <w:basedOn w:val="Normal"/>
    <w:link w:val="FooterChar"/>
    <w:uiPriority w:val="99"/>
    <w:unhideWhenUsed/>
    <w:rsid w:val="00916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B9"/>
  </w:style>
  <w:style w:type="character" w:styleId="Hyperlink">
    <w:name w:val="Hyperlink"/>
    <w:basedOn w:val="DefaultParagraphFont"/>
    <w:uiPriority w:val="99"/>
    <w:unhideWhenUsed/>
    <w:rsid w:val="001F4AFE"/>
    <w:rPr>
      <w:color w:val="0563C1" w:themeColor="hyperlink"/>
      <w:u w:val="single"/>
    </w:rPr>
  </w:style>
  <w:style w:type="character" w:styleId="UnresolvedMention">
    <w:name w:val="Unresolved Mention"/>
    <w:basedOn w:val="DefaultParagraphFont"/>
    <w:uiPriority w:val="99"/>
    <w:semiHidden/>
    <w:unhideWhenUsed/>
    <w:rsid w:val="001F4AFE"/>
    <w:rPr>
      <w:color w:val="605E5C"/>
      <w:shd w:val="clear" w:color="auto" w:fill="E1DFDD"/>
    </w:rPr>
  </w:style>
  <w:style w:type="character" w:styleId="CommentReference">
    <w:name w:val="annotation reference"/>
    <w:basedOn w:val="DefaultParagraphFont"/>
    <w:uiPriority w:val="99"/>
    <w:semiHidden/>
    <w:unhideWhenUsed/>
    <w:rsid w:val="005B2F10"/>
    <w:rPr>
      <w:sz w:val="16"/>
      <w:szCs w:val="16"/>
    </w:rPr>
  </w:style>
  <w:style w:type="paragraph" w:styleId="CommentText">
    <w:name w:val="annotation text"/>
    <w:basedOn w:val="Normal"/>
    <w:link w:val="CommentTextChar"/>
    <w:uiPriority w:val="99"/>
    <w:unhideWhenUsed/>
    <w:rsid w:val="005B2F10"/>
    <w:pPr>
      <w:spacing w:line="240" w:lineRule="auto"/>
    </w:pPr>
    <w:rPr>
      <w:sz w:val="20"/>
      <w:szCs w:val="20"/>
    </w:rPr>
  </w:style>
  <w:style w:type="character" w:customStyle="1" w:styleId="CommentTextChar">
    <w:name w:val="Comment Text Char"/>
    <w:basedOn w:val="DefaultParagraphFont"/>
    <w:link w:val="CommentText"/>
    <w:uiPriority w:val="99"/>
    <w:rsid w:val="005B2F10"/>
    <w:rPr>
      <w:sz w:val="20"/>
      <w:szCs w:val="20"/>
    </w:rPr>
  </w:style>
  <w:style w:type="paragraph" w:styleId="CommentSubject">
    <w:name w:val="annotation subject"/>
    <w:basedOn w:val="CommentText"/>
    <w:next w:val="CommentText"/>
    <w:link w:val="CommentSubjectChar"/>
    <w:uiPriority w:val="99"/>
    <w:semiHidden/>
    <w:unhideWhenUsed/>
    <w:rsid w:val="005B2F10"/>
    <w:rPr>
      <w:b/>
      <w:bCs/>
    </w:rPr>
  </w:style>
  <w:style w:type="character" w:customStyle="1" w:styleId="CommentSubjectChar">
    <w:name w:val="Comment Subject Char"/>
    <w:basedOn w:val="CommentTextChar"/>
    <w:link w:val="CommentSubject"/>
    <w:uiPriority w:val="99"/>
    <w:semiHidden/>
    <w:rsid w:val="005B2F10"/>
    <w:rPr>
      <w:b/>
      <w:bCs/>
      <w:sz w:val="20"/>
      <w:szCs w:val="20"/>
    </w:rPr>
  </w:style>
  <w:style w:type="paragraph" w:styleId="Revision">
    <w:name w:val="Revision"/>
    <w:hidden/>
    <w:uiPriority w:val="99"/>
    <w:semiHidden/>
    <w:rsid w:val="00291DCE"/>
    <w:pPr>
      <w:spacing w:after="0" w:line="240" w:lineRule="auto"/>
    </w:pPr>
  </w:style>
  <w:style w:type="character" w:styleId="FollowedHyperlink">
    <w:name w:val="FollowedHyperlink"/>
    <w:basedOn w:val="DefaultParagraphFont"/>
    <w:uiPriority w:val="99"/>
    <w:semiHidden/>
    <w:unhideWhenUsed/>
    <w:rsid w:val="00291DCE"/>
    <w:rPr>
      <w:color w:val="954F72" w:themeColor="followedHyperlink"/>
      <w:u w:val="single"/>
    </w:rPr>
  </w:style>
  <w:style w:type="character" w:styleId="Mention">
    <w:name w:val="Mention"/>
    <w:basedOn w:val="DefaultParagraphFont"/>
    <w:uiPriority w:val="99"/>
    <w:unhideWhenUsed/>
    <w:rsid w:val="00291DCE"/>
    <w:rPr>
      <w:color w:val="2B579A"/>
      <w:shd w:val="clear" w:color="auto" w:fill="E1DFDD"/>
    </w:rPr>
  </w:style>
  <w:style w:type="table" w:styleId="TableGrid">
    <w:name w:val="Table Grid"/>
    <w:basedOn w:val="TableNormal"/>
    <w:uiPriority w:val="39"/>
    <w:rsid w:val="0029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47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5885">
      <w:bodyDiv w:val="1"/>
      <w:marLeft w:val="0"/>
      <w:marRight w:val="0"/>
      <w:marTop w:val="0"/>
      <w:marBottom w:val="0"/>
      <w:divBdr>
        <w:top w:val="none" w:sz="0" w:space="0" w:color="auto"/>
        <w:left w:val="none" w:sz="0" w:space="0" w:color="auto"/>
        <w:bottom w:val="none" w:sz="0" w:space="0" w:color="auto"/>
        <w:right w:val="none" w:sz="0" w:space="0" w:color="auto"/>
      </w:divBdr>
      <w:divsChild>
        <w:div w:id="162278094">
          <w:marLeft w:val="0"/>
          <w:marRight w:val="0"/>
          <w:marTop w:val="0"/>
          <w:marBottom w:val="0"/>
          <w:divBdr>
            <w:top w:val="none" w:sz="0" w:space="0" w:color="auto"/>
            <w:left w:val="none" w:sz="0" w:space="0" w:color="auto"/>
            <w:bottom w:val="none" w:sz="0" w:space="0" w:color="auto"/>
            <w:right w:val="none" w:sz="0" w:space="0" w:color="auto"/>
          </w:divBdr>
          <w:divsChild>
            <w:div w:id="1910001306">
              <w:marLeft w:val="0"/>
              <w:marRight w:val="0"/>
              <w:marTop w:val="0"/>
              <w:marBottom w:val="0"/>
              <w:divBdr>
                <w:top w:val="none" w:sz="0" w:space="0" w:color="auto"/>
                <w:left w:val="none" w:sz="0" w:space="0" w:color="auto"/>
                <w:bottom w:val="none" w:sz="0" w:space="0" w:color="auto"/>
                <w:right w:val="none" w:sz="0" w:space="0" w:color="auto"/>
              </w:divBdr>
            </w:div>
          </w:divsChild>
        </w:div>
        <w:div w:id="275262114">
          <w:marLeft w:val="0"/>
          <w:marRight w:val="0"/>
          <w:marTop w:val="0"/>
          <w:marBottom w:val="0"/>
          <w:divBdr>
            <w:top w:val="none" w:sz="0" w:space="0" w:color="auto"/>
            <w:left w:val="none" w:sz="0" w:space="0" w:color="auto"/>
            <w:bottom w:val="none" w:sz="0" w:space="0" w:color="auto"/>
            <w:right w:val="none" w:sz="0" w:space="0" w:color="auto"/>
          </w:divBdr>
          <w:divsChild>
            <w:div w:id="476342283">
              <w:marLeft w:val="0"/>
              <w:marRight w:val="0"/>
              <w:marTop w:val="0"/>
              <w:marBottom w:val="0"/>
              <w:divBdr>
                <w:top w:val="none" w:sz="0" w:space="0" w:color="auto"/>
                <w:left w:val="none" w:sz="0" w:space="0" w:color="auto"/>
                <w:bottom w:val="none" w:sz="0" w:space="0" w:color="auto"/>
                <w:right w:val="none" w:sz="0" w:space="0" w:color="auto"/>
              </w:divBdr>
            </w:div>
          </w:divsChild>
        </w:div>
        <w:div w:id="320735951">
          <w:marLeft w:val="0"/>
          <w:marRight w:val="0"/>
          <w:marTop w:val="0"/>
          <w:marBottom w:val="0"/>
          <w:divBdr>
            <w:top w:val="none" w:sz="0" w:space="0" w:color="auto"/>
            <w:left w:val="none" w:sz="0" w:space="0" w:color="auto"/>
            <w:bottom w:val="none" w:sz="0" w:space="0" w:color="auto"/>
            <w:right w:val="none" w:sz="0" w:space="0" w:color="auto"/>
          </w:divBdr>
          <w:divsChild>
            <w:div w:id="333411597">
              <w:marLeft w:val="0"/>
              <w:marRight w:val="0"/>
              <w:marTop w:val="0"/>
              <w:marBottom w:val="0"/>
              <w:divBdr>
                <w:top w:val="none" w:sz="0" w:space="0" w:color="auto"/>
                <w:left w:val="none" w:sz="0" w:space="0" w:color="auto"/>
                <w:bottom w:val="none" w:sz="0" w:space="0" w:color="auto"/>
                <w:right w:val="none" w:sz="0" w:space="0" w:color="auto"/>
              </w:divBdr>
            </w:div>
          </w:divsChild>
        </w:div>
        <w:div w:id="1046760347">
          <w:marLeft w:val="0"/>
          <w:marRight w:val="0"/>
          <w:marTop w:val="0"/>
          <w:marBottom w:val="0"/>
          <w:divBdr>
            <w:top w:val="none" w:sz="0" w:space="0" w:color="auto"/>
            <w:left w:val="none" w:sz="0" w:space="0" w:color="auto"/>
            <w:bottom w:val="none" w:sz="0" w:space="0" w:color="auto"/>
            <w:right w:val="none" w:sz="0" w:space="0" w:color="auto"/>
          </w:divBdr>
          <w:divsChild>
            <w:div w:id="24445840">
              <w:marLeft w:val="0"/>
              <w:marRight w:val="0"/>
              <w:marTop w:val="0"/>
              <w:marBottom w:val="0"/>
              <w:divBdr>
                <w:top w:val="none" w:sz="0" w:space="0" w:color="auto"/>
                <w:left w:val="none" w:sz="0" w:space="0" w:color="auto"/>
                <w:bottom w:val="none" w:sz="0" w:space="0" w:color="auto"/>
                <w:right w:val="none" w:sz="0" w:space="0" w:color="auto"/>
              </w:divBdr>
            </w:div>
          </w:divsChild>
        </w:div>
        <w:div w:id="1192764673">
          <w:marLeft w:val="0"/>
          <w:marRight w:val="0"/>
          <w:marTop w:val="0"/>
          <w:marBottom w:val="0"/>
          <w:divBdr>
            <w:top w:val="none" w:sz="0" w:space="0" w:color="auto"/>
            <w:left w:val="none" w:sz="0" w:space="0" w:color="auto"/>
            <w:bottom w:val="none" w:sz="0" w:space="0" w:color="auto"/>
            <w:right w:val="none" w:sz="0" w:space="0" w:color="auto"/>
          </w:divBdr>
          <w:divsChild>
            <w:div w:id="621422737">
              <w:marLeft w:val="0"/>
              <w:marRight w:val="0"/>
              <w:marTop w:val="0"/>
              <w:marBottom w:val="0"/>
              <w:divBdr>
                <w:top w:val="none" w:sz="0" w:space="0" w:color="auto"/>
                <w:left w:val="none" w:sz="0" w:space="0" w:color="auto"/>
                <w:bottom w:val="none" w:sz="0" w:space="0" w:color="auto"/>
                <w:right w:val="none" w:sz="0" w:space="0" w:color="auto"/>
              </w:divBdr>
            </w:div>
          </w:divsChild>
        </w:div>
        <w:div w:id="2144107341">
          <w:marLeft w:val="0"/>
          <w:marRight w:val="0"/>
          <w:marTop w:val="0"/>
          <w:marBottom w:val="0"/>
          <w:divBdr>
            <w:top w:val="none" w:sz="0" w:space="0" w:color="auto"/>
            <w:left w:val="none" w:sz="0" w:space="0" w:color="auto"/>
            <w:bottom w:val="none" w:sz="0" w:space="0" w:color="auto"/>
            <w:right w:val="none" w:sz="0" w:space="0" w:color="auto"/>
          </w:divBdr>
          <w:divsChild>
            <w:div w:id="11037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41">
      <w:bodyDiv w:val="1"/>
      <w:marLeft w:val="0"/>
      <w:marRight w:val="0"/>
      <w:marTop w:val="0"/>
      <w:marBottom w:val="0"/>
      <w:divBdr>
        <w:top w:val="none" w:sz="0" w:space="0" w:color="auto"/>
        <w:left w:val="none" w:sz="0" w:space="0" w:color="auto"/>
        <w:bottom w:val="none" w:sz="0" w:space="0" w:color="auto"/>
        <w:right w:val="none" w:sz="0" w:space="0" w:color="auto"/>
      </w:divBdr>
      <w:divsChild>
        <w:div w:id="1279290718">
          <w:marLeft w:val="0"/>
          <w:marRight w:val="0"/>
          <w:marTop w:val="0"/>
          <w:marBottom w:val="0"/>
          <w:divBdr>
            <w:top w:val="none" w:sz="0" w:space="0" w:color="auto"/>
            <w:left w:val="none" w:sz="0" w:space="0" w:color="auto"/>
            <w:bottom w:val="none" w:sz="0" w:space="0" w:color="auto"/>
            <w:right w:val="none" w:sz="0" w:space="0" w:color="auto"/>
          </w:divBdr>
        </w:div>
        <w:div w:id="1367368296">
          <w:marLeft w:val="0"/>
          <w:marRight w:val="0"/>
          <w:marTop w:val="0"/>
          <w:marBottom w:val="0"/>
          <w:divBdr>
            <w:top w:val="none" w:sz="0" w:space="0" w:color="auto"/>
            <w:left w:val="none" w:sz="0" w:space="0" w:color="auto"/>
            <w:bottom w:val="none" w:sz="0" w:space="0" w:color="auto"/>
            <w:right w:val="none" w:sz="0" w:space="0" w:color="auto"/>
          </w:divBdr>
        </w:div>
        <w:div w:id="1565793621">
          <w:marLeft w:val="0"/>
          <w:marRight w:val="0"/>
          <w:marTop w:val="0"/>
          <w:marBottom w:val="0"/>
          <w:divBdr>
            <w:top w:val="none" w:sz="0" w:space="0" w:color="auto"/>
            <w:left w:val="none" w:sz="0" w:space="0" w:color="auto"/>
            <w:bottom w:val="none" w:sz="0" w:space="0" w:color="auto"/>
            <w:right w:val="none" w:sz="0" w:space="0" w:color="auto"/>
          </w:divBdr>
        </w:div>
      </w:divsChild>
    </w:div>
    <w:div w:id="1832523495">
      <w:bodyDiv w:val="1"/>
      <w:marLeft w:val="0"/>
      <w:marRight w:val="0"/>
      <w:marTop w:val="0"/>
      <w:marBottom w:val="0"/>
      <w:divBdr>
        <w:top w:val="none" w:sz="0" w:space="0" w:color="auto"/>
        <w:left w:val="none" w:sz="0" w:space="0" w:color="auto"/>
        <w:bottom w:val="none" w:sz="0" w:space="0" w:color="auto"/>
        <w:right w:val="none" w:sz="0" w:space="0" w:color="auto"/>
      </w:divBdr>
      <w:divsChild>
        <w:div w:id="1186754279">
          <w:marLeft w:val="0"/>
          <w:marRight w:val="0"/>
          <w:marTop w:val="0"/>
          <w:marBottom w:val="0"/>
          <w:divBdr>
            <w:top w:val="none" w:sz="0" w:space="0" w:color="auto"/>
            <w:left w:val="none" w:sz="0" w:space="0" w:color="auto"/>
            <w:bottom w:val="none" w:sz="0" w:space="0" w:color="auto"/>
            <w:right w:val="none" w:sz="0" w:space="0" w:color="auto"/>
          </w:divBdr>
          <w:divsChild>
            <w:div w:id="894244971">
              <w:marLeft w:val="0"/>
              <w:marRight w:val="0"/>
              <w:marTop w:val="0"/>
              <w:marBottom w:val="0"/>
              <w:divBdr>
                <w:top w:val="none" w:sz="0" w:space="0" w:color="auto"/>
                <w:left w:val="none" w:sz="0" w:space="0" w:color="auto"/>
                <w:bottom w:val="none" w:sz="0" w:space="0" w:color="auto"/>
                <w:right w:val="none" w:sz="0" w:space="0" w:color="auto"/>
              </w:divBdr>
            </w:div>
          </w:divsChild>
        </w:div>
        <w:div w:id="1313945930">
          <w:marLeft w:val="0"/>
          <w:marRight w:val="0"/>
          <w:marTop w:val="0"/>
          <w:marBottom w:val="0"/>
          <w:divBdr>
            <w:top w:val="none" w:sz="0" w:space="0" w:color="auto"/>
            <w:left w:val="none" w:sz="0" w:space="0" w:color="auto"/>
            <w:bottom w:val="none" w:sz="0" w:space="0" w:color="auto"/>
            <w:right w:val="none" w:sz="0" w:space="0" w:color="auto"/>
          </w:divBdr>
          <w:divsChild>
            <w:div w:id="1075663199">
              <w:marLeft w:val="0"/>
              <w:marRight w:val="0"/>
              <w:marTop w:val="0"/>
              <w:marBottom w:val="0"/>
              <w:divBdr>
                <w:top w:val="none" w:sz="0" w:space="0" w:color="auto"/>
                <w:left w:val="none" w:sz="0" w:space="0" w:color="auto"/>
                <w:bottom w:val="none" w:sz="0" w:space="0" w:color="auto"/>
                <w:right w:val="none" w:sz="0" w:space="0" w:color="auto"/>
              </w:divBdr>
            </w:div>
          </w:divsChild>
        </w:div>
        <w:div w:id="1385908934">
          <w:marLeft w:val="0"/>
          <w:marRight w:val="0"/>
          <w:marTop w:val="0"/>
          <w:marBottom w:val="0"/>
          <w:divBdr>
            <w:top w:val="none" w:sz="0" w:space="0" w:color="auto"/>
            <w:left w:val="none" w:sz="0" w:space="0" w:color="auto"/>
            <w:bottom w:val="none" w:sz="0" w:space="0" w:color="auto"/>
            <w:right w:val="none" w:sz="0" w:space="0" w:color="auto"/>
          </w:divBdr>
          <w:divsChild>
            <w:div w:id="19014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ants.gov/search-grants?agencyCode=DO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ergy.ca.gov/research/contractor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solicitations/2024-04/gfo-23-608-military-electric-vehicle-charg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nergy.ca.gov/solicitations/2024-04/gfo-23-608-military-electric-vehicle-charg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funding-opportunities/funding-resources/ecams-resources/budget-category-guidance?auHash=cEItgat6JNbO9BFGeVqe4E5T6koCOgTaqliFX6bmw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escr xmlns="785685f2-c2e1-4352-89aa-3faca8eaba52" xsi:nil="true"/>
    <TopicsofInterest xmlns="785685f2-c2e1-4352-89aa-3faca8eaba52" xsi:nil="true"/>
    <DateofPublicationorEvent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1508abf7ee04832cb13e135b8052f09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01ff6c43805f2cc459d89119621e81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7E4A1-9E18-46BE-870D-0FD68AFA54C7}">
  <ds:schemaRefs>
    <ds:schemaRef ds:uri="http://schemas.microsoft.com/sharepoint/v3/contenttype/forms"/>
  </ds:schemaRefs>
</ds:datastoreItem>
</file>

<file path=customXml/itemProps2.xml><?xml version="1.0" encoding="utf-8"?>
<ds:datastoreItem xmlns:ds="http://schemas.openxmlformats.org/officeDocument/2006/customXml" ds:itemID="{3CD82950-5621-4A29-A662-0A44DF915C0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C3DB2F6D-01FC-4E60-AD09-E7B44241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2684</Words>
  <Characters>15301</Characters>
  <Application>Microsoft Office Word</Application>
  <DocSecurity>0</DocSecurity>
  <Lines>127</Lines>
  <Paragraphs>35</Paragraphs>
  <ScaleCrop>false</ScaleCrop>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Magana, Pilar@Energy</dc:creator>
  <cp:keywords/>
  <dc:description/>
  <cp:lastModifiedBy>Piper, Kevyn@Energy</cp:lastModifiedBy>
  <cp:revision>107</cp:revision>
  <dcterms:created xsi:type="dcterms:W3CDTF">2024-06-28T18:07:00Z</dcterms:created>
  <dcterms:modified xsi:type="dcterms:W3CDTF">2024-07-05T16:27:00Z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