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0D61322B" w:rsidR="00537618" w:rsidRDefault="00B072D5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ADDENDUM</w:t>
      </w:r>
      <w:r w:rsidR="00F14B6C">
        <w:rPr>
          <w:rFonts w:ascii="Tahoma" w:hAnsi="Tahoma" w:cs="Tahoma"/>
          <w:b/>
          <w:color w:val="000000"/>
        </w:rPr>
        <w:t xml:space="preserve"> 1</w:t>
      </w:r>
      <w:r>
        <w:rPr>
          <w:rFonts w:ascii="Tahoma" w:hAnsi="Tahoma" w:cs="Tahoma"/>
          <w:b/>
          <w:color w:val="000000"/>
        </w:rPr>
        <w:br/>
      </w:r>
    </w:p>
    <w:p w14:paraId="7E58C858" w14:textId="77777777" w:rsidR="00E85E79" w:rsidRPr="00E3176F" w:rsidRDefault="00D57446" w:rsidP="00E85E79">
      <w:pPr>
        <w:pStyle w:val="Heading3"/>
        <w:jc w:val="center"/>
        <w:rPr>
          <w:rFonts w:ascii="Tahoma" w:hAnsi="Tahoma" w:cs="Tahoma"/>
          <w:b w:val="0"/>
          <w:bCs/>
          <w:sz w:val="24"/>
          <w:szCs w:val="22"/>
        </w:rPr>
      </w:pPr>
      <w:r w:rsidRPr="00E3176F">
        <w:rPr>
          <w:rFonts w:ascii="Tahoma" w:hAnsi="Tahoma" w:cs="Tahoma"/>
          <w:bCs/>
          <w:color w:val="000000"/>
          <w:sz w:val="24"/>
          <w:szCs w:val="22"/>
        </w:rPr>
        <w:t xml:space="preserve">Please note: </w:t>
      </w:r>
      <w:r w:rsidR="00E85E79" w:rsidRPr="00E3176F">
        <w:rPr>
          <w:rFonts w:ascii="Tahoma" w:hAnsi="Tahoma" w:cs="Tahoma"/>
          <w:b w:val="0"/>
          <w:bCs/>
          <w:sz w:val="24"/>
          <w:szCs w:val="24"/>
        </w:rPr>
        <w:t>Content contained within brackets and in [</w:t>
      </w:r>
      <w:r w:rsidR="00E85E79" w:rsidRPr="00E3176F">
        <w:rPr>
          <w:rFonts w:ascii="Tahoma" w:hAnsi="Tahoma" w:cs="Tahoma"/>
          <w:b w:val="0"/>
          <w:bCs/>
          <w:strike/>
          <w:sz w:val="24"/>
          <w:szCs w:val="24"/>
        </w:rPr>
        <w:t>strikethrough</w:t>
      </w:r>
      <w:r w:rsidR="00E85E79" w:rsidRPr="00E3176F">
        <w:rPr>
          <w:rFonts w:ascii="Tahoma" w:hAnsi="Tahoma" w:cs="Tahoma"/>
          <w:b w:val="0"/>
          <w:bCs/>
          <w:sz w:val="24"/>
          <w:szCs w:val="24"/>
        </w:rPr>
        <w:t xml:space="preserve">] to be removed. Updated content is in </w:t>
      </w:r>
      <w:r w:rsidR="00E85E79" w:rsidRPr="00E3176F">
        <w:rPr>
          <w:rFonts w:ascii="Tahoma" w:hAnsi="Tahoma" w:cs="Tahoma"/>
          <w:sz w:val="24"/>
          <w:szCs w:val="24"/>
          <w:u w:val="single"/>
        </w:rPr>
        <w:t>bold and underline</w:t>
      </w:r>
      <w:r w:rsidR="00E85E79" w:rsidRPr="00E3176F">
        <w:rPr>
          <w:rFonts w:ascii="Tahoma" w:hAnsi="Tahoma" w:cs="Tahoma"/>
          <w:b w:val="0"/>
          <w:bCs/>
          <w:sz w:val="24"/>
          <w:szCs w:val="24"/>
        </w:rPr>
        <w:t>.</w:t>
      </w:r>
    </w:p>
    <w:p w14:paraId="44937C50" w14:textId="2F0AC84A" w:rsidR="00A611A5" w:rsidRPr="00D57446" w:rsidRDefault="00A611A5" w:rsidP="00537618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</w:rPr>
      </w:pPr>
    </w:p>
    <w:p w14:paraId="2B69E693" w14:textId="062B041A" w:rsidR="00537618" w:rsidRPr="00162351" w:rsidRDefault="000367B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162351">
        <w:rPr>
          <w:rFonts w:ascii="Tahoma" w:hAnsi="Tahoma" w:cs="Tahoma"/>
          <w:b/>
        </w:rPr>
        <w:t>Food Production Investment Program 2024</w:t>
      </w:r>
    </w:p>
    <w:p w14:paraId="18BF6820" w14:textId="6455ABE8" w:rsidR="00537618" w:rsidRPr="0016235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162351">
        <w:rPr>
          <w:rFonts w:ascii="Tahoma" w:hAnsi="Tahoma" w:cs="Tahoma"/>
          <w:b/>
        </w:rPr>
        <w:t xml:space="preserve"> </w:t>
      </w:r>
      <w:r w:rsidR="000367B1" w:rsidRPr="00162351">
        <w:rPr>
          <w:rFonts w:ascii="Tahoma" w:hAnsi="Tahoma" w:cs="Tahoma"/>
          <w:b/>
        </w:rPr>
        <w:t>GFO-23-305</w:t>
      </w:r>
    </w:p>
    <w:p w14:paraId="020A5B7C" w14:textId="091946A3" w:rsidR="00537618" w:rsidRPr="009307B4" w:rsidRDefault="009307B4" w:rsidP="70F06544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[</w:t>
      </w:r>
      <w:r w:rsidR="00622E01" w:rsidRPr="70F06544">
        <w:rPr>
          <w:rFonts w:ascii="Tahoma" w:hAnsi="Tahoma" w:cs="Tahoma"/>
          <w:b/>
          <w:bCs/>
          <w:strike/>
          <w:color w:val="auto"/>
        </w:rPr>
        <w:t xml:space="preserve">June </w:t>
      </w:r>
      <w:r w:rsidR="00A5279F" w:rsidRPr="70F06544">
        <w:rPr>
          <w:rFonts w:ascii="Tahoma" w:hAnsi="Tahoma" w:cs="Tahoma"/>
          <w:b/>
          <w:bCs/>
          <w:strike/>
          <w:color w:val="auto"/>
        </w:rPr>
        <w:t>28</w:t>
      </w:r>
      <w:r w:rsidR="00622E01" w:rsidRPr="70F06544">
        <w:rPr>
          <w:rFonts w:ascii="Tahoma" w:hAnsi="Tahoma" w:cs="Tahoma"/>
          <w:b/>
          <w:bCs/>
          <w:strike/>
          <w:color w:val="auto"/>
        </w:rPr>
        <w:t>, 2024</w:t>
      </w:r>
      <w:r>
        <w:rPr>
          <w:rFonts w:ascii="Tahoma" w:hAnsi="Tahoma" w:cs="Tahoma"/>
          <w:b/>
          <w:bCs/>
          <w:color w:val="auto"/>
        </w:rPr>
        <w:t>]</w:t>
      </w:r>
    </w:p>
    <w:p w14:paraId="36DE1240" w14:textId="49DE1715" w:rsidR="396013ED" w:rsidRPr="00C039AA" w:rsidRDefault="396013ED" w:rsidP="70F06544">
      <w:pPr>
        <w:pStyle w:val="Default"/>
        <w:spacing w:line="259" w:lineRule="auto"/>
        <w:jc w:val="center"/>
        <w:rPr>
          <w:rFonts w:ascii="Tahoma" w:hAnsi="Tahoma" w:cs="Tahoma"/>
          <w:b/>
          <w:bCs/>
          <w:color w:val="auto"/>
          <w:u w:val="single"/>
        </w:rPr>
      </w:pPr>
      <w:r w:rsidRPr="00C039AA">
        <w:rPr>
          <w:rFonts w:ascii="Tahoma" w:hAnsi="Tahoma" w:cs="Tahoma"/>
          <w:b/>
          <w:bCs/>
          <w:color w:val="auto"/>
          <w:u w:val="single"/>
        </w:rPr>
        <w:t xml:space="preserve">July </w:t>
      </w:r>
      <w:r w:rsidR="00C039AA" w:rsidRPr="00C039AA">
        <w:rPr>
          <w:rFonts w:ascii="Tahoma" w:hAnsi="Tahoma" w:cs="Tahoma"/>
          <w:b/>
          <w:bCs/>
          <w:color w:val="auto"/>
          <w:u w:val="single"/>
        </w:rPr>
        <w:t>3</w:t>
      </w:r>
      <w:r w:rsidR="0018365B">
        <w:rPr>
          <w:rFonts w:ascii="Tahoma" w:hAnsi="Tahoma" w:cs="Tahoma"/>
          <w:b/>
          <w:bCs/>
          <w:color w:val="auto"/>
          <w:u w:val="single"/>
        </w:rPr>
        <w:t>1</w:t>
      </w:r>
      <w:r w:rsidRPr="00C039AA">
        <w:rPr>
          <w:rFonts w:ascii="Tahoma" w:hAnsi="Tahoma" w:cs="Tahoma"/>
          <w:b/>
          <w:bCs/>
          <w:color w:val="auto"/>
          <w:u w:val="single"/>
        </w:rPr>
        <w:t>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3E5B24A1" w:rsidR="00537618" w:rsidRPr="00007F34" w:rsidRDefault="00537618" w:rsidP="00ED3ABA">
      <w:pPr>
        <w:rPr>
          <w:rFonts w:ascii="Tahoma" w:hAnsi="Tahoma" w:cs="Tahoma"/>
          <w:color w:val="0070C0"/>
          <w:sz w:val="23"/>
          <w:szCs w:val="23"/>
        </w:rPr>
      </w:pPr>
      <w:r w:rsidRPr="00007F34">
        <w:rPr>
          <w:rFonts w:ascii="Tahoma" w:hAnsi="Tahoma" w:cs="Tahoma"/>
          <w:sz w:val="23"/>
          <w:szCs w:val="23"/>
        </w:rPr>
        <w:t xml:space="preserve">On </w:t>
      </w:r>
      <w:r w:rsidR="1DC24EA0" w:rsidRPr="00007F34">
        <w:rPr>
          <w:rFonts w:ascii="Tahoma" w:hAnsi="Tahoma" w:cs="Tahoma"/>
          <w:sz w:val="23"/>
          <w:szCs w:val="23"/>
        </w:rPr>
        <w:t>January 19, 2024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, </w:t>
      </w:r>
      <w:r w:rsidRPr="00007F34">
        <w:rPr>
          <w:rFonts w:ascii="Tahoma" w:hAnsi="Tahoma" w:cs="Tahoma"/>
          <w:sz w:val="23"/>
          <w:szCs w:val="23"/>
        </w:rPr>
        <w:t xml:space="preserve">the California Energy Commission (CEC) released a competitive solicitation to fund </w:t>
      </w:r>
      <w:r w:rsidR="7C912000" w:rsidRPr="00007F34">
        <w:rPr>
          <w:rFonts w:ascii="Tahoma" w:hAnsi="Tahoma" w:cs="Tahoma"/>
          <w:sz w:val="23"/>
          <w:szCs w:val="23"/>
        </w:rPr>
        <w:t>the adoption</w:t>
      </w:r>
      <w:r w:rsidR="29C6E456" w:rsidRPr="00007F34">
        <w:rPr>
          <w:rFonts w:ascii="Tahoma" w:hAnsi="Tahoma" w:cs="Tahoma"/>
          <w:sz w:val="23"/>
          <w:szCs w:val="23"/>
        </w:rPr>
        <w:t xml:space="preserve"> of advanced energy and decarbonization tech</w:t>
      </w:r>
      <w:r w:rsidR="00980306" w:rsidRPr="00007F34">
        <w:rPr>
          <w:rFonts w:ascii="Tahoma" w:hAnsi="Tahoma" w:cs="Tahoma"/>
          <w:sz w:val="23"/>
          <w:szCs w:val="23"/>
        </w:rPr>
        <w:t>nol</w:t>
      </w:r>
      <w:r w:rsidR="29C6E456" w:rsidRPr="00007F34">
        <w:rPr>
          <w:rFonts w:ascii="Tahoma" w:hAnsi="Tahoma" w:cs="Tahoma"/>
          <w:sz w:val="23"/>
          <w:szCs w:val="23"/>
        </w:rPr>
        <w:t xml:space="preserve">ogies and equipment for food processing and </w:t>
      </w:r>
      <w:r w:rsidR="244905A6" w:rsidRPr="00007F34">
        <w:rPr>
          <w:rFonts w:ascii="Tahoma" w:hAnsi="Tahoma" w:cs="Tahoma"/>
          <w:sz w:val="23"/>
          <w:szCs w:val="23"/>
        </w:rPr>
        <w:t>related supportive facilit</w:t>
      </w:r>
      <w:r w:rsidR="00980306" w:rsidRPr="00007F34">
        <w:rPr>
          <w:rFonts w:ascii="Tahoma" w:hAnsi="Tahoma" w:cs="Tahoma"/>
          <w:sz w:val="23"/>
          <w:szCs w:val="23"/>
        </w:rPr>
        <w:t>i</w:t>
      </w:r>
      <w:r w:rsidR="244905A6" w:rsidRPr="00007F34">
        <w:rPr>
          <w:rFonts w:ascii="Tahoma" w:hAnsi="Tahoma" w:cs="Tahoma"/>
          <w:sz w:val="23"/>
          <w:szCs w:val="23"/>
        </w:rPr>
        <w:t xml:space="preserve">es </w:t>
      </w:r>
      <w:r w:rsidR="00980306" w:rsidRPr="00007F34">
        <w:rPr>
          <w:rFonts w:ascii="Tahoma" w:hAnsi="Tahoma" w:cs="Tahoma"/>
          <w:sz w:val="23"/>
          <w:szCs w:val="23"/>
        </w:rPr>
        <w:t>to support electrical grid reliability, reduce</w:t>
      </w:r>
      <w:r w:rsidR="244905A6" w:rsidRPr="00007F34">
        <w:rPr>
          <w:rFonts w:ascii="Tahoma" w:hAnsi="Tahoma" w:cs="Tahoma"/>
          <w:sz w:val="23"/>
          <w:szCs w:val="23"/>
        </w:rPr>
        <w:t xml:space="preserve"> greenhouse gas emissions, a</w:t>
      </w:r>
      <w:r w:rsidR="2FD4328D" w:rsidRPr="00007F34">
        <w:rPr>
          <w:rFonts w:ascii="Tahoma" w:hAnsi="Tahoma" w:cs="Tahoma"/>
          <w:sz w:val="23"/>
          <w:szCs w:val="23"/>
        </w:rPr>
        <w:t>nd</w:t>
      </w:r>
      <w:r w:rsidR="028BDD6A" w:rsidRPr="00007F34">
        <w:rPr>
          <w:rFonts w:ascii="Tahoma" w:hAnsi="Tahoma" w:cs="Tahoma"/>
          <w:sz w:val="23"/>
          <w:szCs w:val="23"/>
        </w:rPr>
        <w:t xml:space="preserve"> benefit priority populations</w:t>
      </w:r>
      <w:r w:rsidRPr="00007F34">
        <w:rPr>
          <w:rFonts w:ascii="Tahoma" w:hAnsi="Tahoma" w:cs="Tahoma"/>
          <w:sz w:val="23"/>
          <w:szCs w:val="23"/>
        </w:rPr>
        <w:t xml:space="preserve">. </w:t>
      </w:r>
      <w:r w:rsidRPr="79DA7680">
        <w:rPr>
          <w:rFonts w:ascii="Tahoma" w:hAnsi="Tahoma" w:cs="Tahoma"/>
          <w:sz w:val="23"/>
          <w:szCs w:val="23"/>
        </w:rPr>
        <w:t>Up to</w:t>
      </w:r>
      <w:r w:rsidR="002F3F25">
        <w:rPr>
          <w:rFonts w:ascii="Tahoma" w:hAnsi="Tahoma" w:cs="Tahoma"/>
          <w:sz w:val="23"/>
          <w:szCs w:val="23"/>
        </w:rPr>
        <w:t xml:space="preserve"> </w:t>
      </w:r>
      <w:r w:rsidR="003E0494">
        <w:rPr>
          <w:rFonts w:ascii="Tahoma" w:hAnsi="Tahoma" w:cs="Tahoma"/>
          <w:sz w:val="23"/>
          <w:szCs w:val="23"/>
        </w:rPr>
        <w:t>$</w:t>
      </w:r>
      <w:r w:rsidR="001A18A6">
        <w:rPr>
          <w:rFonts w:ascii="Tahoma" w:hAnsi="Tahoma" w:cs="Tahoma"/>
          <w:sz w:val="23"/>
          <w:szCs w:val="23"/>
        </w:rPr>
        <w:t>23,890,000</w:t>
      </w:r>
      <w:r w:rsidR="001B1E3A">
        <w:rPr>
          <w:rFonts w:ascii="Tahoma" w:hAnsi="Tahoma" w:cs="Tahoma"/>
          <w:sz w:val="23"/>
          <w:szCs w:val="23"/>
        </w:rPr>
        <w:t xml:space="preserve"> </w:t>
      </w:r>
      <w:r w:rsidR="00DC7D67">
        <w:rPr>
          <w:rFonts w:ascii="Tahoma" w:hAnsi="Tahoma" w:cs="Tahoma"/>
          <w:sz w:val="23"/>
          <w:szCs w:val="23"/>
        </w:rPr>
        <w:t>(</w:t>
      </w:r>
      <w:r w:rsidR="001B1E3A">
        <w:rPr>
          <w:rFonts w:ascii="Tahoma" w:hAnsi="Tahoma" w:cs="Tahoma"/>
          <w:sz w:val="23"/>
          <w:szCs w:val="23"/>
        </w:rPr>
        <w:t>reduced</w:t>
      </w:r>
      <w:r w:rsidR="0054451A">
        <w:rPr>
          <w:rFonts w:ascii="Tahoma" w:hAnsi="Tahoma" w:cs="Tahoma"/>
          <w:sz w:val="23"/>
          <w:szCs w:val="23"/>
        </w:rPr>
        <w:t xml:space="preserve"> from $</w:t>
      </w:r>
      <w:r w:rsidR="001579B4">
        <w:rPr>
          <w:rFonts w:ascii="Tahoma" w:hAnsi="Tahoma" w:cs="Tahoma"/>
          <w:sz w:val="23"/>
          <w:szCs w:val="23"/>
        </w:rPr>
        <w:t>36</w:t>
      </w:r>
      <w:r w:rsidR="0054451A">
        <w:rPr>
          <w:rFonts w:ascii="Tahoma" w:hAnsi="Tahoma" w:cs="Tahoma"/>
          <w:sz w:val="23"/>
          <w:szCs w:val="23"/>
        </w:rPr>
        <w:t>,000,000</w:t>
      </w:r>
      <w:r w:rsidR="007357C8">
        <w:rPr>
          <w:rFonts w:ascii="Tahoma" w:hAnsi="Tahoma" w:cs="Tahoma"/>
          <w:sz w:val="23"/>
          <w:szCs w:val="23"/>
        </w:rPr>
        <w:t xml:space="preserve"> due to </w:t>
      </w:r>
      <w:r w:rsidR="00366350">
        <w:rPr>
          <w:rFonts w:ascii="Tahoma" w:hAnsi="Tahoma" w:cs="Tahoma"/>
          <w:sz w:val="23"/>
          <w:szCs w:val="23"/>
        </w:rPr>
        <w:t>reductions</w:t>
      </w:r>
      <w:r w:rsidRPr="79DA7680">
        <w:rPr>
          <w:rFonts w:ascii="Tahoma" w:hAnsi="Tahoma" w:cs="Tahoma"/>
          <w:color w:val="0070C0"/>
          <w:sz w:val="23"/>
          <w:szCs w:val="23"/>
        </w:rPr>
        <w:t xml:space="preserve"> </w:t>
      </w:r>
      <w:r w:rsidRPr="79DA7680">
        <w:rPr>
          <w:rFonts w:ascii="Tahoma" w:hAnsi="Tahoma" w:cs="Tahoma"/>
          <w:sz w:val="23"/>
          <w:szCs w:val="23"/>
        </w:rPr>
        <w:t xml:space="preserve">in </w:t>
      </w:r>
      <w:r w:rsidR="0022092D">
        <w:rPr>
          <w:rFonts w:ascii="Tahoma" w:hAnsi="Tahoma" w:cs="Tahoma"/>
          <w:sz w:val="23"/>
          <w:szCs w:val="23"/>
        </w:rPr>
        <w:t>the</w:t>
      </w:r>
      <w:r w:rsidRPr="00007F34">
        <w:rPr>
          <w:rFonts w:ascii="Tahoma" w:hAnsi="Tahoma" w:cs="Tahoma"/>
          <w:sz w:val="23"/>
          <w:szCs w:val="23"/>
        </w:rPr>
        <w:t xml:space="preserve"> </w:t>
      </w:r>
      <w:r w:rsidR="00ED3ABA" w:rsidRPr="00007F34">
        <w:rPr>
          <w:rFonts w:ascii="Tahoma" w:hAnsi="Tahoma" w:cs="Tahoma"/>
          <w:sz w:val="23"/>
          <w:szCs w:val="23"/>
        </w:rPr>
        <w:t>Food Production Investment Program</w:t>
      </w:r>
      <w:r w:rsidRPr="00007F34">
        <w:rPr>
          <w:rFonts w:ascii="Tahoma" w:hAnsi="Tahoma" w:cs="Tahoma"/>
          <w:color w:val="0070C0"/>
          <w:sz w:val="23"/>
          <w:szCs w:val="23"/>
        </w:rPr>
        <w:t xml:space="preserve"> </w:t>
      </w:r>
      <w:r w:rsidRPr="00007F34">
        <w:rPr>
          <w:rFonts w:ascii="Tahoma" w:hAnsi="Tahoma" w:cs="Tahoma"/>
          <w:sz w:val="23"/>
          <w:szCs w:val="23"/>
        </w:rPr>
        <w:t>funding</w:t>
      </w:r>
      <w:r w:rsidR="00DC7D67">
        <w:rPr>
          <w:rFonts w:ascii="Tahoma" w:hAnsi="Tahoma" w:cs="Tahoma"/>
          <w:sz w:val="23"/>
          <w:szCs w:val="23"/>
        </w:rPr>
        <w:t>)</w:t>
      </w:r>
      <w:r w:rsidRPr="00007F34">
        <w:rPr>
          <w:rFonts w:ascii="Tahoma" w:hAnsi="Tahoma" w:cs="Tahoma"/>
          <w:sz w:val="23"/>
          <w:szCs w:val="23"/>
        </w:rPr>
        <w:t xml:space="preserve"> is available to fund applications</w:t>
      </w:r>
      <w:r w:rsidR="00ED3ABA" w:rsidRPr="00007F34">
        <w:rPr>
          <w:rFonts w:ascii="Tahoma" w:hAnsi="Tahoma" w:cs="Tahoma"/>
          <w:sz w:val="23"/>
          <w:szCs w:val="23"/>
        </w:rPr>
        <w:t>.</w:t>
      </w:r>
      <w:r w:rsidR="00B94AFB">
        <w:rPr>
          <w:rFonts w:ascii="Tahoma" w:hAnsi="Tahoma" w:cs="Tahoma"/>
          <w:sz w:val="23"/>
          <w:szCs w:val="23"/>
        </w:rPr>
        <w:t xml:space="preserve"> </w:t>
      </w:r>
    </w:p>
    <w:p w14:paraId="1B4309E8" w14:textId="77777777" w:rsidR="00537618" w:rsidRPr="00007F34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6E1DC36B" w:rsidR="00537618" w:rsidRPr="00007F34" w:rsidRDefault="00537618" w:rsidP="00537618">
      <w:pPr>
        <w:rPr>
          <w:rFonts w:ascii="Tahoma" w:hAnsi="Tahoma" w:cs="Tahoma"/>
          <w:sz w:val="23"/>
          <w:szCs w:val="23"/>
        </w:rPr>
      </w:pPr>
      <w:r w:rsidRPr="53C88BE3">
        <w:rPr>
          <w:rFonts w:ascii="Tahoma" w:hAnsi="Tahoma" w:cs="Tahoma"/>
          <w:sz w:val="23"/>
          <w:szCs w:val="23"/>
        </w:rPr>
        <w:t xml:space="preserve">The CEC received </w:t>
      </w:r>
      <w:r w:rsidR="00ED3ABA" w:rsidRPr="53C88BE3">
        <w:rPr>
          <w:rFonts w:ascii="Tahoma" w:hAnsi="Tahoma" w:cs="Tahoma"/>
          <w:sz w:val="23"/>
          <w:szCs w:val="23"/>
        </w:rPr>
        <w:t>28</w:t>
      </w:r>
      <w:r w:rsidRPr="53C88BE3">
        <w:rPr>
          <w:rFonts w:ascii="Tahoma" w:hAnsi="Tahoma" w:cs="Tahoma"/>
          <w:color w:val="0070C0"/>
          <w:sz w:val="23"/>
          <w:szCs w:val="23"/>
        </w:rPr>
        <w:t xml:space="preserve"> </w:t>
      </w:r>
      <w:r w:rsidRPr="53C88BE3">
        <w:rPr>
          <w:rFonts w:ascii="Tahoma" w:hAnsi="Tahoma" w:cs="Tahoma"/>
          <w:sz w:val="23"/>
          <w:szCs w:val="23"/>
        </w:rPr>
        <w:t xml:space="preserve">proposals by the due date, </w:t>
      </w:r>
      <w:r w:rsidR="00D03BD0" w:rsidRPr="53C88BE3">
        <w:rPr>
          <w:rFonts w:ascii="Tahoma" w:hAnsi="Tahoma" w:cs="Tahoma"/>
          <w:sz w:val="23"/>
          <w:szCs w:val="23"/>
        </w:rPr>
        <w:t>May 9, 2024</w:t>
      </w:r>
      <w:r w:rsidRPr="53C88BE3">
        <w:rPr>
          <w:rFonts w:ascii="Tahoma" w:hAnsi="Tahoma" w:cs="Tahoma"/>
          <w:sz w:val="23"/>
          <w:szCs w:val="23"/>
        </w:rPr>
        <w:t>.</w:t>
      </w:r>
      <w:r w:rsidRPr="53C88BE3">
        <w:rPr>
          <w:rFonts w:ascii="Tahoma" w:hAnsi="Tahoma" w:cs="Tahoma"/>
          <w:color w:val="0070C0"/>
          <w:sz w:val="23"/>
          <w:szCs w:val="23"/>
        </w:rPr>
        <w:t xml:space="preserve"> </w:t>
      </w:r>
      <w:r w:rsidRPr="53C88BE3">
        <w:rPr>
          <w:rFonts w:ascii="Tahoma" w:hAnsi="Tahoma" w:cs="Tahoma"/>
          <w:sz w:val="23"/>
          <w:szCs w:val="23"/>
        </w:rPr>
        <w:t xml:space="preserve">Each proposal was screened, reviewed, evaluated, and scored using the solicitation criteria. </w:t>
      </w:r>
      <w:r w:rsidR="39598D60" w:rsidRPr="53C88BE3">
        <w:rPr>
          <w:rFonts w:ascii="Tahoma" w:hAnsi="Tahoma" w:cs="Tahoma"/>
          <w:sz w:val="23"/>
          <w:szCs w:val="23"/>
        </w:rPr>
        <w:t xml:space="preserve">Of these, </w:t>
      </w:r>
      <w:r w:rsidR="00B205C1" w:rsidRPr="53C88BE3">
        <w:rPr>
          <w:rFonts w:ascii="Tahoma" w:hAnsi="Tahoma" w:cs="Tahoma"/>
          <w:sz w:val="23"/>
          <w:szCs w:val="23"/>
        </w:rPr>
        <w:t>25</w:t>
      </w:r>
      <w:r w:rsidRPr="53C88BE3">
        <w:rPr>
          <w:rFonts w:ascii="Tahoma" w:hAnsi="Tahoma" w:cs="Tahoma"/>
          <w:color w:val="0070C0"/>
          <w:sz w:val="23"/>
          <w:szCs w:val="23"/>
        </w:rPr>
        <w:t xml:space="preserve"> </w:t>
      </w:r>
      <w:r w:rsidRPr="53C88BE3">
        <w:rPr>
          <w:rFonts w:ascii="Tahoma" w:hAnsi="Tahoma" w:cs="Tahoma"/>
          <w:sz w:val="23"/>
          <w:szCs w:val="23"/>
        </w:rPr>
        <w:t>proposals passed the stage one application screening.</w:t>
      </w:r>
    </w:p>
    <w:p w14:paraId="26642D1A" w14:textId="77777777" w:rsidR="00537618" w:rsidRPr="00007F34" w:rsidRDefault="00537618" w:rsidP="00537618">
      <w:pPr>
        <w:rPr>
          <w:rFonts w:ascii="Tahoma" w:hAnsi="Tahoma" w:cs="Tahoma"/>
          <w:sz w:val="23"/>
          <w:szCs w:val="23"/>
        </w:rPr>
      </w:pPr>
    </w:p>
    <w:p w14:paraId="6C2313A3" w14:textId="01CF0754" w:rsidR="00537618" w:rsidRPr="00007F34" w:rsidRDefault="00537618" w:rsidP="70F06544">
      <w:pPr>
        <w:autoSpaceDE w:val="0"/>
        <w:autoSpaceDN w:val="0"/>
        <w:adjustRightInd w:val="0"/>
        <w:rPr>
          <w:rFonts w:ascii="Tahoma" w:hAnsi="Tahoma" w:cs="Tahoma"/>
          <w:color w:val="0070C0"/>
          <w:sz w:val="23"/>
          <w:szCs w:val="23"/>
        </w:rPr>
      </w:pPr>
      <w:r w:rsidRPr="53C88BE3">
        <w:rPr>
          <w:rFonts w:ascii="Tahoma" w:hAnsi="Tahoma" w:cs="Tahoma"/>
          <w:color w:val="000000" w:themeColor="text1"/>
          <w:sz w:val="23"/>
          <w:szCs w:val="23"/>
        </w:rPr>
        <w:t xml:space="preserve">The attached NOPA identifies each applicant selected and recommended for funding by CEC staff and includes the recommended funding amount and score. The total amount recommended is </w:t>
      </w:r>
      <w:r w:rsidR="009307B4">
        <w:rPr>
          <w:rFonts w:ascii="Tahoma" w:hAnsi="Tahoma" w:cs="Tahoma"/>
          <w:color w:val="000000" w:themeColor="text1"/>
          <w:sz w:val="23"/>
          <w:szCs w:val="23"/>
        </w:rPr>
        <w:t>[</w:t>
      </w:r>
      <w:r w:rsidRPr="53C88BE3">
        <w:rPr>
          <w:rFonts w:ascii="Tahoma" w:hAnsi="Tahoma" w:cs="Tahoma"/>
          <w:strike/>
          <w:color w:val="000000" w:themeColor="text1"/>
          <w:sz w:val="23"/>
          <w:szCs w:val="23"/>
        </w:rPr>
        <w:t>$</w:t>
      </w:r>
      <w:r w:rsidR="009E7271" w:rsidRPr="53C88BE3">
        <w:rPr>
          <w:rFonts w:ascii="Tahoma" w:hAnsi="Tahoma" w:cs="Tahoma"/>
          <w:strike/>
          <w:color w:val="000000" w:themeColor="text1"/>
          <w:sz w:val="23"/>
          <w:szCs w:val="23"/>
        </w:rPr>
        <w:t>23,</w:t>
      </w:r>
      <w:r w:rsidR="00600D2B" w:rsidRPr="53C88BE3">
        <w:rPr>
          <w:rFonts w:ascii="Tahoma" w:hAnsi="Tahoma" w:cs="Tahoma"/>
          <w:strike/>
          <w:color w:val="000000" w:themeColor="text1"/>
          <w:sz w:val="23"/>
          <w:szCs w:val="23"/>
        </w:rPr>
        <w:t>444,614</w:t>
      </w:r>
      <w:r w:rsidR="00790848">
        <w:rPr>
          <w:rFonts w:ascii="Tahoma" w:hAnsi="Tahoma" w:cs="Tahoma"/>
          <w:color w:val="000000" w:themeColor="text1"/>
          <w:sz w:val="23"/>
          <w:szCs w:val="23"/>
        </w:rPr>
        <w:t xml:space="preserve">] </w:t>
      </w:r>
      <w:r w:rsidR="38AD547A" w:rsidRPr="53C88BE3">
        <w:rPr>
          <w:rFonts w:ascii="Tahoma" w:hAnsi="Tahoma" w:cs="Tahoma"/>
          <w:b/>
          <w:bCs/>
          <w:sz w:val="23"/>
          <w:szCs w:val="23"/>
          <w:u w:val="single"/>
        </w:rPr>
        <w:t>$23,462,581</w:t>
      </w:r>
      <w:r w:rsidRPr="53C88BE3">
        <w:rPr>
          <w:rFonts w:ascii="Tahoma" w:hAnsi="Tahoma" w:cs="Tahoma"/>
          <w:b/>
          <w:bCs/>
          <w:sz w:val="23"/>
          <w:szCs w:val="23"/>
          <w:u w:val="single"/>
        </w:rPr>
        <w:t>.</w:t>
      </w:r>
      <w:r w:rsidR="00AD59E9" w:rsidRPr="53C88BE3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  <w:r w:rsidR="0BCF9A43" w:rsidRPr="53C88BE3">
        <w:rPr>
          <w:rFonts w:ascii="Tahoma" w:hAnsi="Tahoma" w:cs="Tahoma"/>
          <w:b/>
          <w:bCs/>
          <w:sz w:val="23"/>
          <w:szCs w:val="23"/>
          <w:u w:val="single"/>
        </w:rPr>
        <w:t xml:space="preserve">The revised NOPA provides </w:t>
      </w:r>
      <w:r w:rsidR="252166DC" w:rsidRPr="53C88BE3">
        <w:rPr>
          <w:rFonts w:ascii="Tahoma" w:hAnsi="Tahoma" w:cs="Tahoma"/>
          <w:b/>
          <w:bCs/>
          <w:sz w:val="23"/>
          <w:szCs w:val="23"/>
          <w:u w:val="single"/>
        </w:rPr>
        <w:t xml:space="preserve">modified CEC and </w:t>
      </w:r>
      <w:r w:rsidR="2441CCF1" w:rsidRPr="53C88BE3">
        <w:rPr>
          <w:rFonts w:ascii="Tahoma" w:hAnsi="Tahoma" w:cs="Tahoma"/>
          <w:b/>
          <w:bCs/>
          <w:sz w:val="23"/>
          <w:szCs w:val="23"/>
          <w:u w:val="single"/>
        </w:rPr>
        <w:t>match funding amounts</w:t>
      </w:r>
      <w:r w:rsidR="0BCF9A43" w:rsidRPr="53C88BE3">
        <w:rPr>
          <w:rFonts w:ascii="Tahoma" w:hAnsi="Tahoma" w:cs="Tahoma"/>
          <w:b/>
          <w:bCs/>
          <w:sz w:val="23"/>
          <w:szCs w:val="23"/>
          <w:u w:val="single"/>
        </w:rPr>
        <w:t>.</w:t>
      </w:r>
      <w:r w:rsidR="0BCF9A43" w:rsidRPr="53C88BE3">
        <w:rPr>
          <w:rFonts w:ascii="Tahoma" w:hAnsi="Tahoma" w:cs="Tahoma"/>
          <w:color w:val="0070C0"/>
          <w:sz w:val="23"/>
          <w:szCs w:val="23"/>
        </w:rPr>
        <w:t xml:space="preserve"> </w:t>
      </w:r>
    </w:p>
    <w:p w14:paraId="18B54236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CB9DDF7" w14:textId="737FD474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 w:rsidRPr="79DA7680">
        <w:rPr>
          <w:rFonts w:ascii="Tahoma" w:hAnsi="Tahoma" w:cs="Tahoma"/>
          <w:color w:val="000000" w:themeColor="text1"/>
          <w:sz w:val="23"/>
          <w:szCs w:val="23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007F34">
        <w:rPr>
          <w:rFonts w:ascii="Tahoma" w:hAnsi="Tahoma" w:cs="Tahoma"/>
          <w:sz w:val="23"/>
          <w:szCs w:val="23"/>
        </w:rPr>
        <w:t>If the CEC is unable to timely negotiate and execute a funding agreement with an applicant, the commission, at its sole discretion, reserves the right to cancel or otherwise modify the pending award and award the funds to another applicant.</w:t>
      </w:r>
    </w:p>
    <w:p w14:paraId="01855075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726C5891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sz w:val="23"/>
          <w:szCs w:val="23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00254506" w14:textId="77777777" w:rsidR="00FD3EA0" w:rsidRDefault="00FD3EA0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3"/>
          <w:szCs w:val="23"/>
        </w:rPr>
      </w:pPr>
    </w:p>
    <w:p w14:paraId="0F71072D" w14:textId="77777777" w:rsidR="00FD3EA0" w:rsidRDefault="00FD3EA0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3"/>
          <w:szCs w:val="23"/>
        </w:rPr>
      </w:pPr>
    </w:p>
    <w:p w14:paraId="1D650DEA" w14:textId="77777777" w:rsidR="00FD3EA0" w:rsidRDefault="00FD3EA0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3"/>
          <w:szCs w:val="23"/>
        </w:rPr>
      </w:pPr>
    </w:p>
    <w:p w14:paraId="77F727E2" w14:textId="77777777" w:rsidR="00FD3EA0" w:rsidRDefault="00FD3EA0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3"/>
          <w:szCs w:val="23"/>
        </w:rPr>
      </w:pPr>
    </w:p>
    <w:p w14:paraId="166F0D1F" w14:textId="48D39490" w:rsidR="00537618" w:rsidRPr="00007F34" w:rsidRDefault="00537618" w:rsidP="0053761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3C1DAFC4">
        <w:rPr>
          <w:rFonts w:ascii="Tahoma" w:hAnsi="Tahoma" w:cs="Tahoma"/>
          <w:color w:val="000000" w:themeColor="text1"/>
          <w:sz w:val="23"/>
          <w:szCs w:val="23"/>
        </w:rPr>
        <w:t>This notice and awardees for GFO-</w:t>
      </w:r>
      <w:r w:rsidR="000367B1" w:rsidRPr="3C1DAFC4">
        <w:rPr>
          <w:rFonts w:ascii="Tahoma" w:hAnsi="Tahoma" w:cs="Tahoma"/>
          <w:color w:val="000000" w:themeColor="text1"/>
          <w:sz w:val="23"/>
          <w:szCs w:val="23"/>
        </w:rPr>
        <w:t>23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>-</w:t>
      </w:r>
      <w:r w:rsidR="000367B1" w:rsidRPr="3C1DAFC4">
        <w:rPr>
          <w:rFonts w:ascii="Tahoma" w:hAnsi="Tahoma" w:cs="Tahoma"/>
          <w:color w:val="000000" w:themeColor="text1"/>
          <w:sz w:val="23"/>
          <w:szCs w:val="23"/>
        </w:rPr>
        <w:t>305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5F39A15F" w:rsidRPr="3C1DAFC4">
        <w:rPr>
          <w:rFonts w:ascii="Tahoma" w:hAnsi="Tahoma" w:cs="Tahoma"/>
          <w:color w:val="000000" w:themeColor="text1"/>
          <w:sz w:val="23"/>
          <w:szCs w:val="23"/>
        </w:rPr>
        <w:t>is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 posted on the </w:t>
      </w:r>
      <w:r w:rsidRPr="3C1DAFC4">
        <w:rPr>
          <w:rFonts w:ascii="Tahoma" w:hAnsi="Tahoma" w:cs="Tahoma"/>
          <w:sz w:val="23"/>
          <w:szCs w:val="23"/>
        </w:rPr>
        <w:t>CEC’s website</w:t>
      </w:r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 at </w:t>
      </w:r>
      <w:hyperlink r:id="rId11">
        <w:r w:rsidRPr="3C1DAFC4">
          <w:rPr>
            <w:rStyle w:val="Hyperlink"/>
            <w:rFonts w:ascii="Tahoma" w:hAnsi="Tahoma" w:cs="Tahoma"/>
            <w:sz w:val="23"/>
            <w:szCs w:val="23"/>
          </w:rPr>
          <w:t>https://www.energy.ca.gov/funding-opportunities/awards</w:t>
        </w:r>
      </w:hyperlink>
      <w:r w:rsidRPr="3C1DAFC4">
        <w:rPr>
          <w:rFonts w:ascii="Tahoma" w:hAnsi="Tahoma" w:cs="Tahoma"/>
          <w:color w:val="000000" w:themeColor="text1"/>
          <w:sz w:val="23"/>
          <w:szCs w:val="23"/>
        </w:rPr>
        <w:t xml:space="preserve">. </w:t>
      </w:r>
    </w:p>
    <w:p w14:paraId="3D571DA7" w14:textId="77777777" w:rsidR="00537618" w:rsidRPr="00007F34" w:rsidRDefault="00537618" w:rsidP="00537618">
      <w:pPr>
        <w:rPr>
          <w:rFonts w:ascii="Tahoma" w:hAnsi="Tahoma" w:cs="Tahoma"/>
          <w:color w:val="000000"/>
          <w:sz w:val="23"/>
          <w:szCs w:val="23"/>
        </w:rPr>
      </w:pPr>
    </w:p>
    <w:p w14:paraId="3208C7E3" w14:textId="18F95180" w:rsidR="00537618" w:rsidRPr="00007F34" w:rsidRDefault="00537618" w:rsidP="00B205C1">
      <w:pPr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4EB1A7DC" w14:textId="77777777" w:rsidR="00B205C1" w:rsidRPr="00007F34" w:rsidRDefault="00B205C1" w:rsidP="00B205C1">
      <w:pPr>
        <w:rPr>
          <w:rFonts w:ascii="Tahoma" w:hAnsi="Tahoma" w:cs="Tahoma"/>
          <w:sz w:val="23"/>
          <w:szCs w:val="23"/>
        </w:rPr>
      </w:pPr>
    </w:p>
    <w:p w14:paraId="15E90C89" w14:textId="30F9B207" w:rsidR="00537618" w:rsidRPr="00007F34" w:rsidRDefault="00666A37" w:rsidP="00537618">
      <w:pPr>
        <w:jc w:val="center"/>
        <w:rPr>
          <w:rFonts w:ascii="Tahoma" w:hAnsi="Tahoma" w:cs="Tahoma"/>
          <w:sz w:val="23"/>
          <w:szCs w:val="23"/>
        </w:rPr>
      </w:pPr>
      <w:r w:rsidRPr="00007F34">
        <w:rPr>
          <w:rFonts w:ascii="Tahoma" w:hAnsi="Tahoma" w:cs="Tahoma"/>
          <w:color w:val="000000" w:themeColor="text1"/>
          <w:sz w:val="23"/>
          <w:szCs w:val="23"/>
        </w:rPr>
        <w:t>Phil Dyer</w:t>
      </w:r>
      <w:r w:rsidR="00537618" w:rsidRPr="00007F34">
        <w:rPr>
          <w:rFonts w:ascii="Tahoma" w:hAnsi="Tahoma" w:cs="Tahoma"/>
          <w:color w:val="000000" w:themeColor="text1"/>
          <w:sz w:val="23"/>
          <w:szCs w:val="23"/>
        </w:rPr>
        <w:t xml:space="preserve">, </w:t>
      </w:r>
      <w:r w:rsidR="00537618" w:rsidRPr="00007F34">
        <w:rPr>
          <w:rFonts w:ascii="Tahoma" w:hAnsi="Tahoma" w:cs="Tahoma"/>
          <w:sz w:val="23"/>
          <w:szCs w:val="23"/>
        </w:rPr>
        <w:t>Commission Agreement Officer</w:t>
      </w:r>
    </w:p>
    <w:p w14:paraId="289298AC" w14:textId="0D920E46" w:rsidR="00537618" w:rsidRPr="00FD3EA0" w:rsidRDefault="00027F15" w:rsidP="00537618">
      <w:pPr>
        <w:jc w:val="center"/>
        <w:rPr>
          <w:rFonts w:ascii="Tahoma" w:hAnsi="Tahoma" w:cs="Tahoma"/>
          <w:color w:val="000000" w:themeColor="text1"/>
          <w:sz w:val="23"/>
          <w:szCs w:val="23"/>
        </w:rPr>
      </w:pPr>
      <w:r w:rsidRPr="00FD3EA0">
        <w:rPr>
          <w:rFonts w:ascii="Tahoma" w:hAnsi="Tahoma" w:cs="Tahoma"/>
          <w:color w:val="000000" w:themeColor="text1"/>
          <w:sz w:val="23"/>
          <w:szCs w:val="23"/>
        </w:rPr>
        <w:t>(916) 891-8474</w:t>
      </w:r>
    </w:p>
    <w:p w14:paraId="4F8126A4" w14:textId="31FEEDD6" w:rsidR="009E6C35" w:rsidRPr="00007F34" w:rsidRDefault="00537618" w:rsidP="00007F34">
      <w:pPr>
        <w:jc w:val="center"/>
        <w:rPr>
          <w:rFonts w:ascii="Tahoma" w:hAnsi="Tahoma" w:cs="Tahoma"/>
          <w:color w:val="0070C0"/>
        </w:rPr>
      </w:pPr>
      <w:r w:rsidRPr="007D55AF">
        <w:rPr>
          <w:rFonts w:ascii="Tahoma" w:hAnsi="Tahoma" w:cs="Tahoma"/>
          <w:color w:val="000000" w:themeColor="text1"/>
        </w:rPr>
        <w:t xml:space="preserve">Email: </w:t>
      </w:r>
      <w:r w:rsidR="00027F15">
        <w:rPr>
          <w:rFonts w:ascii="Tahoma" w:hAnsi="Tahoma" w:cs="Tahoma"/>
          <w:color w:val="000000" w:themeColor="text1"/>
        </w:rPr>
        <w:t>phil.dyer@energy.ca.gov</w:t>
      </w:r>
    </w:p>
    <w:sectPr w:rsidR="009E6C35" w:rsidRPr="00007F34" w:rsidSect="00007F34">
      <w:headerReference w:type="default" r:id="rId12"/>
      <w:headerReference w:type="first" r:id="rId13"/>
      <w:footerReference w:type="first" r:id="rId14"/>
      <w:pgSz w:w="12240" w:h="15840"/>
      <w:pgMar w:top="2246" w:right="1800" w:bottom="1440" w:left="180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C9AA" w14:textId="77777777" w:rsidR="005A3B06" w:rsidRDefault="005A3B06" w:rsidP="00F86D2B">
      <w:r>
        <w:separator/>
      </w:r>
    </w:p>
  </w:endnote>
  <w:endnote w:type="continuationSeparator" w:id="0">
    <w:p w14:paraId="142D58E2" w14:textId="77777777" w:rsidR="005A3B06" w:rsidRDefault="005A3B06" w:rsidP="00F86D2B">
      <w:r>
        <w:continuationSeparator/>
      </w:r>
    </w:p>
  </w:endnote>
  <w:endnote w:type="continuationNotice" w:id="1">
    <w:p w14:paraId="5DAD09DE" w14:textId="77777777" w:rsidR="005A3B06" w:rsidRDefault="005A3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165C" w14:textId="77777777" w:rsidR="005A3B06" w:rsidRDefault="005A3B06" w:rsidP="00F86D2B">
      <w:r>
        <w:separator/>
      </w:r>
    </w:p>
  </w:footnote>
  <w:footnote w:type="continuationSeparator" w:id="0">
    <w:p w14:paraId="21E336B4" w14:textId="77777777" w:rsidR="005A3B06" w:rsidRDefault="005A3B06" w:rsidP="00F86D2B">
      <w:r>
        <w:continuationSeparator/>
      </w:r>
    </w:p>
  </w:footnote>
  <w:footnote w:type="continuationNotice" w:id="1">
    <w:p w14:paraId="01B34931" w14:textId="77777777" w:rsidR="005A3B06" w:rsidRDefault="005A3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F9D933A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zsLAwNDeytLAwNjRV0lEKTi0uzszPAykwrAUANX6AuCwAAAA="/>
  </w:docVars>
  <w:rsids>
    <w:rsidRoot w:val="00F86D2B"/>
    <w:rsid w:val="0000467C"/>
    <w:rsid w:val="00007F34"/>
    <w:rsid w:val="00011103"/>
    <w:rsid w:val="00011952"/>
    <w:rsid w:val="00015969"/>
    <w:rsid w:val="00027125"/>
    <w:rsid w:val="00027F15"/>
    <w:rsid w:val="000367B1"/>
    <w:rsid w:val="00042F96"/>
    <w:rsid w:val="000557AC"/>
    <w:rsid w:val="00102B8B"/>
    <w:rsid w:val="0011459D"/>
    <w:rsid w:val="0014731B"/>
    <w:rsid w:val="001579B4"/>
    <w:rsid w:val="00162351"/>
    <w:rsid w:val="00180020"/>
    <w:rsid w:val="0018365B"/>
    <w:rsid w:val="001A16E9"/>
    <w:rsid w:val="001A18A6"/>
    <w:rsid w:val="001A5260"/>
    <w:rsid w:val="001B1E3A"/>
    <w:rsid w:val="001B6331"/>
    <w:rsid w:val="001B6A90"/>
    <w:rsid w:val="001E4A76"/>
    <w:rsid w:val="001E4C18"/>
    <w:rsid w:val="001F62F3"/>
    <w:rsid w:val="001F6D62"/>
    <w:rsid w:val="0022092D"/>
    <w:rsid w:val="00274066"/>
    <w:rsid w:val="00277647"/>
    <w:rsid w:val="002A58D8"/>
    <w:rsid w:val="002A5F7A"/>
    <w:rsid w:val="002A6640"/>
    <w:rsid w:val="002D11A5"/>
    <w:rsid w:val="002F0C58"/>
    <w:rsid w:val="002F1761"/>
    <w:rsid w:val="002F33FA"/>
    <w:rsid w:val="002F3F25"/>
    <w:rsid w:val="00300FB1"/>
    <w:rsid w:val="003462CA"/>
    <w:rsid w:val="00354A2A"/>
    <w:rsid w:val="00366350"/>
    <w:rsid w:val="00382E7F"/>
    <w:rsid w:val="003E0494"/>
    <w:rsid w:val="003E0D2D"/>
    <w:rsid w:val="00402456"/>
    <w:rsid w:val="004070F3"/>
    <w:rsid w:val="00415DE9"/>
    <w:rsid w:val="00430859"/>
    <w:rsid w:val="00437D5F"/>
    <w:rsid w:val="004476E2"/>
    <w:rsid w:val="004504D5"/>
    <w:rsid w:val="004A1AAA"/>
    <w:rsid w:val="004A4C18"/>
    <w:rsid w:val="004C575F"/>
    <w:rsid w:val="004D128F"/>
    <w:rsid w:val="00524EA9"/>
    <w:rsid w:val="00527817"/>
    <w:rsid w:val="00537618"/>
    <w:rsid w:val="00541B34"/>
    <w:rsid w:val="0054451A"/>
    <w:rsid w:val="005568CA"/>
    <w:rsid w:val="00560FFC"/>
    <w:rsid w:val="005650EC"/>
    <w:rsid w:val="00577D95"/>
    <w:rsid w:val="005A3B06"/>
    <w:rsid w:val="005B3421"/>
    <w:rsid w:val="005E6FA2"/>
    <w:rsid w:val="00600D2B"/>
    <w:rsid w:val="00607AD2"/>
    <w:rsid w:val="006140BF"/>
    <w:rsid w:val="00617D8C"/>
    <w:rsid w:val="00622E01"/>
    <w:rsid w:val="006511D6"/>
    <w:rsid w:val="0066127E"/>
    <w:rsid w:val="00666A37"/>
    <w:rsid w:val="006A57AF"/>
    <w:rsid w:val="006D3827"/>
    <w:rsid w:val="006E146A"/>
    <w:rsid w:val="006E3100"/>
    <w:rsid w:val="006F4812"/>
    <w:rsid w:val="007134AE"/>
    <w:rsid w:val="007211FC"/>
    <w:rsid w:val="007357C8"/>
    <w:rsid w:val="007361D7"/>
    <w:rsid w:val="00751C0F"/>
    <w:rsid w:val="0077265A"/>
    <w:rsid w:val="00772B68"/>
    <w:rsid w:val="00777798"/>
    <w:rsid w:val="0078154A"/>
    <w:rsid w:val="00783717"/>
    <w:rsid w:val="00790848"/>
    <w:rsid w:val="0081533B"/>
    <w:rsid w:val="0082457C"/>
    <w:rsid w:val="00824C63"/>
    <w:rsid w:val="00846985"/>
    <w:rsid w:val="0086012E"/>
    <w:rsid w:val="00880E19"/>
    <w:rsid w:val="00891290"/>
    <w:rsid w:val="008934DE"/>
    <w:rsid w:val="008A477A"/>
    <w:rsid w:val="008E0C99"/>
    <w:rsid w:val="008E1433"/>
    <w:rsid w:val="008E3926"/>
    <w:rsid w:val="008E7852"/>
    <w:rsid w:val="00904DC3"/>
    <w:rsid w:val="00910710"/>
    <w:rsid w:val="00914538"/>
    <w:rsid w:val="009177E6"/>
    <w:rsid w:val="009307B4"/>
    <w:rsid w:val="00932EF0"/>
    <w:rsid w:val="009407F5"/>
    <w:rsid w:val="00956983"/>
    <w:rsid w:val="00957989"/>
    <w:rsid w:val="00980306"/>
    <w:rsid w:val="0099298F"/>
    <w:rsid w:val="009A561F"/>
    <w:rsid w:val="009A71F6"/>
    <w:rsid w:val="009B0460"/>
    <w:rsid w:val="009D1184"/>
    <w:rsid w:val="009E6C35"/>
    <w:rsid w:val="009E7271"/>
    <w:rsid w:val="009E754B"/>
    <w:rsid w:val="00A12F57"/>
    <w:rsid w:val="00A1485A"/>
    <w:rsid w:val="00A15FA8"/>
    <w:rsid w:val="00A17202"/>
    <w:rsid w:val="00A3384C"/>
    <w:rsid w:val="00A36CF5"/>
    <w:rsid w:val="00A5279F"/>
    <w:rsid w:val="00A566E8"/>
    <w:rsid w:val="00A611A5"/>
    <w:rsid w:val="00A73089"/>
    <w:rsid w:val="00A81434"/>
    <w:rsid w:val="00AD21FC"/>
    <w:rsid w:val="00AD59E9"/>
    <w:rsid w:val="00AE05B9"/>
    <w:rsid w:val="00AE34BD"/>
    <w:rsid w:val="00AE45C0"/>
    <w:rsid w:val="00B072D5"/>
    <w:rsid w:val="00B116E8"/>
    <w:rsid w:val="00B13BB5"/>
    <w:rsid w:val="00B15871"/>
    <w:rsid w:val="00B205C1"/>
    <w:rsid w:val="00B23C57"/>
    <w:rsid w:val="00B340DF"/>
    <w:rsid w:val="00B80E72"/>
    <w:rsid w:val="00B84D31"/>
    <w:rsid w:val="00B906E9"/>
    <w:rsid w:val="00B92C6B"/>
    <w:rsid w:val="00B94AFB"/>
    <w:rsid w:val="00B960D2"/>
    <w:rsid w:val="00BA1317"/>
    <w:rsid w:val="00BA3F4C"/>
    <w:rsid w:val="00BB5DCD"/>
    <w:rsid w:val="00BB7FE6"/>
    <w:rsid w:val="00BC6D3A"/>
    <w:rsid w:val="00BC6EDA"/>
    <w:rsid w:val="00BF5C1D"/>
    <w:rsid w:val="00C02644"/>
    <w:rsid w:val="00C0278E"/>
    <w:rsid w:val="00C03527"/>
    <w:rsid w:val="00C039AA"/>
    <w:rsid w:val="00C67037"/>
    <w:rsid w:val="00C7680D"/>
    <w:rsid w:val="00C770CC"/>
    <w:rsid w:val="00C96BDD"/>
    <w:rsid w:val="00CD2BBD"/>
    <w:rsid w:val="00CF73B9"/>
    <w:rsid w:val="00D03BD0"/>
    <w:rsid w:val="00D32C3D"/>
    <w:rsid w:val="00D348F9"/>
    <w:rsid w:val="00D36033"/>
    <w:rsid w:val="00D431C2"/>
    <w:rsid w:val="00D43B83"/>
    <w:rsid w:val="00D51361"/>
    <w:rsid w:val="00D57446"/>
    <w:rsid w:val="00D737A8"/>
    <w:rsid w:val="00D83445"/>
    <w:rsid w:val="00D83F47"/>
    <w:rsid w:val="00DC071D"/>
    <w:rsid w:val="00DC76CC"/>
    <w:rsid w:val="00DC7D67"/>
    <w:rsid w:val="00DD142C"/>
    <w:rsid w:val="00E00EA6"/>
    <w:rsid w:val="00E10150"/>
    <w:rsid w:val="00E11C52"/>
    <w:rsid w:val="00E210F6"/>
    <w:rsid w:val="00E23503"/>
    <w:rsid w:val="00E3176F"/>
    <w:rsid w:val="00E554A1"/>
    <w:rsid w:val="00E76087"/>
    <w:rsid w:val="00E85E79"/>
    <w:rsid w:val="00E95AA9"/>
    <w:rsid w:val="00EA7A85"/>
    <w:rsid w:val="00EA7BDE"/>
    <w:rsid w:val="00ED18F1"/>
    <w:rsid w:val="00ED3ABA"/>
    <w:rsid w:val="00ED5E43"/>
    <w:rsid w:val="00EF7CBC"/>
    <w:rsid w:val="00F10DFF"/>
    <w:rsid w:val="00F11698"/>
    <w:rsid w:val="00F14B6C"/>
    <w:rsid w:val="00F37BBF"/>
    <w:rsid w:val="00F50AEA"/>
    <w:rsid w:val="00F65C64"/>
    <w:rsid w:val="00F73855"/>
    <w:rsid w:val="00F86D2B"/>
    <w:rsid w:val="00F90F6B"/>
    <w:rsid w:val="00F947AC"/>
    <w:rsid w:val="00F95D8D"/>
    <w:rsid w:val="00F967DF"/>
    <w:rsid w:val="00FB5958"/>
    <w:rsid w:val="00FD2330"/>
    <w:rsid w:val="00FD2A1A"/>
    <w:rsid w:val="00FD3EA0"/>
    <w:rsid w:val="028BDD6A"/>
    <w:rsid w:val="02AAF065"/>
    <w:rsid w:val="039D360D"/>
    <w:rsid w:val="081EB05F"/>
    <w:rsid w:val="0BCF9A43"/>
    <w:rsid w:val="0CDE3617"/>
    <w:rsid w:val="10D14FF3"/>
    <w:rsid w:val="117F3DBB"/>
    <w:rsid w:val="1C7F66C0"/>
    <w:rsid w:val="1C9C8850"/>
    <w:rsid w:val="1DC24EA0"/>
    <w:rsid w:val="1F7FA4F2"/>
    <w:rsid w:val="2341508E"/>
    <w:rsid w:val="2441CCF1"/>
    <w:rsid w:val="244905A6"/>
    <w:rsid w:val="247B3B16"/>
    <w:rsid w:val="252166DC"/>
    <w:rsid w:val="280BCA53"/>
    <w:rsid w:val="29C6E456"/>
    <w:rsid w:val="2EF2F478"/>
    <w:rsid w:val="2FD4328D"/>
    <w:rsid w:val="3159A804"/>
    <w:rsid w:val="316B9713"/>
    <w:rsid w:val="3258B4C5"/>
    <w:rsid w:val="34D33365"/>
    <w:rsid w:val="34D386C4"/>
    <w:rsid w:val="366F664D"/>
    <w:rsid w:val="368CD66F"/>
    <w:rsid w:val="37869CBE"/>
    <w:rsid w:val="38AD547A"/>
    <w:rsid w:val="39598D60"/>
    <w:rsid w:val="396013ED"/>
    <w:rsid w:val="3994767F"/>
    <w:rsid w:val="39E25A84"/>
    <w:rsid w:val="3B4742D0"/>
    <w:rsid w:val="3C1DAFC4"/>
    <w:rsid w:val="3C314B07"/>
    <w:rsid w:val="3E7DD955"/>
    <w:rsid w:val="41664DC0"/>
    <w:rsid w:val="449FD0BD"/>
    <w:rsid w:val="4A6A1D81"/>
    <w:rsid w:val="4AF603FB"/>
    <w:rsid w:val="4D015372"/>
    <w:rsid w:val="4FB7EED6"/>
    <w:rsid w:val="53C88BE3"/>
    <w:rsid w:val="53DAB365"/>
    <w:rsid w:val="5CFAB5AE"/>
    <w:rsid w:val="5E8DBE01"/>
    <w:rsid w:val="5F39A15F"/>
    <w:rsid w:val="67864A41"/>
    <w:rsid w:val="685B8AA1"/>
    <w:rsid w:val="6B5DE75B"/>
    <w:rsid w:val="6FCC21C9"/>
    <w:rsid w:val="70F06544"/>
    <w:rsid w:val="79DA7680"/>
    <w:rsid w:val="7C912000"/>
    <w:rsid w:val="7D4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0603228D-F136-4A62-906D-B74C289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Section"/>
    <w:basedOn w:val="Normal"/>
    <w:link w:val="Heading3Char"/>
    <w:uiPriority w:val="99"/>
    <w:qFormat/>
    <w:rsid w:val="00E85E79"/>
    <w:pPr>
      <w:keepNext/>
      <w:keepLines/>
      <w:spacing w:before="60" w:after="60"/>
      <w:jc w:val="both"/>
      <w:outlineLvl w:val="2"/>
    </w:pPr>
    <w:rPr>
      <w:rFonts w:ascii="Arial" w:eastAsia="Times New Roman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E4A76"/>
  </w:style>
  <w:style w:type="character" w:styleId="CommentReference">
    <w:name w:val="annotation reference"/>
    <w:basedOn w:val="DefaultParagraphFont"/>
    <w:uiPriority w:val="99"/>
    <w:semiHidden/>
    <w:unhideWhenUsed/>
    <w:rsid w:val="00D8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4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65C64"/>
    <w:rPr>
      <w:color w:val="2B579A"/>
      <w:shd w:val="clear" w:color="auto" w:fill="E6E6E6"/>
    </w:rPr>
  </w:style>
  <w:style w:type="character" w:customStyle="1" w:styleId="Heading3Char">
    <w:name w:val="Heading 3 Char"/>
    <w:aliases w:val="Section Char"/>
    <w:basedOn w:val="DefaultParagraphFont"/>
    <w:link w:val="Heading3"/>
    <w:uiPriority w:val="99"/>
    <w:rsid w:val="00E85E79"/>
    <w:rPr>
      <w:rFonts w:ascii="Arial" w:eastAsia="Times New Roman" w:hAnsi="Arial" w:cs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9B0F5-8AFF-4D7B-8EE8-43565D3E3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1954</Characters>
  <Application>Microsoft Office Word</Application>
  <DocSecurity>0</DocSecurity>
  <Lines>16</Lines>
  <Paragraphs>4</Paragraphs>
  <ScaleCrop>false</ScaleCrop>
  <Company>Wobschall Design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3</cp:revision>
  <cp:lastPrinted>2019-04-08T16:38:00Z</cp:lastPrinted>
  <dcterms:created xsi:type="dcterms:W3CDTF">2024-07-31T19:49:00Z</dcterms:created>
  <dcterms:modified xsi:type="dcterms:W3CDTF">2024-07-31T23:46:00Z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d1038d7b965155e141ddf6cd0ca92842ea5f80dc9a233110ce1fd3edeb20cc2d</vt:lpwstr>
  </property>
</Properties>
</file>