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461E" w14:textId="5198BA25" w:rsidR="00620F92" w:rsidRPr="00E118E0" w:rsidRDefault="005947A9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GFO</w:t>
      </w:r>
      <w:r w:rsidR="00620F92" w:rsidRPr="00E118E0">
        <w:rPr>
          <w:rFonts w:ascii="Arial" w:hAnsi="Arial" w:cs="Arial"/>
          <w:b/>
          <w:bCs/>
        </w:rPr>
        <w:t>-21-</w:t>
      </w:r>
      <w:r>
        <w:rPr>
          <w:rFonts w:ascii="Arial" w:hAnsi="Arial" w:cs="Arial"/>
          <w:b/>
          <w:bCs/>
        </w:rPr>
        <w:t>901</w:t>
      </w:r>
    </w:p>
    <w:p w14:paraId="46AF8355" w14:textId="75152DE0" w:rsidR="00620F92" w:rsidRPr="00E118E0" w:rsidRDefault="00443574" w:rsidP="00655A8E">
      <w:pPr>
        <w:jc w:val="center"/>
        <w:rPr>
          <w:rFonts w:ascii="Arial" w:hAnsi="Arial" w:cs="Arial"/>
          <w:b/>
          <w:bCs/>
        </w:rPr>
      </w:pPr>
      <w:r w:rsidRPr="00443574">
        <w:rPr>
          <w:rFonts w:ascii="Arial" w:hAnsi="Arial" w:cs="Arial"/>
          <w:b/>
          <w:bCs/>
        </w:rPr>
        <w:t>Cost Share for Federal Clean Energy Funding Opportunities</w:t>
      </w:r>
    </w:p>
    <w:p w14:paraId="551E3BB5" w14:textId="77777777" w:rsidR="00A80F03" w:rsidRPr="00E118E0" w:rsidRDefault="00A80F03" w:rsidP="00655A8E">
      <w:pPr>
        <w:jc w:val="center"/>
        <w:rPr>
          <w:rFonts w:ascii="Arial" w:hAnsi="Arial" w:cs="Arial"/>
          <w:b/>
          <w:bCs/>
        </w:rPr>
      </w:pPr>
    </w:p>
    <w:p w14:paraId="564E1B96" w14:textId="0F4F8D69" w:rsidR="00620F92" w:rsidRPr="00E118E0" w:rsidRDefault="00620F92" w:rsidP="00655A8E">
      <w:pPr>
        <w:jc w:val="center"/>
        <w:rPr>
          <w:rFonts w:ascii="Arial" w:hAnsi="Arial" w:cs="Arial"/>
          <w:b/>
          <w:bCs/>
        </w:rPr>
      </w:pPr>
      <w:r w:rsidRPr="00E118E0">
        <w:rPr>
          <w:rFonts w:ascii="Arial" w:hAnsi="Arial" w:cs="Arial"/>
          <w:b/>
          <w:bCs/>
        </w:rPr>
        <w:t xml:space="preserve">Addendum </w:t>
      </w:r>
      <w:r w:rsidR="008C24D3">
        <w:rPr>
          <w:rFonts w:ascii="Arial" w:hAnsi="Arial" w:cs="Arial"/>
          <w:b/>
          <w:bCs/>
        </w:rPr>
        <w:t>3</w:t>
      </w:r>
      <w:r w:rsidR="00F2421E">
        <w:rPr>
          <w:rFonts w:ascii="Arial" w:hAnsi="Arial" w:cs="Arial"/>
          <w:b/>
          <w:bCs/>
        </w:rPr>
        <w:t>2</w:t>
      </w:r>
    </w:p>
    <w:p w14:paraId="0D851CD1" w14:textId="3C463192" w:rsidR="00620F92" w:rsidRPr="00E118E0" w:rsidRDefault="00F2421E" w:rsidP="00655A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September</w:t>
      </w:r>
      <w:r w:rsidR="00512FB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9</w:t>
      </w:r>
      <w:r w:rsidR="00C26ABA">
        <w:rPr>
          <w:rFonts w:ascii="Arial" w:hAnsi="Arial" w:cs="Arial"/>
          <w:b/>
          <w:bCs/>
        </w:rPr>
        <w:t>, 2024</w:t>
      </w:r>
    </w:p>
    <w:p w14:paraId="46AF30CD" w14:textId="77777777" w:rsidR="00620F92" w:rsidRPr="00E118E0" w:rsidRDefault="00620F92" w:rsidP="00620F92">
      <w:pPr>
        <w:jc w:val="center"/>
        <w:rPr>
          <w:rFonts w:ascii="Arial" w:hAnsi="Arial" w:cs="Arial"/>
          <w:b/>
          <w:bCs/>
        </w:rPr>
      </w:pPr>
    </w:p>
    <w:p w14:paraId="259559D6" w14:textId="31957562" w:rsidR="00620F92" w:rsidRPr="00E118E0" w:rsidRDefault="00620F92" w:rsidP="00655A8E">
      <w:pPr>
        <w:pStyle w:val="Default"/>
      </w:pPr>
      <w:r w:rsidRPr="00E118E0">
        <w:t xml:space="preserve">The purpose of this addendum is to </w:t>
      </w:r>
      <w:r w:rsidR="00782B87" w:rsidRPr="00E118E0">
        <w:t xml:space="preserve">notify potential applicants of changes that have been made to </w:t>
      </w:r>
      <w:r w:rsidR="00443574">
        <w:t>GFO</w:t>
      </w:r>
      <w:r w:rsidR="00782B87" w:rsidRPr="00E118E0">
        <w:t>-21-</w:t>
      </w:r>
      <w:r w:rsidR="00443574">
        <w:t>901</w:t>
      </w:r>
      <w:r w:rsidR="00782B87" w:rsidRPr="00E118E0">
        <w:t xml:space="preserve">. The addendum includes the following revisions to the </w:t>
      </w:r>
      <w:r w:rsidR="00D2177B">
        <w:t>Solicitation Manual</w:t>
      </w:r>
      <w:r w:rsidRPr="00E118E0">
        <w:t>.</w:t>
      </w:r>
      <w:r w:rsidR="00782B87" w:rsidRPr="00E118E0">
        <w:t xml:space="preserve"> </w:t>
      </w:r>
      <w:r w:rsidR="00782B87" w:rsidRPr="00E118E0">
        <w:rPr>
          <w:rFonts w:eastAsia="Arial"/>
        </w:rPr>
        <w:t xml:space="preserve">Added language appears in </w:t>
      </w:r>
      <w:r w:rsidR="00782B87" w:rsidRPr="00E118E0">
        <w:rPr>
          <w:rFonts w:eastAsia="Arial"/>
          <w:b/>
          <w:bCs/>
          <w:u w:val="single"/>
        </w:rPr>
        <w:t>bold underline</w:t>
      </w:r>
      <w:r w:rsidR="00782B87" w:rsidRPr="00E118E0">
        <w:rPr>
          <w:rFonts w:eastAsia="Arial"/>
        </w:rPr>
        <w:t xml:space="preserve">, and deleted language appears in </w:t>
      </w:r>
      <w:r w:rsidR="00782B87" w:rsidRPr="00E118E0">
        <w:rPr>
          <w:rFonts w:eastAsia="Arial"/>
          <w:strike/>
        </w:rPr>
        <w:t>strikethrough</w:t>
      </w:r>
      <w:r w:rsidR="00782B87" w:rsidRPr="00E118E0">
        <w:rPr>
          <w:rFonts w:eastAsia="Arial"/>
        </w:rPr>
        <w:t xml:space="preserve"> and within square brackets.</w:t>
      </w:r>
    </w:p>
    <w:p w14:paraId="6DA43E1B" w14:textId="6341BDEC" w:rsidR="00620F92" w:rsidRPr="00E118E0" w:rsidRDefault="00620F92" w:rsidP="00655A8E">
      <w:pPr>
        <w:pStyle w:val="Default"/>
        <w:ind w:right="-720"/>
      </w:pPr>
    </w:p>
    <w:p w14:paraId="6C1FF387" w14:textId="31F1CCAC" w:rsidR="00782B87" w:rsidRPr="00E118E0" w:rsidRDefault="00D2177B" w:rsidP="00655A8E">
      <w:pPr>
        <w:pStyle w:val="Default"/>
        <w:ind w:right="-720"/>
        <w:rPr>
          <w:b/>
          <w:bCs/>
        </w:rPr>
      </w:pPr>
      <w:r>
        <w:rPr>
          <w:b/>
          <w:bCs/>
        </w:rPr>
        <w:t>Solicitation Manual</w:t>
      </w:r>
    </w:p>
    <w:p w14:paraId="1BE9250D" w14:textId="77777777" w:rsidR="00782B87" w:rsidRPr="00E118E0" w:rsidRDefault="00782B87" w:rsidP="00655A8E">
      <w:pPr>
        <w:pStyle w:val="Default"/>
        <w:ind w:right="-720"/>
      </w:pPr>
    </w:p>
    <w:p w14:paraId="50EF8A11" w14:textId="7BE257ED" w:rsidR="00620F92" w:rsidRDefault="00620F92" w:rsidP="00655A8E">
      <w:pPr>
        <w:pStyle w:val="Default"/>
        <w:numPr>
          <w:ilvl w:val="0"/>
          <w:numId w:val="2"/>
        </w:numPr>
        <w:ind w:right="-720"/>
        <w:rPr>
          <w:b/>
          <w:bCs/>
        </w:rPr>
      </w:pPr>
      <w:r w:rsidRPr="00E118E0">
        <w:rPr>
          <w:b/>
          <w:bCs/>
        </w:rPr>
        <w:t xml:space="preserve">Page </w:t>
      </w:r>
      <w:r w:rsidR="00E00162">
        <w:rPr>
          <w:b/>
          <w:bCs/>
        </w:rPr>
        <w:t>20</w:t>
      </w:r>
      <w:r w:rsidR="00782B87" w:rsidRPr="00E118E0">
        <w:rPr>
          <w:b/>
          <w:bCs/>
        </w:rPr>
        <w:t xml:space="preserve">, </w:t>
      </w:r>
      <w:r w:rsidR="002108D5">
        <w:rPr>
          <w:b/>
          <w:bCs/>
        </w:rPr>
        <w:t>Table: Funding Opportunities Eligible for Energy Commission Cost Share</w:t>
      </w:r>
    </w:p>
    <w:p w14:paraId="4016F4B7" w14:textId="27C11928" w:rsidR="00782B87" w:rsidRDefault="00992F60" w:rsidP="00655A8E">
      <w:pPr>
        <w:pStyle w:val="Default"/>
        <w:ind w:left="360" w:right="-720"/>
      </w:pPr>
      <w:r w:rsidRPr="00992F60">
        <w:t>DE-FOA-000</w:t>
      </w:r>
      <w:r w:rsidR="008C24D3">
        <w:t>3334</w:t>
      </w:r>
      <w:r w:rsidR="00826E03">
        <w:t xml:space="preserve">, </w:t>
      </w:r>
      <w:r w:rsidR="00F2421E">
        <w:t>CEC Application due date adjusted from September 26</w:t>
      </w:r>
      <w:r w:rsidR="00DC7672">
        <w:t xml:space="preserve">, </w:t>
      </w:r>
      <w:proofErr w:type="gramStart"/>
      <w:r w:rsidR="00DC7672">
        <w:t>2024</w:t>
      </w:r>
      <w:proofErr w:type="gramEnd"/>
      <w:r w:rsidR="00DC7672">
        <w:t xml:space="preserve"> to October 1, 2024</w:t>
      </w:r>
    </w:p>
    <w:p w14:paraId="2CDDEDE5" w14:textId="77777777" w:rsidR="003B75DC" w:rsidRPr="00E118E0" w:rsidRDefault="003B75DC" w:rsidP="00655A8E">
      <w:pPr>
        <w:pStyle w:val="Default"/>
        <w:ind w:left="360" w:right="-720"/>
        <w:rPr>
          <w:sz w:val="12"/>
          <w:szCs w:val="12"/>
        </w:rPr>
      </w:pPr>
    </w:p>
    <w:p w14:paraId="056DE2FF" w14:textId="77777777" w:rsidR="0073204F" w:rsidRDefault="0073204F" w:rsidP="0073204F">
      <w:pPr>
        <w:spacing w:before="240"/>
        <w:jc w:val="both"/>
        <w:rPr>
          <w:b/>
        </w:rPr>
      </w:pPr>
      <w:r w:rsidRPr="002800C4">
        <w:rPr>
          <w:b/>
        </w:rPr>
        <w:t>Funding Opportunities Eligible for Energy Commission Cost Share</w:t>
      </w:r>
    </w:p>
    <w:tbl>
      <w:tblPr>
        <w:tblStyle w:val="TableGrid4"/>
        <w:tblW w:w="5872" w:type="pct"/>
        <w:tblInd w:w="-815" w:type="dxa"/>
        <w:tblLayout w:type="fixed"/>
        <w:tblLook w:val="04A0" w:firstRow="1" w:lastRow="0" w:firstColumn="1" w:lastColumn="0" w:noHBand="0" w:noVBand="1"/>
      </w:tblPr>
      <w:tblGrid>
        <w:gridCol w:w="1884"/>
        <w:gridCol w:w="1441"/>
        <w:gridCol w:w="1805"/>
        <w:gridCol w:w="1891"/>
        <w:gridCol w:w="1533"/>
        <w:gridCol w:w="2427"/>
      </w:tblGrid>
      <w:tr w:rsidR="0085108D" w:rsidRPr="008C0101" w14:paraId="4E2A1B91" w14:textId="77777777" w:rsidTr="008F139E">
        <w:tc>
          <w:tcPr>
            <w:tcW w:w="858" w:type="pct"/>
            <w:shd w:val="clear" w:color="auto" w:fill="D9D9D9" w:themeFill="background1" w:themeFillShade="D9"/>
          </w:tcPr>
          <w:p w14:paraId="0BB2CAC6" w14:textId="77777777" w:rsidR="0085108D" w:rsidRPr="008C0101" w:rsidRDefault="0085108D" w:rsidP="008F139E">
            <w:pPr>
              <w:rPr>
                <w:rFonts w:eastAsia="Arial"/>
              </w:rPr>
            </w:pPr>
            <w:r w:rsidRPr="008C0101">
              <w:rPr>
                <w:rFonts w:eastAsia="Arial"/>
                <w:b/>
              </w:rPr>
              <w:t>Funding Opportunity Announcement (FOA) Number and Title</w:t>
            </w:r>
          </w:p>
        </w:tc>
        <w:tc>
          <w:tcPr>
            <w:tcW w:w="656" w:type="pct"/>
            <w:shd w:val="clear" w:color="auto" w:fill="D9D9D9" w:themeFill="background1" w:themeFillShade="D9"/>
          </w:tcPr>
          <w:p w14:paraId="6519B9B0" w14:textId="77777777" w:rsidR="0085108D" w:rsidRPr="008C0101" w:rsidRDefault="0085108D" w:rsidP="008F139E">
            <w:pPr>
              <w:rPr>
                <w:rFonts w:eastAsia="Arial"/>
                <w:szCs w:val="22"/>
              </w:rPr>
            </w:pPr>
            <w:r w:rsidRPr="008C0101">
              <w:rPr>
                <w:rFonts w:eastAsia="Arial"/>
                <w:b/>
                <w:szCs w:val="22"/>
              </w:rPr>
              <w:t xml:space="preserve">CEC Application Due Date (Phase One – </w:t>
            </w:r>
            <w:proofErr w:type="gramStart"/>
            <w:r w:rsidRPr="008C0101">
              <w:rPr>
                <w:rFonts w:eastAsia="Arial"/>
                <w:b/>
                <w:szCs w:val="22"/>
              </w:rPr>
              <w:t>Pre Federal</w:t>
            </w:r>
            <w:proofErr w:type="gramEnd"/>
            <w:r w:rsidRPr="008C0101">
              <w:rPr>
                <w:rFonts w:eastAsia="Arial"/>
                <w:b/>
                <w:szCs w:val="22"/>
              </w:rPr>
              <w:t xml:space="preserve"> Award)</w:t>
            </w:r>
          </w:p>
        </w:tc>
        <w:tc>
          <w:tcPr>
            <w:tcW w:w="822" w:type="pct"/>
            <w:shd w:val="clear" w:color="auto" w:fill="D9D9D9" w:themeFill="background1" w:themeFillShade="D9"/>
          </w:tcPr>
          <w:p w14:paraId="26F571C7" w14:textId="77777777" w:rsidR="0085108D" w:rsidRPr="009A4B80" w:rsidRDefault="0085108D" w:rsidP="008F139E">
            <w:pPr>
              <w:spacing w:line="259" w:lineRule="auto"/>
              <w:rPr>
                <w:rFonts w:eastAsia="Arial"/>
                <w:b/>
              </w:rPr>
            </w:pPr>
            <w:r w:rsidRPr="009A4B80">
              <w:rPr>
                <w:rFonts w:eastAsia="Arial"/>
                <w:b/>
              </w:rPr>
              <w:t>Recommended Minimum CEC Cost Share Award*</w:t>
            </w:r>
          </w:p>
          <w:p w14:paraId="311A94CB" w14:textId="77777777" w:rsidR="0085108D" w:rsidRPr="009A4B80" w:rsidRDefault="0085108D" w:rsidP="008F139E">
            <w:pPr>
              <w:rPr>
                <w:rFonts w:eastAsia="Arial"/>
                <w:b/>
                <w:szCs w:val="22"/>
              </w:rPr>
            </w:pPr>
          </w:p>
        </w:tc>
        <w:tc>
          <w:tcPr>
            <w:tcW w:w="861" w:type="pct"/>
            <w:shd w:val="clear" w:color="auto" w:fill="D9D9D9" w:themeFill="background1" w:themeFillShade="D9"/>
          </w:tcPr>
          <w:p w14:paraId="63CAFDBF" w14:textId="77777777" w:rsidR="0085108D" w:rsidRPr="009A4B80" w:rsidRDefault="0085108D" w:rsidP="008F139E">
            <w:pPr>
              <w:spacing w:line="259" w:lineRule="auto"/>
              <w:rPr>
                <w:rFonts w:eastAsia="Arial"/>
                <w:b/>
              </w:rPr>
            </w:pPr>
            <w:r w:rsidRPr="009A4B80">
              <w:rPr>
                <w:rFonts w:eastAsia="Arial"/>
                <w:b/>
              </w:rPr>
              <w:t>Recommended Maximum CEC Cost Share Award*</w:t>
            </w:r>
          </w:p>
        </w:tc>
        <w:tc>
          <w:tcPr>
            <w:tcW w:w="698" w:type="pct"/>
            <w:shd w:val="clear" w:color="auto" w:fill="D9D9D9" w:themeFill="background1" w:themeFillShade="D9"/>
          </w:tcPr>
          <w:p w14:paraId="7D756598" w14:textId="77777777" w:rsidR="0085108D" w:rsidRPr="008C0101" w:rsidRDefault="0085108D" w:rsidP="008F139E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Maximum Total CEC Cost Share Across Awards</w:t>
            </w:r>
          </w:p>
        </w:tc>
        <w:tc>
          <w:tcPr>
            <w:tcW w:w="1105" w:type="pct"/>
            <w:shd w:val="clear" w:color="auto" w:fill="D9D9D9" w:themeFill="background1" w:themeFillShade="D9"/>
          </w:tcPr>
          <w:p w14:paraId="1BC776ED" w14:textId="77777777" w:rsidR="0085108D" w:rsidRPr="008C0101" w:rsidRDefault="0085108D" w:rsidP="008F139E">
            <w:pPr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Eligible Topic Area/Areas of Interest</w:t>
            </w:r>
          </w:p>
        </w:tc>
      </w:tr>
      <w:tr w:rsidR="0085108D" w:rsidRPr="00890163" w14:paraId="4014D0A4" w14:textId="77777777" w:rsidTr="008F139E">
        <w:tc>
          <w:tcPr>
            <w:tcW w:w="858" w:type="pct"/>
          </w:tcPr>
          <w:p w14:paraId="40706FBA" w14:textId="77777777" w:rsidR="0085108D" w:rsidRPr="00F2421E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2421E">
              <w:rPr>
                <w:color w:val="201F1E"/>
                <w:szCs w:val="22"/>
                <w:bdr w:val="none" w:sz="0" w:space="0" w:color="auto" w:frame="1"/>
              </w:rPr>
              <w:t>DE-FOA-0003334 Offshore Wind National and Regional Research and Development</w:t>
            </w:r>
          </w:p>
        </w:tc>
        <w:tc>
          <w:tcPr>
            <w:tcW w:w="656" w:type="pct"/>
          </w:tcPr>
          <w:p w14:paraId="087AA82A" w14:textId="77777777" w:rsidR="0085108D" w:rsidRPr="00F2421E" w:rsidRDefault="0085108D" w:rsidP="008F139E">
            <w:pPr>
              <w:rPr>
                <w:strike/>
                <w:color w:val="201F1E"/>
                <w:szCs w:val="22"/>
                <w:bdr w:val="none" w:sz="0" w:space="0" w:color="auto" w:frame="1"/>
              </w:rPr>
            </w:pPr>
            <w:r w:rsidRPr="00F2421E">
              <w:rPr>
                <w:strike/>
                <w:color w:val="201F1E"/>
                <w:szCs w:val="22"/>
                <w:bdr w:val="none" w:sz="0" w:space="0" w:color="auto" w:frame="1"/>
              </w:rPr>
              <w:t>September 26, 2024</w:t>
            </w:r>
          </w:p>
          <w:p w14:paraId="347B1B8C" w14:textId="6FFE08D4" w:rsidR="00F2421E" w:rsidRPr="00F2421E" w:rsidRDefault="00F2421E" w:rsidP="008F139E">
            <w:pPr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</w:pPr>
            <w:r w:rsidRPr="00F2421E">
              <w:rPr>
                <w:b/>
                <w:bCs/>
                <w:color w:val="201F1E"/>
                <w:szCs w:val="22"/>
                <w:u w:val="single"/>
                <w:bdr w:val="none" w:sz="0" w:space="0" w:color="auto" w:frame="1"/>
              </w:rPr>
              <w:t>October 1, 2024</w:t>
            </w:r>
          </w:p>
        </w:tc>
        <w:tc>
          <w:tcPr>
            <w:tcW w:w="822" w:type="pct"/>
          </w:tcPr>
          <w:p w14:paraId="71DC8FB1" w14:textId="77777777" w:rsidR="0085108D" w:rsidRPr="00F2421E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2421E">
              <w:rPr>
                <w:color w:val="201F1E"/>
                <w:szCs w:val="22"/>
                <w:bdr w:val="none" w:sz="0" w:space="0" w:color="auto" w:frame="1"/>
              </w:rPr>
              <w:t xml:space="preserve">Topic 1a: $250,000   </w:t>
            </w:r>
          </w:p>
          <w:p w14:paraId="35815E3B" w14:textId="77777777" w:rsidR="0085108D" w:rsidRPr="00F2421E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2421E">
              <w:rPr>
                <w:color w:val="201F1E"/>
                <w:szCs w:val="22"/>
                <w:bdr w:val="none" w:sz="0" w:space="0" w:color="auto" w:frame="1"/>
              </w:rPr>
              <w:t xml:space="preserve">Topic 1b: $62,500 </w:t>
            </w:r>
          </w:p>
          <w:p w14:paraId="3F08CAAF" w14:textId="77777777" w:rsidR="0085108D" w:rsidRPr="00F2421E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2421E">
              <w:rPr>
                <w:color w:val="201F1E"/>
                <w:szCs w:val="22"/>
                <w:bdr w:val="none" w:sz="0" w:space="0" w:color="auto" w:frame="1"/>
              </w:rPr>
              <w:t xml:space="preserve">Topic 3:  </w:t>
            </w:r>
          </w:p>
          <w:p w14:paraId="4F547FD4" w14:textId="77777777" w:rsidR="0085108D" w:rsidRPr="00F2421E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2421E">
              <w:rPr>
                <w:color w:val="201F1E"/>
                <w:szCs w:val="22"/>
                <w:bdr w:val="none" w:sz="0" w:space="0" w:color="auto" w:frame="1"/>
              </w:rPr>
              <w:t>$125,000</w:t>
            </w:r>
          </w:p>
        </w:tc>
        <w:tc>
          <w:tcPr>
            <w:tcW w:w="861" w:type="pct"/>
          </w:tcPr>
          <w:p w14:paraId="77B8C333" w14:textId="77777777" w:rsidR="0085108D" w:rsidRPr="00F2421E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2421E">
              <w:rPr>
                <w:color w:val="201F1E"/>
                <w:szCs w:val="22"/>
                <w:bdr w:val="none" w:sz="0" w:space="0" w:color="auto" w:frame="1"/>
              </w:rPr>
              <w:t xml:space="preserve">Topic 1a: $500,000  </w:t>
            </w:r>
          </w:p>
          <w:p w14:paraId="06257DE8" w14:textId="77777777" w:rsidR="0085108D" w:rsidRPr="00F2421E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2421E">
              <w:rPr>
                <w:color w:val="201F1E"/>
                <w:szCs w:val="22"/>
                <w:bdr w:val="none" w:sz="0" w:space="0" w:color="auto" w:frame="1"/>
              </w:rPr>
              <w:t xml:space="preserve">Topic 1b: $187,500 </w:t>
            </w:r>
          </w:p>
          <w:p w14:paraId="675BE2DA" w14:textId="77777777" w:rsidR="0085108D" w:rsidRPr="00F2421E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2421E">
              <w:rPr>
                <w:color w:val="201F1E"/>
                <w:szCs w:val="22"/>
                <w:bdr w:val="none" w:sz="0" w:space="0" w:color="auto" w:frame="1"/>
              </w:rPr>
              <w:t xml:space="preserve">Topic 3:  </w:t>
            </w:r>
          </w:p>
          <w:p w14:paraId="4B1AC087" w14:textId="77777777" w:rsidR="0085108D" w:rsidRPr="00F2421E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2421E">
              <w:rPr>
                <w:color w:val="201F1E"/>
                <w:szCs w:val="22"/>
                <w:bdr w:val="none" w:sz="0" w:space="0" w:color="auto" w:frame="1"/>
              </w:rPr>
              <w:t>$375,000</w:t>
            </w:r>
          </w:p>
        </w:tc>
        <w:tc>
          <w:tcPr>
            <w:tcW w:w="698" w:type="pct"/>
          </w:tcPr>
          <w:p w14:paraId="5C58D422" w14:textId="77777777" w:rsidR="0085108D" w:rsidRPr="00F2421E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2421E">
              <w:rPr>
                <w:color w:val="201F1E"/>
                <w:szCs w:val="22"/>
                <w:bdr w:val="none" w:sz="0" w:space="0" w:color="auto" w:frame="1"/>
              </w:rPr>
              <w:t xml:space="preserve">Topic 1: $1,875,000   </w:t>
            </w:r>
          </w:p>
          <w:p w14:paraId="56CEF511" w14:textId="77777777" w:rsidR="0085108D" w:rsidRPr="00F2421E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2421E">
              <w:rPr>
                <w:color w:val="201F1E"/>
                <w:szCs w:val="22"/>
                <w:bdr w:val="none" w:sz="0" w:space="0" w:color="auto" w:frame="1"/>
              </w:rPr>
              <w:t xml:space="preserve">Topic 3:  </w:t>
            </w:r>
          </w:p>
          <w:p w14:paraId="5C9C6969" w14:textId="77777777" w:rsidR="0085108D" w:rsidRPr="00F2421E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2421E">
              <w:rPr>
                <w:color w:val="201F1E"/>
                <w:szCs w:val="22"/>
                <w:bdr w:val="none" w:sz="0" w:space="0" w:color="auto" w:frame="1"/>
              </w:rPr>
              <w:t>$750,000</w:t>
            </w:r>
          </w:p>
        </w:tc>
        <w:tc>
          <w:tcPr>
            <w:tcW w:w="1105" w:type="pct"/>
          </w:tcPr>
          <w:p w14:paraId="7784D1FC" w14:textId="77777777" w:rsidR="0085108D" w:rsidRPr="00F2421E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2421E">
              <w:rPr>
                <w:color w:val="201F1E"/>
                <w:szCs w:val="22"/>
                <w:bdr w:val="none" w:sz="0" w:space="0" w:color="auto" w:frame="1"/>
              </w:rPr>
              <w:t xml:space="preserve">Topic 1a: Refinement and Innovation in Floating Platform Design, Manufacturing, and Deployment </w:t>
            </w:r>
          </w:p>
          <w:p w14:paraId="3D789F84" w14:textId="77777777" w:rsidR="0085108D" w:rsidRPr="00F2421E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2421E">
              <w:rPr>
                <w:color w:val="201F1E"/>
                <w:szCs w:val="22"/>
                <w:bdr w:val="none" w:sz="0" w:space="0" w:color="auto" w:frame="1"/>
              </w:rPr>
              <w:t xml:space="preserve">Topic 1b: Next-Generation Integrated Turbine/Platform Research </w:t>
            </w:r>
          </w:p>
          <w:p w14:paraId="578C653E" w14:textId="77777777" w:rsidR="0085108D" w:rsidRPr="00F2421E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F2421E">
              <w:rPr>
                <w:color w:val="201F1E"/>
                <w:szCs w:val="22"/>
                <w:bdr w:val="none" w:sz="0" w:space="0" w:color="auto" w:frame="1"/>
              </w:rPr>
              <w:t>Topic 3: Technology Advancement to Inform Risk to Birds and Bats from Offshore Wind Energy</w:t>
            </w:r>
          </w:p>
        </w:tc>
      </w:tr>
      <w:tr w:rsidR="0085108D" w:rsidRPr="002C0F88" w14:paraId="51706476" w14:textId="77777777" w:rsidTr="008F139E">
        <w:tc>
          <w:tcPr>
            <w:tcW w:w="858" w:type="pct"/>
          </w:tcPr>
          <w:p w14:paraId="79950A9A" w14:textId="77777777" w:rsidR="0085108D" w:rsidRPr="002C0F88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2C0F88">
              <w:rPr>
                <w:color w:val="201F1E"/>
                <w:szCs w:val="22"/>
                <w:bdr w:val="none" w:sz="0" w:space="0" w:color="auto" w:frame="1"/>
              </w:rPr>
              <w:t>DE-FOA0003214</w:t>
            </w:r>
          </w:p>
          <w:p w14:paraId="65C4ACC8" w14:textId="77777777" w:rsidR="0085108D" w:rsidRPr="002C0F88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2C0F88">
              <w:rPr>
                <w:color w:val="201F1E"/>
                <w:szCs w:val="22"/>
                <w:bdr w:val="none" w:sz="0" w:space="0" w:color="auto" w:frame="1"/>
              </w:rPr>
              <w:t>Bipartisan Infrastructure Law (BIL) – Joint Office of Energy and Transportation: Communities Taking Charge Accelerator</w:t>
            </w:r>
          </w:p>
        </w:tc>
        <w:tc>
          <w:tcPr>
            <w:tcW w:w="656" w:type="pct"/>
          </w:tcPr>
          <w:p w14:paraId="452551CB" w14:textId="77777777" w:rsidR="0085108D" w:rsidRPr="002C0F88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2C0F88">
              <w:rPr>
                <w:color w:val="201F1E"/>
                <w:szCs w:val="22"/>
                <w:bdr w:val="none" w:sz="0" w:space="0" w:color="auto" w:frame="1"/>
              </w:rPr>
              <w:t>June 28, 2024</w:t>
            </w:r>
          </w:p>
        </w:tc>
        <w:tc>
          <w:tcPr>
            <w:tcW w:w="822" w:type="pct"/>
          </w:tcPr>
          <w:p w14:paraId="43BFAA1E" w14:textId="77777777" w:rsidR="0085108D" w:rsidRPr="002C0F88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2C0F88">
              <w:rPr>
                <w:color w:val="201F1E"/>
                <w:szCs w:val="22"/>
                <w:bdr w:val="none" w:sz="0" w:space="0" w:color="auto" w:frame="1"/>
              </w:rPr>
              <w:t>$250,000</w:t>
            </w:r>
          </w:p>
        </w:tc>
        <w:tc>
          <w:tcPr>
            <w:tcW w:w="861" w:type="pct"/>
          </w:tcPr>
          <w:p w14:paraId="2AEE24C8" w14:textId="77777777" w:rsidR="0085108D" w:rsidRPr="002C0F88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2C0F88">
              <w:rPr>
                <w:color w:val="201F1E"/>
                <w:szCs w:val="22"/>
                <w:bdr w:val="none" w:sz="0" w:space="0" w:color="auto" w:frame="1"/>
              </w:rPr>
              <w:t>$1,000,000</w:t>
            </w:r>
          </w:p>
        </w:tc>
        <w:tc>
          <w:tcPr>
            <w:tcW w:w="698" w:type="pct"/>
          </w:tcPr>
          <w:p w14:paraId="0D05C501" w14:textId="77777777" w:rsidR="0085108D" w:rsidRPr="002C0F88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2C0F88">
              <w:rPr>
                <w:color w:val="201F1E"/>
                <w:szCs w:val="22"/>
                <w:bdr w:val="none" w:sz="0" w:space="0" w:color="auto" w:frame="1"/>
              </w:rPr>
              <w:t>$1,000,000</w:t>
            </w:r>
          </w:p>
        </w:tc>
        <w:tc>
          <w:tcPr>
            <w:tcW w:w="1105" w:type="pct"/>
          </w:tcPr>
          <w:p w14:paraId="3163819E" w14:textId="77777777" w:rsidR="0085108D" w:rsidRPr="002C0F88" w:rsidRDefault="0085108D" w:rsidP="008F139E">
            <w:pPr>
              <w:rPr>
                <w:color w:val="201F1E"/>
                <w:szCs w:val="22"/>
                <w:bdr w:val="none" w:sz="0" w:space="0" w:color="auto" w:frame="1"/>
              </w:rPr>
            </w:pPr>
            <w:r w:rsidRPr="002C0F88">
              <w:rPr>
                <w:color w:val="201F1E"/>
                <w:szCs w:val="22"/>
                <w:bdr w:val="none" w:sz="0" w:space="0" w:color="auto" w:frame="1"/>
              </w:rPr>
              <w:t>Topic Area 3: Managed Charging for Clean Reliable Energy</w:t>
            </w:r>
          </w:p>
        </w:tc>
      </w:tr>
    </w:tbl>
    <w:p w14:paraId="5AE77C24" w14:textId="12B834A2" w:rsidR="00782B87" w:rsidRDefault="00782B87" w:rsidP="00655A8E">
      <w:pPr>
        <w:rPr>
          <w:rFonts w:ascii="Arial" w:hAnsi="Arial" w:cs="Arial"/>
          <w:bCs/>
          <w:iCs/>
        </w:rPr>
      </w:pPr>
    </w:p>
    <w:p w14:paraId="01C4D744" w14:textId="3C62738A" w:rsidR="006D1097" w:rsidRPr="00C36953" w:rsidRDefault="00C36953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>Marissa Su</w:t>
      </w:r>
      <w:r>
        <w:rPr>
          <w:rFonts w:ascii="Arial" w:hAnsi="Arial" w:cs="Arial"/>
          <w:lang w:val="fr-FR"/>
        </w:rPr>
        <w:t>tton</w:t>
      </w:r>
    </w:p>
    <w:p w14:paraId="45C35E8E" w14:textId="47AAE29F" w:rsidR="00620F92" w:rsidRPr="00C36953" w:rsidRDefault="00620F92" w:rsidP="00655A8E">
      <w:pPr>
        <w:rPr>
          <w:rFonts w:ascii="Arial" w:hAnsi="Arial" w:cs="Arial"/>
          <w:lang w:val="fr-FR"/>
        </w:rPr>
      </w:pPr>
      <w:r w:rsidRPr="00C36953">
        <w:rPr>
          <w:rFonts w:ascii="Arial" w:hAnsi="Arial" w:cs="Arial"/>
          <w:lang w:val="fr-FR"/>
        </w:rPr>
        <w:t xml:space="preserve">Commission Agreement </w:t>
      </w:r>
      <w:proofErr w:type="spellStart"/>
      <w:r w:rsidRPr="00C36953">
        <w:rPr>
          <w:rFonts w:ascii="Arial" w:hAnsi="Arial" w:cs="Arial"/>
          <w:lang w:val="fr-FR"/>
        </w:rPr>
        <w:t>Officer</w:t>
      </w:r>
      <w:proofErr w:type="spellEnd"/>
    </w:p>
    <w:sectPr w:rsidR="00620F92" w:rsidRPr="00C36953" w:rsidSect="00DA5EE3">
      <w:headerReference w:type="first" r:id="rId11"/>
      <w:footerReference w:type="first" r:id="rId12"/>
      <w:pgSz w:w="12240" w:h="15840"/>
      <w:pgMar w:top="1440" w:right="1440" w:bottom="1440" w:left="1440" w:header="43" w:footer="2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62676" w14:textId="77777777" w:rsidR="00DA5EE3" w:rsidRDefault="00DA5EE3" w:rsidP="00F86D2B">
      <w:r>
        <w:separator/>
      </w:r>
    </w:p>
  </w:endnote>
  <w:endnote w:type="continuationSeparator" w:id="0">
    <w:p w14:paraId="3864F340" w14:textId="77777777" w:rsidR="00DA5EE3" w:rsidRDefault="00DA5EE3" w:rsidP="00F86D2B">
      <w:r>
        <w:continuationSeparator/>
      </w:r>
    </w:p>
  </w:endnote>
  <w:endnote w:type="continuationNotice" w:id="1">
    <w:p w14:paraId="61316CD7" w14:textId="77777777" w:rsidR="00DA5EE3" w:rsidRDefault="00DA5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040BD" w14:textId="39200B9D" w:rsidR="00545BCE" w:rsidRPr="00881871" w:rsidRDefault="00881871" w:rsidP="00E118E0">
    <w:pPr>
      <w:pStyle w:val="Footer"/>
      <w:tabs>
        <w:tab w:val="clear" w:pos="4320"/>
        <w:tab w:val="center" w:pos="4680"/>
      </w:tabs>
      <w:rPr>
        <w:rFonts w:ascii="Arial" w:hAnsi="Arial" w:cs="Arial"/>
        <w:sz w:val="22"/>
        <w:szCs w:val="22"/>
      </w:rPr>
    </w:pPr>
    <w:r w:rsidRPr="00881871">
      <w:rPr>
        <w:rFonts w:ascii="Arial" w:hAnsi="Arial" w:cs="Arial"/>
        <w:sz w:val="22"/>
        <w:szCs w:val="22"/>
      </w:rPr>
      <w:tab/>
      <w:t xml:space="preserve">Page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PAGE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2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 xml:space="preserve"> of </w:t>
    </w:r>
    <w:r w:rsidRPr="00881871">
      <w:rPr>
        <w:rFonts w:ascii="Arial" w:hAnsi="Arial" w:cs="Arial"/>
        <w:sz w:val="22"/>
        <w:szCs w:val="22"/>
      </w:rPr>
      <w:fldChar w:fldCharType="begin"/>
    </w:r>
    <w:r w:rsidRPr="00881871">
      <w:rPr>
        <w:rFonts w:ascii="Arial" w:hAnsi="Arial" w:cs="Arial"/>
        <w:sz w:val="22"/>
        <w:szCs w:val="22"/>
      </w:rPr>
      <w:instrText xml:space="preserve"> NUMPAGES  \* Arabic  \* MERGEFORMAT </w:instrText>
    </w:r>
    <w:r w:rsidRPr="00881871">
      <w:rPr>
        <w:rFonts w:ascii="Arial" w:hAnsi="Arial" w:cs="Arial"/>
        <w:sz w:val="22"/>
        <w:szCs w:val="22"/>
      </w:rPr>
      <w:fldChar w:fldCharType="separate"/>
    </w:r>
    <w:r w:rsidRPr="00881871">
      <w:rPr>
        <w:rFonts w:ascii="Arial" w:hAnsi="Arial" w:cs="Arial"/>
        <w:sz w:val="22"/>
        <w:szCs w:val="22"/>
      </w:rPr>
      <w:t>6</w:t>
    </w:r>
    <w:r w:rsidRPr="00881871">
      <w:rPr>
        <w:rFonts w:ascii="Arial" w:hAnsi="Arial" w:cs="Arial"/>
        <w:sz w:val="22"/>
        <w:szCs w:val="22"/>
      </w:rPr>
      <w:fldChar w:fldCharType="end"/>
    </w:r>
    <w:r w:rsidRPr="00881871">
      <w:rPr>
        <w:rFonts w:ascii="Arial" w:hAnsi="Arial" w:cs="Arial"/>
        <w:sz w:val="22"/>
        <w:szCs w:val="22"/>
      </w:rPr>
      <w:tab/>
      <w:t xml:space="preserve">                             </w:t>
    </w:r>
    <w:r w:rsidR="00E118E0">
      <w:rPr>
        <w:rFonts w:ascii="Arial" w:hAnsi="Arial" w:cs="Arial"/>
        <w:sz w:val="22"/>
        <w:szCs w:val="22"/>
      </w:rPr>
      <w:t xml:space="preserve">            </w:t>
    </w:r>
    <w:r w:rsidR="00400496">
      <w:rPr>
        <w:rFonts w:ascii="Arial" w:hAnsi="Arial" w:cs="Arial"/>
        <w:sz w:val="22"/>
        <w:szCs w:val="22"/>
      </w:rPr>
      <w:t>GFO</w:t>
    </w:r>
    <w:r w:rsidRPr="00881871">
      <w:rPr>
        <w:rFonts w:ascii="Arial" w:hAnsi="Arial" w:cs="Arial"/>
        <w:sz w:val="22"/>
        <w:szCs w:val="22"/>
      </w:rPr>
      <w:t>-21-</w:t>
    </w:r>
    <w:r w:rsidR="00400496">
      <w:rPr>
        <w:rFonts w:ascii="Arial" w:hAnsi="Arial" w:cs="Arial"/>
        <w:sz w:val="22"/>
        <w:szCs w:val="22"/>
      </w:rPr>
      <w:t>901</w:t>
    </w:r>
    <w:r w:rsidR="00E118E0">
      <w:rPr>
        <w:rFonts w:ascii="Arial" w:hAnsi="Arial" w:cs="Arial"/>
        <w:sz w:val="22"/>
        <w:szCs w:val="22"/>
      </w:rPr>
      <w:t>-</w:t>
    </w:r>
    <w:r w:rsidR="0085108D">
      <w:rPr>
        <w:rFonts w:ascii="Arial" w:hAnsi="Arial" w:cs="Arial"/>
        <w:sz w:val="22"/>
        <w:szCs w:val="22"/>
      </w:rPr>
      <w:t>3</w:t>
    </w:r>
    <w:r w:rsidR="00DC7672">
      <w:rPr>
        <w:rFonts w:ascii="Arial" w:hAnsi="Arial" w:cs="Arial"/>
        <w:sz w:val="22"/>
        <w:szCs w:val="22"/>
      </w:rPr>
      <w:t>2</w:t>
    </w:r>
  </w:p>
  <w:p w14:paraId="7D1CC783" w14:textId="77777777" w:rsidR="00881871" w:rsidRPr="00CE248B" w:rsidRDefault="00881871" w:rsidP="00881871">
    <w:pPr>
      <w:pStyle w:val="Footer"/>
    </w:pPr>
  </w:p>
  <w:p w14:paraId="3FB80B95" w14:textId="6EE5179D" w:rsidR="00655A8E" w:rsidRDefault="00655A8E" w:rsidP="002D11A5">
    <w:pPr>
      <w:pStyle w:val="Footer"/>
      <w:ind w:hanging="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6857B" w14:textId="77777777" w:rsidR="00DA5EE3" w:rsidRDefault="00DA5EE3" w:rsidP="00F86D2B">
      <w:r>
        <w:separator/>
      </w:r>
    </w:p>
  </w:footnote>
  <w:footnote w:type="continuationSeparator" w:id="0">
    <w:p w14:paraId="471966BC" w14:textId="77777777" w:rsidR="00DA5EE3" w:rsidRDefault="00DA5EE3" w:rsidP="00F86D2B">
      <w:r>
        <w:continuationSeparator/>
      </w:r>
    </w:p>
  </w:footnote>
  <w:footnote w:type="continuationNotice" w:id="1">
    <w:p w14:paraId="3D02758D" w14:textId="77777777" w:rsidR="00DA5EE3" w:rsidRDefault="00DA5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FB231" w14:textId="77777777" w:rsidR="00655A8E" w:rsidRDefault="00655A8E" w:rsidP="002D11A5">
    <w:pPr>
      <w:pStyle w:val="Header"/>
      <w:ind w:hanging="1800"/>
    </w:pPr>
  </w:p>
  <w:p w14:paraId="4323C9A8" w14:textId="4A197524" w:rsidR="00655A8E" w:rsidRDefault="00655A8E" w:rsidP="002D11A5">
    <w:pPr>
      <w:pStyle w:val="Header"/>
      <w:ind w:hanging="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8436F"/>
    <w:multiLevelType w:val="hybridMultilevel"/>
    <w:tmpl w:val="B9D6F4A8"/>
    <w:lvl w:ilvl="0" w:tplc="F4FAA1DA">
      <w:start w:val="1"/>
      <w:numFmt w:val="lowerLetter"/>
      <w:lvlText w:val="%1."/>
      <w:lvlJc w:val="left"/>
      <w:pPr>
        <w:ind w:left="-36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>
      <w:start w:val="1"/>
      <w:numFmt w:val="lowerRoman"/>
      <w:lvlText w:val="%6."/>
      <w:lvlJc w:val="right"/>
      <w:pPr>
        <w:ind w:left="3240" w:hanging="180"/>
      </w:pPr>
    </w:lvl>
    <w:lvl w:ilvl="6" w:tplc="0409000F">
      <w:start w:val="1"/>
      <w:numFmt w:val="decimal"/>
      <w:lvlText w:val="%7."/>
      <w:lvlJc w:val="left"/>
      <w:pPr>
        <w:ind w:left="3960" w:hanging="360"/>
      </w:pPr>
    </w:lvl>
    <w:lvl w:ilvl="7" w:tplc="04090019">
      <w:start w:val="1"/>
      <w:numFmt w:val="lowerLetter"/>
      <w:lvlText w:val="%8."/>
      <w:lvlJc w:val="left"/>
      <w:pPr>
        <w:ind w:left="4680" w:hanging="360"/>
      </w:pPr>
    </w:lvl>
    <w:lvl w:ilvl="8" w:tplc="0409001B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35E83796"/>
    <w:multiLevelType w:val="hybridMultilevel"/>
    <w:tmpl w:val="2C92250A"/>
    <w:lvl w:ilvl="0" w:tplc="DE668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1F720F"/>
    <w:multiLevelType w:val="hybridMultilevel"/>
    <w:tmpl w:val="91781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5767"/>
    <w:multiLevelType w:val="hybridMultilevel"/>
    <w:tmpl w:val="B3B850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42584317">
    <w:abstractNumId w:val="0"/>
  </w:num>
  <w:num w:numId="2" w16cid:durableId="1330937078">
    <w:abstractNumId w:val="2"/>
  </w:num>
  <w:num w:numId="3" w16cid:durableId="1558777577">
    <w:abstractNumId w:val="3"/>
  </w:num>
  <w:num w:numId="4" w16cid:durableId="1236890620">
    <w:abstractNumId w:val="4"/>
  </w:num>
  <w:num w:numId="5" w16cid:durableId="1753508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0EA8"/>
    <w:rsid w:val="00026DEF"/>
    <w:rsid w:val="00027125"/>
    <w:rsid w:val="00035F4D"/>
    <w:rsid w:val="000557AC"/>
    <w:rsid w:val="00055D91"/>
    <w:rsid w:val="00063265"/>
    <w:rsid w:val="00067162"/>
    <w:rsid w:val="0009064B"/>
    <w:rsid w:val="000A0D55"/>
    <w:rsid w:val="000A1124"/>
    <w:rsid w:val="000D2CC7"/>
    <w:rsid w:val="000E31D6"/>
    <w:rsid w:val="00111611"/>
    <w:rsid w:val="00113622"/>
    <w:rsid w:val="0013466C"/>
    <w:rsid w:val="00144DE1"/>
    <w:rsid w:val="0014731B"/>
    <w:rsid w:val="001501DB"/>
    <w:rsid w:val="001A7ADE"/>
    <w:rsid w:val="001B5906"/>
    <w:rsid w:val="001D58A5"/>
    <w:rsid w:val="001D5D15"/>
    <w:rsid w:val="001F62F3"/>
    <w:rsid w:val="002050A5"/>
    <w:rsid w:val="002108D5"/>
    <w:rsid w:val="002308D5"/>
    <w:rsid w:val="0028180C"/>
    <w:rsid w:val="002A2635"/>
    <w:rsid w:val="002A5F7A"/>
    <w:rsid w:val="002C27C4"/>
    <w:rsid w:val="002D11A5"/>
    <w:rsid w:val="002D5486"/>
    <w:rsid w:val="00300FB1"/>
    <w:rsid w:val="0030476D"/>
    <w:rsid w:val="00306C82"/>
    <w:rsid w:val="00333391"/>
    <w:rsid w:val="00334343"/>
    <w:rsid w:val="00345E8C"/>
    <w:rsid w:val="00347B06"/>
    <w:rsid w:val="00361BC9"/>
    <w:rsid w:val="00367E02"/>
    <w:rsid w:val="0039589D"/>
    <w:rsid w:val="003A357A"/>
    <w:rsid w:val="003B13A0"/>
    <w:rsid w:val="003B75DC"/>
    <w:rsid w:val="003E0D2D"/>
    <w:rsid w:val="003E404F"/>
    <w:rsid w:val="003E53E4"/>
    <w:rsid w:val="003F0295"/>
    <w:rsid w:val="00400496"/>
    <w:rsid w:val="00405136"/>
    <w:rsid w:val="00406939"/>
    <w:rsid w:val="004154F8"/>
    <w:rsid w:val="00415DE9"/>
    <w:rsid w:val="004220FD"/>
    <w:rsid w:val="00430859"/>
    <w:rsid w:val="00437D5F"/>
    <w:rsid w:val="00443574"/>
    <w:rsid w:val="004504D5"/>
    <w:rsid w:val="004A1AAA"/>
    <w:rsid w:val="004A3789"/>
    <w:rsid w:val="004A4C18"/>
    <w:rsid w:val="004D128F"/>
    <w:rsid w:val="004D6D9E"/>
    <w:rsid w:val="004F5B50"/>
    <w:rsid w:val="0050519F"/>
    <w:rsid w:val="00512FB4"/>
    <w:rsid w:val="00524EA9"/>
    <w:rsid w:val="005253DA"/>
    <w:rsid w:val="00527817"/>
    <w:rsid w:val="00537D23"/>
    <w:rsid w:val="00542152"/>
    <w:rsid w:val="00545BCE"/>
    <w:rsid w:val="005568CA"/>
    <w:rsid w:val="00577D95"/>
    <w:rsid w:val="005947A9"/>
    <w:rsid w:val="005D60F4"/>
    <w:rsid w:val="005E6FA2"/>
    <w:rsid w:val="005F165F"/>
    <w:rsid w:val="00603231"/>
    <w:rsid w:val="00612689"/>
    <w:rsid w:val="00620F92"/>
    <w:rsid w:val="006511D6"/>
    <w:rsid w:val="0065330E"/>
    <w:rsid w:val="00655A8E"/>
    <w:rsid w:val="00666F32"/>
    <w:rsid w:val="00672555"/>
    <w:rsid w:val="0069350C"/>
    <w:rsid w:val="006A57AF"/>
    <w:rsid w:val="006B13F0"/>
    <w:rsid w:val="006D1097"/>
    <w:rsid w:val="006D3827"/>
    <w:rsid w:val="006E146A"/>
    <w:rsid w:val="007134AE"/>
    <w:rsid w:val="007148FC"/>
    <w:rsid w:val="007202BB"/>
    <w:rsid w:val="007211FC"/>
    <w:rsid w:val="007315FB"/>
    <w:rsid w:val="0073204F"/>
    <w:rsid w:val="00751C0F"/>
    <w:rsid w:val="00761F8B"/>
    <w:rsid w:val="007638E2"/>
    <w:rsid w:val="00772562"/>
    <w:rsid w:val="0077265A"/>
    <w:rsid w:val="00777798"/>
    <w:rsid w:val="00780124"/>
    <w:rsid w:val="0078154A"/>
    <w:rsid w:val="00782B87"/>
    <w:rsid w:val="00783717"/>
    <w:rsid w:val="00784D10"/>
    <w:rsid w:val="007B1932"/>
    <w:rsid w:val="007F2A31"/>
    <w:rsid w:val="00810BB2"/>
    <w:rsid w:val="0081533B"/>
    <w:rsid w:val="008163DA"/>
    <w:rsid w:val="00826E03"/>
    <w:rsid w:val="008328DC"/>
    <w:rsid w:val="00846985"/>
    <w:rsid w:val="0085108D"/>
    <w:rsid w:val="00856425"/>
    <w:rsid w:val="00881871"/>
    <w:rsid w:val="00891104"/>
    <w:rsid w:val="00891290"/>
    <w:rsid w:val="00892782"/>
    <w:rsid w:val="008946BB"/>
    <w:rsid w:val="008C24D3"/>
    <w:rsid w:val="008C410B"/>
    <w:rsid w:val="008E1433"/>
    <w:rsid w:val="008E3926"/>
    <w:rsid w:val="008E7852"/>
    <w:rsid w:val="008F4457"/>
    <w:rsid w:val="00910710"/>
    <w:rsid w:val="0092077F"/>
    <w:rsid w:val="00922DAF"/>
    <w:rsid w:val="00930D5E"/>
    <w:rsid w:val="009407F5"/>
    <w:rsid w:val="009637FE"/>
    <w:rsid w:val="00992F60"/>
    <w:rsid w:val="009A203B"/>
    <w:rsid w:val="009A39EA"/>
    <w:rsid w:val="009E6C35"/>
    <w:rsid w:val="009E754B"/>
    <w:rsid w:val="009F018F"/>
    <w:rsid w:val="00A01E39"/>
    <w:rsid w:val="00A15FA8"/>
    <w:rsid w:val="00A17202"/>
    <w:rsid w:val="00A270DB"/>
    <w:rsid w:val="00A3384C"/>
    <w:rsid w:val="00A35812"/>
    <w:rsid w:val="00A36CF5"/>
    <w:rsid w:val="00A6325D"/>
    <w:rsid w:val="00A73089"/>
    <w:rsid w:val="00A74C92"/>
    <w:rsid w:val="00A80ED1"/>
    <w:rsid w:val="00A80F03"/>
    <w:rsid w:val="00A8431B"/>
    <w:rsid w:val="00AC6A7D"/>
    <w:rsid w:val="00AC7C34"/>
    <w:rsid w:val="00AD21FC"/>
    <w:rsid w:val="00AE05B9"/>
    <w:rsid w:val="00B3208A"/>
    <w:rsid w:val="00B71179"/>
    <w:rsid w:val="00B768B2"/>
    <w:rsid w:val="00B80DD2"/>
    <w:rsid w:val="00B80E72"/>
    <w:rsid w:val="00B84D31"/>
    <w:rsid w:val="00B906E9"/>
    <w:rsid w:val="00B9523A"/>
    <w:rsid w:val="00BA1317"/>
    <w:rsid w:val="00BA3F4C"/>
    <w:rsid w:val="00BB5DCD"/>
    <w:rsid w:val="00C00C96"/>
    <w:rsid w:val="00C01C97"/>
    <w:rsid w:val="00C03527"/>
    <w:rsid w:val="00C1039B"/>
    <w:rsid w:val="00C26ABA"/>
    <w:rsid w:val="00C35A6C"/>
    <w:rsid w:val="00C36953"/>
    <w:rsid w:val="00C67037"/>
    <w:rsid w:val="00C7128C"/>
    <w:rsid w:val="00C80A51"/>
    <w:rsid w:val="00C96BDD"/>
    <w:rsid w:val="00CA31DB"/>
    <w:rsid w:val="00CB6376"/>
    <w:rsid w:val="00CC5FB0"/>
    <w:rsid w:val="00CD4CE2"/>
    <w:rsid w:val="00CF5770"/>
    <w:rsid w:val="00CF79E0"/>
    <w:rsid w:val="00D2177B"/>
    <w:rsid w:val="00D2292E"/>
    <w:rsid w:val="00D32C3D"/>
    <w:rsid w:val="00D431C2"/>
    <w:rsid w:val="00D43B83"/>
    <w:rsid w:val="00D552BE"/>
    <w:rsid w:val="00D660DF"/>
    <w:rsid w:val="00D90B2E"/>
    <w:rsid w:val="00DA5EE3"/>
    <w:rsid w:val="00DA66D7"/>
    <w:rsid w:val="00DC7672"/>
    <w:rsid w:val="00DD488A"/>
    <w:rsid w:val="00E00162"/>
    <w:rsid w:val="00E118E0"/>
    <w:rsid w:val="00E12624"/>
    <w:rsid w:val="00E210F6"/>
    <w:rsid w:val="00E475F2"/>
    <w:rsid w:val="00E566A4"/>
    <w:rsid w:val="00E87F46"/>
    <w:rsid w:val="00E94A29"/>
    <w:rsid w:val="00E95AA9"/>
    <w:rsid w:val="00EA2133"/>
    <w:rsid w:val="00EA7BDE"/>
    <w:rsid w:val="00ED18F1"/>
    <w:rsid w:val="00EF1403"/>
    <w:rsid w:val="00F10885"/>
    <w:rsid w:val="00F10DFF"/>
    <w:rsid w:val="00F22AD4"/>
    <w:rsid w:val="00F2421E"/>
    <w:rsid w:val="00F7450F"/>
    <w:rsid w:val="00F869BC"/>
    <w:rsid w:val="00F86D2B"/>
    <w:rsid w:val="00F90F6B"/>
    <w:rsid w:val="00F947AC"/>
    <w:rsid w:val="00F95D8D"/>
    <w:rsid w:val="00F967DF"/>
    <w:rsid w:val="00FA7242"/>
    <w:rsid w:val="00FB544F"/>
    <w:rsid w:val="00FC0FAB"/>
    <w:rsid w:val="00FC11EC"/>
    <w:rsid w:val="00FD2A93"/>
    <w:rsid w:val="00FD4580"/>
    <w:rsid w:val="00FF773E"/>
    <w:rsid w:val="0CDE3617"/>
    <w:rsid w:val="3CA15936"/>
    <w:rsid w:val="6737570A"/>
    <w:rsid w:val="7430D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30"/>
  <w15:docId w15:val="{1FB2D7A3-85D8-4202-8BD4-486328E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82B87"/>
    <w:pPr>
      <w:ind w:left="720"/>
      <w:contextualSpacing/>
    </w:pPr>
    <w:rPr>
      <w:rFonts w:ascii="Arial" w:eastAsiaTheme="minorHAnsi" w:hAnsi="Arial" w:cs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82B87"/>
    <w:rPr>
      <w:color w:val="605E5C"/>
      <w:shd w:val="clear" w:color="auto" w:fill="E1DFDD"/>
    </w:rPr>
  </w:style>
  <w:style w:type="table" w:customStyle="1" w:styleId="TableGrid4">
    <w:name w:val="Table Grid4"/>
    <w:basedOn w:val="TableNormal"/>
    <w:next w:val="TableGrid"/>
    <w:uiPriority w:val="59"/>
    <w:rsid w:val="00F10885"/>
    <w:rPr>
      <w:rFonts w:ascii="Arial" w:eastAsia="Times New Roman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204DD8-76BE-48AA-B61C-FA8F9FCB5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261</Words>
  <Characters>1488</Characters>
  <Application>Microsoft Office Word</Application>
  <DocSecurity>0</DocSecurity>
  <Lines>12</Lines>
  <Paragraphs>3</Paragraphs>
  <ScaleCrop>false</ScaleCrop>
  <Company>Wobschall Design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Croft, Joshua@Energy</cp:lastModifiedBy>
  <cp:revision>88</cp:revision>
  <cp:lastPrinted>2019-04-08T16:38:00Z</cp:lastPrinted>
  <dcterms:created xsi:type="dcterms:W3CDTF">2022-10-18T15:46:00Z</dcterms:created>
  <dcterms:modified xsi:type="dcterms:W3CDTF">2024-09-09T17:52:00Z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