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461E" w14:textId="5017FE7E" w:rsidR="00620F92" w:rsidRPr="00A22B49" w:rsidRDefault="009F4235" w:rsidP="00655A8E">
      <w:pPr>
        <w:jc w:val="center"/>
        <w:rPr>
          <w:rFonts w:cs="Arial"/>
          <w:b/>
          <w:bCs/>
        </w:rPr>
      </w:pPr>
      <w:bookmarkStart w:id="0" w:name="_Hlk179539655"/>
      <w:r w:rsidRPr="00A22B49">
        <w:rPr>
          <w:rFonts w:cs="Arial"/>
          <w:b/>
          <w:bCs/>
        </w:rPr>
        <w:t>GFO-22-903</w:t>
      </w:r>
    </w:p>
    <w:p w14:paraId="551E3BB5" w14:textId="71248F43" w:rsidR="00A80F03" w:rsidRPr="00A22B49" w:rsidRDefault="009F4235" w:rsidP="00655A8E">
      <w:pPr>
        <w:jc w:val="center"/>
        <w:rPr>
          <w:rFonts w:cs="Arial"/>
          <w:b/>
          <w:bCs/>
        </w:rPr>
      </w:pPr>
      <w:r w:rsidRPr="00A22B49">
        <w:rPr>
          <w:rFonts w:cs="Arial"/>
          <w:b/>
          <w:bCs/>
        </w:rPr>
        <w:t>Cost Share for Federal Funding Opportunities Clean Hydrogen Program</w:t>
      </w:r>
    </w:p>
    <w:p w14:paraId="6074C423" w14:textId="77777777" w:rsidR="009F4235" w:rsidRPr="00A22B49" w:rsidRDefault="009F4235" w:rsidP="00655A8E">
      <w:pPr>
        <w:jc w:val="center"/>
        <w:rPr>
          <w:rFonts w:cs="Arial"/>
          <w:b/>
          <w:bCs/>
        </w:rPr>
      </w:pPr>
    </w:p>
    <w:p w14:paraId="564E1B96" w14:textId="478F6840" w:rsidR="00620F92" w:rsidRPr="00A22B49" w:rsidRDefault="00620F92" w:rsidP="00655A8E">
      <w:pPr>
        <w:jc w:val="center"/>
        <w:rPr>
          <w:rFonts w:cs="Arial"/>
          <w:b/>
          <w:bCs/>
        </w:rPr>
      </w:pPr>
      <w:r w:rsidRPr="00A22B49">
        <w:rPr>
          <w:rFonts w:cs="Arial"/>
          <w:b/>
          <w:bCs/>
        </w:rPr>
        <w:t xml:space="preserve">Addendum </w:t>
      </w:r>
      <w:r w:rsidR="009F4235" w:rsidRPr="00A22B49">
        <w:rPr>
          <w:rFonts w:cs="Arial"/>
          <w:b/>
          <w:bCs/>
        </w:rPr>
        <w:t>1</w:t>
      </w:r>
    </w:p>
    <w:p w14:paraId="0D851CD1" w14:textId="78F6D4AE" w:rsidR="00620F92" w:rsidRPr="00A22B49" w:rsidRDefault="009F4235" w:rsidP="00655A8E">
      <w:pPr>
        <w:jc w:val="center"/>
        <w:rPr>
          <w:rFonts w:cs="Arial"/>
          <w:b/>
          <w:bCs/>
        </w:rPr>
      </w:pPr>
      <w:r w:rsidRPr="00A22B49">
        <w:rPr>
          <w:rFonts w:cs="Arial"/>
          <w:b/>
          <w:bCs/>
        </w:rPr>
        <w:t xml:space="preserve">October </w:t>
      </w:r>
      <w:r w:rsidR="00EF3275">
        <w:rPr>
          <w:rFonts w:cs="Arial"/>
          <w:b/>
          <w:bCs/>
        </w:rPr>
        <w:t>2</w:t>
      </w:r>
      <w:r w:rsidR="002539FF">
        <w:rPr>
          <w:rFonts w:cs="Arial"/>
          <w:b/>
          <w:bCs/>
        </w:rPr>
        <w:t>2</w:t>
      </w:r>
      <w:r w:rsidRPr="00A22B49">
        <w:rPr>
          <w:rFonts w:cs="Arial"/>
          <w:b/>
          <w:bCs/>
        </w:rPr>
        <w:t>, 2024</w:t>
      </w:r>
    </w:p>
    <w:p w14:paraId="46AF30CD" w14:textId="77777777" w:rsidR="00620F92" w:rsidRPr="00A22B49" w:rsidRDefault="00620F92" w:rsidP="00620F92">
      <w:pPr>
        <w:jc w:val="center"/>
        <w:rPr>
          <w:rFonts w:cs="Arial"/>
          <w:b/>
          <w:bCs/>
        </w:rPr>
      </w:pPr>
    </w:p>
    <w:p w14:paraId="259559D6" w14:textId="56BC5237" w:rsidR="00620F92" w:rsidRPr="00A22B49" w:rsidRDefault="00620F92" w:rsidP="00655A8E">
      <w:pPr>
        <w:pStyle w:val="Default"/>
      </w:pPr>
      <w:r w:rsidRPr="00A22B49">
        <w:t xml:space="preserve">The purpose of this addendum is to </w:t>
      </w:r>
      <w:r w:rsidR="00782B87" w:rsidRPr="00A22B49">
        <w:t xml:space="preserve">notify potential applicants of changes that have been made to </w:t>
      </w:r>
      <w:r w:rsidR="00443574" w:rsidRPr="00A22B49">
        <w:t>GFO</w:t>
      </w:r>
      <w:r w:rsidR="00782B87" w:rsidRPr="00A22B49">
        <w:t>-</w:t>
      </w:r>
      <w:r w:rsidR="009F4235" w:rsidRPr="00A22B49">
        <w:t>22-903</w:t>
      </w:r>
      <w:r w:rsidR="00782B87" w:rsidRPr="00A22B49">
        <w:t xml:space="preserve">. The addendum includes the following revisions to the </w:t>
      </w:r>
      <w:r w:rsidR="00D2177B" w:rsidRPr="00A22B49">
        <w:t>Solicitation Manual</w:t>
      </w:r>
      <w:r w:rsidRPr="00A22B49">
        <w:t>.</w:t>
      </w:r>
      <w:r w:rsidR="00782B87" w:rsidRPr="00A22B49">
        <w:t xml:space="preserve"> </w:t>
      </w:r>
      <w:r w:rsidR="00782B87" w:rsidRPr="00A22B49">
        <w:rPr>
          <w:rFonts w:eastAsia="Arial"/>
        </w:rPr>
        <w:t xml:space="preserve">Added language appears in </w:t>
      </w:r>
      <w:r w:rsidR="00782B87" w:rsidRPr="00A22B49">
        <w:rPr>
          <w:rFonts w:eastAsia="Arial"/>
          <w:b/>
          <w:bCs/>
          <w:u w:val="single"/>
        </w:rPr>
        <w:t>bold underline</w:t>
      </w:r>
      <w:r w:rsidR="00782B87" w:rsidRPr="00A22B49">
        <w:rPr>
          <w:rFonts w:eastAsia="Arial"/>
        </w:rPr>
        <w:t xml:space="preserve">, and deleted language appears in </w:t>
      </w:r>
      <w:r w:rsidR="00782B87" w:rsidRPr="00A22B49">
        <w:rPr>
          <w:rFonts w:eastAsia="Arial"/>
          <w:strike/>
        </w:rPr>
        <w:t>strikethrough</w:t>
      </w:r>
      <w:r w:rsidR="00782B87" w:rsidRPr="00A22B49">
        <w:rPr>
          <w:rFonts w:eastAsia="Arial"/>
        </w:rPr>
        <w:t xml:space="preserve"> and within square brackets.</w:t>
      </w:r>
    </w:p>
    <w:p w14:paraId="6DA43E1B" w14:textId="6341BDEC" w:rsidR="00620F92" w:rsidRPr="00A22B49" w:rsidRDefault="00620F92" w:rsidP="00655A8E">
      <w:pPr>
        <w:pStyle w:val="Default"/>
        <w:ind w:right="-720"/>
      </w:pPr>
    </w:p>
    <w:p w14:paraId="6C1FF387" w14:textId="31F1CCAC" w:rsidR="00782B87" w:rsidRPr="00A22B49" w:rsidRDefault="00D2177B" w:rsidP="00655A8E">
      <w:pPr>
        <w:pStyle w:val="Default"/>
        <w:ind w:right="-720"/>
        <w:rPr>
          <w:b/>
          <w:bCs/>
        </w:rPr>
      </w:pPr>
      <w:r w:rsidRPr="00A22B49">
        <w:rPr>
          <w:b/>
          <w:bCs/>
        </w:rPr>
        <w:t>Solicitation Manual</w:t>
      </w:r>
    </w:p>
    <w:p w14:paraId="1BE9250D" w14:textId="77777777" w:rsidR="00782B87" w:rsidRPr="00A22B49" w:rsidRDefault="00782B87" w:rsidP="00655A8E">
      <w:pPr>
        <w:pStyle w:val="Default"/>
        <w:ind w:right="-720"/>
      </w:pPr>
    </w:p>
    <w:p w14:paraId="50EF8A11" w14:textId="6CE0C633" w:rsidR="00620F92" w:rsidRDefault="00620F92" w:rsidP="009F4235">
      <w:pPr>
        <w:pStyle w:val="ListParagraph"/>
        <w:numPr>
          <w:ilvl w:val="0"/>
          <w:numId w:val="2"/>
        </w:numPr>
        <w:rPr>
          <w:rFonts w:eastAsia="Calibri"/>
          <w:b/>
          <w:bCs/>
          <w:color w:val="000000"/>
          <w:szCs w:val="24"/>
        </w:rPr>
      </w:pPr>
      <w:r w:rsidRPr="00A22B49">
        <w:rPr>
          <w:b/>
          <w:bCs/>
          <w:szCs w:val="24"/>
        </w:rPr>
        <w:t xml:space="preserve">Page </w:t>
      </w:r>
      <w:r w:rsidR="009F4235" w:rsidRPr="00A22B49">
        <w:rPr>
          <w:b/>
          <w:bCs/>
          <w:szCs w:val="24"/>
        </w:rPr>
        <w:t>18</w:t>
      </w:r>
      <w:r w:rsidR="00782B87" w:rsidRPr="00A22B49">
        <w:rPr>
          <w:b/>
          <w:bCs/>
          <w:szCs w:val="24"/>
        </w:rPr>
        <w:t xml:space="preserve">, </w:t>
      </w:r>
      <w:r w:rsidR="00A22B49">
        <w:rPr>
          <w:b/>
          <w:bCs/>
          <w:szCs w:val="24"/>
        </w:rPr>
        <w:t xml:space="preserve">Section II.A. </w:t>
      </w:r>
      <w:r w:rsidR="009F4235" w:rsidRPr="00A22B49">
        <w:rPr>
          <w:rFonts w:eastAsia="Calibri"/>
          <w:b/>
          <w:bCs/>
          <w:color w:val="000000"/>
          <w:szCs w:val="24"/>
        </w:rPr>
        <w:t>Eligible Federal Funding Opportunities</w:t>
      </w:r>
      <w:r w:rsidR="00A22B49">
        <w:rPr>
          <w:rFonts w:eastAsia="Calibri"/>
          <w:b/>
          <w:bCs/>
          <w:color w:val="000000"/>
          <w:szCs w:val="24"/>
        </w:rPr>
        <w:t xml:space="preserve"> (Table)</w:t>
      </w:r>
    </w:p>
    <w:p w14:paraId="63B54305" w14:textId="77777777" w:rsidR="0072782E" w:rsidRDefault="0072782E" w:rsidP="00A22B49">
      <w:pPr>
        <w:pStyle w:val="Default"/>
        <w:ind w:left="360" w:right="-720"/>
      </w:pPr>
    </w:p>
    <w:p w14:paraId="2CDDEDE5" w14:textId="6B602D43" w:rsidR="003B75DC" w:rsidRPr="00A22B49" w:rsidRDefault="00A22B49" w:rsidP="00A22B49">
      <w:pPr>
        <w:pStyle w:val="Default"/>
        <w:ind w:left="360" w:right="-720"/>
      </w:pPr>
      <w:r>
        <w:t>A</w:t>
      </w:r>
      <w:r w:rsidRPr="00A22B49">
        <w:t xml:space="preserve">dded </w:t>
      </w:r>
      <w:r w:rsidR="009F4235" w:rsidRPr="00A22B49">
        <w:t>DE-FOA-0003366</w:t>
      </w:r>
      <w:r w:rsidR="00826E03" w:rsidRPr="00A22B49">
        <w:t xml:space="preserve">, </w:t>
      </w:r>
      <w:r w:rsidR="009F4235" w:rsidRPr="00A22B49">
        <w:t xml:space="preserve">Area of Interest </w:t>
      </w:r>
      <w:r>
        <w:t xml:space="preserve">1, </w:t>
      </w:r>
      <w:r w:rsidR="00C7128C" w:rsidRPr="00A22B49">
        <w:t>as a new supported FOA</w:t>
      </w:r>
      <w:r>
        <w:t>.</w:t>
      </w:r>
    </w:p>
    <w:p w14:paraId="056DE2FF" w14:textId="5C23FC26" w:rsidR="0073204F" w:rsidRPr="00A22B49" w:rsidRDefault="009F4235" w:rsidP="0073204F">
      <w:pPr>
        <w:spacing w:before="240"/>
        <w:jc w:val="both"/>
        <w:rPr>
          <w:rFonts w:cs="Arial"/>
          <w:b/>
        </w:rPr>
      </w:pPr>
      <w:r w:rsidRPr="00A22B49">
        <w:rPr>
          <w:rFonts w:cs="Arial"/>
          <w:b/>
        </w:rPr>
        <w:t>Eligible Federal Funding Opportunities</w:t>
      </w:r>
    </w:p>
    <w:tbl>
      <w:tblPr>
        <w:tblStyle w:val="TableGrid4"/>
        <w:tblW w:w="9894" w:type="dxa"/>
        <w:tblLayout w:type="fixed"/>
        <w:tblLook w:val="04A0" w:firstRow="1" w:lastRow="0" w:firstColumn="1" w:lastColumn="0" w:noHBand="0" w:noVBand="1"/>
      </w:tblPr>
      <w:tblGrid>
        <w:gridCol w:w="1975"/>
        <w:gridCol w:w="1530"/>
        <w:gridCol w:w="1440"/>
        <w:gridCol w:w="1350"/>
        <w:gridCol w:w="1440"/>
        <w:gridCol w:w="2159"/>
      </w:tblGrid>
      <w:tr w:rsidR="009F4235" w:rsidRPr="00A22B49" w14:paraId="5F0D735D" w14:textId="77777777" w:rsidTr="00A22B49">
        <w:tc>
          <w:tcPr>
            <w:tcW w:w="1975" w:type="dxa"/>
          </w:tcPr>
          <w:p w14:paraId="231A59D9" w14:textId="77777777" w:rsidR="009F4235" w:rsidRPr="00A22B49" w:rsidRDefault="009F4235" w:rsidP="00646D28">
            <w:pPr>
              <w:spacing w:before="240"/>
              <w:rPr>
                <w:b/>
                <w:sz w:val="24"/>
                <w:szCs w:val="24"/>
              </w:rPr>
            </w:pPr>
            <w:r w:rsidRPr="00A22B49">
              <w:rPr>
                <w:b/>
                <w:sz w:val="24"/>
                <w:szCs w:val="24"/>
              </w:rPr>
              <w:t>Funding Opportunity Announcement (FOA) Number and Title</w:t>
            </w:r>
          </w:p>
        </w:tc>
        <w:tc>
          <w:tcPr>
            <w:tcW w:w="1530" w:type="dxa"/>
          </w:tcPr>
          <w:p w14:paraId="44F59B8B" w14:textId="77777777" w:rsidR="009F4235" w:rsidRPr="00A22B49" w:rsidRDefault="009F4235" w:rsidP="00646D28">
            <w:pPr>
              <w:spacing w:before="240"/>
              <w:rPr>
                <w:b/>
                <w:bCs/>
                <w:sz w:val="24"/>
                <w:szCs w:val="24"/>
              </w:rPr>
            </w:pPr>
            <w:r w:rsidRPr="00A22B49">
              <w:rPr>
                <w:b/>
                <w:bCs/>
                <w:sz w:val="24"/>
                <w:szCs w:val="24"/>
              </w:rPr>
              <w:t>CEC Application Due Date (Phase I Pre-Federal Award)</w:t>
            </w:r>
          </w:p>
        </w:tc>
        <w:tc>
          <w:tcPr>
            <w:tcW w:w="1440" w:type="dxa"/>
          </w:tcPr>
          <w:p w14:paraId="1D5D08CD" w14:textId="77777777" w:rsidR="009F4235" w:rsidRPr="00A22B49" w:rsidRDefault="009F4235" w:rsidP="00646D28">
            <w:pPr>
              <w:spacing w:before="240"/>
              <w:rPr>
                <w:b/>
                <w:sz w:val="24"/>
                <w:szCs w:val="24"/>
              </w:rPr>
            </w:pPr>
            <w:r w:rsidRPr="00A22B49">
              <w:rPr>
                <w:b/>
                <w:sz w:val="24"/>
                <w:szCs w:val="24"/>
              </w:rPr>
              <w:t>Minimum CEC Cost Share Award</w:t>
            </w:r>
          </w:p>
        </w:tc>
        <w:tc>
          <w:tcPr>
            <w:tcW w:w="1350" w:type="dxa"/>
          </w:tcPr>
          <w:p w14:paraId="15276A21" w14:textId="77777777" w:rsidR="009F4235" w:rsidRPr="00A22B49" w:rsidRDefault="009F4235" w:rsidP="00646D28">
            <w:pPr>
              <w:spacing w:before="240"/>
              <w:rPr>
                <w:b/>
                <w:sz w:val="24"/>
                <w:szCs w:val="24"/>
              </w:rPr>
            </w:pPr>
            <w:r w:rsidRPr="00A22B49">
              <w:rPr>
                <w:b/>
                <w:sz w:val="24"/>
                <w:szCs w:val="24"/>
              </w:rPr>
              <w:t>Maximum CEC Cost Share Award</w:t>
            </w:r>
          </w:p>
        </w:tc>
        <w:tc>
          <w:tcPr>
            <w:tcW w:w="1440" w:type="dxa"/>
          </w:tcPr>
          <w:p w14:paraId="241F3CAC" w14:textId="77777777" w:rsidR="009F4235" w:rsidRPr="00A22B49" w:rsidRDefault="009F4235" w:rsidP="00646D28">
            <w:pPr>
              <w:spacing w:before="240"/>
              <w:rPr>
                <w:b/>
                <w:sz w:val="24"/>
                <w:szCs w:val="24"/>
              </w:rPr>
            </w:pPr>
            <w:r w:rsidRPr="00A22B49">
              <w:rPr>
                <w:b/>
                <w:sz w:val="24"/>
                <w:szCs w:val="24"/>
              </w:rPr>
              <w:t>Maximum Total CEC Cost Share Across Awards</w:t>
            </w:r>
          </w:p>
        </w:tc>
        <w:tc>
          <w:tcPr>
            <w:tcW w:w="2159" w:type="dxa"/>
          </w:tcPr>
          <w:p w14:paraId="5D674D4D" w14:textId="77777777" w:rsidR="009F4235" w:rsidRPr="00A22B49" w:rsidRDefault="009F4235" w:rsidP="00646D28">
            <w:pPr>
              <w:spacing w:before="240"/>
              <w:rPr>
                <w:b/>
                <w:bCs/>
                <w:sz w:val="24"/>
                <w:szCs w:val="24"/>
              </w:rPr>
            </w:pPr>
            <w:r w:rsidRPr="00A22B49">
              <w:rPr>
                <w:b/>
                <w:bCs/>
                <w:sz w:val="24"/>
                <w:szCs w:val="24"/>
              </w:rPr>
              <w:t>Eligible Topic Areas/ Area of Interest</w:t>
            </w:r>
          </w:p>
        </w:tc>
      </w:tr>
      <w:tr w:rsidR="009F4235" w:rsidRPr="00A22B49" w14:paraId="3F1B4C53" w14:textId="77777777" w:rsidTr="00A22B49">
        <w:trPr>
          <w:trHeight w:val="1712"/>
        </w:trPr>
        <w:tc>
          <w:tcPr>
            <w:tcW w:w="1975" w:type="dxa"/>
          </w:tcPr>
          <w:p w14:paraId="220FA24F" w14:textId="77777777" w:rsidR="009F4235" w:rsidRPr="00A22B49" w:rsidRDefault="009F4235" w:rsidP="00646D28">
            <w:pPr>
              <w:spacing w:before="240"/>
              <w:rPr>
                <w:b/>
                <w:sz w:val="24"/>
                <w:szCs w:val="24"/>
                <w:u w:val="single"/>
              </w:rPr>
            </w:pPr>
            <w:r w:rsidRPr="00A22B49">
              <w:rPr>
                <w:b/>
                <w:sz w:val="24"/>
                <w:szCs w:val="24"/>
                <w:u w:val="single"/>
              </w:rPr>
              <w:t>DE-FOA-0003366, Oxygen-conducting SOFC and SOEC Research and Development for Hydrogen Production</w:t>
            </w:r>
          </w:p>
        </w:tc>
        <w:tc>
          <w:tcPr>
            <w:tcW w:w="1530" w:type="dxa"/>
          </w:tcPr>
          <w:p w14:paraId="4CD27D47" w14:textId="77777777" w:rsidR="009F4235" w:rsidRPr="00A22B49" w:rsidRDefault="009F4235" w:rsidP="00646D28">
            <w:pPr>
              <w:spacing w:before="240"/>
              <w:rPr>
                <w:b/>
                <w:sz w:val="24"/>
                <w:szCs w:val="24"/>
                <w:u w:val="single"/>
              </w:rPr>
            </w:pPr>
            <w:r w:rsidRPr="00A22B49">
              <w:rPr>
                <w:b/>
                <w:sz w:val="24"/>
                <w:szCs w:val="24"/>
                <w:u w:val="single"/>
              </w:rPr>
              <w:t>November 1, 2024</w:t>
            </w:r>
          </w:p>
        </w:tc>
        <w:tc>
          <w:tcPr>
            <w:tcW w:w="1440" w:type="dxa"/>
          </w:tcPr>
          <w:p w14:paraId="421CD8B2" w14:textId="77777777" w:rsidR="009F4235" w:rsidRPr="00A22B49" w:rsidRDefault="009F4235" w:rsidP="00646D28">
            <w:pPr>
              <w:spacing w:before="120"/>
              <w:rPr>
                <w:b/>
                <w:sz w:val="24"/>
                <w:szCs w:val="24"/>
                <w:u w:val="single"/>
              </w:rPr>
            </w:pPr>
            <w:r w:rsidRPr="00A22B49">
              <w:rPr>
                <w:b/>
                <w:sz w:val="24"/>
                <w:szCs w:val="24"/>
                <w:u w:val="single"/>
              </w:rPr>
              <w:t>Area of Interest 1: $93,750</w:t>
            </w:r>
          </w:p>
        </w:tc>
        <w:tc>
          <w:tcPr>
            <w:tcW w:w="1350" w:type="dxa"/>
          </w:tcPr>
          <w:p w14:paraId="67B1FE93" w14:textId="77777777" w:rsidR="009F4235" w:rsidRPr="00A22B49" w:rsidRDefault="009F4235" w:rsidP="00646D28">
            <w:pPr>
              <w:spacing w:before="120"/>
              <w:rPr>
                <w:b/>
                <w:sz w:val="24"/>
                <w:szCs w:val="24"/>
                <w:u w:val="single"/>
              </w:rPr>
            </w:pPr>
            <w:r w:rsidRPr="00A22B49">
              <w:rPr>
                <w:b/>
                <w:sz w:val="24"/>
                <w:szCs w:val="24"/>
                <w:u w:val="single"/>
              </w:rPr>
              <w:t>Area of Interest 1: $187,500</w:t>
            </w:r>
          </w:p>
        </w:tc>
        <w:tc>
          <w:tcPr>
            <w:tcW w:w="1440" w:type="dxa"/>
          </w:tcPr>
          <w:p w14:paraId="32804C68" w14:textId="77777777" w:rsidR="009F4235" w:rsidRPr="00A22B49" w:rsidRDefault="009F4235" w:rsidP="00646D28">
            <w:pPr>
              <w:spacing w:before="240"/>
              <w:rPr>
                <w:b/>
                <w:sz w:val="24"/>
                <w:szCs w:val="24"/>
                <w:u w:val="single"/>
              </w:rPr>
            </w:pPr>
            <w:r w:rsidRPr="00A22B49">
              <w:rPr>
                <w:b/>
                <w:sz w:val="24"/>
                <w:szCs w:val="24"/>
                <w:u w:val="single"/>
              </w:rPr>
              <w:t>$4,000,000</w:t>
            </w:r>
          </w:p>
        </w:tc>
        <w:tc>
          <w:tcPr>
            <w:tcW w:w="2159" w:type="dxa"/>
          </w:tcPr>
          <w:p w14:paraId="7F00070C" w14:textId="77777777" w:rsidR="009F4235" w:rsidRPr="00A22B49" w:rsidRDefault="009F4235" w:rsidP="00646D28">
            <w:pPr>
              <w:spacing w:before="120"/>
              <w:rPr>
                <w:b/>
                <w:sz w:val="24"/>
                <w:szCs w:val="24"/>
                <w:u w:val="single"/>
              </w:rPr>
            </w:pPr>
            <w:r w:rsidRPr="00A22B49">
              <w:rPr>
                <w:b/>
                <w:sz w:val="24"/>
                <w:szCs w:val="24"/>
                <w:u w:val="single"/>
              </w:rPr>
              <w:t>Area of Interest 1:</w:t>
            </w:r>
            <w:r w:rsidRPr="002F4CEA">
              <w:rPr>
                <w:b/>
                <w:u w:val="single"/>
              </w:rPr>
              <w:t xml:space="preserve"> Oxygen-conducting SOFC and SOEC R&amp;D for reduced long-term degradation at high current density and high steam utilization</w:t>
            </w:r>
          </w:p>
        </w:tc>
      </w:tr>
      <w:tr w:rsidR="009F4235" w:rsidRPr="00A22B49" w14:paraId="6E757A7F" w14:textId="77777777" w:rsidTr="00A22B49">
        <w:trPr>
          <w:trHeight w:val="1712"/>
        </w:trPr>
        <w:tc>
          <w:tcPr>
            <w:tcW w:w="1975" w:type="dxa"/>
            <w:vMerge w:val="restart"/>
          </w:tcPr>
          <w:p w14:paraId="154BD476" w14:textId="77777777" w:rsidR="009F4235" w:rsidRPr="00A22B49" w:rsidRDefault="009F4235" w:rsidP="00646D28">
            <w:pPr>
              <w:spacing w:before="240"/>
              <w:rPr>
                <w:bCs/>
                <w:sz w:val="24"/>
                <w:szCs w:val="24"/>
              </w:rPr>
            </w:pPr>
            <w:r w:rsidRPr="00A22B49">
              <w:rPr>
                <w:bCs/>
                <w:sz w:val="24"/>
                <w:szCs w:val="24"/>
              </w:rPr>
              <w:t xml:space="preserve">DE-FOA-0002922, Bipartisan Infrastructure Law: Clean </w:t>
            </w:r>
            <w:r w:rsidRPr="00A22B49">
              <w:rPr>
                <w:bCs/>
                <w:sz w:val="24"/>
                <w:szCs w:val="24"/>
              </w:rPr>
              <w:lastRenderedPageBreak/>
              <w:t>Hydrogen Electrolysis, Manufacturing, and Recycling</w:t>
            </w:r>
          </w:p>
        </w:tc>
        <w:tc>
          <w:tcPr>
            <w:tcW w:w="1530" w:type="dxa"/>
            <w:vMerge w:val="restart"/>
          </w:tcPr>
          <w:p w14:paraId="19227136" w14:textId="77777777" w:rsidR="009F4235" w:rsidRPr="00A22B49" w:rsidRDefault="009F4235" w:rsidP="00646D28">
            <w:pPr>
              <w:spacing w:before="240"/>
              <w:rPr>
                <w:bCs/>
                <w:sz w:val="24"/>
                <w:szCs w:val="24"/>
              </w:rPr>
            </w:pPr>
            <w:r w:rsidRPr="00A22B49">
              <w:rPr>
                <w:bCs/>
                <w:sz w:val="24"/>
                <w:szCs w:val="24"/>
              </w:rPr>
              <w:lastRenderedPageBreak/>
              <w:t>June 20, 2023</w:t>
            </w:r>
          </w:p>
          <w:p w14:paraId="595DDCE3" w14:textId="77777777" w:rsidR="009F4235" w:rsidRPr="00A22B49" w:rsidRDefault="009F4235" w:rsidP="00646D28">
            <w:pPr>
              <w:spacing w:before="240"/>
              <w:rPr>
                <w:bCs/>
                <w:sz w:val="24"/>
                <w:szCs w:val="24"/>
              </w:rPr>
            </w:pPr>
          </w:p>
        </w:tc>
        <w:tc>
          <w:tcPr>
            <w:tcW w:w="1440" w:type="dxa"/>
          </w:tcPr>
          <w:p w14:paraId="00EFDA1E" w14:textId="77777777" w:rsidR="009F4235" w:rsidRPr="00A22B49" w:rsidRDefault="009F4235" w:rsidP="00646D28">
            <w:pPr>
              <w:spacing w:before="120"/>
              <w:rPr>
                <w:bCs/>
                <w:sz w:val="24"/>
                <w:szCs w:val="24"/>
              </w:rPr>
            </w:pPr>
            <w:r w:rsidRPr="00A22B49">
              <w:rPr>
                <w:bCs/>
                <w:sz w:val="24"/>
                <w:szCs w:val="24"/>
              </w:rPr>
              <w:t>Topic 1: $2,000,000</w:t>
            </w:r>
          </w:p>
        </w:tc>
        <w:tc>
          <w:tcPr>
            <w:tcW w:w="1350" w:type="dxa"/>
          </w:tcPr>
          <w:p w14:paraId="0C8F68B9" w14:textId="77777777" w:rsidR="009F4235" w:rsidRPr="00A22B49" w:rsidRDefault="009F4235" w:rsidP="00646D28">
            <w:pPr>
              <w:spacing w:before="120"/>
              <w:rPr>
                <w:bCs/>
                <w:sz w:val="24"/>
                <w:szCs w:val="24"/>
              </w:rPr>
            </w:pPr>
            <w:r w:rsidRPr="00A22B49">
              <w:rPr>
                <w:bCs/>
                <w:sz w:val="24"/>
                <w:szCs w:val="24"/>
              </w:rPr>
              <w:t>Topic 1: $5,000,000</w:t>
            </w:r>
          </w:p>
          <w:p w14:paraId="74B1410B" w14:textId="77777777" w:rsidR="009F4235" w:rsidRPr="00A22B49" w:rsidRDefault="009F4235" w:rsidP="00646D28">
            <w:pPr>
              <w:spacing w:before="120"/>
              <w:rPr>
                <w:bCs/>
                <w:sz w:val="24"/>
                <w:szCs w:val="24"/>
              </w:rPr>
            </w:pPr>
          </w:p>
        </w:tc>
        <w:tc>
          <w:tcPr>
            <w:tcW w:w="1440" w:type="dxa"/>
            <w:vMerge w:val="restart"/>
          </w:tcPr>
          <w:p w14:paraId="4F194568" w14:textId="77777777" w:rsidR="009F4235" w:rsidRPr="00A22B49" w:rsidRDefault="009F4235" w:rsidP="00646D28">
            <w:pPr>
              <w:spacing w:before="240"/>
              <w:rPr>
                <w:bCs/>
                <w:sz w:val="24"/>
                <w:szCs w:val="24"/>
              </w:rPr>
            </w:pPr>
            <w:r w:rsidRPr="00A22B49">
              <w:rPr>
                <w:bCs/>
                <w:sz w:val="24"/>
                <w:szCs w:val="24"/>
              </w:rPr>
              <w:t>$20,000,000</w:t>
            </w:r>
          </w:p>
        </w:tc>
        <w:tc>
          <w:tcPr>
            <w:tcW w:w="2159" w:type="dxa"/>
          </w:tcPr>
          <w:p w14:paraId="17889980" w14:textId="77777777" w:rsidR="009F4235" w:rsidRPr="00A22B49" w:rsidRDefault="009F4235" w:rsidP="00646D28">
            <w:pPr>
              <w:spacing w:before="120"/>
              <w:rPr>
                <w:bCs/>
                <w:sz w:val="24"/>
                <w:szCs w:val="24"/>
              </w:rPr>
            </w:pPr>
            <w:r w:rsidRPr="00A22B49">
              <w:rPr>
                <w:bCs/>
                <w:sz w:val="24"/>
                <w:szCs w:val="24"/>
              </w:rPr>
              <w:t xml:space="preserve">Topic 1: Low-Cost, High-Throughput Electrolyzer Manufacturing </w:t>
            </w:r>
          </w:p>
        </w:tc>
      </w:tr>
      <w:tr w:rsidR="009F4235" w:rsidRPr="00A22B49" w14:paraId="40912F33" w14:textId="77777777" w:rsidTr="00A22B49">
        <w:trPr>
          <w:trHeight w:val="1712"/>
        </w:trPr>
        <w:tc>
          <w:tcPr>
            <w:tcW w:w="1975" w:type="dxa"/>
            <w:vMerge/>
          </w:tcPr>
          <w:p w14:paraId="2BE9406A" w14:textId="77777777" w:rsidR="009F4235" w:rsidRPr="00A22B49" w:rsidRDefault="009F4235" w:rsidP="00646D28">
            <w:pPr>
              <w:spacing w:before="240"/>
              <w:rPr>
                <w:b/>
                <w:sz w:val="24"/>
                <w:szCs w:val="24"/>
              </w:rPr>
            </w:pPr>
          </w:p>
        </w:tc>
        <w:tc>
          <w:tcPr>
            <w:tcW w:w="1530" w:type="dxa"/>
            <w:vMerge/>
          </w:tcPr>
          <w:p w14:paraId="2E58FA1A" w14:textId="77777777" w:rsidR="009F4235" w:rsidRPr="00A22B49" w:rsidRDefault="009F4235" w:rsidP="00646D28">
            <w:pPr>
              <w:spacing w:before="240"/>
              <w:rPr>
                <w:bCs/>
                <w:sz w:val="24"/>
                <w:szCs w:val="24"/>
              </w:rPr>
            </w:pPr>
          </w:p>
        </w:tc>
        <w:tc>
          <w:tcPr>
            <w:tcW w:w="1440" w:type="dxa"/>
          </w:tcPr>
          <w:p w14:paraId="267F77E3" w14:textId="77777777" w:rsidR="009F4235" w:rsidRPr="00A22B49" w:rsidRDefault="009F4235" w:rsidP="00646D28">
            <w:pPr>
              <w:spacing w:before="120"/>
              <w:rPr>
                <w:bCs/>
                <w:sz w:val="24"/>
                <w:szCs w:val="24"/>
              </w:rPr>
            </w:pPr>
            <w:r w:rsidRPr="00A22B49">
              <w:rPr>
                <w:bCs/>
                <w:sz w:val="24"/>
                <w:szCs w:val="24"/>
              </w:rPr>
              <w:t>Topic 2: $625,000</w:t>
            </w:r>
          </w:p>
        </w:tc>
        <w:tc>
          <w:tcPr>
            <w:tcW w:w="1350" w:type="dxa"/>
          </w:tcPr>
          <w:p w14:paraId="0326FB09" w14:textId="77777777" w:rsidR="009F4235" w:rsidRPr="00A22B49" w:rsidRDefault="009F4235" w:rsidP="00646D28">
            <w:pPr>
              <w:spacing w:before="120"/>
              <w:rPr>
                <w:bCs/>
                <w:sz w:val="24"/>
                <w:szCs w:val="24"/>
              </w:rPr>
            </w:pPr>
            <w:r w:rsidRPr="00A22B49">
              <w:rPr>
                <w:bCs/>
                <w:sz w:val="24"/>
                <w:szCs w:val="24"/>
              </w:rPr>
              <w:t>Topic 2: $2,500,000</w:t>
            </w:r>
          </w:p>
        </w:tc>
        <w:tc>
          <w:tcPr>
            <w:tcW w:w="1440" w:type="dxa"/>
            <w:vMerge/>
          </w:tcPr>
          <w:p w14:paraId="09794B42" w14:textId="77777777" w:rsidR="009F4235" w:rsidRPr="00A22B49" w:rsidRDefault="009F4235" w:rsidP="00646D28">
            <w:pPr>
              <w:spacing w:before="240"/>
              <w:rPr>
                <w:bCs/>
                <w:sz w:val="24"/>
                <w:szCs w:val="24"/>
              </w:rPr>
            </w:pPr>
          </w:p>
        </w:tc>
        <w:tc>
          <w:tcPr>
            <w:tcW w:w="2159" w:type="dxa"/>
          </w:tcPr>
          <w:p w14:paraId="0D48E54B" w14:textId="77777777" w:rsidR="009F4235" w:rsidRPr="00A22B49" w:rsidRDefault="009F4235" w:rsidP="00646D28">
            <w:pPr>
              <w:spacing w:before="120"/>
              <w:rPr>
                <w:bCs/>
                <w:sz w:val="24"/>
                <w:szCs w:val="24"/>
              </w:rPr>
            </w:pPr>
            <w:r w:rsidRPr="00A22B49">
              <w:rPr>
                <w:bCs/>
                <w:sz w:val="24"/>
                <w:szCs w:val="24"/>
              </w:rPr>
              <w:t xml:space="preserve">Topic 2: Electrolyzer Component and Supply Chain Development </w:t>
            </w:r>
          </w:p>
        </w:tc>
      </w:tr>
      <w:tr w:rsidR="009F4235" w:rsidRPr="00A22B49" w14:paraId="55060B74" w14:textId="77777777" w:rsidTr="00A22B49">
        <w:trPr>
          <w:trHeight w:val="1712"/>
        </w:trPr>
        <w:tc>
          <w:tcPr>
            <w:tcW w:w="1975" w:type="dxa"/>
            <w:vMerge/>
          </w:tcPr>
          <w:p w14:paraId="1CCC949E" w14:textId="77777777" w:rsidR="009F4235" w:rsidRPr="00A22B49" w:rsidRDefault="009F4235" w:rsidP="00646D28">
            <w:pPr>
              <w:spacing w:before="240"/>
              <w:rPr>
                <w:b/>
                <w:sz w:val="24"/>
                <w:szCs w:val="24"/>
              </w:rPr>
            </w:pPr>
          </w:p>
        </w:tc>
        <w:tc>
          <w:tcPr>
            <w:tcW w:w="1530" w:type="dxa"/>
            <w:vMerge/>
          </w:tcPr>
          <w:p w14:paraId="6F6E4338" w14:textId="77777777" w:rsidR="009F4235" w:rsidRPr="00A22B49" w:rsidRDefault="009F4235" w:rsidP="00646D28">
            <w:pPr>
              <w:spacing w:before="240"/>
              <w:rPr>
                <w:bCs/>
                <w:sz w:val="24"/>
                <w:szCs w:val="24"/>
              </w:rPr>
            </w:pPr>
          </w:p>
        </w:tc>
        <w:tc>
          <w:tcPr>
            <w:tcW w:w="1440" w:type="dxa"/>
          </w:tcPr>
          <w:p w14:paraId="7415A2AB" w14:textId="77777777" w:rsidR="009F4235" w:rsidRPr="00A22B49" w:rsidRDefault="009F4235" w:rsidP="00646D28">
            <w:pPr>
              <w:spacing w:before="120"/>
              <w:rPr>
                <w:bCs/>
                <w:sz w:val="24"/>
                <w:szCs w:val="24"/>
              </w:rPr>
            </w:pPr>
            <w:r w:rsidRPr="00A22B49">
              <w:rPr>
                <w:bCs/>
                <w:sz w:val="24"/>
                <w:szCs w:val="24"/>
              </w:rPr>
              <w:t>Topic 3: $250,000</w:t>
            </w:r>
          </w:p>
        </w:tc>
        <w:tc>
          <w:tcPr>
            <w:tcW w:w="1350" w:type="dxa"/>
          </w:tcPr>
          <w:p w14:paraId="7D0E668A" w14:textId="77777777" w:rsidR="009F4235" w:rsidRPr="00A22B49" w:rsidRDefault="009F4235" w:rsidP="00646D28">
            <w:pPr>
              <w:spacing w:before="120"/>
              <w:rPr>
                <w:bCs/>
                <w:sz w:val="24"/>
                <w:szCs w:val="24"/>
              </w:rPr>
            </w:pPr>
            <w:r w:rsidRPr="00A22B49">
              <w:rPr>
                <w:bCs/>
                <w:sz w:val="24"/>
                <w:szCs w:val="24"/>
              </w:rPr>
              <w:t>Topic 3: $1,250,000</w:t>
            </w:r>
          </w:p>
        </w:tc>
        <w:tc>
          <w:tcPr>
            <w:tcW w:w="1440" w:type="dxa"/>
            <w:vMerge/>
          </w:tcPr>
          <w:p w14:paraId="2C80B60B" w14:textId="77777777" w:rsidR="009F4235" w:rsidRPr="00A22B49" w:rsidRDefault="009F4235" w:rsidP="00646D28">
            <w:pPr>
              <w:spacing w:before="240"/>
              <w:rPr>
                <w:bCs/>
                <w:sz w:val="24"/>
                <w:szCs w:val="24"/>
              </w:rPr>
            </w:pPr>
          </w:p>
        </w:tc>
        <w:tc>
          <w:tcPr>
            <w:tcW w:w="2159" w:type="dxa"/>
          </w:tcPr>
          <w:p w14:paraId="60D48BDA" w14:textId="77777777" w:rsidR="009F4235" w:rsidRPr="00A22B49" w:rsidRDefault="009F4235" w:rsidP="00646D28">
            <w:pPr>
              <w:spacing w:before="120"/>
              <w:rPr>
                <w:bCs/>
                <w:sz w:val="24"/>
                <w:szCs w:val="24"/>
              </w:rPr>
            </w:pPr>
            <w:r w:rsidRPr="00A22B49">
              <w:rPr>
                <w:bCs/>
                <w:sz w:val="24"/>
                <w:szCs w:val="24"/>
              </w:rPr>
              <w:t xml:space="preserve">Topic 3: Advanced Electrolyzer Technology and Component Development </w:t>
            </w:r>
          </w:p>
        </w:tc>
      </w:tr>
    </w:tbl>
    <w:p w14:paraId="5AE77C24" w14:textId="12B834A2" w:rsidR="00782B87" w:rsidRPr="00A22B49" w:rsidRDefault="00782B87" w:rsidP="00655A8E">
      <w:pPr>
        <w:rPr>
          <w:rFonts w:cs="Arial"/>
          <w:bCs/>
          <w:iCs/>
        </w:rPr>
      </w:pPr>
    </w:p>
    <w:p w14:paraId="6B44DE60" w14:textId="2B7324CE" w:rsidR="00A22B49" w:rsidRDefault="00A22B49" w:rsidP="00A22B49">
      <w:pPr>
        <w:pStyle w:val="ListParagraph"/>
        <w:numPr>
          <w:ilvl w:val="0"/>
          <w:numId w:val="2"/>
        </w:numPr>
        <w:rPr>
          <w:b/>
          <w:iCs/>
          <w:szCs w:val="24"/>
        </w:rPr>
      </w:pPr>
      <w:r w:rsidRPr="0072782E">
        <w:rPr>
          <w:b/>
          <w:iCs/>
          <w:szCs w:val="24"/>
        </w:rPr>
        <w:t>Page 1, Cover Page</w:t>
      </w:r>
    </w:p>
    <w:p w14:paraId="40DC24FD" w14:textId="77777777" w:rsidR="0072782E" w:rsidRPr="0072782E" w:rsidRDefault="0072782E" w:rsidP="0072782E">
      <w:pPr>
        <w:pStyle w:val="ListParagraph"/>
        <w:ind w:left="360"/>
        <w:rPr>
          <w:b/>
          <w:iCs/>
          <w:szCs w:val="24"/>
        </w:rPr>
      </w:pPr>
    </w:p>
    <w:p w14:paraId="6DC4CF06" w14:textId="06F54EB6" w:rsidR="00A22B49" w:rsidRPr="00A22B49" w:rsidRDefault="00A22B49" w:rsidP="00A22B49">
      <w:pPr>
        <w:rPr>
          <w:rFonts w:cs="Arial"/>
          <w:bCs/>
          <w:iCs/>
        </w:rPr>
      </w:pPr>
      <w:r w:rsidRPr="00A22B49">
        <w:rPr>
          <w:rFonts w:cs="Arial"/>
          <w:bCs/>
          <w:iCs/>
        </w:rPr>
        <w:t xml:space="preserve">Added California Climate Investments logo due to shifting program funding source to the Greenhouse Gas Reduction Fund according to the 2024-25 Revised State Budget Proposal. </w:t>
      </w:r>
    </w:p>
    <w:p w14:paraId="284C3A84" w14:textId="77777777" w:rsidR="00A22B49" w:rsidRPr="00A22B49" w:rsidRDefault="00A22B49" w:rsidP="00A22B49">
      <w:pPr>
        <w:rPr>
          <w:rFonts w:cs="Arial"/>
          <w:bCs/>
          <w:iCs/>
        </w:rPr>
      </w:pPr>
    </w:p>
    <w:p w14:paraId="7C893C15" w14:textId="7319134C" w:rsidR="00A22B49" w:rsidRDefault="00A22B49" w:rsidP="00A22B49">
      <w:pPr>
        <w:pStyle w:val="ListParagraph"/>
        <w:numPr>
          <w:ilvl w:val="0"/>
          <w:numId w:val="2"/>
        </w:numPr>
        <w:rPr>
          <w:b/>
          <w:iCs/>
          <w:szCs w:val="24"/>
        </w:rPr>
      </w:pPr>
      <w:r w:rsidRPr="0072782E">
        <w:rPr>
          <w:b/>
          <w:iCs/>
          <w:szCs w:val="24"/>
        </w:rPr>
        <w:t>Page 4, Section I.A. Purpose of Solicitation</w:t>
      </w:r>
    </w:p>
    <w:p w14:paraId="07F6B23E" w14:textId="77777777" w:rsidR="0072782E" w:rsidRDefault="0072782E" w:rsidP="00A22B49">
      <w:pPr>
        <w:rPr>
          <w:rFonts w:cs="Arial"/>
          <w:b/>
          <w:iCs/>
          <w:u w:val="single"/>
        </w:rPr>
      </w:pPr>
    </w:p>
    <w:p w14:paraId="1C29B0A9" w14:textId="002FD81F" w:rsidR="00A22B49" w:rsidRPr="00A22B49" w:rsidRDefault="00A22B49" w:rsidP="00A22B49">
      <w:pPr>
        <w:rPr>
          <w:rFonts w:cs="Arial"/>
          <w:b/>
          <w:iCs/>
          <w:u w:val="single"/>
        </w:rPr>
      </w:pPr>
      <w:r w:rsidRPr="00A22B49">
        <w:rPr>
          <w:rFonts w:cs="Arial"/>
          <w:b/>
          <w:iCs/>
          <w:u w:val="single"/>
        </w:rPr>
        <w:t>The Clean Hydrogen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4414D321" w14:textId="77777777" w:rsidR="00A22B49" w:rsidRPr="00A22B49" w:rsidRDefault="00A22B49" w:rsidP="00655A8E">
      <w:pPr>
        <w:rPr>
          <w:rFonts w:cs="Arial"/>
          <w:bCs/>
          <w:iCs/>
        </w:rPr>
      </w:pPr>
    </w:p>
    <w:p w14:paraId="60247A5E" w14:textId="6337E441" w:rsidR="00A22B49" w:rsidRPr="0072782E" w:rsidRDefault="00A22B49" w:rsidP="00A22B49">
      <w:pPr>
        <w:pStyle w:val="ListParagraph"/>
        <w:numPr>
          <w:ilvl w:val="0"/>
          <w:numId w:val="2"/>
        </w:numPr>
        <w:rPr>
          <w:b/>
          <w:bCs/>
          <w:lang w:val="fr-FR"/>
        </w:rPr>
      </w:pPr>
      <w:r w:rsidRPr="0072782E">
        <w:rPr>
          <w:b/>
          <w:bCs/>
          <w:lang w:val="fr-FR"/>
        </w:rPr>
        <w:t>Pages 5-8, Section I.B. Key Words/Terms</w:t>
      </w:r>
    </w:p>
    <w:p w14:paraId="15DCF7A9" w14:textId="77777777" w:rsidR="0072782E" w:rsidRDefault="0072782E" w:rsidP="00A22B49">
      <w:pPr>
        <w:rPr>
          <w:lang w:val="fr-FR"/>
        </w:rPr>
      </w:pPr>
    </w:p>
    <w:p w14:paraId="31414FEF" w14:textId="7AB8EB0E" w:rsidR="00A22B49" w:rsidRPr="00A22B49" w:rsidRDefault="0072782E" w:rsidP="00A22B49">
      <w:pPr>
        <w:rPr>
          <w:lang w:val="fr-FR"/>
        </w:rPr>
      </w:pPr>
      <w:r>
        <w:rPr>
          <w:lang w:val="fr-FR"/>
        </w:rPr>
        <w:t>Added</w:t>
      </w:r>
      <w:r w:rsidR="00A22B49">
        <w:rPr>
          <w:lang w:val="fr-FR"/>
        </w:rPr>
        <w:t xml:space="preserve"> CCI-related terms.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A22B49" w:rsidRPr="003F6147" w14:paraId="1A988870" w14:textId="77777777" w:rsidTr="00646D28">
        <w:trPr>
          <w:trHeight w:val="235"/>
          <w:tblHeader/>
        </w:trPr>
        <w:tc>
          <w:tcPr>
            <w:tcW w:w="2430" w:type="dxa"/>
            <w:shd w:val="clear" w:color="auto" w:fill="D9D9D9" w:themeFill="background1" w:themeFillShade="D9"/>
            <w:vAlign w:val="center"/>
          </w:tcPr>
          <w:p w14:paraId="292AA710" w14:textId="77777777" w:rsidR="00A22B49" w:rsidRPr="003F6147" w:rsidRDefault="00A22B49" w:rsidP="00646D28">
            <w:pPr>
              <w:rPr>
                <w:b/>
                <w:bCs/>
              </w:rPr>
            </w:pPr>
            <w:r w:rsidRPr="6DEB75E8">
              <w:rPr>
                <w:b/>
                <w:bCs/>
              </w:rPr>
              <w:t>Word/Term</w:t>
            </w:r>
          </w:p>
        </w:tc>
        <w:tc>
          <w:tcPr>
            <w:tcW w:w="6930" w:type="dxa"/>
            <w:shd w:val="clear" w:color="auto" w:fill="D9D9D9" w:themeFill="background1" w:themeFillShade="D9"/>
            <w:vAlign w:val="center"/>
          </w:tcPr>
          <w:p w14:paraId="6457E27C" w14:textId="77777777" w:rsidR="00A22B49" w:rsidRPr="003F6147" w:rsidRDefault="00A22B49" w:rsidP="00646D28">
            <w:pPr>
              <w:rPr>
                <w:b/>
              </w:rPr>
            </w:pPr>
            <w:r w:rsidRPr="003F6147">
              <w:rPr>
                <w:b/>
              </w:rPr>
              <w:t>Definition</w:t>
            </w:r>
          </w:p>
        </w:tc>
      </w:tr>
      <w:tr w:rsidR="00A22B49" w:rsidRPr="00FA4235" w14:paraId="157C8B7C" w14:textId="77777777" w:rsidTr="0072782E">
        <w:trPr>
          <w:trHeight w:val="235"/>
          <w:tblHeader/>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FF5FE" w14:textId="77777777" w:rsidR="00A22B49" w:rsidRPr="0072782E" w:rsidRDefault="00A22B49" w:rsidP="00A22B49">
            <w:pPr>
              <w:rPr>
                <w:b/>
                <w:bCs/>
                <w:u w:val="single"/>
              </w:rPr>
            </w:pPr>
            <w:r w:rsidRPr="0072782E">
              <w:rPr>
                <w:b/>
                <w:bCs/>
                <w:u w:val="single"/>
              </w:rPr>
              <w:t>CARB</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CFC6C" w14:textId="77777777" w:rsidR="00A22B49" w:rsidRPr="0072782E" w:rsidRDefault="00A22B49" w:rsidP="00A22B49">
            <w:pPr>
              <w:rPr>
                <w:b/>
                <w:u w:val="single"/>
              </w:rPr>
            </w:pPr>
            <w:r w:rsidRPr="0072782E">
              <w:rPr>
                <w:b/>
                <w:u w:val="single"/>
              </w:rPr>
              <w:t>California Air Resources Board</w:t>
            </w:r>
          </w:p>
        </w:tc>
      </w:tr>
      <w:tr w:rsidR="00A22B49" w:rsidRPr="00FD31BC" w14:paraId="542A1707" w14:textId="77777777" w:rsidTr="0072782E">
        <w:trPr>
          <w:trHeight w:val="235"/>
          <w:tblHeader/>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88145" w14:textId="77777777" w:rsidR="00A22B49" w:rsidRPr="0072782E" w:rsidRDefault="00A22B49" w:rsidP="00A22B49">
            <w:pPr>
              <w:rPr>
                <w:b/>
                <w:bCs/>
                <w:u w:val="single"/>
              </w:rPr>
            </w:pPr>
            <w:r w:rsidRPr="0072782E">
              <w:rPr>
                <w:b/>
                <w:bCs/>
                <w:u w:val="single"/>
              </w:rPr>
              <w:t>GHG</w:t>
            </w:r>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41BC4" w14:textId="77777777" w:rsidR="00A22B49" w:rsidRPr="0072782E" w:rsidRDefault="00A22B49" w:rsidP="00A22B49">
            <w:pPr>
              <w:rPr>
                <w:b/>
                <w:u w:val="single"/>
              </w:rPr>
            </w:pPr>
            <w:r w:rsidRPr="0072782E">
              <w:rPr>
                <w:b/>
                <w:u w:val="single"/>
              </w:rPr>
              <w:t>Greenhouse Gas</w:t>
            </w:r>
          </w:p>
        </w:tc>
      </w:tr>
    </w:tbl>
    <w:p w14:paraId="1593B48E" w14:textId="77777777" w:rsidR="00A22B49" w:rsidRPr="0072782E" w:rsidRDefault="00A22B49" w:rsidP="00A22B49"/>
    <w:p w14:paraId="25509390" w14:textId="0795DB70" w:rsidR="00A22B49" w:rsidRPr="0072782E" w:rsidRDefault="00A22B49" w:rsidP="00A22B49">
      <w:pPr>
        <w:pStyle w:val="ListParagraph"/>
        <w:numPr>
          <w:ilvl w:val="0"/>
          <w:numId w:val="2"/>
        </w:numPr>
        <w:rPr>
          <w:b/>
          <w:bCs/>
          <w:lang w:val="fr-FR"/>
        </w:rPr>
      </w:pPr>
      <w:r w:rsidRPr="0072782E">
        <w:rPr>
          <w:b/>
          <w:bCs/>
          <w:lang w:val="fr-FR"/>
        </w:rPr>
        <w:t xml:space="preserve">Pages 9-10, Section I.E. Key Activities Schedule </w:t>
      </w:r>
    </w:p>
    <w:p w14:paraId="360EB2A2" w14:textId="77777777" w:rsidR="0072782E" w:rsidRPr="00A22B49" w:rsidRDefault="0072782E" w:rsidP="0072782E">
      <w:pPr>
        <w:pStyle w:val="ListParagraph"/>
        <w:ind w:left="360"/>
        <w:rPr>
          <w:lang w:val="fr-FR"/>
        </w:rPr>
      </w:pPr>
    </w:p>
    <w:tbl>
      <w:tblPr>
        <w:tblW w:w="0" w:type="auto"/>
        <w:tblInd w:w="105" w:type="dxa"/>
        <w:tblLayout w:type="fixed"/>
        <w:tblLook w:val="0000" w:firstRow="0" w:lastRow="0" w:firstColumn="0" w:lastColumn="0" w:noHBand="0" w:noVBand="0"/>
      </w:tblPr>
      <w:tblGrid>
        <w:gridCol w:w="5940"/>
        <w:gridCol w:w="3037"/>
      </w:tblGrid>
      <w:tr w:rsidR="0072782E" w:rsidRPr="001A48E6" w14:paraId="2D0C0DA7" w14:textId="77777777" w:rsidTr="00646D28">
        <w:trPr>
          <w:trHeight w:val="300"/>
          <w:tblHeader/>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D23F4" w14:textId="77777777" w:rsidR="0072782E" w:rsidRPr="001A48E6" w:rsidRDefault="0072782E" w:rsidP="00646D28">
            <w:pPr>
              <w:jc w:val="both"/>
              <w:rPr>
                <w:rFonts w:eastAsia="Arial"/>
                <w:color w:val="000000" w:themeColor="text1"/>
                <w:szCs w:val="22"/>
              </w:rPr>
            </w:pPr>
            <w:r w:rsidRPr="001A48E6">
              <w:rPr>
                <w:rFonts w:eastAsia="Arial"/>
                <w:b/>
                <w:bCs/>
                <w:color w:val="000000" w:themeColor="text1"/>
                <w:szCs w:val="22"/>
              </w:rPr>
              <w:t>ACTIVITY</w:t>
            </w:r>
          </w:p>
        </w:tc>
        <w:tc>
          <w:tcPr>
            <w:tcW w:w="30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A91809" w14:textId="77777777" w:rsidR="0072782E" w:rsidRPr="001A48E6" w:rsidRDefault="0072782E" w:rsidP="00646D28">
            <w:pPr>
              <w:jc w:val="both"/>
              <w:rPr>
                <w:rFonts w:eastAsia="Arial"/>
                <w:color w:val="000000" w:themeColor="text1"/>
                <w:szCs w:val="22"/>
              </w:rPr>
            </w:pPr>
            <w:r w:rsidRPr="001A48E6">
              <w:rPr>
                <w:rFonts w:eastAsia="Arial"/>
                <w:b/>
                <w:bCs/>
                <w:color w:val="000000" w:themeColor="text1"/>
                <w:szCs w:val="22"/>
              </w:rPr>
              <w:t>DATE</w:t>
            </w:r>
          </w:p>
        </w:tc>
      </w:tr>
      <w:tr w:rsidR="0072782E" w:rsidRPr="001A48E6" w14:paraId="0F9720A0" w14:textId="77777777" w:rsidTr="00646D28">
        <w:trPr>
          <w:trHeight w:val="330"/>
        </w:trPr>
        <w:tc>
          <w:tcPr>
            <w:tcW w:w="5940" w:type="dxa"/>
            <w:tcBorders>
              <w:top w:val="single" w:sz="6" w:space="0" w:color="auto"/>
              <w:left w:val="single" w:sz="6" w:space="0" w:color="auto"/>
              <w:bottom w:val="single" w:sz="6" w:space="0" w:color="auto"/>
              <w:right w:val="single" w:sz="6" w:space="0" w:color="auto"/>
            </w:tcBorders>
          </w:tcPr>
          <w:p w14:paraId="4274873A" w14:textId="77777777" w:rsidR="0072782E" w:rsidRPr="00226F2E" w:rsidRDefault="0072782E" w:rsidP="00646D28">
            <w:pPr>
              <w:jc w:val="both"/>
              <w:rPr>
                <w:rFonts w:eastAsia="Arial"/>
                <w:szCs w:val="22"/>
              </w:rPr>
            </w:pPr>
            <w:r w:rsidRPr="00226F2E">
              <w:rPr>
                <w:rFonts w:eastAsia="Arial"/>
                <w:szCs w:val="22"/>
              </w:rPr>
              <w:t>Solicitation Release</w:t>
            </w:r>
          </w:p>
        </w:tc>
        <w:tc>
          <w:tcPr>
            <w:tcW w:w="3037" w:type="dxa"/>
            <w:tcBorders>
              <w:top w:val="single" w:sz="6" w:space="0" w:color="auto"/>
              <w:left w:val="single" w:sz="6" w:space="0" w:color="auto"/>
              <w:bottom w:val="single" w:sz="6" w:space="0" w:color="auto"/>
              <w:right w:val="single" w:sz="6" w:space="0" w:color="auto"/>
            </w:tcBorders>
          </w:tcPr>
          <w:p w14:paraId="0B748175" w14:textId="77777777" w:rsidR="0072782E" w:rsidRPr="001A48E6" w:rsidRDefault="0072782E" w:rsidP="00646D28">
            <w:pPr>
              <w:rPr>
                <w:rFonts w:eastAsia="Arial"/>
                <w:szCs w:val="22"/>
              </w:rPr>
            </w:pPr>
            <w:r w:rsidRPr="00574259">
              <w:rPr>
                <w:rFonts w:eastAsia="Arial"/>
                <w:szCs w:val="22"/>
              </w:rPr>
              <w:t>May 23, 2023</w:t>
            </w:r>
          </w:p>
        </w:tc>
      </w:tr>
      <w:tr w:rsidR="0072782E" w:rsidRPr="001A48E6" w14:paraId="5AEDC52F" w14:textId="77777777" w:rsidTr="00646D28">
        <w:trPr>
          <w:trHeight w:val="360"/>
        </w:trPr>
        <w:tc>
          <w:tcPr>
            <w:tcW w:w="5940" w:type="dxa"/>
            <w:tcBorders>
              <w:top w:val="single" w:sz="6" w:space="0" w:color="auto"/>
              <w:left w:val="single" w:sz="6" w:space="0" w:color="auto"/>
              <w:bottom w:val="single" w:sz="6" w:space="0" w:color="auto"/>
              <w:right w:val="single" w:sz="6" w:space="0" w:color="auto"/>
            </w:tcBorders>
          </w:tcPr>
          <w:p w14:paraId="33CB59AA" w14:textId="77777777" w:rsidR="0072782E" w:rsidRPr="00226F2E" w:rsidRDefault="0072782E" w:rsidP="00646D28">
            <w:pPr>
              <w:jc w:val="both"/>
              <w:rPr>
                <w:rFonts w:eastAsia="Arial"/>
                <w:szCs w:val="22"/>
              </w:rPr>
            </w:pPr>
            <w:r w:rsidRPr="00226F2E">
              <w:rPr>
                <w:rFonts w:eastAsia="Arial"/>
                <w:szCs w:val="22"/>
              </w:rPr>
              <w:t>Deadline for Written Questions</w:t>
            </w:r>
            <w:r w:rsidRPr="00226F2E">
              <w:rPr>
                <w:rFonts w:ascii="Times New Roman" w:hAnsi="Times New Roman" w:cs="Times New Roman"/>
                <w:szCs w:val="22"/>
                <w:u w:val="single"/>
                <w:vertAlign w:val="superscript"/>
              </w:rPr>
              <w:t>11</w:t>
            </w:r>
          </w:p>
        </w:tc>
        <w:tc>
          <w:tcPr>
            <w:tcW w:w="3037" w:type="dxa"/>
            <w:tcBorders>
              <w:top w:val="single" w:sz="6" w:space="0" w:color="auto"/>
              <w:left w:val="single" w:sz="6" w:space="0" w:color="auto"/>
              <w:bottom w:val="single" w:sz="6" w:space="0" w:color="auto"/>
              <w:right w:val="single" w:sz="6" w:space="0" w:color="auto"/>
            </w:tcBorders>
          </w:tcPr>
          <w:p w14:paraId="1B3BA9CC" w14:textId="5E909D9D" w:rsidR="0072782E" w:rsidRPr="00034886" w:rsidRDefault="4F548F60" w:rsidP="00646D28">
            <w:pPr>
              <w:rPr>
                <w:rFonts w:eastAsia="Arial"/>
                <w:b/>
                <w:bCs/>
                <w:u w:val="single"/>
              </w:rPr>
            </w:pPr>
            <w:r w:rsidRPr="2E95CDB2">
              <w:rPr>
                <w:rFonts w:eastAsia="Arial"/>
              </w:rPr>
              <w:t>[</w:t>
            </w:r>
            <w:r w:rsidR="00470EF6" w:rsidRPr="00002A7B">
              <w:rPr>
                <w:rFonts w:eastAsia="Arial"/>
                <w:bCs/>
                <w:strike/>
              </w:rPr>
              <w:t>CEC Application Due Date listed for each FOA, refer to Section II.A</w:t>
            </w:r>
            <w:r w:rsidR="00470EF6" w:rsidRPr="2E95CDB2">
              <w:rPr>
                <w:rFonts w:eastAsia="Arial"/>
                <w:strike/>
              </w:rPr>
              <w:t>.</w:t>
            </w:r>
            <w:r w:rsidR="02FA1307" w:rsidRPr="2E95CDB2">
              <w:rPr>
                <w:rFonts w:eastAsia="Arial"/>
              </w:rPr>
              <w:t>]</w:t>
            </w:r>
            <w:r w:rsidR="00470EF6">
              <w:rPr>
                <w:rFonts w:eastAsia="Arial"/>
                <w:b/>
                <w:u w:val="single"/>
              </w:rPr>
              <w:t xml:space="preserve"> </w:t>
            </w:r>
            <w:r w:rsidR="0072782E" w:rsidRPr="00034886">
              <w:rPr>
                <w:rFonts w:eastAsia="Arial"/>
                <w:b/>
                <w:bCs/>
                <w:u w:val="single"/>
              </w:rPr>
              <w:t>On-going</w:t>
            </w:r>
          </w:p>
        </w:tc>
      </w:tr>
      <w:tr w:rsidR="0072782E" w:rsidRPr="001A48E6" w14:paraId="7E8BF882" w14:textId="77777777" w:rsidTr="00646D28">
        <w:trPr>
          <w:trHeight w:val="540"/>
        </w:trPr>
        <w:tc>
          <w:tcPr>
            <w:tcW w:w="5940" w:type="dxa"/>
            <w:tcBorders>
              <w:top w:val="single" w:sz="6" w:space="0" w:color="auto"/>
              <w:left w:val="single" w:sz="6" w:space="0" w:color="auto"/>
              <w:bottom w:val="single" w:sz="6" w:space="0" w:color="auto"/>
              <w:right w:val="single" w:sz="6" w:space="0" w:color="auto"/>
            </w:tcBorders>
          </w:tcPr>
          <w:p w14:paraId="6EB28040" w14:textId="77777777" w:rsidR="0072782E" w:rsidRPr="00226F2E" w:rsidRDefault="0072782E" w:rsidP="00646D28">
            <w:pPr>
              <w:jc w:val="both"/>
              <w:rPr>
                <w:rFonts w:eastAsia="Arial"/>
                <w:szCs w:val="22"/>
              </w:rPr>
            </w:pPr>
            <w:r w:rsidRPr="00226F2E">
              <w:rPr>
                <w:rFonts w:eastAsia="Arial"/>
                <w:szCs w:val="22"/>
              </w:rPr>
              <w:t>Anticipated Distribution of Questions and Answers</w:t>
            </w:r>
          </w:p>
        </w:tc>
        <w:tc>
          <w:tcPr>
            <w:tcW w:w="3037" w:type="dxa"/>
            <w:tcBorders>
              <w:top w:val="single" w:sz="6" w:space="0" w:color="auto"/>
              <w:left w:val="single" w:sz="6" w:space="0" w:color="auto"/>
              <w:bottom w:val="single" w:sz="6" w:space="0" w:color="auto"/>
              <w:right w:val="single" w:sz="6" w:space="0" w:color="auto"/>
            </w:tcBorders>
          </w:tcPr>
          <w:p w14:paraId="50EF11D5" w14:textId="77777777" w:rsidR="0072782E" w:rsidRPr="001A48E6" w:rsidRDefault="0072782E" w:rsidP="00646D28">
            <w:pPr>
              <w:rPr>
                <w:rFonts w:eastAsia="Arial"/>
                <w:szCs w:val="22"/>
              </w:rPr>
            </w:pPr>
            <w:r w:rsidRPr="001A48E6">
              <w:rPr>
                <w:rFonts w:eastAsia="Arial"/>
                <w:szCs w:val="22"/>
              </w:rPr>
              <w:t>Answers will be posted periodically</w:t>
            </w:r>
          </w:p>
        </w:tc>
      </w:tr>
      <w:tr w:rsidR="0072782E" w:rsidRPr="001A48E6" w14:paraId="7D5CC777" w14:textId="77777777" w:rsidTr="00646D28">
        <w:trPr>
          <w:trHeight w:val="525"/>
        </w:trPr>
        <w:tc>
          <w:tcPr>
            <w:tcW w:w="5940" w:type="dxa"/>
            <w:tcBorders>
              <w:top w:val="single" w:sz="6" w:space="0" w:color="auto"/>
              <w:left w:val="single" w:sz="6" w:space="0" w:color="auto"/>
              <w:bottom w:val="single" w:sz="6" w:space="0" w:color="auto"/>
              <w:right w:val="single" w:sz="6" w:space="0" w:color="auto"/>
            </w:tcBorders>
          </w:tcPr>
          <w:p w14:paraId="5AC99527" w14:textId="77777777" w:rsidR="0072782E" w:rsidRPr="00226F2E" w:rsidRDefault="0072782E" w:rsidP="00646D28">
            <w:pPr>
              <w:rPr>
                <w:rFonts w:eastAsia="Arial"/>
                <w:b/>
                <w:szCs w:val="22"/>
              </w:rPr>
            </w:pPr>
            <w:r w:rsidRPr="00226F2E">
              <w:rPr>
                <w:rFonts w:eastAsia="Arial"/>
                <w:b/>
                <w:szCs w:val="22"/>
              </w:rPr>
              <w:t>Deadline to Submit Pre-Federal Funding Award Applications (Phase I)</w:t>
            </w:r>
          </w:p>
        </w:tc>
        <w:tc>
          <w:tcPr>
            <w:tcW w:w="3037" w:type="dxa"/>
            <w:tcBorders>
              <w:top w:val="single" w:sz="6" w:space="0" w:color="auto"/>
              <w:left w:val="single" w:sz="6" w:space="0" w:color="auto"/>
              <w:bottom w:val="single" w:sz="6" w:space="0" w:color="auto"/>
              <w:right w:val="single" w:sz="6" w:space="0" w:color="auto"/>
            </w:tcBorders>
          </w:tcPr>
          <w:p w14:paraId="026BD1D0" w14:textId="77777777" w:rsidR="0072782E" w:rsidRPr="001A48E6" w:rsidRDefault="0072782E" w:rsidP="00646D28">
            <w:pPr>
              <w:rPr>
                <w:rFonts w:eastAsia="Arial"/>
                <w:szCs w:val="22"/>
              </w:rPr>
            </w:pPr>
            <w:r w:rsidRPr="001A48E6">
              <w:rPr>
                <w:rFonts w:eastAsia="Arial"/>
                <w:b/>
                <w:szCs w:val="22"/>
              </w:rPr>
              <w:t>Refer to Section II.A.</w:t>
            </w:r>
          </w:p>
        </w:tc>
      </w:tr>
      <w:tr w:rsidR="0072782E" w:rsidRPr="001A48E6" w14:paraId="26E663CD" w14:textId="77777777" w:rsidTr="00646D28">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B5D1532" w14:textId="77777777" w:rsidR="0072782E" w:rsidRPr="00226F2E" w:rsidRDefault="0072782E" w:rsidP="00646D28">
            <w:pPr>
              <w:rPr>
                <w:rFonts w:eastAsia="Arial"/>
                <w:szCs w:val="22"/>
              </w:rPr>
            </w:pPr>
            <w:r w:rsidRPr="00226F2E">
              <w:rPr>
                <w:rFonts w:eastAsia="Arial"/>
                <w:szCs w:val="22"/>
              </w:rPr>
              <w:lastRenderedPageBreak/>
              <w:t>Anticipated Notice of Proposed Award Posting Date (Awardee will receive a Letter of Intent)</w:t>
            </w:r>
          </w:p>
        </w:tc>
        <w:tc>
          <w:tcPr>
            <w:tcW w:w="3037" w:type="dxa"/>
            <w:tcBorders>
              <w:top w:val="single" w:sz="6" w:space="0" w:color="auto"/>
              <w:left w:val="single" w:sz="6" w:space="0" w:color="auto"/>
              <w:bottom w:val="single" w:sz="6" w:space="0" w:color="auto"/>
              <w:right w:val="single" w:sz="6" w:space="0" w:color="auto"/>
            </w:tcBorders>
            <w:vAlign w:val="center"/>
          </w:tcPr>
          <w:p w14:paraId="6D02FE65" w14:textId="6645ADB6" w:rsidR="0072782E" w:rsidRPr="001A48E6" w:rsidRDefault="0072782E" w:rsidP="00646D28">
            <w:pPr>
              <w:rPr>
                <w:rFonts w:eastAsia="Arial"/>
              </w:rPr>
            </w:pPr>
            <w:r w:rsidRPr="50C8F2D1">
              <w:rPr>
                <w:rFonts w:eastAsia="Arial"/>
              </w:rPr>
              <w:t>No later than</w:t>
            </w:r>
            <w:r w:rsidR="00A247BE">
              <w:rPr>
                <w:rFonts w:eastAsia="Arial"/>
              </w:rPr>
              <w:t xml:space="preserve"> </w:t>
            </w:r>
            <w:r w:rsidR="135825FE" w:rsidRPr="2E95CDB2">
              <w:rPr>
                <w:rFonts w:eastAsia="Arial"/>
              </w:rPr>
              <w:t>[</w:t>
            </w:r>
            <w:r w:rsidR="00A247BE" w:rsidRPr="00002A7B">
              <w:rPr>
                <w:rFonts w:eastAsia="Arial"/>
                <w:strike/>
              </w:rPr>
              <w:t>15</w:t>
            </w:r>
            <w:r w:rsidR="61D70E50" w:rsidRPr="2E95CDB2">
              <w:rPr>
                <w:rFonts w:eastAsia="Arial"/>
              </w:rPr>
              <w:t>]</w:t>
            </w:r>
            <w:r w:rsidRPr="50C8F2D1">
              <w:rPr>
                <w:rFonts w:eastAsia="Arial"/>
              </w:rPr>
              <w:t xml:space="preserve"> </w:t>
            </w:r>
            <w:r w:rsidRPr="00034886">
              <w:rPr>
                <w:rFonts w:eastAsia="Arial"/>
                <w:b/>
                <w:bCs/>
                <w:u w:val="single"/>
              </w:rPr>
              <w:t>30</w:t>
            </w:r>
            <w:r>
              <w:rPr>
                <w:rFonts w:eastAsia="Arial"/>
              </w:rPr>
              <w:t xml:space="preserve"> </w:t>
            </w:r>
            <w:r w:rsidRPr="50C8F2D1">
              <w:rPr>
                <w:rFonts w:eastAsia="Arial"/>
              </w:rPr>
              <w:t xml:space="preserve">days after the deadline to submit </w:t>
            </w:r>
            <w:r w:rsidRPr="0072782E">
              <w:rPr>
                <w:rFonts w:eastAsia="Arial"/>
                <w:b/>
                <w:bCs/>
                <w:u w:val="single"/>
              </w:rPr>
              <w:t>CEC</w:t>
            </w:r>
            <w:r>
              <w:rPr>
                <w:rFonts w:eastAsia="Arial"/>
              </w:rPr>
              <w:t xml:space="preserve"> </w:t>
            </w:r>
            <w:r w:rsidRPr="50C8F2D1">
              <w:rPr>
                <w:rFonts w:eastAsia="Arial"/>
              </w:rPr>
              <w:t>applications for that federal funding opportunity</w:t>
            </w:r>
          </w:p>
        </w:tc>
      </w:tr>
      <w:tr w:rsidR="0072782E" w:rsidRPr="001A48E6" w14:paraId="59604C53" w14:textId="77777777" w:rsidTr="00646D28">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6F8F73BB" w14:textId="77777777" w:rsidR="0072782E" w:rsidRPr="00226F2E" w:rsidRDefault="0072782E" w:rsidP="00646D28">
            <w:pPr>
              <w:rPr>
                <w:rFonts w:eastAsia="Arial"/>
              </w:rPr>
            </w:pPr>
            <w:r w:rsidRPr="339E5C93">
              <w:rPr>
                <w:rFonts w:eastAsia="Arial"/>
              </w:rPr>
              <w:t xml:space="preserve">Submission of </w:t>
            </w:r>
            <w:r>
              <w:rPr>
                <w:rFonts w:eastAsia="Arial"/>
              </w:rPr>
              <w:t>documentation</w:t>
            </w:r>
            <w:r w:rsidRPr="339E5C93">
              <w:rPr>
                <w:rFonts w:eastAsia="Arial"/>
              </w:rPr>
              <w:t xml:space="preserve"> of federal funding award and non-CEC cost share to the CEC</w:t>
            </w:r>
          </w:p>
        </w:tc>
        <w:tc>
          <w:tcPr>
            <w:tcW w:w="3037" w:type="dxa"/>
            <w:tcBorders>
              <w:top w:val="single" w:sz="6" w:space="0" w:color="auto"/>
              <w:left w:val="single" w:sz="6" w:space="0" w:color="auto"/>
              <w:bottom w:val="single" w:sz="6" w:space="0" w:color="auto"/>
              <w:right w:val="single" w:sz="6" w:space="0" w:color="auto"/>
            </w:tcBorders>
            <w:vAlign w:val="center"/>
          </w:tcPr>
          <w:p w14:paraId="6D57B8FA" w14:textId="77777777" w:rsidR="0072782E" w:rsidRPr="001A48E6" w:rsidRDefault="0072782E" w:rsidP="00646D28">
            <w:pPr>
              <w:rPr>
                <w:rFonts w:eastAsia="Arial"/>
                <w:szCs w:val="22"/>
              </w:rPr>
            </w:pPr>
            <w:r w:rsidRPr="001A48E6">
              <w:rPr>
                <w:rFonts w:eastAsia="Arial"/>
                <w:szCs w:val="22"/>
              </w:rPr>
              <w:t>No later than 60 days after federal funding Award</w:t>
            </w:r>
          </w:p>
        </w:tc>
      </w:tr>
      <w:tr w:rsidR="0072782E" w:rsidRPr="001A48E6" w14:paraId="3448994F" w14:textId="77777777" w:rsidTr="00646D28">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5E5CEF95" w14:textId="77777777" w:rsidR="0072782E" w:rsidRPr="00226F2E" w:rsidRDefault="0072782E" w:rsidP="00646D28">
            <w:pPr>
              <w:rPr>
                <w:rFonts w:eastAsia="Arial"/>
              </w:rPr>
            </w:pPr>
            <w:r w:rsidRPr="339E5C93">
              <w:rPr>
                <w:rFonts w:eastAsia="Arial"/>
              </w:rPr>
              <w:t>Anticipated Cost Share Confirmation from the CEC</w:t>
            </w:r>
          </w:p>
        </w:tc>
        <w:tc>
          <w:tcPr>
            <w:tcW w:w="3037" w:type="dxa"/>
            <w:tcBorders>
              <w:top w:val="single" w:sz="6" w:space="0" w:color="auto"/>
              <w:left w:val="single" w:sz="6" w:space="0" w:color="auto"/>
              <w:bottom w:val="single" w:sz="6" w:space="0" w:color="auto"/>
              <w:right w:val="single" w:sz="6" w:space="0" w:color="auto"/>
            </w:tcBorders>
            <w:vAlign w:val="center"/>
          </w:tcPr>
          <w:p w14:paraId="2E600265" w14:textId="77777777" w:rsidR="0072782E" w:rsidRPr="001A48E6" w:rsidRDefault="0072782E" w:rsidP="00646D28">
            <w:pPr>
              <w:rPr>
                <w:rFonts w:eastAsia="Arial"/>
                <w:szCs w:val="22"/>
              </w:rPr>
            </w:pPr>
            <w:r w:rsidRPr="001A48E6">
              <w:rPr>
                <w:rFonts w:eastAsia="Arial"/>
                <w:szCs w:val="22"/>
              </w:rPr>
              <w:t xml:space="preserve">30 days after submission of </w:t>
            </w:r>
            <w:r>
              <w:rPr>
                <w:rFonts w:eastAsia="Arial"/>
                <w:szCs w:val="22"/>
              </w:rPr>
              <w:t>documentation</w:t>
            </w:r>
            <w:r w:rsidRPr="001A48E6">
              <w:rPr>
                <w:rFonts w:eastAsia="Arial"/>
                <w:szCs w:val="22"/>
              </w:rPr>
              <w:t xml:space="preserve"> of federal award and additional cost share</w:t>
            </w:r>
          </w:p>
        </w:tc>
      </w:tr>
      <w:tr w:rsidR="0072782E" w:rsidRPr="001A48E6" w14:paraId="7608DD2D" w14:textId="77777777" w:rsidTr="00646D28">
        <w:trPr>
          <w:trHeight w:val="1065"/>
        </w:trPr>
        <w:tc>
          <w:tcPr>
            <w:tcW w:w="5940" w:type="dxa"/>
            <w:tcBorders>
              <w:top w:val="single" w:sz="6" w:space="0" w:color="auto"/>
              <w:left w:val="single" w:sz="6" w:space="0" w:color="auto"/>
              <w:bottom w:val="single" w:sz="6" w:space="0" w:color="auto"/>
              <w:right w:val="single" w:sz="6" w:space="0" w:color="auto"/>
            </w:tcBorders>
          </w:tcPr>
          <w:p w14:paraId="602E4383" w14:textId="77777777" w:rsidR="0072782E" w:rsidRPr="00226F2E" w:rsidRDefault="0072782E" w:rsidP="00646D28">
            <w:pPr>
              <w:jc w:val="both"/>
              <w:rPr>
                <w:rFonts w:eastAsia="Arial"/>
              </w:rPr>
            </w:pPr>
            <w:r w:rsidRPr="339E5C93">
              <w:rPr>
                <w:rFonts w:eastAsia="Arial"/>
              </w:rPr>
              <w:t>Anticipated CEC Business Meeting Date</w:t>
            </w:r>
          </w:p>
        </w:tc>
        <w:tc>
          <w:tcPr>
            <w:tcW w:w="3037" w:type="dxa"/>
            <w:tcBorders>
              <w:top w:val="single" w:sz="6" w:space="0" w:color="auto"/>
              <w:left w:val="single" w:sz="6" w:space="0" w:color="auto"/>
              <w:bottom w:val="single" w:sz="6" w:space="0" w:color="auto"/>
              <w:right w:val="single" w:sz="6" w:space="0" w:color="auto"/>
            </w:tcBorders>
          </w:tcPr>
          <w:p w14:paraId="69E0F44B" w14:textId="77777777" w:rsidR="0072782E" w:rsidRPr="001A48E6" w:rsidRDefault="0072782E" w:rsidP="00646D28">
            <w:pPr>
              <w:rPr>
                <w:rFonts w:eastAsia="Arial"/>
                <w:szCs w:val="22"/>
              </w:rPr>
            </w:pPr>
            <w:r w:rsidRPr="001A48E6">
              <w:rPr>
                <w:rFonts w:eastAsia="Arial"/>
                <w:szCs w:val="22"/>
              </w:rPr>
              <w:t>90 days after the screening of the federal award documentation</w:t>
            </w:r>
          </w:p>
        </w:tc>
      </w:tr>
      <w:tr w:rsidR="0072782E" w:rsidRPr="001A48E6" w14:paraId="0E497F2A" w14:textId="77777777" w:rsidTr="00646D28">
        <w:trPr>
          <w:trHeight w:val="1170"/>
        </w:trPr>
        <w:tc>
          <w:tcPr>
            <w:tcW w:w="5940" w:type="dxa"/>
            <w:tcBorders>
              <w:top w:val="single" w:sz="6" w:space="0" w:color="auto"/>
              <w:left w:val="single" w:sz="6" w:space="0" w:color="auto"/>
              <w:bottom w:val="single" w:sz="6" w:space="0" w:color="auto"/>
              <w:right w:val="single" w:sz="6" w:space="0" w:color="auto"/>
            </w:tcBorders>
          </w:tcPr>
          <w:p w14:paraId="4D19F1D2" w14:textId="77777777" w:rsidR="0072782E" w:rsidRPr="00226F2E" w:rsidRDefault="0072782E" w:rsidP="00646D28">
            <w:pPr>
              <w:ind w:left="1440" w:hanging="1440"/>
              <w:jc w:val="both"/>
              <w:rPr>
                <w:rFonts w:eastAsia="Arial"/>
                <w:szCs w:val="22"/>
              </w:rPr>
            </w:pPr>
            <w:r w:rsidRPr="00226F2E">
              <w:rPr>
                <w:rFonts w:eastAsia="Arial"/>
                <w:szCs w:val="22"/>
              </w:rPr>
              <w:t>Anticipated Agreement Start Date</w:t>
            </w:r>
          </w:p>
        </w:tc>
        <w:tc>
          <w:tcPr>
            <w:tcW w:w="3037" w:type="dxa"/>
            <w:tcBorders>
              <w:top w:val="single" w:sz="6" w:space="0" w:color="auto"/>
              <w:left w:val="single" w:sz="6" w:space="0" w:color="auto"/>
              <w:bottom w:val="single" w:sz="6" w:space="0" w:color="auto"/>
              <w:right w:val="single" w:sz="6" w:space="0" w:color="auto"/>
            </w:tcBorders>
          </w:tcPr>
          <w:p w14:paraId="775EE379" w14:textId="77777777" w:rsidR="0072782E" w:rsidRPr="001A48E6" w:rsidRDefault="0072782E" w:rsidP="00646D28">
            <w:pPr>
              <w:rPr>
                <w:rFonts w:eastAsia="Arial"/>
              </w:rPr>
            </w:pPr>
            <w:r w:rsidRPr="339E5C93">
              <w:rPr>
                <w:rFonts w:eastAsia="Arial"/>
              </w:rPr>
              <w:t>30 days after the CEC Business Meeting</w:t>
            </w:r>
          </w:p>
        </w:tc>
      </w:tr>
      <w:tr w:rsidR="0072782E" w:rsidRPr="001A48E6" w14:paraId="4D9F8B0A" w14:textId="77777777" w:rsidTr="00646D28">
        <w:trPr>
          <w:trHeight w:val="615"/>
        </w:trPr>
        <w:tc>
          <w:tcPr>
            <w:tcW w:w="5940" w:type="dxa"/>
            <w:tcBorders>
              <w:top w:val="single" w:sz="6" w:space="0" w:color="auto"/>
              <w:left w:val="single" w:sz="6" w:space="0" w:color="auto"/>
              <w:bottom w:val="single" w:sz="6" w:space="0" w:color="auto"/>
              <w:right w:val="single" w:sz="6" w:space="0" w:color="auto"/>
            </w:tcBorders>
          </w:tcPr>
          <w:p w14:paraId="34A01872" w14:textId="77777777" w:rsidR="0072782E" w:rsidRPr="00226F2E" w:rsidRDefault="0072782E" w:rsidP="00646D28">
            <w:pPr>
              <w:jc w:val="both"/>
              <w:rPr>
                <w:rFonts w:eastAsia="Arial"/>
              </w:rPr>
            </w:pPr>
            <w:r w:rsidRPr="00226F2E">
              <w:rPr>
                <w:rFonts w:eastAsia="Arial"/>
              </w:rPr>
              <w:t xml:space="preserve">Anticipated Agreement End Date </w:t>
            </w:r>
          </w:p>
        </w:tc>
        <w:tc>
          <w:tcPr>
            <w:tcW w:w="3037" w:type="dxa"/>
            <w:tcBorders>
              <w:top w:val="single" w:sz="6" w:space="0" w:color="auto"/>
              <w:left w:val="single" w:sz="6" w:space="0" w:color="auto"/>
              <w:bottom w:val="single" w:sz="6" w:space="0" w:color="auto"/>
              <w:right w:val="single" w:sz="6" w:space="0" w:color="auto"/>
            </w:tcBorders>
          </w:tcPr>
          <w:p w14:paraId="7CD68B00" w14:textId="76102B51" w:rsidR="0072782E" w:rsidRPr="001A48E6" w:rsidRDefault="0072782E" w:rsidP="00646D28">
            <w:pPr>
              <w:rPr>
                <w:rFonts w:eastAsia="Arial"/>
              </w:rPr>
            </w:pPr>
            <w:r w:rsidRPr="00085B94">
              <w:rPr>
                <w:rFonts w:eastAsia="Arial"/>
              </w:rPr>
              <w:t xml:space="preserve">No later than March 1, </w:t>
            </w:r>
            <w:r w:rsidR="3703E55F" w:rsidRPr="2E95CDB2">
              <w:rPr>
                <w:rFonts w:eastAsia="Arial"/>
              </w:rPr>
              <w:t>[</w:t>
            </w:r>
            <w:r w:rsidR="00A247BE" w:rsidRPr="00085B94">
              <w:rPr>
                <w:rFonts w:eastAsia="Arial"/>
                <w:strike/>
              </w:rPr>
              <w:t>2029</w:t>
            </w:r>
            <w:r w:rsidR="0D88B886" w:rsidRPr="2E95CDB2">
              <w:rPr>
                <w:rFonts w:eastAsia="Arial"/>
              </w:rPr>
              <w:t>]</w:t>
            </w:r>
            <w:r w:rsidR="00A247BE" w:rsidRPr="00085B94">
              <w:rPr>
                <w:rFonts w:eastAsia="Arial"/>
              </w:rPr>
              <w:t xml:space="preserve"> </w:t>
            </w:r>
            <w:r w:rsidRPr="00085B94">
              <w:rPr>
                <w:rFonts w:eastAsia="Arial"/>
                <w:b/>
                <w:bCs/>
                <w:u w:val="single"/>
              </w:rPr>
              <w:t>2030.</w:t>
            </w:r>
            <w:r w:rsidRPr="5F46DDB5">
              <w:rPr>
                <w:rFonts w:eastAsia="Arial"/>
              </w:rPr>
              <w:t xml:space="preserve"> </w:t>
            </w:r>
          </w:p>
        </w:tc>
      </w:tr>
    </w:tbl>
    <w:p w14:paraId="22731248" w14:textId="77777777" w:rsidR="00A22B49" w:rsidRDefault="00A22B49" w:rsidP="00A22B49">
      <w:pPr>
        <w:rPr>
          <w:lang w:val="fr-FR"/>
        </w:rPr>
      </w:pPr>
    </w:p>
    <w:p w14:paraId="49C58F1B" w14:textId="71C77374" w:rsidR="00E462F2" w:rsidRPr="00D453D0" w:rsidRDefault="00E462F2" w:rsidP="00A443DF">
      <w:pPr>
        <w:pStyle w:val="ListParagraph"/>
        <w:numPr>
          <w:ilvl w:val="0"/>
          <w:numId w:val="2"/>
        </w:numPr>
        <w:rPr>
          <w:lang w:val="fr-FR"/>
        </w:rPr>
      </w:pPr>
      <w:r>
        <w:rPr>
          <w:b/>
          <w:bCs/>
          <w:lang w:val="fr-FR"/>
        </w:rPr>
        <w:t xml:space="preserve">Page 12, Section </w:t>
      </w:r>
      <w:r w:rsidR="00D453D0">
        <w:rPr>
          <w:b/>
          <w:bCs/>
          <w:lang w:val="fr-FR"/>
        </w:rPr>
        <w:t>I.I. Background</w:t>
      </w:r>
    </w:p>
    <w:p w14:paraId="58B477C9" w14:textId="77777777" w:rsidR="00D453D0" w:rsidRDefault="00D453D0" w:rsidP="00D453D0">
      <w:pPr>
        <w:rPr>
          <w:lang w:val="fr-FR"/>
        </w:rPr>
      </w:pPr>
    </w:p>
    <w:p w14:paraId="0E4F215C" w14:textId="77777777" w:rsidR="0027768A" w:rsidRDefault="0027768A" w:rsidP="0027768A">
      <w:pPr>
        <w:rPr>
          <w:b/>
          <w:bCs/>
          <w:lang w:val="fr-FR"/>
        </w:rPr>
      </w:pPr>
      <w:r w:rsidRPr="002F4CEA">
        <w:rPr>
          <w:b/>
          <w:bCs/>
          <w:lang w:val="fr-FR"/>
        </w:rPr>
        <w:t xml:space="preserve">Clean Hydrogen Program </w:t>
      </w:r>
    </w:p>
    <w:p w14:paraId="69A87BC9" w14:textId="77777777" w:rsidR="002F4CEA" w:rsidRPr="002F4CEA" w:rsidRDefault="002F4CEA" w:rsidP="0027768A">
      <w:pPr>
        <w:rPr>
          <w:b/>
          <w:bCs/>
          <w:lang w:val="fr-FR"/>
        </w:rPr>
      </w:pPr>
    </w:p>
    <w:p w14:paraId="105677FB" w14:textId="0CBF8C69" w:rsidR="00D453D0" w:rsidRDefault="0027768A" w:rsidP="0027768A">
      <w:pPr>
        <w:rPr>
          <w:lang w:val="fr-FR"/>
        </w:rPr>
      </w:pPr>
      <w:r w:rsidRPr="0027768A">
        <w:rPr>
          <w:lang w:val="fr-FR"/>
        </w:rPr>
        <w:t xml:space="preserve">This program was created under Assembly Bill (AB) 209 (The Energy and Climate Change budget bill, Chapter 251, Section 12, Chapter 7.6, Article 4, enacted in September 2022).  The purpose is to implement projects to demonstrate or scale-up hydrogen production, processing, delivery, storage, or end use. </w:t>
      </w:r>
      <w:r w:rsidRPr="0027768A">
        <w:rPr>
          <w:b/>
          <w:bCs/>
          <w:u w:val="single"/>
          <w:lang w:val="fr-FR"/>
        </w:rPr>
        <w:t>The Clean Hydrogen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66596C15" w14:textId="77777777" w:rsidR="00D453D0" w:rsidRPr="00D453D0" w:rsidRDefault="00D453D0" w:rsidP="00D453D0">
      <w:pPr>
        <w:rPr>
          <w:lang w:val="fr-FR"/>
        </w:rPr>
      </w:pPr>
    </w:p>
    <w:p w14:paraId="34A3E501" w14:textId="6259B20F" w:rsidR="00936A26" w:rsidRDefault="00936A26" w:rsidP="00A443DF">
      <w:pPr>
        <w:pStyle w:val="ListParagraph"/>
        <w:numPr>
          <w:ilvl w:val="0"/>
          <w:numId w:val="2"/>
        </w:numPr>
        <w:rPr>
          <w:lang w:val="fr-FR"/>
        </w:rPr>
      </w:pPr>
      <w:r>
        <w:rPr>
          <w:b/>
          <w:bCs/>
          <w:lang w:val="fr-FR"/>
        </w:rPr>
        <w:t>Page 21, Section II.C. Project Requirements</w:t>
      </w:r>
    </w:p>
    <w:p w14:paraId="6C713BEE" w14:textId="77777777" w:rsidR="00936A26" w:rsidRDefault="00936A26" w:rsidP="00936A26">
      <w:pPr>
        <w:rPr>
          <w:lang w:val="fr-FR"/>
        </w:rPr>
      </w:pPr>
    </w:p>
    <w:p w14:paraId="558222A3" w14:textId="77777777" w:rsidR="00564795" w:rsidRPr="0011272D" w:rsidRDefault="00564795" w:rsidP="00564795">
      <w:pPr>
        <w:pStyle w:val="HeadingNew1"/>
        <w:numPr>
          <w:ilvl w:val="0"/>
          <w:numId w:val="0"/>
        </w:numPr>
        <w:ind w:left="990" w:hanging="360"/>
        <w:rPr>
          <w:bCs/>
          <w:u w:val="single"/>
        </w:rPr>
      </w:pPr>
      <w:r w:rsidRPr="0011272D">
        <w:rPr>
          <w:bCs/>
          <w:u w:val="single"/>
        </w:rPr>
        <w:t>All funded projects must report on benefits, including, but not limited to:</w:t>
      </w:r>
    </w:p>
    <w:p w14:paraId="7C77B4D5" w14:textId="77777777" w:rsidR="00564795" w:rsidRPr="0011272D" w:rsidRDefault="00564795" w:rsidP="00564795">
      <w:pPr>
        <w:pStyle w:val="HeadingNew1"/>
        <w:numPr>
          <w:ilvl w:val="1"/>
          <w:numId w:val="8"/>
        </w:numPr>
        <w:rPr>
          <w:bCs/>
          <w:u w:val="single"/>
        </w:rPr>
      </w:pPr>
      <w:r w:rsidRPr="0011272D">
        <w:rPr>
          <w:bCs/>
          <w:u w:val="single"/>
        </w:rPr>
        <w:t>All the funded projects are required to report jobs data to CEC annually using the Excel reporting template developed by CARB for California Climate Investments. Reports should use the latest version of the Excel template that is available at the time of reporting, supplied by the CEC Commission Agreement Manager (CAM).</w:t>
      </w:r>
    </w:p>
    <w:p w14:paraId="1761459E" w14:textId="77777777" w:rsidR="00564795" w:rsidRPr="0011272D" w:rsidRDefault="00564795" w:rsidP="00564795">
      <w:pPr>
        <w:pStyle w:val="HeadingNew1"/>
        <w:numPr>
          <w:ilvl w:val="1"/>
          <w:numId w:val="8"/>
        </w:numPr>
        <w:rPr>
          <w:bCs/>
          <w:u w:val="single"/>
        </w:rPr>
      </w:pPr>
      <w:r w:rsidRPr="0011272D">
        <w:rPr>
          <w:bCs/>
          <w:u w:val="single"/>
        </w:rPr>
        <w:lastRenderedPageBreak/>
        <w:t>All the funded projects are required to complete a benefit assessment tool developed by CARB for California Climate Investments and submit to CEC in a timely manner after the CEC’s Notice of Proposed Award. Reports should use the latest version of the tool that is available at the time of reporting, supplied by the CEC CAM. These reports will determine if the projects can claim benefits to disadvantaged communities and low-income communities and households when reporting to California Climate Investments.</w:t>
      </w:r>
    </w:p>
    <w:p w14:paraId="750EBD46" w14:textId="77777777" w:rsidR="00936A26" w:rsidRDefault="00936A26" w:rsidP="00936A26">
      <w:pPr>
        <w:rPr>
          <w:lang w:val="fr-FR"/>
        </w:rPr>
      </w:pPr>
    </w:p>
    <w:p w14:paraId="383DB5E1" w14:textId="77777777" w:rsidR="00936A26" w:rsidRPr="00936A26" w:rsidRDefault="00936A26" w:rsidP="00936A26">
      <w:pPr>
        <w:rPr>
          <w:lang w:val="fr-FR"/>
        </w:rPr>
      </w:pPr>
    </w:p>
    <w:p w14:paraId="56B5F194" w14:textId="0825FE92" w:rsidR="0072782E" w:rsidRPr="0072782E" w:rsidRDefault="0072782E" w:rsidP="00A443DF">
      <w:pPr>
        <w:pStyle w:val="ListParagraph"/>
        <w:numPr>
          <w:ilvl w:val="0"/>
          <w:numId w:val="2"/>
        </w:numPr>
        <w:rPr>
          <w:lang w:val="fr-FR"/>
        </w:rPr>
      </w:pPr>
      <w:r w:rsidRPr="0072782E">
        <w:rPr>
          <w:b/>
          <w:bCs/>
          <w:lang w:val="fr-FR"/>
        </w:rPr>
        <w:t xml:space="preserve">Page 23, Section III.C. Application Content (for </w:t>
      </w:r>
      <w:r w:rsidRPr="0027768A">
        <w:rPr>
          <w:b/>
          <w:bCs/>
        </w:rPr>
        <w:t>Phase</w:t>
      </w:r>
      <w:r w:rsidRPr="0072782E">
        <w:rPr>
          <w:b/>
          <w:bCs/>
          <w:lang w:val="fr-FR"/>
        </w:rPr>
        <w:t xml:space="preserve"> I – Pre Federal Funding Award Applications),</w:t>
      </w:r>
      <w:r>
        <w:rPr>
          <w:lang w:val="fr-FR"/>
        </w:rPr>
        <w:t xml:space="preserve"> u</w:t>
      </w:r>
      <w:r w:rsidRPr="0072782E">
        <w:rPr>
          <w:lang w:val="fr-FR"/>
        </w:rPr>
        <w:t>nder 2. Project Narrative Form (Attachment 2)</w:t>
      </w:r>
    </w:p>
    <w:p w14:paraId="1D8C26EF" w14:textId="77777777" w:rsidR="0072782E" w:rsidRDefault="0072782E" w:rsidP="0072782E">
      <w:pPr>
        <w:rPr>
          <w:lang w:val="fr-FR"/>
        </w:rPr>
      </w:pPr>
    </w:p>
    <w:p w14:paraId="03FC978A" w14:textId="298990FE" w:rsidR="0072782E" w:rsidRPr="0072782E" w:rsidRDefault="0072782E" w:rsidP="0072782E">
      <w:pPr>
        <w:rPr>
          <w:lang w:val="fr-FR"/>
        </w:rPr>
      </w:pPr>
      <w:r w:rsidRPr="0072782E">
        <w:rPr>
          <w:lang w:val="fr-FR"/>
        </w:rPr>
        <w:t xml:space="preserve">For pilot tests and demonstrations, the Technical Approach section must include a Measurement and Verification Plan that describes how actual project benefits will be measured and quantified, such as pre- and post-project energy use (therms, Btu, kilowatt hours, kilowatts), water use (million gallons), and cost savings for energy and water, among other benefits, such as </w:t>
      </w:r>
      <w:r w:rsidRPr="0072782E">
        <w:rPr>
          <w:b/>
          <w:bCs/>
          <w:u w:val="single"/>
          <w:lang w:val="fr-FR"/>
        </w:rPr>
        <w:t>GHG</w:t>
      </w:r>
      <w:r w:rsidRPr="0072782E">
        <w:rPr>
          <w:lang w:val="fr-FR"/>
        </w:rPr>
        <w:t xml:space="preserve"> emission reductions (metric tons or kilograms carbon dioxide-equivalent avoided).</w:t>
      </w:r>
    </w:p>
    <w:p w14:paraId="0C4E2E9A" w14:textId="704A4000" w:rsidR="0072782E" w:rsidRDefault="0072782E" w:rsidP="0072782E">
      <w:pPr>
        <w:rPr>
          <w:lang w:val="fr-FR"/>
        </w:rPr>
      </w:pPr>
    </w:p>
    <w:p w14:paraId="14A54751" w14:textId="7C7899A3" w:rsidR="00BD16AC" w:rsidRPr="0080248F" w:rsidRDefault="0080248F" w:rsidP="00BD16AC">
      <w:pPr>
        <w:pStyle w:val="ListParagraph"/>
        <w:numPr>
          <w:ilvl w:val="0"/>
          <w:numId w:val="2"/>
        </w:numPr>
        <w:rPr>
          <w:lang w:val="fr-FR"/>
        </w:rPr>
      </w:pPr>
      <w:r>
        <w:rPr>
          <w:b/>
          <w:bCs/>
          <w:lang w:val="fr-FR"/>
        </w:rPr>
        <w:t>Page 33, Section IV.A.3. Pass/Fail and Notice of Proposed Award</w:t>
      </w:r>
    </w:p>
    <w:p w14:paraId="70D35141" w14:textId="77777777" w:rsidR="0080248F" w:rsidRDefault="0080248F" w:rsidP="0080248F">
      <w:pPr>
        <w:rPr>
          <w:lang w:val="fr-FR"/>
        </w:rPr>
      </w:pPr>
    </w:p>
    <w:p w14:paraId="334F0B32" w14:textId="17EE3924" w:rsidR="00E328FB" w:rsidRPr="00E328FB" w:rsidRDefault="00E328FB" w:rsidP="00E328FB">
      <w:pPr>
        <w:rPr>
          <w:lang w:val="fr-FR"/>
        </w:rPr>
      </w:pPr>
      <w:r w:rsidRPr="00E328FB">
        <w:rPr>
          <w:b/>
          <w:bCs/>
          <w:lang w:val="fr-FR"/>
        </w:rPr>
        <w:t>Debriefings</w:t>
      </w:r>
      <w:r w:rsidRPr="00E328FB">
        <w:rPr>
          <w:lang w:val="fr-FR"/>
        </w:rPr>
        <w:t>:  Unsuccessful applicants may request a debriefing after the release of the</w:t>
      </w:r>
    </w:p>
    <w:p w14:paraId="22FCF7FD" w14:textId="7A6D4C96" w:rsidR="0080248F" w:rsidRPr="0080248F" w:rsidRDefault="00E328FB" w:rsidP="00E328FB">
      <w:pPr>
        <w:rPr>
          <w:lang w:val="fr-FR"/>
        </w:rPr>
      </w:pPr>
      <w:r w:rsidRPr="00E328FB">
        <w:rPr>
          <w:lang w:val="fr-FR"/>
        </w:rPr>
        <w:t xml:space="preserve">NOPA by contacting the Commission Agreement Officer listed in Section I.  A request for debriefing must be received no later than 30 calendar days after the NOPA is released. </w:t>
      </w:r>
      <w:r w:rsidRPr="00E328FB">
        <w:rPr>
          <w:b/>
          <w:bCs/>
          <w:i/>
          <w:iCs/>
          <w:u w:val="single"/>
          <w:lang w:val="fr-FR"/>
        </w:rPr>
        <w:t>The purpose of the debriefing is to provide the applicant feedback on contributing factors to their score and opportunities for improvement on future applications. Debriefings are not intended to be a comprehensive examination of all deficiencies within an application.</w:t>
      </w:r>
      <w:r w:rsidRPr="00E328FB">
        <w:rPr>
          <w:lang w:val="fr-FR"/>
        </w:rPr>
        <w:t xml:space="preserve">    </w:t>
      </w:r>
    </w:p>
    <w:p w14:paraId="0F2BDB73" w14:textId="77777777" w:rsidR="0072782E" w:rsidRDefault="0072782E" w:rsidP="00A22B49">
      <w:pPr>
        <w:rPr>
          <w:lang w:val="fr-FR"/>
        </w:rPr>
      </w:pPr>
    </w:p>
    <w:p w14:paraId="5324FE15" w14:textId="56EAB775" w:rsidR="00E328FB" w:rsidRPr="008C1350" w:rsidRDefault="008D07B2" w:rsidP="008D07B2">
      <w:pPr>
        <w:pStyle w:val="ListParagraph"/>
        <w:numPr>
          <w:ilvl w:val="0"/>
          <w:numId w:val="2"/>
        </w:numPr>
        <w:rPr>
          <w:b/>
          <w:bCs/>
          <w:lang w:val="fr-FR"/>
        </w:rPr>
      </w:pPr>
      <w:r w:rsidRPr="008C1350">
        <w:rPr>
          <w:b/>
          <w:bCs/>
          <w:lang w:val="fr-FR"/>
        </w:rPr>
        <w:t>Page 36, Section IV.C. Phase I/Phase III – Stage One: Application Screening</w:t>
      </w:r>
    </w:p>
    <w:p w14:paraId="5524E899" w14:textId="77777777" w:rsidR="008D07B2" w:rsidRDefault="008D07B2" w:rsidP="008D07B2">
      <w:pPr>
        <w:rPr>
          <w:lang w:val="fr-F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993707" w:rsidRPr="008E7BA7" w14:paraId="7A1EEBD3" w14:textId="77777777" w:rsidTr="0003157C">
        <w:tc>
          <w:tcPr>
            <w:tcW w:w="7231" w:type="dxa"/>
            <w:tcBorders>
              <w:top w:val="single" w:sz="8" w:space="0" w:color="000000" w:themeColor="text1"/>
              <w:left w:val="single" w:sz="4" w:space="0" w:color="000000" w:themeColor="text1"/>
              <w:bottom w:val="single" w:sz="4" w:space="0" w:color="auto"/>
              <w:right w:val="single" w:sz="4" w:space="0" w:color="000000" w:themeColor="text1"/>
            </w:tcBorders>
            <w:vAlign w:val="center"/>
          </w:tcPr>
          <w:p w14:paraId="6EEECCB1" w14:textId="77777777" w:rsidR="00993707" w:rsidRPr="00FC390E" w:rsidRDefault="00993707" w:rsidP="00993707">
            <w:pPr>
              <w:jc w:val="center"/>
              <w:rPr>
                <w:b/>
                <w:caps/>
              </w:rPr>
            </w:pPr>
            <w:r w:rsidRPr="00FC390E">
              <w:rPr>
                <w:b/>
                <w:caps/>
              </w:rPr>
              <w:t xml:space="preserve">Screening Criteria </w:t>
            </w:r>
          </w:p>
          <w:p w14:paraId="524C84B4" w14:textId="5A2F8E7F" w:rsidR="00993707" w:rsidRPr="00993707" w:rsidRDefault="00993707" w:rsidP="00993707">
            <w:pPr>
              <w:spacing w:after="120"/>
              <w:rPr>
                <w:strike/>
              </w:rPr>
            </w:pPr>
            <w:r w:rsidRPr="00993707">
              <w:rPr>
                <w:i/>
              </w:rPr>
              <w:t>The Application must pass ALL criteria to progress to Stage Two.</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vAlign w:val="center"/>
          </w:tcPr>
          <w:p w14:paraId="5C8BCC06" w14:textId="6D7A8310" w:rsidR="00993707" w:rsidRPr="008E7BA7" w:rsidRDefault="00993707" w:rsidP="00993707">
            <w:pPr>
              <w:keepLines/>
              <w:jc w:val="both"/>
              <w:rPr>
                <w:strike/>
                <w:color w:val="2B579A"/>
                <w:sz w:val="20"/>
                <w:shd w:val="clear" w:color="auto" w:fill="E6E6E6"/>
              </w:rPr>
            </w:pPr>
            <w:r w:rsidRPr="2D81A584">
              <w:rPr>
                <w:b/>
              </w:rPr>
              <w:t>Pass/Fail</w:t>
            </w:r>
          </w:p>
        </w:tc>
      </w:tr>
      <w:tr w:rsidR="00663B30" w:rsidRPr="008E7BA7" w14:paraId="6C3349BE" w14:textId="77777777" w:rsidTr="008E7BA7">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596F6DBA" w14:textId="7B4784AE" w:rsidR="00663B30" w:rsidRPr="00993707" w:rsidRDefault="008C1350" w:rsidP="00993707">
            <w:pPr>
              <w:pStyle w:val="ListParagraph"/>
              <w:numPr>
                <w:ilvl w:val="0"/>
                <w:numId w:val="11"/>
              </w:numPr>
              <w:spacing w:after="120"/>
              <w:rPr>
                <w:strike/>
              </w:rPr>
            </w:pPr>
            <w:r>
              <w:rPr>
                <w:strike/>
              </w:rPr>
              <w:t>[</w:t>
            </w:r>
            <w:r w:rsidR="00663B30" w:rsidRPr="00993707">
              <w:rPr>
                <w:strike/>
              </w:rPr>
              <w:t>The requested CEC cost share funding meets the requirements specified in the Eligible Federal Funding Opportunities section (Section II.A.) of this solicitation.</w:t>
            </w:r>
            <w:r>
              <w:rPr>
                <w:strike/>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22D1649E" w14:textId="77777777" w:rsidR="00663B30" w:rsidRPr="008E7BA7" w:rsidRDefault="00663B30" w:rsidP="008E7BA7">
            <w:pPr>
              <w:keepLines/>
              <w:jc w:val="both"/>
              <w:rPr>
                <w:strike/>
                <w:sz w:val="20"/>
              </w:rPr>
            </w:pPr>
            <w:r w:rsidRPr="008E7BA7">
              <w:rPr>
                <w:strike/>
                <w:color w:val="2B579A"/>
                <w:sz w:val="20"/>
                <w:shd w:val="clear" w:color="auto" w:fill="E6E6E6"/>
              </w:rPr>
              <w:fldChar w:fldCharType="begin">
                <w:ffData>
                  <w:name w:val="Check30"/>
                  <w:enabled/>
                  <w:calcOnExit w:val="0"/>
                  <w:checkBox>
                    <w:sizeAuto/>
                    <w:default w:val="0"/>
                  </w:checkBox>
                </w:ffData>
              </w:fldChar>
            </w:r>
            <w:r w:rsidRPr="008E7BA7">
              <w:rPr>
                <w:strike/>
                <w:sz w:val="20"/>
              </w:rPr>
              <w:instrText xml:space="preserve"> FORMCHECKBOX </w:instrText>
            </w:r>
            <w:r w:rsidR="002539FF">
              <w:rPr>
                <w:strike/>
                <w:color w:val="2B579A"/>
                <w:sz w:val="20"/>
                <w:shd w:val="clear" w:color="auto" w:fill="E6E6E6"/>
              </w:rPr>
            </w:r>
            <w:r w:rsidR="002539FF">
              <w:rPr>
                <w:strike/>
                <w:color w:val="2B579A"/>
                <w:sz w:val="20"/>
                <w:shd w:val="clear" w:color="auto" w:fill="E6E6E6"/>
              </w:rPr>
              <w:fldChar w:fldCharType="separate"/>
            </w:r>
            <w:r w:rsidRPr="008E7BA7">
              <w:rPr>
                <w:strike/>
                <w:color w:val="2B579A"/>
                <w:sz w:val="20"/>
                <w:shd w:val="clear" w:color="auto" w:fill="E6E6E6"/>
              </w:rPr>
              <w:fldChar w:fldCharType="end"/>
            </w:r>
            <w:r w:rsidRPr="008E7BA7">
              <w:rPr>
                <w:strike/>
                <w:sz w:val="20"/>
              </w:rPr>
              <w:t xml:space="preserve"> Pass   </w:t>
            </w:r>
            <w:r w:rsidRPr="008E7BA7">
              <w:rPr>
                <w:strike/>
                <w:color w:val="2B579A"/>
                <w:sz w:val="20"/>
                <w:shd w:val="clear" w:color="auto" w:fill="E6E6E6"/>
              </w:rPr>
              <w:fldChar w:fldCharType="begin">
                <w:ffData>
                  <w:name w:val="Check30"/>
                  <w:enabled/>
                  <w:calcOnExit w:val="0"/>
                  <w:checkBox>
                    <w:sizeAuto/>
                    <w:default w:val="0"/>
                  </w:checkBox>
                </w:ffData>
              </w:fldChar>
            </w:r>
            <w:r w:rsidRPr="008E7BA7">
              <w:rPr>
                <w:strike/>
                <w:sz w:val="20"/>
              </w:rPr>
              <w:instrText xml:space="preserve"> FORMCHECKBOX </w:instrText>
            </w:r>
            <w:r w:rsidR="002539FF">
              <w:rPr>
                <w:strike/>
                <w:color w:val="2B579A"/>
                <w:sz w:val="20"/>
                <w:shd w:val="clear" w:color="auto" w:fill="E6E6E6"/>
              </w:rPr>
            </w:r>
            <w:r w:rsidR="002539FF">
              <w:rPr>
                <w:strike/>
                <w:color w:val="2B579A"/>
                <w:sz w:val="20"/>
                <w:shd w:val="clear" w:color="auto" w:fill="E6E6E6"/>
              </w:rPr>
              <w:fldChar w:fldCharType="separate"/>
            </w:r>
            <w:r w:rsidRPr="008E7BA7">
              <w:rPr>
                <w:strike/>
                <w:color w:val="2B579A"/>
                <w:sz w:val="20"/>
                <w:shd w:val="clear" w:color="auto" w:fill="E6E6E6"/>
              </w:rPr>
              <w:fldChar w:fldCharType="end"/>
            </w:r>
            <w:r w:rsidRPr="008E7BA7">
              <w:rPr>
                <w:strike/>
                <w:sz w:val="20"/>
              </w:rPr>
              <w:t xml:space="preserve"> Fail</w:t>
            </w:r>
          </w:p>
          <w:p w14:paraId="560DD864" w14:textId="77777777" w:rsidR="00663B30" w:rsidRPr="008E7BA7" w:rsidRDefault="00663B30" w:rsidP="008E7BA7">
            <w:pPr>
              <w:keepLines/>
              <w:jc w:val="both"/>
              <w:rPr>
                <w:strike/>
                <w:sz w:val="20"/>
              </w:rPr>
            </w:pPr>
          </w:p>
        </w:tc>
      </w:tr>
      <w:tr w:rsidR="00663B30" w:rsidRPr="008E7BA7" w14:paraId="64BF33EC" w14:textId="77777777" w:rsidTr="008E7BA7">
        <w:tc>
          <w:tcPr>
            <w:tcW w:w="7231" w:type="dxa"/>
          </w:tcPr>
          <w:p w14:paraId="06A100ED" w14:textId="2364A25B" w:rsidR="00663B30" w:rsidRPr="00993707" w:rsidRDefault="008C1350" w:rsidP="00993707">
            <w:pPr>
              <w:pStyle w:val="ListParagraph"/>
              <w:numPr>
                <w:ilvl w:val="0"/>
                <w:numId w:val="11"/>
              </w:numPr>
              <w:spacing w:after="120"/>
              <w:jc w:val="both"/>
              <w:rPr>
                <w:strike/>
                <w:noProof/>
              </w:rPr>
            </w:pPr>
            <w:r>
              <w:rPr>
                <w:strike/>
              </w:rPr>
              <w:t>[</w:t>
            </w:r>
            <w:r w:rsidR="00663B30" w:rsidRPr="00993707">
              <w:rPr>
                <w:strike/>
              </w:rPr>
              <w:t>The Application includes Commitment Letters that total to the required remaining amount of cost share beyond the requested CEC cost share.</w:t>
            </w:r>
            <w:r>
              <w:rPr>
                <w:strike/>
              </w:rPr>
              <w:t>]</w:t>
            </w:r>
          </w:p>
        </w:tc>
        <w:tc>
          <w:tcPr>
            <w:tcW w:w="2119" w:type="dxa"/>
          </w:tcPr>
          <w:p w14:paraId="69AD4429" w14:textId="77777777" w:rsidR="00663B30" w:rsidRPr="008E7BA7" w:rsidRDefault="00663B30" w:rsidP="008E7BA7">
            <w:pPr>
              <w:keepLines/>
              <w:jc w:val="both"/>
              <w:rPr>
                <w:strike/>
                <w:noProof/>
              </w:rPr>
            </w:pPr>
            <w:r w:rsidRPr="008E7BA7">
              <w:rPr>
                <w:strike/>
                <w:color w:val="2B579A"/>
                <w:sz w:val="20"/>
                <w:shd w:val="clear" w:color="auto" w:fill="E6E6E6"/>
              </w:rPr>
              <w:fldChar w:fldCharType="begin">
                <w:ffData>
                  <w:name w:val="Check30"/>
                  <w:enabled/>
                  <w:calcOnExit w:val="0"/>
                  <w:checkBox>
                    <w:sizeAuto/>
                    <w:default w:val="0"/>
                  </w:checkBox>
                </w:ffData>
              </w:fldChar>
            </w:r>
            <w:r w:rsidRPr="008E7BA7">
              <w:rPr>
                <w:strike/>
                <w:sz w:val="20"/>
              </w:rPr>
              <w:instrText xml:space="preserve"> FORMCHECKBOX </w:instrText>
            </w:r>
            <w:r w:rsidR="002539FF">
              <w:rPr>
                <w:strike/>
                <w:color w:val="2B579A"/>
                <w:sz w:val="20"/>
                <w:shd w:val="clear" w:color="auto" w:fill="E6E6E6"/>
              </w:rPr>
            </w:r>
            <w:r w:rsidR="002539FF">
              <w:rPr>
                <w:strike/>
                <w:color w:val="2B579A"/>
                <w:sz w:val="20"/>
                <w:shd w:val="clear" w:color="auto" w:fill="E6E6E6"/>
              </w:rPr>
              <w:fldChar w:fldCharType="separate"/>
            </w:r>
            <w:r w:rsidRPr="008E7BA7">
              <w:rPr>
                <w:strike/>
                <w:color w:val="2B579A"/>
                <w:sz w:val="20"/>
                <w:shd w:val="clear" w:color="auto" w:fill="E6E6E6"/>
              </w:rPr>
              <w:fldChar w:fldCharType="end"/>
            </w:r>
            <w:r w:rsidRPr="008E7BA7">
              <w:rPr>
                <w:strike/>
                <w:sz w:val="20"/>
              </w:rPr>
              <w:t xml:space="preserve"> </w:t>
            </w:r>
            <w:r w:rsidRPr="008E7BA7">
              <w:rPr>
                <w:strike/>
                <w:noProof/>
              </w:rPr>
              <w:t xml:space="preserve">Pass   </w:t>
            </w:r>
            <w:r w:rsidRPr="008E7BA7">
              <w:rPr>
                <w:strike/>
                <w:color w:val="2B579A"/>
                <w:sz w:val="20"/>
                <w:shd w:val="clear" w:color="auto" w:fill="E6E6E6"/>
              </w:rPr>
              <w:fldChar w:fldCharType="begin">
                <w:ffData>
                  <w:name w:val="Check30"/>
                  <w:enabled/>
                  <w:calcOnExit w:val="0"/>
                  <w:checkBox>
                    <w:sizeAuto/>
                    <w:default w:val="0"/>
                  </w:checkBox>
                </w:ffData>
              </w:fldChar>
            </w:r>
            <w:r w:rsidRPr="008E7BA7">
              <w:rPr>
                <w:strike/>
                <w:sz w:val="20"/>
              </w:rPr>
              <w:instrText xml:space="preserve"> FORMCHECKBOX </w:instrText>
            </w:r>
            <w:r w:rsidR="002539FF">
              <w:rPr>
                <w:strike/>
                <w:color w:val="2B579A"/>
                <w:sz w:val="20"/>
                <w:shd w:val="clear" w:color="auto" w:fill="E6E6E6"/>
              </w:rPr>
            </w:r>
            <w:r w:rsidR="002539FF">
              <w:rPr>
                <w:strike/>
                <w:color w:val="2B579A"/>
                <w:sz w:val="20"/>
                <w:shd w:val="clear" w:color="auto" w:fill="E6E6E6"/>
              </w:rPr>
              <w:fldChar w:fldCharType="separate"/>
            </w:r>
            <w:r w:rsidRPr="008E7BA7">
              <w:rPr>
                <w:strike/>
                <w:color w:val="2B579A"/>
                <w:sz w:val="20"/>
                <w:shd w:val="clear" w:color="auto" w:fill="E6E6E6"/>
              </w:rPr>
              <w:fldChar w:fldCharType="end"/>
            </w:r>
            <w:r w:rsidRPr="008E7BA7">
              <w:rPr>
                <w:strike/>
                <w:sz w:val="20"/>
              </w:rPr>
              <w:t xml:space="preserve"> </w:t>
            </w:r>
            <w:r w:rsidRPr="008E7BA7">
              <w:rPr>
                <w:strike/>
                <w:noProof/>
              </w:rPr>
              <w:t>Fail</w:t>
            </w:r>
          </w:p>
          <w:p w14:paraId="371CBE59" w14:textId="77777777" w:rsidR="00663B30" w:rsidRPr="008E7BA7" w:rsidRDefault="00663B30" w:rsidP="008E7BA7">
            <w:pPr>
              <w:keepLines/>
              <w:jc w:val="both"/>
              <w:rPr>
                <w:strike/>
                <w:noProof/>
              </w:rPr>
            </w:pPr>
          </w:p>
        </w:tc>
      </w:tr>
    </w:tbl>
    <w:p w14:paraId="3A5F287A" w14:textId="77777777" w:rsidR="008D07B2" w:rsidRDefault="008D07B2" w:rsidP="008D07B2">
      <w:pPr>
        <w:rPr>
          <w:lang w:val="fr-FR"/>
        </w:rPr>
      </w:pPr>
    </w:p>
    <w:p w14:paraId="02C38C07" w14:textId="77777777" w:rsidR="008D07B2" w:rsidRPr="008D07B2" w:rsidRDefault="008D07B2" w:rsidP="008D07B2">
      <w:pPr>
        <w:rPr>
          <w:lang w:val="fr-FR"/>
        </w:rPr>
      </w:pPr>
    </w:p>
    <w:p w14:paraId="01C4D744" w14:textId="75B948A3" w:rsidR="006D1097" w:rsidRPr="00A22B49" w:rsidRDefault="00C36953" w:rsidP="00655A8E">
      <w:pPr>
        <w:rPr>
          <w:rFonts w:cs="Arial"/>
          <w:lang w:val="fr-FR"/>
        </w:rPr>
      </w:pPr>
      <w:r w:rsidRPr="00A22B49">
        <w:rPr>
          <w:rFonts w:cs="Arial"/>
          <w:lang w:val="fr-FR"/>
        </w:rPr>
        <w:t>Marissa Sutton</w:t>
      </w:r>
    </w:p>
    <w:p w14:paraId="45C35E8E" w14:textId="47AAE29F" w:rsidR="00620F92" w:rsidRPr="00A03C11" w:rsidRDefault="00620F92" w:rsidP="00655A8E">
      <w:pPr>
        <w:rPr>
          <w:rFonts w:cs="Arial"/>
        </w:rPr>
      </w:pPr>
      <w:r w:rsidRPr="00A22B49">
        <w:rPr>
          <w:rFonts w:cs="Arial"/>
          <w:lang w:val="fr-FR"/>
        </w:rPr>
        <w:t>Commission Agreement Officer</w:t>
      </w:r>
      <w:bookmarkEnd w:id="0"/>
    </w:p>
    <w:sectPr w:rsidR="00620F92" w:rsidRPr="00A03C11" w:rsidSect="00DA5EE3">
      <w:headerReference w:type="first" r:id="rId11"/>
      <w:footerReference w:type="first" r:id="rId12"/>
      <w:pgSz w:w="12240" w:h="15840"/>
      <w:pgMar w:top="1440"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AFE7" w14:textId="77777777" w:rsidR="00263F58" w:rsidRDefault="00263F58" w:rsidP="00F86D2B">
      <w:r>
        <w:separator/>
      </w:r>
    </w:p>
  </w:endnote>
  <w:endnote w:type="continuationSeparator" w:id="0">
    <w:p w14:paraId="382DD6D9" w14:textId="77777777" w:rsidR="00263F58" w:rsidRDefault="00263F58" w:rsidP="00F86D2B">
      <w:r>
        <w:continuationSeparator/>
      </w:r>
    </w:p>
  </w:endnote>
  <w:endnote w:type="continuationNotice" w:id="1">
    <w:p w14:paraId="53AD82DD" w14:textId="77777777" w:rsidR="00263F58" w:rsidRDefault="0026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40BD" w14:textId="4F717E53" w:rsidR="00545BCE" w:rsidRPr="00881871" w:rsidRDefault="00881871" w:rsidP="00E118E0">
    <w:pPr>
      <w:pStyle w:val="Footer"/>
      <w:tabs>
        <w:tab w:val="clear" w:pos="4320"/>
        <w:tab w:val="center" w:pos="4680"/>
      </w:tabs>
      <w:rPr>
        <w:rFonts w:cs="Arial"/>
        <w:sz w:val="22"/>
        <w:szCs w:val="22"/>
      </w:rPr>
    </w:pPr>
    <w:r w:rsidRPr="00881871">
      <w:rPr>
        <w:rFonts w:cs="Arial"/>
        <w:sz w:val="22"/>
        <w:szCs w:val="22"/>
      </w:rPr>
      <w:tab/>
      <w:t xml:space="preserve">Page </w:t>
    </w:r>
    <w:r w:rsidRPr="00881871">
      <w:rPr>
        <w:rFonts w:cs="Arial"/>
        <w:sz w:val="22"/>
        <w:szCs w:val="22"/>
      </w:rPr>
      <w:fldChar w:fldCharType="begin"/>
    </w:r>
    <w:r w:rsidRPr="00881871">
      <w:rPr>
        <w:rFonts w:cs="Arial"/>
        <w:sz w:val="22"/>
        <w:szCs w:val="22"/>
      </w:rPr>
      <w:instrText xml:space="preserve"> PAGE  \* Arabic  \* MERGEFORMAT </w:instrText>
    </w:r>
    <w:r w:rsidRPr="00881871">
      <w:rPr>
        <w:rFonts w:cs="Arial"/>
        <w:sz w:val="22"/>
        <w:szCs w:val="22"/>
      </w:rPr>
      <w:fldChar w:fldCharType="separate"/>
    </w:r>
    <w:r w:rsidRPr="00881871">
      <w:rPr>
        <w:rFonts w:cs="Arial"/>
        <w:sz w:val="22"/>
        <w:szCs w:val="22"/>
      </w:rPr>
      <w:t>2</w:t>
    </w:r>
    <w:r w:rsidRPr="00881871">
      <w:rPr>
        <w:rFonts w:cs="Arial"/>
        <w:sz w:val="22"/>
        <w:szCs w:val="22"/>
      </w:rPr>
      <w:fldChar w:fldCharType="end"/>
    </w:r>
    <w:r w:rsidRPr="00881871">
      <w:rPr>
        <w:rFonts w:cs="Arial"/>
        <w:sz w:val="22"/>
        <w:szCs w:val="22"/>
      </w:rPr>
      <w:t xml:space="preserve"> of </w:t>
    </w:r>
    <w:r w:rsidRPr="00881871">
      <w:rPr>
        <w:rFonts w:cs="Arial"/>
        <w:sz w:val="22"/>
        <w:szCs w:val="22"/>
      </w:rPr>
      <w:fldChar w:fldCharType="begin"/>
    </w:r>
    <w:r w:rsidRPr="00881871">
      <w:rPr>
        <w:rFonts w:cs="Arial"/>
        <w:sz w:val="22"/>
        <w:szCs w:val="22"/>
      </w:rPr>
      <w:instrText xml:space="preserve"> NUMPAGES  \* Arabic  \* MERGEFORMAT </w:instrText>
    </w:r>
    <w:r w:rsidRPr="00881871">
      <w:rPr>
        <w:rFonts w:cs="Arial"/>
        <w:sz w:val="22"/>
        <w:szCs w:val="22"/>
      </w:rPr>
      <w:fldChar w:fldCharType="separate"/>
    </w:r>
    <w:r w:rsidRPr="00881871">
      <w:rPr>
        <w:rFonts w:cs="Arial"/>
        <w:sz w:val="22"/>
        <w:szCs w:val="22"/>
      </w:rPr>
      <w:t>6</w:t>
    </w:r>
    <w:r w:rsidRPr="00881871">
      <w:rPr>
        <w:rFonts w:cs="Arial"/>
        <w:sz w:val="22"/>
        <w:szCs w:val="22"/>
      </w:rPr>
      <w:fldChar w:fldCharType="end"/>
    </w:r>
    <w:r w:rsidRPr="00881871">
      <w:rPr>
        <w:rFonts w:cs="Arial"/>
        <w:sz w:val="22"/>
        <w:szCs w:val="22"/>
      </w:rPr>
      <w:tab/>
      <w:t xml:space="preserve">                             </w:t>
    </w:r>
    <w:r w:rsidR="00E118E0">
      <w:rPr>
        <w:rFonts w:cs="Arial"/>
        <w:sz w:val="22"/>
        <w:szCs w:val="22"/>
      </w:rPr>
      <w:t xml:space="preserve">            </w:t>
    </w:r>
    <w:r w:rsidR="00400496">
      <w:rPr>
        <w:rFonts w:cs="Arial"/>
        <w:sz w:val="22"/>
        <w:szCs w:val="22"/>
      </w:rPr>
      <w:t>GFO</w:t>
    </w:r>
    <w:r w:rsidRPr="00881871">
      <w:rPr>
        <w:rFonts w:cs="Arial"/>
        <w:sz w:val="22"/>
        <w:szCs w:val="22"/>
      </w:rPr>
      <w:t>-2</w:t>
    </w:r>
    <w:r w:rsidR="00922B72">
      <w:rPr>
        <w:rFonts w:cs="Arial"/>
        <w:sz w:val="22"/>
        <w:szCs w:val="22"/>
      </w:rPr>
      <w:t>2</w:t>
    </w:r>
    <w:r w:rsidRPr="00881871">
      <w:rPr>
        <w:rFonts w:cs="Arial"/>
        <w:sz w:val="22"/>
        <w:szCs w:val="22"/>
      </w:rPr>
      <w:t>-</w:t>
    </w:r>
    <w:r w:rsidR="00400496">
      <w:rPr>
        <w:rFonts w:cs="Arial"/>
        <w:sz w:val="22"/>
        <w:szCs w:val="22"/>
      </w:rPr>
      <w:t>90</w:t>
    </w:r>
    <w:r w:rsidR="00922B72">
      <w:rPr>
        <w:rFonts w:cs="Arial"/>
        <w:sz w:val="22"/>
        <w:szCs w:val="22"/>
      </w:rPr>
      <w:t>3</w:t>
    </w:r>
    <w:r w:rsidR="00E118E0">
      <w:rPr>
        <w:rFonts w:cs="Arial"/>
        <w:sz w:val="22"/>
        <w:szCs w:val="22"/>
      </w:rPr>
      <w:t>-</w:t>
    </w:r>
    <w:r w:rsidR="00922B72">
      <w:rPr>
        <w:rFonts w:cs="Arial"/>
        <w:sz w:val="22"/>
        <w:szCs w:val="22"/>
      </w:rPr>
      <w:t>01</w:t>
    </w:r>
  </w:p>
  <w:p w14:paraId="7D1CC783" w14:textId="77777777" w:rsidR="00881871" w:rsidRPr="00CE248B" w:rsidRDefault="00881871" w:rsidP="00881871">
    <w:pPr>
      <w:pStyle w:val="Footer"/>
    </w:pPr>
  </w:p>
  <w:p w14:paraId="3FB80B95" w14:textId="6EE5179D" w:rsidR="00655A8E" w:rsidRDefault="00655A8E" w:rsidP="002D11A5">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130F" w14:textId="77777777" w:rsidR="00263F58" w:rsidRDefault="00263F58" w:rsidP="00F86D2B">
      <w:r>
        <w:separator/>
      </w:r>
    </w:p>
  </w:footnote>
  <w:footnote w:type="continuationSeparator" w:id="0">
    <w:p w14:paraId="2A86B6D7" w14:textId="77777777" w:rsidR="00263F58" w:rsidRDefault="00263F58" w:rsidP="00F86D2B">
      <w:r>
        <w:continuationSeparator/>
      </w:r>
    </w:p>
  </w:footnote>
  <w:footnote w:type="continuationNotice" w:id="1">
    <w:p w14:paraId="490BD8B2" w14:textId="77777777" w:rsidR="00263F58" w:rsidRDefault="0026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B231" w14:textId="77777777" w:rsidR="00655A8E" w:rsidRDefault="00655A8E" w:rsidP="002D11A5">
    <w:pPr>
      <w:pStyle w:val="Header"/>
      <w:ind w:hanging="1800"/>
    </w:pPr>
  </w:p>
  <w:p w14:paraId="4323C9A8" w14:textId="4A197524" w:rsidR="00655A8E" w:rsidRDefault="00655A8E"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436F"/>
    <w:multiLevelType w:val="hybridMultilevel"/>
    <w:tmpl w:val="B9D6F4A8"/>
    <w:lvl w:ilvl="0" w:tplc="F4FAA1DA">
      <w:start w:val="1"/>
      <w:numFmt w:val="lowerLetter"/>
      <w:lvlText w:val="%1."/>
      <w:lvlJc w:val="left"/>
      <w:pPr>
        <w:ind w:left="-360" w:hanging="360"/>
      </w:pPr>
      <w:rPr>
        <w:b w:val="0"/>
        <w:i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 w15:restartNumberingAfterBreak="0">
    <w:nsid w:val="357F78C5"/>
    <w:multiLevelType w:val="hybridMultilevel"/>
    <w:tmpl w:val="86F6024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83796"/>
    <w:multiLevelType w:val="hybridMultilevel"/>
    <w:tmpl w:val="2C92250A"/>
    <w:lvl w:ilvl="0" w:tplc="DE6683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6" w15:restartNumberingAfterBreak="0">
    <w:nsid w:val="3BCB158B"/>
    <w:multiLevelType w:val="hybridMultilevel"/>
    <w:tmpl w:val="70E69C54"/>
    <w:lvl w:ilvl="0" w:tplc="CFDE149A">
      <w:start w:val="1"/>
      <w:numFmt w:val="bullet"/>
      <w:lvlText w:val=""/>
      <w:lvlJc w:val="left"/>
      <w:pPr>
        <w:ind w:left="720" w:hanging="360"/>
      </w:pPr>
      <w:rPr>
        <w:rFonts w:ascii="Symbol" w:hAnsi="Symbol" w:hint="default"/>
      </w:rPr>
    </w:lvl>
    <w:lvl w:ilvl="1" w:tplc="98488736">
      <w:start w:val="1"/>
      <w:numFmt w:val="bullet"/>
      <w:lvlText w:val="o"/>
      <w:lvlJc w:val="left"/>
      <w:pPr>
        <w:ind w:left="1440" w:hanging="360"/>
      </w:pPr>
      <w:rPr>
        <w:rFonts w:ascii="Courier New" w:hAnsi="Courier New" w:hint="default"/>
      </w:rPr>
    </w:lvl>
    <w:lvl w:ilvl="2" w:tplc="BB206CA8">
      <w:start w:val="1"/>
      <w:numFmt w:val="bullet"/>
      <w:lvlText w:val=""/>
      <w:lvlJc w:val="left"/>
      <w:pPr>
        <w:ind w:left="2160" w:hanging="360"/>
      </w:pPr>
      <w:rPr>
        <w:rFonts w:ascii="Wingdings" w:hAnsi="Wingdings" w:hint="default"/>
      </w:rPr>
    </w:lvl>
    <w:lvl w:ilvl="3" w:tplc="C0BA36FA">
      <w:start w:val="1"/>
      <w:numFmt w:val="bullet"/>
      <w:lvlText w:val=""/>
      <w:lvlJc w:val="left"/>
      <w:pPr>
        <w:ind w:left="2880" w:hanging="360"/>
      </w:pPr>
      <w:rPr>
        <w:rFonts w:ascii="Symbol" w:hAnsi="Symbol" w:hint="default"/>
      </w:rPr>
    </w:lvl>
    <w:lvl w:ilvl="4" w:tplc="7C541A30">
      <w:start w:val="1"/>
      <w:numFmt w:val="bullet"/>
      <w:lvlText w:val="o"/>
      <w:lvlJc w:val="left"/>
      <w:pPr>
        <w:ind w:left="3600" w:hanging="360"/>
      </w:pPr>
      <w:rPr>
        <w:rFonts w:ascii="Courier New" w:hAnsi="Courier New" w:hint="default"/>
      </w:rPr>
    </w:lvl>
    <w:lvl w:ilvl="5" w:tplc="0EBC9FB6">
      <w:start w:val="1"/>
      <w:numFmt w:val="bullet"/>
      <w:lvlText w:val=""/>
      <w:lvlJc w:val="left"/>
      <w:pPr>
        <w:ind w:left="4320" w:hanging="360"/>
      </w:pPr>
      <w:rPr>
        <w:rFonts w:ascii="Wingdings" w:hAnsi="Wingdings" w:hint="default"/>
      </w:rPr>
    </w:lvl>
    <w:lvl w:ilvl="6" w:tplc="8648F5A8">
      <w:start w:val="1"/>
      <w:numFmt w:val="bullet"/>
      <w:lvlText w:val=""/>
      <w:lvlJc w:val="left"/>
      <w:pPr>
        <w:ind w:left="5040" w:hanging="360"/>
      </w:pPr>
      <w:rPr>
        <w:rFonts w:ascii="Symbol" w:hAnsi="Symbol" w:hint="default"/>
      </w:rPr>
    </w:lvl>
    <w:lvl w:ilvl="7" w:tplc="DF1E45EC">
      <w:start w:val="1"/>
      <w:numFmt w:val="bullet"/>
      <w:lvlText w:val="o"/>
      <w:lvlJc w:val="left"/>
      <w:pPr>
        <w:ind w:left="5760" w:hanging="360"/>
      </w:pPr>
      <w:rPr>
        <w:rFonts w:ascii="Courier New" w:hAnsi="Courier New" w:hint="default"/>
      </w:rPr>
    </w:lvl>
    <w:lvl w:ilvl="8" w:tplc="E260168A">
      <w:start w:val="1"/>
      <w:numFmt w:val="bullet"/>
      <w:lvlText w:val=""/>
      <w:lvlJc w:val="left"/>
      <w:pPr>
        <w:ind w:left="6480" w:hanging="360"/>
      </w:pPr>
      <w:rPr>
        <w:rFonts w:ascii="Wingdings" w:hAnsi="Wingdings" w:hint="default"/>
      </w:rPr>
    </w:lvl>
  </w:abstractNum>
  <w:abstractNum w:abstractNumId="7" w15:restartNumberingAfterBreak="0">
    <w:nsid w:val="421F720F"/>
    <w:multiLevelType w:val="hybridMultilevel"/>
    <w:tmpl w:val="91781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D5767"/>
    <w:multiLevelType w:val="hybridMultilevel"/>
    <w:tmpl w:val="B3B85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2584317">
    <w:abstractNumId w:val="0"/>
  </w:num>
  <w:num w:numId="2" w16cid:durableId="1330937078">
    <w:abstractNumId w:val="4"/>
  </w:num>
  <w:num w:numId="3" w16cid:durableId="1558777577">
    <w:abstractNumId w:val="7"/>
  </w:num>
  <w:num w:numId="4" w16cid:durableId="1236890620">
    <w:abstractNumId w:val="10"/>
  </w:num>
  <w:num w:numId="5" w16cid:durableId="1753508063">
    <w:abstractNumId w:val="1"/>
  </w:num>
  <w:num w:numId="6" w16cid:durableId="450437354">
    <w:abstractNumId w:val="6"/>
  </w:num>
  <w:num w:numId="7" w16cid:durableId="1120998157">
    <w:abstractNumId w:val="9"/>
  </w:num>
  <w:num w:numId="8" w16cid:durableId="1005135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607175">
    <w:abstractNumId w:val="8"/>
  </w:num>
  <w:num w:numId="10" w16cid:durableId="170724729">
    <w:abstractNumId w:val="5"/>
  </w:num>
  <w:num w:numId="11" w16cid:durableId="637151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0EA8"/>
    <w:rsid w:val="00026DEF"/>
    <w:rsid w:val="00027125"/>
    <w:rsid w:val="00035F4D"/>
    <w:rsid w:val="00054BE2"/>
    <w:rsid w:val="000557AC"/>
    <w:rsid w:val="00055D91"/>
    <w:rsid w:val="00063265"/>
    <w:rsid w:val="00085B94"/>
    <w:rsid w:val="0009064B"/>
    <w:rsid w:val="000A0D55"/>
    <w:rsid w:val="000A1124"/>
    <w:rsid w:val="000D2CC7"/>
    <w:rsid w:val="000E31D6"/>
    <w:rsid w:val="00111611"/>
    <w:rsid w:val="00113622"/>
    <w:rsid w:val="0013466C"/>
    <w:rsid w:val="00144DE1"/>
    <w:rsid w:val="0014731B"/>
    <w:rsid w:val="001501DB"/>
    <w:rsid w:val="00180403"/>
    <w:rsid w:val="001A7ADE"/>
    <w:rsid w:val="001B5906"/>
    <w:rsid w:val="001C7538"/>
    <w:rsid w:val="001D58A5"/>
    <w:rsid w:val="001D5D15"/>
    <w:rsid w:val="001F62F3"/>
    <w:rsid w:val="002050A5"/>
    <w:rsid w:val="002061A7"/>
    <w:rsid w:val="002108D5"/>
    <w:rsid w:val="002308D5"/>
    <w:rsid w:val="002539FF"/>
    <w:rsid w:val="00263F58"/>
    <w:rsid w:val="0027768A"/>
    <w:rsid w:val="0028180C"/>
    <w:rsid w:val="002877D9"/>
    <w:rsid w:val="002A25EC"/>
    <w:rsid w:val="002A2635"/>
    <w:rsid w:val="002A5F7A"/>
    <w:rsid w:val="002C27C4"/>
    <w:rsid w:val="002D11A5"/>
    <w:rsid w:val="002D5486"/>
    <w:rsid w:val="002F4CEA"/>
    <w:rsid w:val="00300FB1"/>
    <w:rsid w:val="0030476D"/>
    <w:rsid w:val="00306C82"/>
    <w:rsid w:val="00333391"/>
    <w:rsid w:val="00334343"/>
    <w:rsid w:val="00345E8C"/>
    <w:rsid w:val="00347B06"/>
    <w:rsid w:val="00361BC9"/>
    <w:rsid w:val="00367E02"/>
    <w:rsid w:val="0039589D"/>
    <w:rsid w:val="003A357A"/>
    <w:rsid w:val="003B13A0"/>
    <w:rsid w:val="003B75DC"/>
    <w:rsid w:val="003D7519"/>
    <w:rsid w:val="003E0D2D"/>
    <w:rsid w:val="003E404F"/>
    <w:rsid w:val="003E53E4"/>
    <w:rsid w:val="003F0295"/>
    <w:rsid w:val="00400496"/>
    <w:rsid w:val="00405136"/>
    <w:rsid w:val="00406939"/>
    <w:rsid w:val="00412528"/>
    <w:rsid w:val="004154F8"/>
    <w:rsid w:val="00415DE9"/>
    <w:rsid w:val="004220FD"/>
    <w:rsid w:val="00430859"/>
    <w:rsid w:val="00437D5F"/>
    <w:rsid w:val="00443574"/>
    <w:rsid w:val="004504D5"/>
    <w:rsid w:val="00470EF6"/>
    <w:rsid w:val="004A1AAA"/>
    <w:rsid w:val="004A3789"/>
    <w:rsid w:val="004A4C18"/>
    <w:rsid w:val="004D128F"/>
    <w:rsid w:val="004D6D9E"/>
    <w:rsid w:val="004E4099"/>
    <w:rsid w:val="004E7972"/>
    <w:rsid w:val="004F5B50"/>
    <w:rsid w:val="00504BF3"/>
    <w:rsid w:val="0050519F"/>
    <w:rsid w:val="00512FB4"/>
    <w:rsid w:val="00524EA9"/>
    <w:rsid w:val="005253DA"/>
    <w:rsid w:val="00527817"/>
    <w:rsid w:val="00537D23"/>
    <w:rsid w:val="00542152"/>
    <w:rsid w:val="00545BCE"/>
    <w:rsid w:val="005568CA"/>
    <w:rsid w:val="00564795"/>
    <w:rsid w:val="00577D95"/>
    <w:rsid w:val="005947A9"/>
    <w:rsid w:val="005B6423"/>
    <w:rsid w:val="005D60F4"/>
    <w:rsid w:val="005E07CF"/>
    <w:rsid w:val="005E6FA2"/>
    <w:rsid w:val="005F165F"/>
    <w:rsid w:val="00603231"/>
    <w:rsid w:val="00612689"/>
    <w:rsid w:val="00620F92"/>
    <w:rsid w:val="006511D6"/>
    <w:rsid w:val="0065330E"/>
    <w:rsid w:val="00655A8E"/>
    <w:rsid w:val="00663B30"/>
    <w:rsid w:val="00666F32"/>
    <w:rsid w:val="00672555"/>
    <w:rsid w:val="0069350C"/>
    <w:rsid w:val="006A57AF"/>
    <w:rsid w:val="006B13F0"/>
    <w:rsid w:val="006D1097"/>
    <w:rsid w:val="006D3827"/>
    <w:rsid w:val="006D5E29"/>
    <w:rsid w:val="006E146A"/>
    <w:rsid w:val="007134AE"/>
    <w:rsid w:val="007202BB"/>
    <w:rsid w:val="007211FC"/>
    <w:rsid w:val="0072782E"/>
    <w:rsid w:val="007315FB"/>
    <w:rsid w:val="0073204F"/>
    <w:rsid w:val="00751C0F"/>
    <w:rsid w:val="00761F8B"/>
    <w:rsid w:val="007638E2"/>
    <w:rsid w:val="00772562"/>
    <w:rsid w:val="0077265A"/>
    <w:rsid w:val="00777798"/>
    <w:rsid w:val="00780124"/>
    <w:rsid w:val="0078154A"/>
    <w:rsid w:val="00782B87"/>
    <w:rsid w:val="00783717"/>
    <w:rsid w:val="00784D10"/>
    <w:rsid w:val="007B1932"/>
    <w:rsid w:val="007F2A31"/>
    <w:rsid w:val="0080248F"/>
    <w:rsid w:val="00810BB2"/>
    <w:rsid w:val="0081533B"/>
    <w:rsid w:val="008163DA"/>
    <w:rsid w:val="00826E03"/>
    <w:rsid w:val="008328DC"/>
    <w:rsid w:val="00846985"/>
    <w:rsid w:val="00847160"/>
    <w:rsid w:val="00856425"/>
    <w:rsid w:val="00881871"/>
    <w:rsid w:val="00891104"/>
    <w:rsid w:val="00891290"/>
    <w:rsid w:val="00892782"/>
    <w:rsid w:val="008946BB"/>
    <w:rsid w:val="008C1350"/>
    <w:rsid w:val="008C410B"/>
    <w:rsid w:val="008D07B2"/>
    <w:rsid w:val="008E1433"/>
    <w:rsid w:val="008E3926"/>
    <w:rsid w:val="008E7852"/>
    <w:rsid w:val="008F4457"/>
    <w:rsid w:val="00910710"/>
    <w:rsid w:val="0092077F"/>
    <w:rsid w:val="0092154B"/>
    <w:rsid w:val="00922B72"/>
    <w:rsid w:val="00922DAF"/>
    <w:rsid w:val="00930D5E"/>
    <w:rsid w:val="00936A26"/>
    <w:rsid w:val="009407F5"/>
    <w:rsid w:val="009637FE"/>
    <w:rsid w:val="009877D1"/>
    <w:rsid w:val="00992F60"/>
    <w:rsid w:val="00993707"/>
    <w:rsid w:val="009A203B"/>
    <w:rsid w:val="009A39EA"/>
    <w:rsid w:val="009E6C35"/>
    <w:rsid w:val="009E754B"/>
    <w:rsid w:val="009F018F"/>
    <w:rsid w:val="009F1A9F"/>
    <w:rsid w:val="009F4235"/>
    <w:rsid w:val="00A01E39"/>
    <w:rsid w:val="00A03C11"/>
    <w:rsid w:val="00A15FA8"/>
    <w:rsid w:val="00A17202"/>
    <w:rsid w:val="00A22B49"/>
    <w:rsid w:val="00A247BE"/>
    <w:rsid w:val="00A270DB"/>
    <w:rsid w:val="00A3384C"/>
    <w:rsid w:val="00A35812"/>
    <w:rsid w:val="00A36CF5"/>
    <w:rsid w:val="00A54599"/>
    <w:rsid w:val="00A6325D"/>
    <w:rsid w:val="00A73089"/>
    <w:rsid w:val="00A80ED1"/>
    <w:rsid w:val="00A80F03"/>
    <w:rsid w:val="00A8431B"/>
    <w:rsid w:val="00AC6A7D"/>
    <w:rsid w:val="00AC7C34"/>
    <w:rsid w:val="00AD21FC"/>
    <w:rsid w:val="00AE05B9"/>
    <w:rsid w:val="00AF5464"/>
    <w:rsid w:val="00B21303"/>
    <w:rsid w:val="00B3208A"/>
    <w:rsid w:val="00B71179"/>
    <w:rsid w:val="00B768B2"/>
    <w:rsid w:val="00B80DD2"/>
    <w:rsid w:val="00B80E72"/>
    <w:rsid w:val="00B84D31"/>
    <w:rsid w:val="00B906E9"/>
    <w:rsid w:val="00B9523A"/>
    <w:rsid w:val="00BA1317"/>
    <w:rsid w:val="00BA3F4C"/>
    <w:rsid w:val="00BB5DCD"/>
    <w:rsid w:val="00BD16AC"/>
    <w:rsid w:val="00BE6B97"/>
    <w:rsid w:val="00C00C96"/>
    <w:rsid w:val="00C01C97"/>
    <w:rsid w:val="00C03527"/>
    <w:rsid w:val="00C1039B"/>
    <w:rsid w:val="00C26ABA"/>
    <w:rsid w:val="00C35A6C"/>
    <w:rsid w:val="00C36953"/>
    <w:rsid w:val="00C64064"/>
    <w:rsid w:val="00C67037"/>
    <w:rsid w:val="00C7128C"/>
    <w:rsid w:val="00C80A51"/>
    <w:rsid w:val="00C91F5A"/>
    <w:rsid w:val="00C96BDD"/>
    <w:rsid w:val="00CA31DB"/>
    <w:rsid w:val="00CB6376"/>
    <w:rsid w:val="00CC5FB0"/>
    <w:rsid w:val="00CF5770"/>
    <w:rsid w:val="00CF79E0"/>
    <w:rsid w:val="00D2177B"/>
    <w:rsid w:val="00D2292E"/>
    <w:rsid w:val="00D32C3D"/>
    <w:rsid w:val="00D431C2"/>
    <w:rsid w:val="00D43B83"/>
    <w:rsid w:val="00D453D0"/>
    <w:rsid w:val="00D552BE"/>
    <w:rsid w:val="00D660DF"/>
    <w:rsid w:val="00D66937"/>
    <w:rsid w:val="00D90B2E"/>
    <w:rsid w:val="00DA4C1B"/>
    <w:rsid w:val="00DA5EE3"/>
    <w:rsid w:val="00DA66D7"/>
    <w:rsid w:val="00DD488A"/>
    <w:rsid w:val="00E00162"/>
    <w:rsid w:val="00E118E0"/>
    <w:rsid w:val="00E12624"/>
    <w:rsid w:val="00E210F6"/>
    <w:rsid w:val="00E328FB"/>
    <w:rsid w:val="00E462F2"/>
    <w:rsid w:val="00E475F2"/>
    <w:rsid w:val="00E566A4"/>
    <w:rsid w:val="00E87F46"/>
    <w:rsid w:val="00E94A29"/>
    <w:rsid w:val="00E95AA9"/>
    <w:rsid w:val="00EA2133"/>
    <w:rsid w:val="00EA303B"/>
    <w:rsid w:val="00EA7BDE"/>
    <w:rsid w:val="00ED18F1"/>
    <w:rsid w:val="00EF1403"/>
    <w:rsid w:val="00EF3275"/>
    <w:rsid w:val="00F10885"/>
    <w:rsid w:val="00F10DFF"/>
    <w:rsid w:val="00F22AD4"/>
    <w:rsid w:val="00F33564"/>
    <w:rsid w:val="00F660D2"/>
    <w:rsid w:val="00F7450F"/>
    <w:rsid w:val="00F869BC"/>
    <w:rsid w:val="00F86D2B"/>
    <w:rsid w:val="00F90F6B"/>
    <w:rsid w:val="00F93142"/>
    <w:rsid w:val="00F947AC"/>
    <w:rsid w:val="00F95D8D"/>
    <w:rsid w:val="00F967DF"/>
    <w:rsid w:val="00FA7242"/>
    <w:rsid w:val="00FC0FAB"/>
    <w:rsid w:val="00FC11EC"/>
    <w:rsid w:val="00FD2A93"/>
    <w:rsid w:val="00FD4580"/>
    <w:rsid w:val="00FF773E"/>
    <w:rsid w:val="02FA1307"/>
    <w:rsid w:val="0CA62781"/>
    <w:rsid w:val="0CDE3617"/>
    <w:rsid w:val="0D88B886"/>
    <w:rsid w:val="135825FE"/>
    <w:rsid w:val="176E00DC"/>
    <w:rsid w:val="2E95CDB2"/>
    <w:rsid w:val="3703E55F"/>
    <w:rsid w:val="3CA15936"/>
    <w:rsid w:val="4F548F60"/>
    <w:rsid w:val="5410FCFF"/>
    <w:rsid w:val="61D70E50"/>
    <w:rsid w:val="6737570A"/>
    <w:rsid w:val="7430D2B5"/>
    <w:rsid w:val="77C70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1FB2D7A3-85D8-4202-8BD4-486328E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eastAsia="Calibri"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82B87"/>
    <w:pPr>
      <w:ind w:left="720"/>
      <w:contextualSpacing/>
    </w:pPr>
    <w:rPr>
      <w:rFonts w:eastAsiaTheme="minorHAnsi" w:cs="Arial"/>
      <w:szCs w:val="22"/>
    </w:rPr>
  </w:style>
  <w:style w:type="character" w:styleId="UnresolvedMention">
    <w:name w:val="Unresolved Mention"/>
    <w:basedOn w:val="DefaultParagraphFont"/>
    <w:uiPriority w:val="99"/>
    <w:semiHidden/>
    <w:unhideWhenUsed/>
    <w:rsid w:val="00782B87"/>
    <w:rPr>
      <w:color w:val="605E5C"/>
      <w:shd w:val="clear" w:color="auto" w:fill="E1DFDD"/>
    </w:rPr>
  </w:style>
  <w:style w:type="table" w:customStyle="1" w:styleId="TableGrid4">
    <w:name w:val="Table Grid4"/>
    <w:basedOn w:val="TableNormal"/>
    <w:next w:val="TableGrid"/>
    <w:uiPriority w:val="59"/>
    <w:rsid w:val="00F10885"/>
    <w:rPr>
      <w:rFonts w:eastAsia="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235"/>
    <w:rPr>
      <w:sz w:val="16"/>
      <w:szCs w:val="16"/>
    </w:rPr>
  </w:style>
  <w:style w:type="paragraph" w:styleId="CommentText">
    <w:name w:val="annotation text"/>
    <w:basedOn w:val="Normal"/>
    <w:link w:val="CommentTextChar"/>
    <w:uiPriority w:val="99"/>
    <w:unhideWhenUsed/>
    <w:rsid w:val="009F4235"/>
    <w:rPr>
      <w:sz w:val="20"/>
      <w:szCs w:val="20"/>
    </w:rPr>
  </w:style>
  <w:style w:type="character" w:customStyle="1" w:styleId="CommentTextChar">
    <w:name w:val="Comment Text Char"/>
    <w:basedOn w:val="DefaultParagraphFont"/>
    <w:link w:val="CommentText"/>
    <w:uiPriority w:val="99"/>
    <w:rsid w:val="009F4235"/>
    <w:rPr>
      <w:sz w:val="20"/>
      <w:szCs w:val="20"/>
    </w:rPr>
  </w:style>
  <w:style w:type="paragraph" w:styleId="CommentSubject">
    <w:name w:val="annotation subject"/>
    <w:basedOn w:val="CommentText"/>
    <w:next w:val="CommentText"/>
    <w:link w:val="CommentSubjectChar"/>
    <w:uiPriority w:val="99"/>
    <w:semiHidden/>
    <w:unhideWhenUsed/>
    <w:rsid w:val="009F4235"/>
    <w:rPr>
      <w:b/>
      <w:bCs/>
    </w:rPr>
  </w:style>
  <w:style w:type="character" w:customStyle="1" w:styleId="CommentSubjectChar">
    <w:name w:val="Comment Subject Char"/>
    <w:basedOn w:val="CommentTextChar"/>
    <w:link w:val="CommentSubject"/>
    <w:uiPriority w:val="99"/>
    <w:semiHidden/>
    <w:rsid w:val="009F4235"/>
    <w:rPr>
      <w:b/>
      <w:bCs/>
      <w:sz w:val="20"/>
      <w:szCs w:val="20"/>
    </w:rPr>
  </w:style>
  <w:style w:type="character" w:customStyle="1" w:styleId="ListParagraphChar">
    <w:name w:val="List Paragraph Char"/>
    <w:basedOn w:val="DefaultParagraphFont"/>
    <w:link w:val="ListParagraph"/>
    <w:uiPriority w:val="34"/>
    <w:locked/>
    <w:rsid w:val="00A22B49"/>
    <w:rPr>
      <w:rFonts w:eastAsiaTheme="minorHAnsi" w:cs="Arial"/>
      <w:szCs w:val="22"/>
    </w:rPr>
  </w:style>
  <w:style w:type="character" w:styleId="Mention">
    <w:name w:val="Mention"/>
    <w:basedOn w:val="DefaultParagraphFont"/>
    <w:uiPriority w:val="99"/>
    <w:unhideWhenUsed/>
    <w:rsid w:val="0072782E"/>
    <w:rPr>
      <w:color w:val="2B579A"/>
      <w:shd w:val="clear" w:color="auto" w:fill="E6E6E6"/>
    </w:rPr>
  </w:style>
  <w:style w:type="paragraph" w:customStyle="1" w:styleId="HeadingNew1">
    <w:name w:val="Heading_New1"/>
    <w:basedOn w:val="Normal"/>
    <w:link w:val="HeadingNew1Char"/>
    <w:qFormat/>
    <w:rsid w:val="00564795"/>
    <w:pPr>
      <w:numPr>
        <w:numId w:val="7"/>
      </w:numPr>
      <w:spacing w:after="120"/>
      <w:jc w:val="both"/>
    </w:pPr>
    <w:rPr>
      <w:rFonts w:eastAsia="Times New Roman" w:cs="Arial"/>
      <w:b/>
      <w:sz w:val="22"/>
      <w:szCs w:val="22"/>
    </w:rPr>
  </w:style>
  <w:style w:type="character" w:customStyle="1" w:styleId="HeadingNew1Char">
    <w:name w:val="Heading_New1 Char"/>
    <w:basedOn w:val="DefaultParagraphFont"/>
    <w:link w:val="HeadingNew1"/>
    <w:rsid w:val="00564795"/>
    <w:rPr>
      <w:rFonts w:eastAsia="Times New Roman" w:cs="Arial"/>
      <w:b/>
      <w:sz w:val="22"/>
      <w:szCs w:val="22"/>
    </w:rPr>
  </w:style>
  <w:style w:type="paragraph" w:styleId="BodyText">
    <w:name w:val="Body Text"/>
    <w:aliases w:val="Body 1,Body Text Char1,Body Text Char Char,bt"/>
    <w:basedOn w:val="Normal"/>
    <w:link w:val="BodyTextChar"/>
    <w:uiPriority w:val="99"/>
    <w:rsid w:val="00993707"/>
    <w:pPr>
      <w:spacing w:before="240" w:after="240"/>
      <w:ind w:right="-14"/>
    </w:pPr>
    <w:rPr>
      <w:rFonts w:eastAsia="Times New Roman"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99370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05826-0E05-40FE-9666-133E6FDB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067c814-4b34-462c-a21d-c185ff6548d2"/>
    <ds:schemaRef ds:uri="785685f2-c2e1-4352-89aa-3faca8eaba52"/>
    <ds:schemaRef ds:uri="http://purl.org/dc/terms/"/>
    <ds:schemaRef ds:uri="http://purl.org/dc/elements/1.1/"/>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Sutton, Marissa@Energy</cp:lastModifiedBy>
  <cp:revision>29</cp:revision>
  <cp:lastPrinted>2019-04-08T16:38:00Z</cp:lastPrinted>
  <dcterms:created xsi:type="dcterms:W3CDTF">2024-10-11T18:53:00Z</dcterms:created>
  <dcterms:modified xsi:type="dcterms:W3CDTF">2024-10-22T18:06:00Z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