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5A1234DA" w:rsidR="00537618" w:rsidRPr="008F5691" w:rsidRDefault="009730FA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SECOND </w:t>
      </w:r>
      <w:r w:rsidR="65D3D825" w:rsidRPr="05C88F56">
        <w:rPr>
          <w:rFonts w:ascii="Tahoma" w:hAnsi="Tahoma" w:cs="Tahoma"/>
          <w:b/>
          <w:bCs/>
          <w:sz w:val="28"/>
          <w:szCs w:val="28"/>
        </w:rPr>
        <w:t xml:space="preserve">REVISED </w:t>
      </w:r>
      <w:r w:rsidR="00537618" w:rsidRPr="05C88F56">
        <w:rPr>
          <w:rFonts w:ascii="Tahoma" w:hAnsi="Tahoma" w:cs="Tahoma"/>
          <w:b/>
          <w:bCs/>
          <w:sz w:val="28"/>
          <w:szCs w:val="28"/>
        </w:rPr>
        <w:t>NOTICE OF PROPOSED AWARD (NOPA)</w:t>
      </w:r>
    </w:p>
    <w:p w14:paraId="102CD36B" w14:textId="42C0D30D" w:rsidR="05C88F56" w:rsidRDefault="05C88F56" w:rsidP="05C88F56">
      <w:pPr>
        <w:jc w:val="center"/>
        <w:rPr>
          <w:rFonts w:ascii="Tahoma" w:hAnsi="Tahoma" w:cs="Tahoma"/>
          <w:sz w:val="28"/>
          <w:szCs w:val="28"/>
          <w:u w:val="single"/>
        </w:rPr>
      </w:pPr>
    </w:p>
    <w:p w14:paraId="5244F68C" w14:textId="05F74D5D" w:rsidR="2A7D85F2" w:rsidRPr="00F378B5" w:rsidRDefault="2A7D85F2" w:rsidP="05C88F56">
      <w:pPr>
        <w:jc w:val="center"/>
        <w:rPr>
          <w:rFonts w:ascii="Tahoma" w:eastAsia="Tahoma" w:hAnsi="Tahoma" w:cs="Tahoma"/>
          <w:b/>
          <w:bCs/>
          <w:u w:val="single"/>
        </w:rPr>
      </w:pPr>
      <w:r w:rsidRPr="00F378B5">
        <w:rPr>
          <w:rFonts w:ascii="Tahoma" w:eastAsia="Times New Roman" w:hAnsi="Tahoma" w:cs="Tahoma"/>
          <w:b/>
          <w:bCs/>
          <w:color w:val="000000" w:themeColor="text1"/>
          <w:u w:val="single"/>
        </w:rPr>
        <w:t>Note: Added language appears in bold underline, and deleted language appears in [strikethrough] and within square brackets.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1BB413B5" w:rsidR="00537618" w:rsidRPr="00723285" w:rsidRDefault="0066015D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23285">
        <w:rPr>
          <w:rFonts w:ascii="Tahoma" w:hAnsi="Tahoma" w:cs="Tahoma"/>
          <w:b/>
          <w:bCs/>
        </w:rPr>
        <w:t>Grid-Supportive Transportation Electrification</w:t>
      </w:r>
    </w:p>
    <w:p w14:paraId="18BF6820" w14:textId="3E2B0C24" w:rsidR="00537618" w:rsidRPr="00723285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23285">
        <w:rPr>
          <w:rFonts w:ascii="Tahoma" w:hAnsi="Tahoma" w:cs="Tahoma"/>
          <w:b/>
          <w:bCs/>
        </w:rPr>
        <w:t xml:space="preserve"> </w:t>
      </w:r>
      <w:r w:rsidR="0066015D" w:rsidRPr="00723285">
        <w:rPr>
          <w:rFonts w:ascii="Tahoma" w:hAnsi="Tahoma" w:cs="Tahoma"/>
          <w:b/>
          <w:bCs/>
        </w:rPr>
        <w:t>GFO-23-306</w:t>
      </w:r>
    </w:p>
    <w:p w14:paraId="020A5B7C" w14:textId="35764AB6" w:rsidR="00537618" w:rsidRDefault="680CA093" w:rsidP="00537618">
      <w:pPr>
        <w:pStyle w:val="Default"/>
        <w:jc w:val="center"/>
        <w:rPr>
          <w:rFonts w:ascii="Tahoma" w:hAnsi="Tahoma" w:cs="Tahoma"/>
          <w:b/>
          <w:bCs/>
          <w:strike/>
          <w:color w:val="auto"/>
        </w:rPr>
      </w:pPr>
      <w:r w:rsidRPr="00B32F35">
        <w:rPr>
          <w:rFonts w:ascii="Tahoma" w:hAnsi="Tahoma" w:cs="Tahoma"/>
          <w:b/>
          <w:bCs/>
          <w:strike/>
          <w:color w:val="auto"/>
        </w:rPr>
        <w:t>September</w:t>
      </w:r>
      <w:r w:rsidR="008C3275" w:rsidRPr="00B32F35">
        <w:rPr>
          <w:rFonts w:ascii="Tahoma" w:hAnsi="Tahoma" w:cs="Tahoma"/>
          <w:b/>
          <w:bCs/>
          <w:strike/>
          <w:color w:val="auto"/>
        </w:rPr>
        <w:t xml:space="preserve"> </w:t>
      </w:r>
      <w:r w:rsidR="5237EBBC" w:rsidRPr="00B32F35">
        <w:rPr>
          <w:rFonts w:ascii="Tahoma" w:hAnsi="Tahoma" w:cs="Tahoma"/>
          <w:b/>
          <w:bCs/>
          <w:strike/>
          <w:color w:val="auto"/>
        </w:rPr>
        <w:t>18</w:t>
      </w:r>
      <w:r w:rsidR="008C3275" w:rsidRPr="00B32F35">
        <w:rPr>
          <w:rFonts w:ascii="Tahoma" w:hAnsi="Tahoma" w:cs="Tahoma"/>
          <w:b/>
          <w:bCs/>
          <w:strike/>
          <w:color w:val="auto"/>
        </w:rPr>
        <w:t>, 2024</w:t>
      </w:r>
    </w:p>
    <w:p w14:paraId="677F0567" w14:textId="62FF8DFF" w:rsidR="00B32F35" w:rsidRPr="00B32F35" w:rsidRDefault="00522263" w:rsidP="00537618">
      <w:pPr>
        <w:pStyle w:val="Default"/>
        <w:jc w:val="center"/>
        <w:rPr>
          <w:rFonts w:ascii="Tahoma" w:hAnsi="Tahoma" w:cs="Tahoma"/>
          <w:b/>
          <w:bCs/>
          <w:color w:val="auto"/>
          <w:u w:val="single"/>
        </w:rPr>
      </w:pPr>
      <w:r>
        <w:rPr>
          <w:rFonts w:ascii="Tahoma" w:hAnsi="Tahoma" w:cs="Tahoma"/>
          <w:b/>
          <w:bCs/>
          <w:color w:val="auto"/>
          <w:u w:val="single"/>
        </w:rPr>
        <w:t>December</w:t>
      </w:r>
      <w:r w:rsidR="00B32F35" w:rsidRPr="1DB79A48">
        <w:rPr>
          <w:rFonts w:ascii="Tahoma" w:hAnsi="Tahoma" w:cs="Tahoma"/>
          <w:b/>
          <w:bCs/>
          <w:color w:val="auto"/>
          <w:u w:val="single"/>
        </w:rPr>
        <w:t xml:space="preserve"> </w:t>
      </w:r>
      <w:r w:rsidR="00C4089B">
        <w:rPr>
          <w:rFonts w:ascii="Tahoma" w:hAnsi="Tahoma" w:cs="Tahoma"/>
          <w:b/>
          <w:bCs/>
          <w:color w:val="auto"/>
          <w:u w:val="single"/>
        </w:rPr>
        <w:t>3</w:t>
      </w:r>
      <w:r w:rsidR="00B32F35" w:rsidRPr="1DB79A48">
        <w:rPr>
          <w:rFonts w:ascii="Tahoma" w:hAnsi="Tahoma" w:cs="Tahoma"/>
          <w:b/>
          <w:bCs/>
          <w:color w:val="auto"/>
          <w:u w:val="single"/>
        </w:rPr>
        <w:t>, 2024</w:t>
      </w:r>
    </w:p>
    <w:p w14:paraId="62645EF0" w14:textId="77777777" w:rsidR="00537618" w:rsidRPr="00723285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027CFCE4" w:rsidR="00537618" w:rsidRPr="00723285" w:rsidRDefault="00537618" w:rsidP="00537618">
      <w:pPr>
        <w:rPr>
          <w:rFonts w:ascii="Tahoma" w:hAnsi="Tahoma" w:cs="Tahoma"/>
        </w:rPr>
      </w:pPr>
      <w:r w:rsidRPr="00723285">
        <w:rPr>
          <w:rFonts w:ascii="Tahoma" w:hAnsi="Tahoma" w:cs="Tahoma"/>
        </w:rPr>
        <w:t xml:space="preserve">On </w:t>
      </w:r>
      <w:r w:rsidR="00CB7A42" w:rsidRPr="00723285">
        <w:rPr>
          <w:rFonts w:ascii="Tahoma" w:hAnsi="Tahoma" w:cs="Tahoma"/>
        </w:rPr>
        <w:t xml:space="preserve">January </w:t>
      </w:r>
      <w:r w:rsidR="00870E3E" w:rsidRPr="00723285">
        <w:rPr>
          <w:rFonts w:ascii="Tahoma" w:hAnsi="Tahoma" w:cs="Tahoma"/>
        </w:rPr>
        <w:t>2, 2024</w:t>
      </w:r>
      <w:r w:rsidRPr="00723285">
        <w:rPr>
          <w:rFonts w:ascii="Tahoma" w:hAnsi="Tahoma" w:cs="Tahoma"/>
        </w:rPr>
        <w:t xml:space="preserve">, the California Energy Commission (CEC) released a competitive solicitation to fund </w:t>
      </w:r>
      <w:r w:rsidR="00723285" w:rsidRPr="00723285">
        <w:rPr>
          <w:rFonts w:ascii="Tahoma" w:hAnsi="Tahoma" w:cs="Tahoma"/>
        </w:rPr>
        <w:t xml:space="preserve">the </w:t>
      </w:r>
      <w:r w:rsidR="002D738A" w:rsidRPr="00723285">
        <w:rPr>
          <w:rFonts w:ascii="Tahoma" w:hAnsi="Tahoma" w:cs="Tahoma"/>
        </w:rPr>
        <w:t xml:space="preserve">development and demonstration of technologies that can (1) </w:t>
      </w:r>
      <w:r w:rsidR="00CD6B8D" w:rsidRPr="00723285">
        <w:rPr>
          <w:rFonts w:ascii="Tahoma" w:hAnsi="Tahoma" w:cs="Tahoma"/>
        </w:rPr>
        <w:t xml:space="preserve">avoid customer electrical service upgrades when installing electric vehicle chargers and enable managed charging in response to distribution grid conditions; (2) improve efficiency and scalability of high-power charging stations; and (3) </w:t>
      </w:r>
      <w:r w:rsidR="00723285" w:rsidRPr="00723285">
        <w:rPr>
          <w:rFonts w:ascii="Tahoma" w:hAnsi="Tahoma" w:cs="Tahoma"/>
        </w:rPr>
        <w:t>enable more flexible siting of charging infrastructure</w:t>
      </w:r>
      <w:r w:rsidRPr="00723285">
        <w:rPr>
          <w:rFonts w:ascii="Tahoma" w:hAnsi="Tahoma" w:cs="Tahoma"/>
        </w:rPr>
        <w:t>. Up to $</w:t>
      </w:r>
      <w:r w:rsidR="00870E3E" w:rsidRPr="00723285">
        <w:rPr>
          <w:rFonts w:ascii="Tahoma" w:hAnsi="Tahoma" w:cs="Tahoma"/>
        </w:rPr>
        <w:t>21,000,000</w:t>
      </w:r>
      <w:r w:rsidRPr="00723285">
        <w:rPr>
          <w:rFonts w:ascii="Tahoma" w:hAnsi="Tahoma" w:cs="Tahoma"/>
        </w:rPr>
        <w:t xml:space="preserve"> in Electric Program Investment Charge Program funding is available to fund applications in</w:t>
      </w:r>
      <w:r w:rsidR="00A55D9E" w:rsidRPr="00723285">
        <w:rPr>
          <w:rFonts w:ascii="Tahoma" w:hAnsi="Tahoma" w:cs="Tahoma"/>
        </w:rPr>
        <w:t xml:space="preserve"> the following groups</w:t>
      </w:r>
      <w:r w:rsidRPr="00723285">
        <w:rPr>
          <w:rFonts w:ascii="Tahoma" w:hAnsi="Tahoma" w:cs="Tahoma"/>
        </w:rPr>
        <w:t>:</w:t>
      </w:r>
    </w:p>
    <w:p w14:paraId="3B703D44" w14:textId="77777777" w:rsidR="00537618" w:rsidRPr="00723285" w:rsidRDefault="00537618" w:rsidP="00537618">
      <w:pPr>
        <w:rPr>
          <w:rFonts w:ascii="Tahoma" w:hAnsi="Tahoma" w:cs="Tahoma"/>
        </w:rPr>
      </w:pPr>
    </w:p>
    <w:p w14:paraId="5BEB1D96" w14:textId="7C27C0FD" w:rsidR="00537618" w:rsidRPr="00723285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723285">
        <w:rPr>
          <w:rFonts w:ascii="Tahoma" w:hAnsi="Tahoma" w:cs="Tahoma"/>
        </w:rPr>
        <w:t xml:space="preserve">Group </w:t>
      </w:r>
      <w:r w:rsidR="00A55D9E" w:rsidRPr="00723285">
        <w:rPr>
          <w:rFonts w:ascii="Tahoma" w:hAnsi="Tahoma" w:cs="Tahoma"/>
        </w:rPr>
        <w:t>1</w:t>
      </w:r>
      <w:r w:rsidRPr="00723285">
        <w:rPr>
          <w:rFonts w:ascii="Tahoma" w:hAnsi="Tahoma" w:cs="Tahoma"/>
        </w:rPr>
        <w:t xml:space="preserve">: </w:t>
      </w:r>
      <w:r w:rsidR="00DD7464" w:rsidRPr="00723285">
        <w:rPr>
          <w:rFonts w:ascii="Tahoma" w:hAnsi="Tahoma" w:cs="Tahoma"/>
        </w:rPr>
        <w:t>Technology Enablers for Flexible Transportation Electrification Connection</w:t>
      </w:r>
    </w:p>
    <w:p w14:paraId="65DAF30F" w14:textId="141286D6" w:rsidR="00537618" w:rsidRPr="00723285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723285">
        <w:rPr>
          <w:rFonts w:ascii="Tahoma" w:hAnsi="Tahoma" w:cs="Tahoma"/>
        </w:rPr>
        <w:t xml:space="preserve">Group </w:t>
      </w:r>
      <w:r w:rsidR="00A55D9E" w:rsidRPr="00723285">
        <w:rPr>
          <w:rFonts w:ascii="Tahoma" w:hAnsi="Tahoma" w:cs="Tahoma"/>
        </w:rPr>
        <w:t>2</w:t>
      </w:r>
      <w:r w:rsidRPr="00723285">
        <w:rPr>
          <w:rFonts w:ascii="Tahoma" w:hAnsi="Tahoma" w:cs="Tahoma"/>
        </w:rPr>
        <w:t xml:space="preserve">: </w:t>
      </w:r>
      <w:r w:rsidR="00DD7464" w:rsidRPr="00723285">
        <w:rPr>
          <w:rFonts w:ascii="Tahoma" w:hAnsi="Tahoma" w:cs="Tahoma"/>
        </w:rPr>
        <w:t>DC Hubs for Efficient and Scalable High-Power Charging</w:t>
      </w:r>
    </w:p>
    <w:p w14:paraId="1BAB720C" w14:textId="59A48853" w:rsidR="00537618" w:rsidRPr="00723285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60377235">
        <w:rPr>
          <w:rFonts w:ascii="Tahoma" w:hAnsi="Tahoma" w:cs="Tahoma"/>
        </w:rPr>
        <w:t xml:space="preserve">Group </w:t>
      </w:r>
      <w:r w:rsidR="00A55D9E" w:rsidRPr="60377235">
        <w:rPr>
          <w:rFonts w:ascii="Tahoma" w:hAnsi="Tahoma" w:cs="Tahoma"/>
        </w:rPr>
        <w:t>3</w:t>
      </w:r>
      <w:r w:rsidRPr="60377235">
        <w:rPr>
          <w:rFonts w:ascii="Tahoma" w:hAnsi="Tahoma" w:cs="Tahoma"/>
        </w:rPr>
        <w:t xml:space="preserve">: </w:t>
      </w:r>
      <w:r w:rsidR="00485E23" w:rsidRPr="60377235">
        <w:rPr>
          <w:rFonts w:ascii="Tahoma" w:hAnsi="Tahoma" w:cs="Tahoma"/>
        </w:rPr>
        <w:t>Innovative Opportunity Charging Solutions</w:t>
      </w:r>
      <w:r w:rsidR="3CA7321A" w:rsidRPr="60377235">
        <w:rPr>
          <w:rFonts w:ascii="Tahoma" w:hAnsi="Tahoma" w:cs="Tahoma"/>
        </w:rPr>
        <w:t xml:space="preserve"> </w:t>
      </w:r>
    </w:p>
    <w:p w14:paraId="1B4309E8" w14:textId="77777777" w:rsidR="00537618" w:rsidRPr="00723285" w:rsidRDefault="00537618" w:rsidP="00537618">
      <w:pPr>
        <w:ind w:left="720"/>
        <w:rPr>
          <w:rFonts w:ascii="Tahoma" w:hAnsi="Tahoma" w:cs="Tahoma"/>
        </w:rPr>
      </w:pPr>
    </w:p>
    <w:p w14:paraId="75DFD10F" w14:textId="3584E408" w:rsidR="00537618" w:rsidRPr="002045F0" w:rsidRDefault="00537618" w:rsidP="00537618">
      <w:pPr>
        <w:rPr>
          <w:rFonts w:ascii="Tahoma" w:hAnsi="Tahoma" w:cs="Tahoma"/>
        </w:rPr>
      </w:pPr>
      <w:r w:rsidRPr="002045F0">
        <w:rPr>
          <w:rFonts w:ascii="Tahoma" w:hAnsi="Tahoma" w:cs="Tahoma"/>
        </w:rPr>
        <w:t xml:space="preserve">The CEC received </w:t>
      </w:r>
      <w:r w:rsidR="00803D59" w:rsidRPr="002045F0">
        <w:rPr>
          <w:rFonts w:ascii="Tahoma" w:hAnsi="Tahoma" w:cs="Tahoma"/>
        </w:rPr>
        <w:t>thirty-one</w:t>
      </w:r>
      <w:r w:rsidRPr="002045F0">
        <w:rPr>
          <w:rFonts w:ascii="Tahoma" w:hAnsi="Tahoma" w:cs="Tahoma"/>
        </w:rPr>
        <w:t xml:space="preserve"> proposals </w:t>
      </w:r>
      <w:r w:rsidR="6C211DE8" w:rsidRPr="002045F0">
        <w:rPr>
          <w:rFonts w:ascii="Tahoma" w:hAnsi="Tahoma" w:cs="Tahoma"/>
        </w:rPr>
        <w:t xml:space="preserve">for </w:t>
      </w:r>
      <w:r w:rsidR="00514685" w:rsidRPr="002045F0">
        <w:rPr>
          <w:rFonts w:ascii="Tahoma" w:hAnsi="Tahoma" w:cs="Tahoma"/>
        </w:rPr>
        <w:t xml:space="preserve">Groups 1, 2, and 3 </w:t>
      </w:r>
      <w:r w:rsidRPr="002045F0">
        <w:rPr>
          <w:rFonts w:ascii="Tahoma" w:hAnsi="Tahoma" w:cs="Tahoma"/>
        </w:rPr>
        <w:t xml:space="preserve">by the due date, </w:t>
      </w:r>
      <w:r w:rsidR="77A5AC22" w:rsidRPr="002045F0">
        <w:rPr>
          <w:rFonts w:ascii="Tahoma" w:hAnsi="Tahoma" w:cs="Tahoma"/>
        </w:rPr>
        <w:t>April 12</w:t>
      </w:r>
      <w:r w:rsidR="0052456B" w:rsidRPr="002045F0">
        <w:rPr>
          <w:rFonts w:ascii="Tahoma" w:hAnsi="Tahoma" w:cs="Tahoma"/>
        </w:rPr>
        <w:t>, 2024</w:t>
      </w:r>
      <w:r w:rsidRPr="002045F0">
        <w:rPr>
          <w:rFonts w:ascii="Tahoma" w:hAnsi="Tahoma" w:cs="Tahoma"/>
        </w:rPr>
        <w:t xml:space="preserve">. Each proposal was screened, reviewed, evaluated, and scored using the solicitation criteria. </w:t>
      </w:r>
      <w:r w:rsidR="00514685" w:rsidRPr="002045F0">
        <w:rPr>
          <w:rFonts w:ascii="Tahoma" w:hAnsi="Tahoma" w:cs="Tahoma"/>
        </w:rPr>
        <w:t>Thirty</w:t>
      </w:r>
      <w:r w:rsidRPr="002045F0">
        <w:rPr>
          <w:rFonts w:ascii="Tahoma" w:hAnsi="Tahoma" w:cs="Tahoma"/>
        </w:rPr>
        <w:t xml:space="preserve"> proposals</w:t>
      </w:r>
      <w:r w:rsidR="77557A56" w:rsidRPr="002045F0">
        <w:rPr>
          <w:rFonts w:ascii="Tahoma" w:hAnsi="Tahoma" w:cs="Tahoma"/>
        </w:rPr>
        <w:t xml:space="preserve"> for </w:t>
      </w:r>
      <w:r w:rsidR="00514685" w:rsidRPr="002045F0">
        <w:rPr>
          <w:rFonts w:ascii="Tahoma" w:hAnsi="Tahoma" w:cs="Tahoma"/>
        </w:rPr>
        <w:t>Groups 1, 2, and 3</w:t>
      </w:r>
      <w:r w:rsidRPr="002045F0">
        <w:rPr>
          <w:rFonts w:ascii="Tahoma" w:hAnsi="Tahoma" w:cs="Tahoma"/>
        </w:rPr>
        <w:t xml:space="preserve"> passed the stage one application screening.</w:t>
      </w:r>
    </w:p>
    <w:p w14:paraId="26642D1A" w14:textId="77777777" w:rsidR="00537618" w:rsidRPr="00723285" w:rsidRDefault="00537618" w:rsidP="00537618">
      <w:pPr>
        <w:rPr>
          <w:rFonts w:ascii="Tahoma" w:hAnsi="Tahoma" w:cs="Tahoma"/>
        </w:rPr>
      </w:pPr>
    </w:p>
    <w:p w14:paraId="6C2313A3" w14:textId="500F4F86" w:rsidR="00537618" w:rsidRPr="001C738C" w:rsidRDefault="00537618" w:rsidP="00537618">
      <w:pPr>
        <w:autoSpaceDE w:val="0"/>
        <w:autoSpaceDN w:val="0"/>
        <w:adjustRightInd w:val="0"/>
        <w:rPr>
          <w:rFonts w:ascii="Tahoma" w:hAnsi="Tahoma" w:cs="Tahoma"/>
          <w:strike/>
        </w:rPr>
      </w:pPr>
      <w:r w:rsidRPr="72113CAC">
        <w:rPr>
          <w:rFonts w:ascii="Tahoma" w:hAnsi="Tahoma" w:cs="Tahoma"/>
        </w:rPr>
        <w:t>The attached NOPA identifies each applicant selected and recommended for funding by CEC staff and includes the recommended funding amount and score. The total amount recommended is</w:t>
      </w:r>
      <w:r w:rsidR="00FC7F63">
        <w:rPr>
          <w:rFonts w:ascii="Tahoma" w:hAnsi="Tahoma" w:cs="Tahoma"/>
        </w:rPr>
        <w:t xml:space="preserve"> </w:t>
      </w:r>
      <w:r w:rsidR="00B32F35" w:rsidRPr="00B32F35">
        <w:rPr>
          <w:rFonts w:ascii="Tahoma" w:hAnsi="Tahoma" w:cs="Tahoma"/>
          <w:b/>
          <w:bCs/>
          <w:u w:val="single"/>
        </w:rPr>
        <w:t>$24,166,343</w:t>
      </w:r>
      <w:r w:rsidR="00B32F35">
        <w:rPr>
          <w:rFonts w:ascii="Tahoma" w:hAnsi="Tahoma" w:cs="Tahoma"/>
        </w:rPr>
        <w:t xml:space="preserve"> </w:t>
      </w:r>
      <w:r w:rsidR="00FC7F63" w:rsidRPr="00B32F35">
        <w:rPr>
          <w:rFonts w:ascii="Tahoma" w:hAnsi="Tahoma" w:cs="Tahoma"/>
          <w:strike/>
        </w:rPr>
        <w:t>$</w:t>
      </w:r>
      <w:r w:rsidR="0005009F" w:rsidRPr="00B32F35">
        <w:rPr>
          <w:rFonts w:ascii="Tahoma" w:hAnsi="Tahoma" w:cs="Tahoma"/>
          <w:strike/>
        </w:rPr>
        <w:t>21</w:t>
      </w:r>
      <w:r w:rsidR="00291998" w:rsidRPr="00B32F35">
        <w:rPr>
          <w:rFonts w:ascii="Tahoma" w:hAnsi="Tahoma" w:cs="Tahoma"/>
          <w:strike/>
        </w:rPr>
        <w:t>,667,026</w:t>
      </w:r>
      <w:r w:rsidRPr="72113CAC">
        <w:rPr>
          <w:rFonts w:ascii="Tahoma" w:hAnsi="Tahoma" w:cs="Tahoma"/>
        </w:rPr>
        <w:t>.</w:t>
      </w:r>
      <w:r w:rsidR="17CE1ABC" w:rsidRPr="72113CAC">
        <w:rPr>
          <w:rFonts w:ascii="Tahoma" w:hAnsi="Tahoma" w:cs="Tahoma"/>
        </w:rPr>
        <w:t xml:space="preserve"> </w:t>
      </w:r>
    </w:p>
    <w:p w14:paraId="18B54236" w14:textId="77777777" w:rsidR="00537618" w:rsidRPr="00723285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CB9DDF7" w14:textId="77777777" w:rsidR="00537618" w:rsidRPr="00723285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723285">
        <w:rPr>
          <w:rFonts w:ascii="Tahoma" w:hAnsi="Tahoma" w:cs="Tahoma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723285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26C5891" w14:textId="77777777" w:rsidR="00537618" w:rsidRPr="00723285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723285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723285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166F0D1F" w14:textId="0C79CC7C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723285">
        <w:rPr>
          <w:rFonts w:ascii="Tahoma" w:hAnsi="Tahoma" w:cs="Tahoma"/>
        </w:rPr>
        <w:t>This notice and awardees for GFO-</w:t>
      </w:r>
      <w:r w:rsidR="002824C5" w:rsidRPr="00723285">
        <w:rPr>
          <w:rFonts w:ascii="Tahoma" w:hAnsi="Tahoma" w:cs="Tahoma"/>
        </w:rPr>
        <w:t>23-306</w:t>
      </w:r>
      <w:r w:rsidRPr="00723285">
        <w:rPr>
          <w:rFonts w:ascii="Tahoma" w:hAnsi="Tahoma" w:cs="Tahoma"/>
        </w:rPr>
        <w:t xml:space="preserve"> are posted on the CEC’s website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289298AC" w14:textId="6E14EA9F" w:rsidR="00537618" w:rsidRPr="000256B9" w:rsidRDefault="006D4B25" w:rsidP="000256B9">
      <w:pPr>
        <w:jc w:val="center"/>
        <w:rPr>
          <w:rFonts w:ascii="Tahoma" w:hAnsi="Tahoma" w:cs="Tahoma"/>
        </w:rPr>
      </w:pPr>
      <w:r w:rsidRPr="006D4B25">
        <w:rPr>
          <w:rFonts w:ascii="Tahoma" w:hAnsi="Tahoma" w:cs="Tahoma"/>
        </w:rPr>
        <w:t>Natalie Johnson</w:t>
      </w:r>
      <w:r w:rsidR="00537618" w:rsidRPr="006D4B25">
        <w:rPr>
          <w:rFonts w:ascii="Tahoma" w:hAnsi="Tahoma" w:cs="Tahoma"/>
        </w:rPr>
        <w:t xml:space="preserve">, Commission </w:t>
      </w:r>
      <w:r w:rsidR="00537618" w:rsidRPr="00D72329">
        <w:rPr>
          <w:rFonts w:ascii="Tahoma" w:hAnsi="Tahoma" w:cs="Tahoma"/>
        </w:rPr>
        <w:t>Agreement Officer</w:t>
      </w:r>
    </w:p>
    <w:p w14:paraId="1AF7BB1B" w14:textId="7AC6F44D" w:rsidR="00537618" w:rsidRPr="00116E47" w:rsidRDefault="00537618" w:rsidP="00537618">
      <w:pPr>
        <w:jc w:val="center"/>
        <w:rPr>
          <w:rFonts w:ascii="Tahoma" w:hAnsi="Tahoma" w:cs="Tahoma"/>
        </w:rPr>
      </w:pPr>
      <w:r w:rsidRPr="214EA84E">
        <w:rPr>
          <w:rFonts w:ascii="Tahoma" w:hAnsi="Tahoma" w:cs="Tahoma"/>
        </w:rPr>
        <w:t xml:space="preserve">Email: </w:t>
      </w:r>
      <w:hyperlink r:id="rId12">
        <w:r w:rsidR="000256B9" w:rsidRPr="214EA84E">
          <w:rPr>
            <w:rStyle w:val="Hyperlink"/>
            <w:rFonts w:ascii="Tahoma" w:hAnsi="Tahoma" w:cs="Tahoma"/>
          </w:rPr>
          <w:t>natalie.johnson@energy.ca.gov</w:t>
        </w:r>
      </w:hyperlink>
      <w:r w:rsidR="292BB450" w:rsidRPr="214EA84E">
        <w:rPr>
          <w:rFonts w:ascii="Tahoma" w:hAnsi="Tahoma" w:cs="Tahoma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5B352" w14:textId="77777777" w:rsidR="00D30993" w:rsidRDefault="00D30993" w:rsidP="00F86D2B">
      <w:r>
        <w:separator/>
      </w:r>
    </w:p>
  </w:endnote>
  <w:endnote w:type="continuationSeparator" w:id="0">
    <w:p w14:paraId="6EEC8C28" w14:textId="77777777" w:rsidR="00D30993" w:rsidRDefault="00D30993" w:rsidP="00F86D2B">
      <w:r>
        <w:continuationSeparator/>
      </w:r>
    </w:p>
  </w:endnote>
  <w:endnote w:type="continuationNotice" w:id="1">
    <w:p w14:paraId="6EFC30F2" w14:textId="77777777" w:rsidR="00D30993" w:rsidRDefault="00D30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1D113" w14:textId="77777777" w:rsidR="00D30993" w:rsidRDefault="00D30993" w:rsidP="00F86D2B">
      <w:r>
        <w:separator/>
      </w:r>
    </w:p>
  </w:footnote>
  <w:footnote w:type="continuationSeparator" w:id="0">
    <w:p w14:paraId="2C59F61B" w14:textId="77777777" w:rsidR="00D30993" w:rsidRDefault="00D30993" w:rsidP="00F86D2B">
      <w:r>
        <w:continuationSeparator/>
      </w:r>
    </w:p>
  </w:footnote>
  <w:footnote w:type="continuationNotice" w:id="1">
    <w:p w14:paraId="39D4A57C" w14:textId="77777777" w:rsidR="00D30993" w:rsidRDefault="00D30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608E19C9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56B9"/>
    <w:rsid w:val="00027125"/>
    <w:rsid w:val="000373E4"/>
    <w:rsid w:val="0005009F"/>
    <w:rsid w:val="000557AC"/>
    <w:rsid w:val="00095B0E"/>
    <w:rsid w:val="000A49B2"/>
    <w:rsid w:val="000B78CC"/>
    <w:rsid w:val="000D2F36"/>
    <w:rsid w:val="000F7426"/>
    <w:rsid w:val="00116E47"/>
    <w:rsid w:val="0014731B"/>
    <w:rsid w:val="00180020"/>
    <w:rsid w:val="001C738C"/>
    <w:rsid w:val="001E31D1"/>
    <w:rsid w:val="001F62F3"/>
    <w:rsid w:val="001F6D62"/>
    <w:rsid w:val="002045F0"/>
    <w:rsid w:val="00211991"/>
    <w:rsid w:val="002244B5"/>
    <w:rsid w:val="00274066"/>
    <w:rsid w:val="002824C5"/>
    <w:rsid w:val="00291998"/>
    <w:rsid w:val="002A5F7A"/>
    <w:rsid w:val="002C1422"/>
    <w:rsid w:val="002D11A5"/>
    <w:rsid w:val="002D738A"/>
    <w:rsid w:val="002F7BAF"/>
    <w:rsid w:val="00300FB1"/>
    <w:rsid w:val="00313DCC"/>
    <w:rsid w:val="003341CE"/>
    <w:rsid w:val="00354A2A"/>
    <w:rsid w:val="003863F8"/>
    <w:rsid w:val="003E0D2D"/>
    <w:rsid w:val="00415DE9"/>
    <w:rsid w:val="004259DE"/>
    <w:rsid w:val="00430859"/>
    <w:rsid w:val="00437D5F"/>
    <w:rsid w:val="004504D5"/>
    <w:rsid w:val="00485E23"/>
    <w:rsid w:val="004A1AAA"/>
    <w:rsid w:val="004A4C18"/>
    <w:rsid w:val="004D128F"/>
    <w:rsid w:val="00514685"/>
    <w:rsid w:val="00522263"/>
    <w:rsid w:val="0052456B"/>
    <w:rsid w:val="00524EA9"/>
    <w:rsid w:val="00527817"/>
    <w:rsid w:val="00537618"/>
    <w:rsid w:val="005502BC"/>
    <w:rsid w:val="005568CA"/>
    <w:rsid w:val="00560FFC"/>
    <w:rsid w:val="00577D95"/>
    <w:rsid w:val="00593914"/>
    <w:rsid w:val="005E6FA2"/>
    <w:rsid w:val="006511D6"/>
    <w:rsid w:val="0066015D"/>
    <w:rsid w:val="006A57AF"/>
    <w:rsid w:val="006D3827"/>
    <w:rsid w:val="006D4B25"/>
    <w:rsid w:val="006E146A"/>
    <w:rsid w:val="007134AE"/>
    <w:rsid w:val="007211FC"/>
    <w:rsid w:val="00723285"/>
    <w:rsid w:val="00751C0F"/>
    <w:rsid w:val="0077265A"/>
    <w:rsid w:val="00777798"/>
    <w:rsid w:val="0078154A"/>
    <w:rsid w:val="00783717"/>
    <w:rsid w:val="00803D59"/>
    <w:rsid w:val="0081533B"/>
    <w:rsid w:val="00837831"/>
    <w:rsid w:val="00846985"/>
    <w:rsid w:val="0086012E"/>
    <w:rsid w:val="00870E3E"/>
    <w:rsid w:val="00891290"/>
    <w:rsid w:val="008A0228"/>
    <w:rsid w:val="008C3275"/>
    <w:rsid w:val="008E0C99"/>
    <w:rsid w:val="008E1433"/>
    <w:rsid w:val="008E3926"/>
    <w:rsid w:val="008E7852"/>
    <w:rsid w:val="00902879"/>
    <w:rsid w:val="00904DC3"/>
    <w:rsid w:val="00910710"/>
    <w:rsid w:val="009407F5"/>
    <w:rsid w:val="00956C12"/>
    <w:rsid w:val="009730FA"/>
    <w:rsid w:val="009902F3"/>
    <w:rsid w:val="009E6C35"/>
    <w:rsid w:val="009E754B"/>
    <w:rsid w:val="00A13339"/>
    <w:rsid w:val="00A14059"/>
    <w:rsid w:val="00A15FA8"/>
    <w:rsid w:val="00A17202"/>
    <w:rsid w:val="00A3384C"/>
    <w:rsid w:val="00A36CF5"/>
    <w:rsid w:val="00A55D9E"/>
    <w:rsid w:val="00A6483B"/>
    <w:rsid w:val="00A73089"/>
    <w:rsid w:val="00AD21FC"/>
    <w:rsid w:val="00AE05B9"/>
    <w:rsid w:val="00B32F35"/>
    <w:rsid w:val="00B80E72"/>
    <w:rsid w:val="00B83172"/>
    <w:rsid w:val="00B84D31"/>
    <w:rsid w:val="00B906E9"/>
    <w:rsid w:val="00BA1317"/>
    <w:rsid w:val="00BA3F4C"/>
    <w:rsid w:val="00BB5DCD"/>
    <w:rsid w:val="00C03527"/>
    <w:rsid w:val="00C4089B"/>
    <w:rsid w:val="00C67037"/>
    <w:rsid w:val="00C96BDD"/>
    <w:rsid w:val="00CB7A42"/>
    <w:rsid w:val="00CD2BBD"/>
    <w:rsid w:val="00CD6B8D"/>
    <w:rsid w:val="00D30993"/>
    <w:rsid w:val="00D32C3D"/>
    <w:rsid w:val="00D431C2"/>
    <w:rsid w:val="00D43B83"/>
    <w:rsid w:val="00D45DEE"/>
    <w:rsid w:val="00D95C42"/>
    <w:rsid w:val="00DA739E"/>
    <w:rsid w:val="00DD7464"/>
    <w:rsid w:val="00E00EA6"/>
    <w:rsid w:val="00E13673"/>
    <w:rsid w:val="00E210F6"/>
    <w:rsid w:val="00E47B2D"/>
    <w:rsid w:val="00E47D4B"/>
    <w:rsid w:val="00E55436"/>
    <w:rsid w:val="00E95AA9"/>
    <w:rsid w:val="00EA7BDE"/>
    <w:rsid w:val="00ED18F1"/>
    <w:rsid w:val="00ED5E43"/>
    <w:rsid w:val="00F10DFF"/>
    <w:rsid w:val="00F378B5"/>
    <w:rsid w:val="00F50A48"/>
    <w:rsid w:val="00F86404"/>
    <w:rsid w:val="00F86D2B"/>
    <w:rsid w:val="00F90F6B"/>
    <w:rsid w:val="00F947AC"/>
    <w:rsid w:val="00F95D8D"/>
    <w:rsid w:val="00F967DF"/>
    <w:rsid w:val="00FC7F63"/>
    <w:rsid w:val="00FF5CA4"/>
    <w:rsid w:val="05C88F56"/>
    <w:rsid w:val="08A90F1F"/>
    <w:rsid w:val="08C4C830"/>
    <w:rsid w:val="08EE5D6E"/>
    <w:rsid w:val="098C6690"/>
    <w:rsid w:val="0CDE3617"/>
    <w:rsid w:val="0D183D2C"/>
    <w:rsid w:val="0DE78633"/>
    <w:rsid w:val="17CE1ABC"/>
    <w:rsid w:val="1DB79A48"/>
    <w:rsid w:val="1E459D91"/>
    <w:rsid w:val="214EA84E"/>
    <w:rsid w:val="2573B2AA"/>
    <w:rsid w:val="25E4EFD7"/>
    <w:rsid w:val="292BB450"/>
    <w:rsid w:val="2A7D85F2"/>
    <w:rsid w:val="2CCE4044"/>
    <w:rsid w:val="30799283"/>
    <w:rsid w:val="3AEC7C97"/>
    <w:rsid w:val="3CA7321A"/>
    <w:rsid w:val="3D552CF6"/>
    <w:rsid w:val="3F2A141F"/>
    <w:rsid w:val="404E407C"/>
    <w:rsid w:val="455793A4"/>
    <w:rsid w:val="4B6C8AE0"/>
    <w:rsid w:val="4C5B0CCB"/>
    <w:rsid w:val="4D94C683"/>
    <w:rsid w:val="5237EBBC"/>
    <w:rsid w:val="5320DDE0"/>
    <w:rsid w:val="58517A24"/>
    <w:rsid w:val="5902FAED"/>
    <w:rsid w:val="59D9A6B3"/>
    <w:rsid w:val="5CA43FA6"/>
    <w:rsid w:val="5DD62364"/>
    <w:rsid w:val="5E3A6B9C"/>
    <w:rsid w:val="60377235"/>
    <w:rsid w:val="610A48F7"/>
    <w:rsid w:val="616AF26A"/>
    <w:rsid w:val="65335948"/>
    <w:rsid w:val="65D3D825"/>
    <w:rsid w:val="680CA093"/>
    <w:rsid w:val="6817CD47"/>
    <w:rsid w:val="6BB407D2"/>
    <w:rsid w:val="6C211DE8"/>
    <w:rsid w:val="7024A114"/>
    <w:rsid w:val="70253C38"/>
    <w:rsid w:val="719615F7"/>
    <w:rsid w:val="72113CAC"/>
    <w:rsid w:val="77557A56"/>
    <w:rsid w:val="77A5AC22"/>
    <w:rsid w:val="77D921E0"/>
    <w:rsid w:val="787AB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2262BF2-98B3-4C43-9F14-1ADF6179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2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8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487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e.johnson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3E29A-9D33-4681-8200-333C1EF15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4</DocSecurity>
  <Lines>18</Lines>
  <Paragraphs>5</Paragraphs>
  <ScaleCrop>false</ScaleCrop>
  <Company>Wobschall Design</Company>
  <LinksUpToDate>false</LinksUpToDate>
  <CharactersWithSpaces>2611</CharactersWithSpaces>
  <SharedDoc>false</SharedDoc>
  <HLinks>
    <vt:vector size="12" baseType="variant">
      <vt:variant>
        <vt:i4>5701732</vt:i4>
      </vt:variant>
      <vt:variant>
        <vt:i4>3</vt:i4>
      </vt:variant>
      <vt:variant>
        <vt:i4>0</vt:i4>
      </vt:variant>
      <vt:variant>
        <vt:i4>5</vt:i4>
      </vt:variant>
      <vt:variant>
        <vt:lpwstr>mailto:natalie.johnson@energy.ca.gov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Dinius, Katelynn@Energy</cp:lastModifiedBy>
  <cp:revision>2</cp:revision>
  <cp:lastPrinted>2019-04-08T16:38:00Z</cp:lastPrinted>
  <dcterms:created xsi:type="dcterms:W3CDTF">2024-12-03T18:34:00Z</dcterms:created>
  <dcterms:modified xsi:type="dcterms:W3CDTF">2024-12-03T18:34:00Z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a3db78b43b02efdfb2c97c358ee58c5547a95b44d7eac5e22b8ee06522ff587c</vt:lpwstr>
  </property>
</Properties>
</file>