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26A4" w14:textId="2B9DF3A4" w:rsidR="009E6C35" w:rsidRPr="003D5F92" w:rsidRDefault="57A872FE" w:rsidP="00B33F69">
      <w:pPr>
        <w:pStyle w:val="paragraph"/>
        <w:ind w:left="4320"/>
        <w:jc w:val="right"/>
        <w:textAlignment w:val="baseline"/>
        <w:rPr>
          <w:rStyle w:val="normaltextrun"/>
          <w:rFonts w:ascii="Tahoma" w:hAnsi="Tahoma" w:cs="Tahoma"/>
        </w:rPr>
      </w:pPr>
      <w:r w:rsidRPr="4C4A9BEA">
        <w:rPr>
          <w:rStyle w:val="normaltextrun"/>
          <w:rFonts w:ascii="Tahoma" w:hAnsi="Tahoma" w:cs="Tahoma"/>
        </w:rPr>
        <w:t>Dec</w:t>
      </w:r>
      <w:r w:rsidR="006E1137" w:rsidRPr="4C4A9BEA">
        <w:rPr>
          <w:rStyle w:val="normaltextrun"/>
          <w:rFonts w:ascii="Tahoma" w:hAnsi="Tahoma" w:cs="Tahoma"/>
        </w:rPr>
        <w:t xml:space="preserve">ember </w:t>
      </w:r>
      <w:r w:rsidR="0F6E2C32" w:rsidRPr="4C4A9BEA">
        <w:rPr>
          <w:rStyle w:val="normaltextrun"/>
          <w:rFonts w:ascii="Tahoma" w:hAnsi="Tahoma" w:cs="Tahoma"/>
        </w:rPr>
        <w:t>16</w:t>
      </w:r>
      <w:r w:rsidR="0079120A" w:rsidRPr="4C4A9BEA">
        <w:rPr>
          <w:rStyle w:val="normaltextrun"/>
          <w:rFonts w:ascii="Tahoma" w:hAnsi="Tahoma" w:cs="Tahoma"/>
        </w:rPr>
        <w:t>, 202</w:t>
      </w:r>
      <w:r w:rsidR="00CA139A" w:rsidRPr="4C4A9BEA">
        <w:rPr>
          <w:rStyle w:val="normaltextrun"/>
          <w:rFonts w:ascii="Tahoma" w:hAnsi="Tahoma" w:cs="Tahoma"/>
        </w:rPr>
        <w:t>4</w:t>
      </w:r>
    </w:p>
    <w:p w14:paraId="3049D69B" w14:textId="3026FD40" w:rsidR="00B1122A" w:rsidRPr="003D5F92" w:rsidRDefault="006E1137" w:rsidP="00B1122A">
      <w:pPr>
        <w:jc w:val="center"/>
        <w:rPr>
          <w:rFonts w:ascii="Tahoma" w:hAnsi="Tahoma" w:cs="Tahoma"/>
          <w:b/>
          <w:bCs/>
        </w:rPr>
      </w:pPr>
      <w:r>
        <w:rPr>
          <w:rFonts w:ascii="Tahoma" w:hAnsi="Tahoma" w:cs="Tahoma"/>
          <w:b/>
          <w:bCs/>
        </w:rPr>
        <w:t>GFO</w:t>
      </w:r>
      <w:r w:rsidR="00B1122A" w:rsidRPr="003D5F92">
        <w:rPr>
          <w:rFonts w:ascii="Tahoma" w:hAnsi="Tahoma" w:cs="Tahoma"/>
          <w:b/>
          <w:bCs/>
        </w:rPr>
        <w:t>-2</w:t>
      </w:r>
      <w:r w:rsidR="00202D6B">
        <w:rPr>
          <w:rFonts w:ascii="Tahoma" w:hAnsi="Tahoma" w:cs="Tahoma"/>
          <w:b/>
          <w:bCs/>
        </w:rPr>
        <w:t>4</w:t>
      </w:r>
      <w:r w:rsidR="00353981" w:rsidRPr="003D5F92">
        <w:rPr>
          <w:rFonts w:ascii="Tahoma" w:hAnsi="Tahoma" w:cs="Tahoma"/>
          <w:b/>
          <w:bCs/>
        </w:rPr>
        <w:t>-60</w:t>
      </w:r>
      <w:r>
        <w:rPr>
          <w:rFonts w:ascii="Tahoma" w:hAnsi="Tahoma" w:cs="Tahoma"/>
          <w:b/>
          <w:bCs/>
        </w:rPr>
        <w:t>3</w:t>
      </w:r>
    </w:p>
    <w:p w14:paraId="0EB47E83" w14:textId="77777777" w:rsidR="006E1137" w:rsidRPr="006E1137" w:rsidRDefault="006E1137" w:rsidP="006E1137">
      <w:pPr>
        <w:autoSpaceDE w:val="0"/>
        <w:autoSpaceDN w:val="0"/>
        <w:adjustRightInd w:val="0"/>
        <w:jc w:val="center"/>
        <w:rPr>
          <w:rFonts w:ascii="Tahoma" w:eastAsia="Calibri" w:hAnsi="Tahoma" w:cs="Tahoma"/>
          <w:b/>
          <w:bCs/>
          <w:color w:val="000000" w:themeColor="text1"/>
        </w:rPr>
      </w:pPr>
      <w:r w:rsidRPr="006E1137">
        <w:rPr>
          <w:rFonts w:ascii="Tahoma" w:eastAsia="Calibri" w:hAnsi="Tahoma" w:cs="Tahoma"/>
          <w:b/>
          <w:bCs/>
          <w:color w:val="000000" w:themeColor="text1"/>
        </w:rPr>
        <w:t>California’s Electric Vehicle Charger Reliability and Accessibility Accelerator (EVC RAA) Program</w:t>
      </w:r>
    </w:p>
    <w:p w14:paraId="6587D6BB" w14:textId="679D7A33" w:rsidR="00B1122A" w:rsidRPr="003D5F92" w:rsidRDefault="00B1122A" w:rsidP="00B1122A">
      <w:pPr>
        <w:autoSpaceDE w:val="0"/>
        <w:autoSpaceDN w:val="0"/>
        <w:adjustRightInd w:val="0"/>
        <w:jc w:val="center"/>
        <w:rPr>
          <w:rFonts w:ascii="Tahoma" w:eastAsia="Calibri" w:hAnsi="Tahoma" w:cs="Tahoma"/>
          <w:b/>
          <w:bCs/>
          <w:color w:val="000000"/>
        </w:rPr>
      </w:pPr>
      <w:r w:rsidRPr="4A4585F5">
        <w:rPr>
          <w:rFonts w:ascii="Tahoma" w:eastAsia="Calibri" w:hAnsi="Tahoma" w:cs="Tahoma"/>
          <w:b/>
          <w:bCs/>
          <w:color w:val="000000" w:themeColor="text1"/>
        </w:rPr>
        <w:t xml:space="preserve">Addendum </w:t>
      </w:r>
      <w:r w:rsidR="67BE0222" w:rsidRPr="4A4585F5">
        <w:rPr>
          <w:rFonts w:ascii="Tahoma" w:eastAsia="Calibri" w:hAnsi="Tahoma" w:cs="Tahoma"/>
          <w:b/>
          <w:bCs/>
          <w:color w:val="000000" w:themeColor="text1"/>
        </w:rPr>
        <w:t>2</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2B83E892"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w:t>
      </w:r>
      <w:r w:rsidR="00F44B48">
        <w:rPr>
          <w:rFonts w:ascii="Tahoma" w:eastAsia="Calibri" w:hAnsi="Tahoma" w:cs="Tahoma"/>
          <w:color w:val="000000" w:themeColor="text1"/>
        </w:rPr>
        <w:t xml:space="preserve"> </w:t>
      </w:r>
      <w:r w:rsidRPr="003D5F92">
        <w:rPr>
          <w:rFonts w:ascii="Tahoma" w:eastAsia="Calibri" w:hAnsi="Tahoma" w:cs="Tahoma"/>
          <w:color w:val="000000" w:themeColor="text1"/>
        </w:rPr>
        <w:t xml:space="preserve">addendum is to notify potential applicants of changes that have been made to </w:t>
      </w:r>
      <w:r w:rsidR="006E1137">
        <w:rPr>
          <w:rFonts w:ascii="Tahoma" w:eastAsia="Calibri" w:hAnsi="Tahoma" w:cs="Tahoma"/>
          <w:color w:val="000000" w:themeColor="text1"/>
        </w:rPr>
        <w:t>GFO</w:t>
      </w:r>
      <w:r w:rsidRPr="003D5F92">
        <w:rPr>
          <w:rFonts w:ascii="Tahoma" w:eastAsia="Calibri" w:hAnsi="Tahoma" w:cs="Tahoma"/>
          <w:color w:val="000000" w:themeColor="text1"/>
        </w:rPr>
        <w:t>-2</w:t>
      </w:r>
      <w:r w:rsidR="00AC15F0">
        <w:rPr>
          <w:rFonts w:ascii="Tahoma" w:eastAsia="Calibri" w:hAnsi="Tahoma" w:cs="Tahoma"/>
          <w:color w:val="000000" w:themeColor="text1"/>
        </w:rPr>
        <w:t>4</w:t>
      </w:r>
      <w:r w:rsidR="00353981" w:rsidRPr="003D5F92">
        <w:rPr>
          <w:rFonts w:ascii="Tahoma" w:eastAsia="Calibri" w:hAnsi="Tahoma" w:cs="Tahoma"/>
          <w:color w:val="000000" w:themeColor="text1"/>
        </w:rPr>
        <w:t>-60</w:t>
      </w:r>
      <w:r w:rsidR="006E1137">
        <w:rPr>
          <w:rFonts w:ascii="Tahoma" w:eastAsia="Calibri" w:hAnsi="Tahoma" w:cs="Tahoma"/>
          <w:color w:val="000000" w:themeColor="text1"/>
        </w:rPr>
        <w:t>3</w:t>
      </w:r>
      <w:r w:rsidR="00E11B39">
        <w:rPr>
          <w:rFonts w:ascii="Tahoma" w:eastAsia="Calibri" w:hAnsi="Tahoma" w:cs="Tahoma"/>
          <w:color w:val="000000" w:themeColor="text1"/>
        </w:rPr>
        <w:t>.</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2E98CE5E" w14:textId="6F4324B0" w:rsidR="006E1137" w:rsidRPr="006E1137" w:rsidRDefault="006E1137" w:rsidP="006E1137">
      <w:pPr>
        <w:autoSpaceDE w:val="0"/>
        <w:autoSpaceDN w:val="0"/>
        <w:adjustRightInd w:val="0"/>
        <w:rPr>
          <w:rFonts w:ascii="Tahoma" w:eastAsia="Calibri" w:hAnsi="Tahoma" w:cs="Tahoma"/>
          <w:color w:val="000000"/>
        </w:rPr>
      </w:pPr>
      <w:r w:rsidRPr="4C4A9BEA">
        <w:rPr>
          <w:rFonts w:ascii="Tahoma" w:eastAsia="Calibri" w:hAnsi="Tahoma" w:cs="Tahoma"/>
          <w:color w:val="000000" w:themeColor="text1"/>
        </w:rPr>
        <w:t>The addendum includes revision</w:t>
      </w:r>
      <w:r w:rsidR="2EEED1A0" w:rsidRPr="4C4A9BEA">
        <w:rPr>
          <w:rFonts w:ascii="Tahoma" w:eastAsia="Calibri" w:hAnsi="Tahoma" w:cs="Tahoma"/>
          <w:color w:val="000000" w:themeColor="text1"/>
        </w:rPr>
        <w:t>s</w:t>
      </w:r>
      <w:r w:rsidRPr="4C4A9BEA">
        <w:rPr>
          <w:rFonts w:ascii="Tahoma" w:eastAsia="Calibri" w:hAnsi="Tahoma" w:cs="Tahoma"/>
          <w:color w:val="000000" w:themeColor="text1"/>
        </w:rPr>
        <w:t xml:space="preserve"> to </w:t>
      </w:r>
      <w:r w:rsidR="3C77E8A8" w:rsidRPr="4C4A9BEA">
        <w:rPr>
          <w:rFonts w:ascii="Tahoma" w:eastAsia="Calibri" w:hAnsi="Tahoma" w:cs="Tahoma"/>
          <w:color w:val="000000" w:themeColor="text1"/>
        </w:rPr>
        <w:t>the Solicitation Manual (Attachment 00)</w:t>
      </w:r>
      <w:r w:rsidR="001E31DD" w:rsidRPr="4C4A9BEA">
        <w:rPr>
          <w:rFonts w:ascii="Tahoma" w:eastAsia="Calibri" w:hAnsi="Tahoma" w:cs="Tahoma"/>
          <w:color w:val="000000" w:themeColor="text1"/>
        </w:rPr>
        <w:t>, Scope of Work (Attachment 02)</w:t>
      </w:r>
      <w:r w:rsidR="001C63DB" w:rsidRPr="4C4A9BEA">
        <w:rPr>
          <w:rFonts w:ascii="Tahoma" w:eastAsia="Calibri" w:hAnsi="Tahoma" w:cs="Tahoma"/>
          <w:color w:val="000000" w:themeColor="text1"/>
        </w:rPr>
        <w:t>,</w:t>
      </w:r>
      <w:r w:rsidR="457AD55E" w:rsidRPr="4C4A9BEA">
        <w:rPr>
          <w:rFonts w:ascii="Tahoma" w:eastAsia="Calibri" w:hAnsi="Tahoma" w:cs="Tahoma"/>
          <w:color w:val="000000" w:themeColor="text1"/>
        </w:rPr>
        <w:t xml:space="preserve"> and Charging Station Application Template (Attachment </w:t>
      </w:r>
      <w:r w:rsidR="00D5175A" w:rsidRPr="4C4A9BEA">
        <w:rPr>
          <w:rFonts w:ascii="Tahoma" w:eastAsia="Calibri" w:hAnsi="Tahoma" w:cs="Tahoma"/>
          <w:color w:val="000000" w:themeColor="text1"/>
        </w:rPr>
        <w:t>0</w:t>
      </w:r>
      <w:r w:rsidR="457AD55E" w:rsidRPr="4C4A9BEA">
        <w:rPr>
          <w:rFonts w:ascii="Tahoma" w:eastAsia="Calibri" w:hAnsi="Tahoma" w:cs="Tahoma"/>
          <w:color w:val="000000" w:themeColor="text1"/>
        </w:rPr>
        <w:t>5)</w:t>
      </w:r>
      <w:r w:rsidR="3C77E8A8" w:rsidRPr="4C4A9BEA">
        <w:rPr>
          <w:rFonts w:ascii="Tahoma" w:eastAsia="Calibri" w:hAnsi="Tahoma" w:cs="Tahoma"/>
          <w:color w:val="000000" w:themeColor="text1"/>
        </w:rPr>
        <w:t>.</w:t>
      </w:r>
      <w:r w:rsidR="4A4585F5" w:rsidRPr="4C4A9BEA">
        <w:rPr>
          <w:rFonts w:ascii="Tahoma" w:eastAsia="Calibri" w:hAnsi="Tahoma" w:cs="Tahoma"/>
          <w:color w:val="000000" w:themeColor="text1"/>
        </w:rPr>
        <w:t xml:space="preserve"> </w:t>
      </w:r>
      <w:r w:rsidR="7507FE6F" w:rsidRPr="4C4A9BEA">
        <w:rPr>
          <w:rFonts w:ascii="Tahoma" w:eastAsia="Calibri" w:hAnsi="Tahoma" w:cs="Tahoma"/>
          <w:color w:val="000000" w:themeColor="text1"/>
        </w:rPr>
        <w:t xml:space="preserve">Added language appears in </w:t>
      </w:r>
      <w:r w:rsidR="7507FE6F" w:rsidRPr="4C4A9BEA">
        <w:rPr>
          <w:rFonts w:ascii="Tahoma" w:eastAsia="Calibri" w:hAnsi="Tahoma" w:cs="Tahoma"/>
          <w:b/>
          <w:bCs/>
          <w:color w:val="000000" w:themeColor="text1"/>
          <w:u w:val="single"/>
        </w:rPr>
        <w:t>bold underline</w:t>
      </w:r>
      <w:r w:rsidR="7507FE6F" w:rsidRPr="4C4A9BEA">
        <w:rPr>
          <w:rFonts w:ascii="Tahoma" w:eastAsia="Calibri" w:hAnsi="Tahoma" w:cs="Tahoma"/>
          <w:color w:val="000000" w:themeColor="text1"/>
        </w:rPr>
        <w:t>,</w:t>
      </w:r>
      <w:r w:rsidR="7507FE6F" w:rsidRPr="4C4A9BEA">
        <w:rPr>
          <w:rFonts w:ascii="Tahoma" w:eastAsia="Calibri" w:hAnsi="Tahoma" w:cs="Tahoma"/>
          <w:b/>
          <w:bCs/>
          <w:color w:val="000000" w:themeColor="text1"/>
        </w:rPr>
        <w:t xml:space="preserve"> </w:t>
      </w:r>
      <w:r w:rsidR="7507FE6F" w:rsidRPr="4C4A9BEA">
        <w:rPr>
          <w:rFonts w:ascii="Tahoma" w:eastAsia="Calibri" w:hAnsi="Tahoma" w:cs="Tahoma"/>
          <w:color w:val="000000" w:themeColor="text1"/>
        </w:rPr>
        <w:t>and deleted language appears in [</w:t>
      </w:r>
      <w:r w:rsidR="7507FE6F" w:rsidRPr="4C4A9BEA">
        <w:rPr>
          <w:rFonts w:ascii="Tahoma" w:eastAsia="Calibri" w:hAnsi="Tahoma" w:cs="Tahoma"/>
          <w:strike/>
          <w:color w:val="000000" w:themeColor="text1"/>
        </w:rPr>
        <w:t>strikethrough</w:t>
      </w:r>
      <w:r w:rsidR="7507FE6F" w:rsidRPr="4C4A9BEA">
        <w:rPr>
          <w:rFonts w:ascii="Tahoma" w:eastAsia="Calibri" w:hAnsi="Tahoma" w:cs="Tahoma"/>
          <w:color w:val="000000" w:themeColor="text1"/>
        </w:rPr>
        <w:t>] and within square brackets.</w:t>
      </w:r>
    </w:p>
    <w:p w14:paraId="4CF8932B" w14:textId="3C0FF8B5" w:rsidR="4A4585F5" w:rsidRDefault="4A4585F5" w:rsidP="4A4585F5">
      <w:pPr>
        <w:rPr>
          <w:rFonts w:ascii="Tahoma" w:eastAsia="Calibri" w:hAnsi="Tahoma" w:cs="Tahoma"/>
          <w:color w:val="000000" w:themeColor="text1"/>
        </w:rPr>
      </w:pPr>
    </w:p>
    <w:p w14:paraId="3875BE57" w14:textId="4D87ED22" w:rsidR="5E85A82C" w:rsidRDefault="5E85A82C" w:rsidP="4A4585F5">
      <w:pPr>
        <w:rPr>
          <w:rFonts w:ascii="Tahoma" w:eastAsia="Calibri" w:hAnsi="Tahoma" w:cs="Tahoma"/>
          <w:b/>
          <w:bCs/>
          <w:color w:val="000000" w:themeColor="text1"/>
        </w:rPr>
      </w:pPr>
      <w:r w:rsidRPr="4A4585F5">
        <w:rPr>
          <w:rFonts w:ascii="Tahoma" w:eastAsia="Calibri" w:hAnsi="Tahoma" w:cs="Tahoma"/>
          <w:b/>
          <w:bCs/>
          <w:color w:val="000000" w:themeColor="text1"/>
        </w:rPr>
        <w:t>Solicitation Manual</w:t>
      </w:r>
    </w:p>
    <w:p w14:paraId="6C58D4D7" w14:textId="44DE79EA" w:rsidR="4E63EF05" w:rsidRDefault="4E63EF05" w:rsidP="4A4585F5">
      <w:pPr>
        <w:rPr>
          <w:rFonts w:ascii="Tahoma" w:eastAsia="Calibri" w:hAnsi="Tahoma" w:cs="Tahoma"/>
          <w:color w:val="000000" w:themeColor="text1"/>
        </w:rPr>
      </w:pPr>
      <w:r w:rsidRPr="4A4585F5">
        <w:rPr>
          <w:rFonts w:ascii="Tahoma" w:eastAsia="Calibri" w:hAnsi="Tahoma" w:cs="Tahoma"/>
          <w:color w:val="000000" w:themeColor="text1"/>
        </w:rPr>
        <w:t>The following edits are made to the Solicitation Manual (Attachment 00)</w:t>
      </w:r>
      <w:r w:rsidR="00C7767F">
        <w:rPr>
          <w:rFonts w:ascii="Tahoma" w:eastAsia="Calibri" w:hAnsi="Tahoma" w:cs="Tahoma"/>
          <w:color w:val="000000" w:themeColor="text1"/>
        </w:rPr>
        <w:t>.</w:t>
      </w:r>
    </w:p>
    <w:p w14:paraId="275A1A44" w14:textId="4F94AACB" w:rsidR="4A4585F5" w:rsidRDefault="4A4585F5" w:rsidP="4A4585F5">
      <w:pPr>
        <w:rPr>
          <w:rFonts w:ascii="Tahoma" w:eastAsia="Calibri" w:hAnsi="Tahoma" w:cs="Tahoma"/>
          <w:color w:val="000000" w:themeColor="text1"/>
        </w:rPr>
      </w:pPr>
    </w:p>
    <w:p w14:paraId="639C51DF" w14:textId="079A9B3C" w:rsidR="750E9567" w:rsidRDefault="750E9567" w:rsidP="4A4585F5">
      <w:pPr>
        <w:pStyle w:val="ListParagraph"/>
        <w:numPr>
          <w:ilvl w:val="0"/>
          <w:numId w:val="14"/>
        </w:numPr>
        <w:rPr>
          <w:rFonts w:ascii="Tahoma" w:eastAsia="Calibri" w:hAnsi="Tahoma" w:cs="Tahoma"/>
          <w:b/>
          <w:bCs/>
          <w:color w:val="000000" w:themeColor="text1"/>
        </w:rPr>
      </w:pPr>
      <w:r w:rsidRPr="4A4585F5">
        <w:rPr>
          <w:rFonts w:ascii="Tahoma" w:eastAsia="Calibri" w:hAnsi="Tahoma" w:cs="Tahoma"/>
          <w:b/>
          <w:bCs/>
          <w:color w:val="000000" w:themeColor="text1"/>
        </w:rPr>
        <w:t>Section I.D. Key Activities and Dates</w:t>
      </w:r>
      <w:r w:rsidR="603DD49B" w:rsidRPr="4A4585F5">
        <w:rPr>
          <w:rFonts w:ascii="Tahoma" w:eastAsia="Calibri" w:hAnsi="Tahoma" w:cs="Tahoma"/>
          <w:b/>
          <w:bCs/>
          <w:color w:val="000000" w:themeColor="text1"/>
        </w:rPr>
        <w:t xml:space="preserve"> </w:t>
      </w:r>
      <w:r w:rsidR="603DD49B" w:rsidRPr="4A4585F5">
        <w:rPr>
          <w:rFonts w:ascii="Tahoma" w:eastAsia="Calibri" w:hAnsi="Tahoma" w:cs="Tahoma"/>
          <w:color w:val="000000" w:themeColor="text1"/>
        </w:rPr>
        <w:t>(page 5)</w:t>
      </w:r>
    </w:p>
    <w:p w14:paraId="1BBA9159" w14:textId="0E960CA2" w:rsidR="750E9567" w:rsidRDefault="750E9567" w:rsidP="4A4585F5">
      <w:pPr>
        <w:spacing w:line="259" w:lineRule="auto"/>
        <w:ind w:firstLine="720"/>
        <w:rPr>
          <w:rFonts w:ascii="Tahoma" w:eastAsia="Tahoma" w:hAnsi="Tahoma" w:cs="Tahoma"/>
          <w:color w:val="000000" w:themeColor="text1"/>
          <w:lang w:val=""/>
        </w:rPr>
      </w:pPr>
      <w:r w:rsidRPr="4A4585F5">
        <w:rPr>
          <w:rFonts w:ascii="Tahoma" w:eastAsia="Tahoma" w:hAnsi="Tahoma" w:cs="Tahoma"/>
          <w:color w:val="000000" w:themeColor="text1"/>
          <w:lang w:val=""/>
        </w:rPr>
        <w:t>D. Key Activities and Dates</w:t>
      </w:r>
    </w:p>
    <w:p w14:paraId="27F60813" w14:textId="48F87942" w:rsidR="4A4585F5" w:rsidRDefault="4A4585F5" w:rsidP="4A4585F5">
      <w:pPr>
        <w:spacing w:line="259" w:lineRule="auto"/>
        <w:ind w:firstLine="720"/>
        <w:rPr>
          <w:rFonts w:ascii="Tahoma" w:eastAsia="Tahoma" w:hAnsi="Tahoma" w:cs="Tahoma"/>
          <w:color w:val="000000" w:themeColor="text1"/>
          <w:lang w:val=""/>
        </w:rPr>
      </w:pPr>
    </w:p>
    <w:p w14:paraId="6D5EAF03" w14:textId="46A26859" w:rsidR="750E9567" w:rsidRDefault="750E9567" w:rsidP="4A4585F5">
      <w:pPr>
        <w:ind w:left="720"/>
        <w:rPr>
          <w:rFonts w:ascii="Tahoma" w:eastAsia="Tahoma" w:hAnsi="Tahoma" w:cs="Tahoma"/>
        </w:rPr>
      </w:pPr>
      <w:r w:rsidRPr="4A4585F5">
        <w:rPr>
          <w:rFonts w:ascii="Tahoma" w:eastAsia="Tahoma" w:hAnsi="Tahoma" w:cs="Tahoma"/>
        </w:rPr>
        <w:t>Key activities including dates and times for this solicitation are presented below.  An addendum will be released if the dates change for the asterisked (*) activities. Times listed are Pacific Standard Time or Pacific Daylight Time, whichever is being observed.</w:t>
      </w:r>
    </w:p>
    <w:p w14:paraId="3B81F1E5" w14:textId="5C49EE20" w:rsidR="750E9567" w:rsidRDefault="750E9567" w:rsidP="4A4585F5">
      <w:pPr>
        <w:rPr>
          <w:rFonts w:ascii="Tahoma" w:eastAsia="Tahoma" w:hAnsi="Tahoma" w:cs="Tahoma"/>
          <w:sz w:val="22"/>
          <w:szCs w:val="22"/>
        </w:rPr>
      </w:pPr>
      <w:r w:rsidRPr="4A4585F5">
        <w:rPr>
          <w:rFonts w:ascii="Tahoma" w:eastAsia="Tahoma" w:hAnsi="Tahoma" w:cs="Tahoma"/>
          <w:sz w:val="22"/>
          <w:szCs w:val="22"/>
        </w:rPr>
        <w:t xml:space="preserve"> </w:t>
      </w:r>
    </w:p>
    <w:tbl>
      <w:tblPr>
        <w:tblStyle w:val="TableGrid"/>
        <w:tblW w:w="0" w:type="auto"/>
        <w:tblLayout w:type="fixed"/>
        <w:tblLook w:val="0020" w:firstRow="1" w:lastRow="0" w:firstColumn="0" w:lastColumn="0" w:noHBand="0" w:noVBand="0"/>
      </w:tblPr>
      <w:tblGrid>
        <w:gridCol w:w="5854"/>
        <w:gridCol w:w="3146"/>
      </w:tblGrid>
      <w:tr w:rsidR="4A4585F5" w14:paraId="2BF1976E" w14:textId="77777777" w:rsidTr="4C4A9BEA">
        <w:trPr>
          <w:trHeight w:val="285"/>
        </w:trPr>
        <w:tc>
          <w:tcPr>
            <w:tcW w:w="58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96E6E34" w14:textId="3B96B0A5" w:rsidR="4A4585F5" w:rsidRDefault="4A4585F5" w:rsidP="4A4585F5">
            <w:pPr>
              <w:jc w:val="center"/>
              <w:rPr>
                <w:rFonts w:ascii="Tahoma" w:eastAsia="Tahoma" w:hAnsi="Tahoma" w:cs="Tahoma"/>
                <w:b/>
                <w:bCs/>
                <w:color w:val="000000" w:themeColor="text1"/>
              </w:rPr>
            </w:pPr>
            <w:r w:rsidRPr="4A4585F5">
              <w:rPr>
                <w:rFonts w:ascii="Tahoma" w:eastAsia="Tahoma" w:hAnsi="Tahoma" w:cs="Tahoma"/>
                <w:b/>
                <w:bCs/>
                <w:color w:val="000000" w:themeColor="text1"/>
              </w:rPr>
              <w:t>ACTIVITY</w:t>
            </w:r>
          </w:p>
        </w:tc>
        <w:tc>
          <w:tcPr>
            <w:tcW w:w="314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881A191" w14:textId="68480A24" w:rsidR="4A4585F5" w:rsidRDefault="4A4585F5" w:rsidP="4A4585F5">
            <w:pPr>
              <w:jc w:val="center"/>
              <w:rPr>
                <w:rFonts w:ascii="Tahoma" w:eastAsia="Tahoma" w:hAnsi="Tahoma" w:cs="Tahoma"/>
                <w:b/>
                <w:bCs/>
                <w:color w:val="000000" w:themeColor="text1"/>
              </w:rPr>
            </w:pPr>
            <w:r w:rsidRPr="4A4585F5">
              <w:rPr>
                <w:rFonts w:ascii="Tahoma" w:eastAsia="Tahoma" w:hAnsi="Tahoma" w:cs="Tahoma"/>
                <w:b/>
                <w:bCs/>
                <w:color w:val="000000" w:themeColor="text1"/>
              </w:rPr>
              <w:t>ACTION DATE</w:t>
            </w:r>
          </w:p>
        </w:tc>
      </w:tr>
      <w:tr w:rsidR="4A4585F5" w14:paraId="3C3B3997" w14:textId="77777777" w:rsidTr="4C4A9BEA">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1B04C163" w14:textId="61F3C8B4" w:rsidR="4A4585F5" w:rsidRDefault="4A4585F5" w:rsidP="4A4585F5">
            <w:pPr>
              <w:rPr>
                <w:rFonts w:ascii="Tahoma" w:eastAsia="Tahoma" w:hAnsi="Tahoma" w:cs="Tahoma"/>
              </w:rPr>
            </w:pPr>
            <w:r w:rsidRPr="4A4585F5">
              <w:rPr>
                <w:rFonts w:ascii="Tahoma" w:eastAsia="Tahoma" w:hAnsi="Tahoma" w:cs="Tahoma"/>
              </w:rPr>
              <w:t>Solicitation Release</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51A778AD" w14:textId="125C9537" w:rsidR="4A4585F5" w:rsidRDefault="4A4585F5" w:rsidP="4A4585F5">
            <w:pPr>
              <w:rPr>
                <w:rFonts w:ascii="Tahoma" w:eastAsia="Tahoma" w:hAnsi="Tahoma" w:cs="Tahoma"/>
                <w:color w:val="000000" w:themeColor="text1"/>
              </w:rPr>
            </w:pPr>
            <w:r w:rsidRPr="4A4585F5">
              <w:rPr>
                <w:rFonts w:ascii="Tahoma" w:eastAsia="Tahoma" w:hAnsi="Tahoma" w:cs="Tahoma"/>
                <w:color w:val="000000" w:themeColor="text1"/>
              </w:rPr>
              <w:t>October 30, 2024</w:t>
            </w:r>
          </w:p>
        </w:tc>
      </w:tr>
      <w:tr w:rsidR="4A4585F5" w14:paraId="0D50B536" w14:textId="77777777" w:rsidTr="4C4A9BEA">
        <w:trPr>
          <w:trHeight w:val="720"/>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1C922109" w14:textId="55DB8146" w:rsidR="4A4585F5" w:rsidRDefault="4A4585F5" w:rsidP="4A4585F5">
            <w:pPr>
              <w:rPr>
                <w:rFonts w:ascii="Tahoma" w:eastAsia="Tahoma" w:hAnsi="Tahoma" w:cs="Tahoma"/>
              </w:rPr>
            </w:pPr>
            <w:r w:rsidRPr="4A4585F5">
              <w:rPr>
                <w:rFonts w:ascii="Tahoma" w:eastAsia="Tahoma" w:hAnsi="Tahoma" w:cs="Tahoma"/>
              </w:rPr>
              <w:t xml:space="preserve">Pre-Application Workshop* </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024B9F33" w14:textId="58D2B02E" w:rsidR="4A4585F5" w:rsidRDefault="4A4585F5" w:rsidP="4A4585F5">
            <w:pPr>
              <w:rPr>
                <w:rFonts w:ascii="Tahoma" w:eastAsia="Tahoma" w:hAnsi="Tahoma" w:cs="Tahoma"/>
                <w:color w:val="000000" w:themeColor="text1"/>
              </w:rPr>
            </w:pPr>
            <w:r w:rsidRPr="4A4585F5">
              <w:rPr>
                <w:rFonts w:ascii="Tahoma" w:eastAsia="Tahoma" w:hAnsi="Tahoma" w:cs="Tahoma"/>
                <w:color w:val="000000" w:themeColor="text1"/>
              </w:rPr>
              <w:t>November 12, 2024</w:t>
            </w:r>
          </w:p>
          <w:p w14:paraId="2448C321" w14:textId="217D173A" w:rsidR="4A4585F5" w:rsidRDefault="4A4585F5" w:rsidP="4A4585F5">
            <w:pPr>
              <w:rPr>
                <w:rFonts w:ascii="Tahoma" w:eastAsia="Tahoma" w:hAnsi="Tahoma" w:cs="Tahoma"/>
              </w:rPr>
            </w:pPr>
            <w:r w:rsidRPr="4A4585F5">
              <w:rPr>
                <w:rFonts w:ascii="Tahoma" w:eastAsia="Tahoma" w:hAnsi="Tahoma" w:cs="Tahoma"/>
              </w:rPr>
              <w:t xml:space="preserve"> </w:t>
            </w:r>
          </w:p>
        </w:tc>
      </w:tr>
      <w:tr w:rsidR="4A4585F5" w14:paraId="6908ACB0" w14:textId="77777777" w:rsidTr="4C4A9BEA">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5E1D98D6" w14:textId="12889FC5" w:rsidR="4A4585F5" w:rsidRDefault="4A4585F5" w:rsidP="4A4585F5">
            <w:pPr>
              <w:rPr>
                <w:rFonts w:ascii="Tahoma" w:eastAsia="Tahoma" w:hAnsi="Tahoma" w:cs="Tahoma"/>
              </w:rPr>
            </w:pPr>
            <w:r w:rsidRPr="4A4585F5">
              <w:rPr>
                <w:rFonts w:ascii="Tahoma" w:eastAsia="Tahoma" w:hAnsi="Tahoma" w:cs="Tahoma"/>
              </w:rPr>
              <w:t>Deadline for Written Questions by 5:00 p.m.*</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19A5D66E" w14:textId="7F841C12" w:rsidR="4A4585F5" w:rsidRDefault="4A4585F5" w:rsidP="4A4585F5">
            <w:pPr>
              <w:rPr>
                <w:rFonts w:ascii="Tahoma" w:eastAsia="Tahoma" w:hAnsi="Tahoma" w:cs="Tahoma"/>
                <w:color w:val="000000" w:themeColor="text1"/>
              </w:rPr>
            </w:pPr>
            <w:r w:rsidRPr="4A4585F5">
              <w:rPr>
                <w:rFonts w:ascii="Tahoma" w:eastAsia="Tahoma" w:hAnsi="Tahoma" w:cs="Tahoma"/>
                <w:color w:val="000000" w:themeColor="text1"/>
              </w:rPr>
              <w:t>November 22, 2024</w:t>
            </w:r>
          </w:p>
        </w:tc>
      </w:tr>
      <w:tr w:rsidR="4A4585F5" w14:paraId="42CA7A4D" w14:textId="77777777" w:rsidTr="4C4A9BEA">
        <w:trPr>
          <w:trHeight w:val="570"/>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23D31E10" w14:textId="7617A333" w:rsidR="4A4585F5" w:rsidRDefault="4A4585F5" w:rsidP="4A4585F5">
            <w:pPr>
              <w:rPr>
                <w:rFonts w:ascii="Tahoma" w:eastAsia="Tahoma" w:hAnsi="Tahoma" w:cs="Tahoma"/>
              </w:rPr>
            </w:pPr>
            <w:r w:rsidRPr="4A4585F5">
              <w:rPr>
                <w:rFonts w:ascii="Tahoma" w:eastAsia="Tahoma" w:hAnsi="Tahoma" w:cs="Tahoma"/>
              </w:rPr>
              <w:t>Anticipated Distribution of Questions/Answers</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0DBE1EC9" w14:textId="5A8B6296" w:rsidR="4A4585F5" w:rsidRDefault="4A4585F5" w:rsidP="4A4585F5">
            <w:pPr>
              <w:rPr>
                <w:rFonts w:ascii="Tahoma" w:eastAsia="Tahoma" w:hAnsi="Tahoma" w:cs="Tahoma"/>
              </w:rPr>
            </w:pPr>
            <w:r w:rsidRPr="4A4585F5">
              <w:rPr>
                <w:rFonts w:ascii="Tahoma" w:eastAsia="Tahoma" w:hAnsi="Tahoma" w:cs="Tahoma"/>
              </w:rPr>
              <w:t>Week of December 16, 2024</w:t>
            </w:r>
          </w:p>
        </w:tc>
      </w:tr>
      <w:tr w:rsidR="4A4585F5" w14:paraId="2244E613" w14:textId="77777777" w:rsidTr="4C4A9BEA">
        <w:trPr>
          <w:trHeight w:val="100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224AB665" w14:textId="50E09CE2" w:rsidR="4A4585F5" w:rsidRDefault="4A4585F5" w:rsidP="4A4585F5">
            <w:pPr>
              <w:rPr>
                <w:rFonts w:ascii="Tahoma" w:eastAsia="Tahoma" w:hAnsi="Tahoma" w:cs="Tahoma"/>
              </w:rPr>
            </w:pPr>
            <w:r w:rsidRPr="4A4585F5">
              <w:rPr>
                <w:rFonts w:ascii="Tahoma" w:eastAsia="Tahoma" w:hAnsi="Tahoma" w:cs="Tahoma"/>
              </w:rPr>
              <w:t>Support for Application Submission in the Energy Commission Agreement Management System (ECAMS) until 5:00 p.m.</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481A518F" w14:textId="055683C4" w:rsidR="0E91F676" w:rsidRDefault="0E91F676" w:rsidP="4A4585F5">
            <w:pPr>
              <w:rPr>
                <w:rFonts w:ascii="Tahoma" w:eastAsia="Tahoma" w:hAnsi="Tahoma" w:cs="Tahoma"/>
                <w:b/>
                <w:bCs/>
                <w:strike/>
              </w:rPr>
            </w:pPr>
            <w:r w:rsidRPr="4C4A9BEA">
              <w:rPr>
                <w:rFonts w:ascii="Tahoma" w:eastAsia="Tahoma" w:hAnsi="Tahoma" w:cs="Tahoma"/>
                <w:b/>
                <w:bCs/>
              </w:rPr>
              <w:t>[</w:t>
            </w:r>
            <w:r w:rsidR="4A4585F5" w:rsidRPr="4C4A9BEA">
              <w:rPr>
                <w:rFonts w:ascii="Tahoma" w:eastAsia="Tahoma" w:hAnsi="Tahoma" w:cs="Tahoma"/>
                <w:b/>
                <w:bCs/>
                <w:strike/>
              </w:rPr>
              <w:t>Ongoing until January 9, 2025</w:t>
            </w:r>
            <w:r w:rsidR="725A545B" w:rsidRPr="4C4A9BEA">
              <w:rPr>
                <w:rFonts w:ascii="Tahoma" w:eastAsia="Tahoma" w:hAnsi="Tahoma" w:cs="Tahoma"/>
                <w:b/>
                <w:bCs/>
              </w:rPr>
              <w:t>]</w:t>
            </w:r>
            <w:r w:rsidR="53C48A0B" w:rsidRPr="4C4A9BEA">
              <w:rPr>
                <w:rFonts w:ascii="Tahoma" w:eastAsia="Tahoma" w:hAnsi="Tahoma" w:cs="Tahoma"/>
                <w:b/>
                <w:bCs/>
              </w:rPr>
              <w:t xml:space="preserve"> </w:t>
            </w:r>
            <w:r w:rsidR="53C48A0B" w:rsidRPr="4C4A9BEA">
              <w:rPr>
                <w:rFonts w:ascii="Tahoma" w:eastAsia="Tahoma" w:hAnsi="Tahoma" w:cs="Tahoma"/>
                <w:b/>
                <w:bCs/>
                <w:u w:val="single"/>
              </w:rPr>
              <w:t>Ongoing until January 23, 2025</w:t>
            </w:r>
          </w:p>
        </w:tc>
      </w:tr>
      <w:tr w:rsidR="4A4585F5" w14:paraId="446CC04A" w14:textId="77777777" w:rsidTr="4C4A9BEA">
        <w:trPr>
          <w:trHeight w:val="67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31A31E28" w14:textId="065F4D41" w:rsidR="4A4585F5" w:rsidRDefault="4A4585F5" w:rsidP="4A4585F5">
            <w:pPr>
              <w:rPr>
                <w:rFonts w:ascii="Tahoma" w:eastAsia="Tahoma" w:hAnsi="Tahoma" w:cs="Tahoma"/>
                <w:b/>
                <w:bCs/>
              </w:rPr>
            </w:pPr>
            <w:r w:rsidRPr="4A4585F5">
              <w:rPr>
                <w:rFonts w:ascii="Tahoma" w:eastAsia="Tahoma" w:hAnsi="Tahoma" w:cs="Tahoma"/>
                <w:b/>
                <w:bCs/>
              </w:rPr>
              <w:t>Deadline to Submit Applications by 11:59 p.m.*</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59CBE077" w14:textId="148118D5" w:rsidR="57A92FA2" w:rsidRDefault="57A92FA2" w:rsidP="4A4585F5">
            <w:pPr>
              <w:rPr>
                <w:rFonts w:ascii="Tahoma" w:eastAsia="Tahoma" w:hAnsi="Tahoma" w:cs="Tahoma"/>
                <w:b/>
                <w:bCs/>
                <w:strike/>
                <w:u w:val="single"/>
              </w:rPr>
            </w:pPr>
            <w:r w:rsidRPr="4C4A9BEA">
              <w:rPr>
                <w:rFonts w:ascii="Tahoma" w:eastAsia="Tahoma" w:hAnsi="Tahoma" w:cs="Tahoma"/>
                <w:b/>
                <w:bCs/>
              </w:rPr>
              <w:t>[</w:t>
            </w:r>
            <w:r w:rsidR="4A4585F5" w:rsidRPr="4C4A9BEA">
              <w:rPr>
                <w:rFonts w:ascii="Tahoma" w:eastAsia="Tahoma" w:hAnsi="Tahoma" w:cs="Tahoma"/>
                <w:b/>
                <w:bCs/>
                <w:strike/>
              </w:rPr>
              <w:t>January 9, 2025</w:t>
            </w:r>
            <w:r w:rsidR="7CD3F24F" w:rsidRPr="4C4A9BEA">
              <w:rPr>
                <w:rFonts w:ascii="Tahoma" w:eastAsia="Tahoma" w:hAnsi="Tahoma" w:cs="Tahoma"/>
                <w:b/>
                <w:bCs/>
              </w:rPr>
              <w:t>]</w:t>
            </w:r>
            <w:r w:rsidR="7821581B" w:rsidRPr="4C4A9BEA">
              <w:rPr>
                <w:rFonts w:ascii="Tahoma" w:eastAsia="Tahoma" w:hAnsi="Tahoma" w:cs="Tahoma"/>
                <w:b/>
                <w:bCs/>
                <w:strike/>
              </w:rPr>
              <w:t xml:space="preserve"> </w:t>
            </w:r>
            <w:r w:rsidR="7821581B" w:rsidRPr="4C4A9BEA">
              <w:rPr>
                <w:rFonts w:ascii="Tahoma" w:eastAsia="Tahoma" w:hAnsi="Tahoma" w:cs="Tahoma"/>
                <w:b/>
                <w:bCs/>
                <w:u w:val="single"/>
              </w:rPr>
              <w:t>January 23, 2025</w:t>
            </w:r>
          </w:p>
        </w:tc>
      </w:tr>
      <w:tr w:rsidR="4A4585F5" w14:paraId="15F233E8" w14:textId="77777777" w:rsidTr="4C4A9BEA">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46571EA9" w14:textId="500EEB0B" w:rsidR="4A4585F5" w:rsidRDefault="4A4585F5" w:rsidP="4A4585F5">
            <w:pPr>
              <w:rPr>
                <w:rFonts w:ascii="Tahoma" w:eastAsia="Tahoma" w:hAnsi="Tahoma" w:cs="Tahoma"/>
              </w:rPr>
            </w:pPr>
            <w:r w:rsidRPr="4A4585F5">
              <w:rPr>
                <w:rFonts w:ascii="Tahoma" w:eastAsia="Tahoma" w:hAnsi="Tahoma" w:cs="Tahoma"/>
              </w:rPr>
              <w:lastRenderedPageBreak/>
              <w:t xml:space="preserve">Anticipated Notice of Proposed Awards Posting </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2B25148F" w14:textId="505C2EE3" w:rsidR="4A4585F5" w:rsidRDefault="4A4585F5" w:rsidP="4A4585F5">
            <w:pPr>
              <w:rPr>
                <w:rFonts w:ascii="Tahoma" w:eastAsia="Tahoma" w:hAnsi="Tahoma" w:cs="Tahoma"/>
                <w:color w:val="000000" w:themeColor="text1"/>
              </w:rPr>
            </w:pPr>
            <w:r w:rsidRPr="4C4A9BEA">
              <w:rPr>
                <w:rFonts w:ascii="Tahoma" w:eastAsia="Tahoma" w:hAnsi="Tahoma" w:cs="Tahoma"/>
                <w:color w:val="000000" w:themeColor="text1"/>
              </w:rPr>
              <w:t xml:space="preserve">Week of </w:t>
            </w:r>
            <w:r w:rsidR="519FAB8A" w:rsidRPr="4C4A9BEA">
              <w:rPr>
                <w:rFonts w:ascii="Tahoma" w:eastAsia="Tahoma" w:hAnsi="Tahoma" w:cs="Tahoma"/>
                <w:color w:val="000000" w:themeColor="text1"/>
              </w:rPr>
              <w:t>[</w:t>
            </w:r>
            <w:r w:rsidRPr="4C4A9BEA">
              <w:rPr>
                <w:rFonts w:ascii="Tahoma" w:eastAsia="Tahoma" w:hAnsi="Tahoma" w:cs="Tahoma"/>
                <w:strike/>
                <w:color w:val="000000" w:themeColor="text1"/>
              </w:rPr>
              <w:t>March 24</w:t>
            </w:r>
            <w:r w:rsidR="3807C222" w:rsidRPr="4C4A9BEA">
              <w:rPr>
                <w:rFonts w:ascii="Tahoma" w:eastAsia="Tahoma" w:hAnsi="Tahoma" w:cs="Tahoma"/>
                <w:color w:val="000000" w:themeColor="text1"/>
              </w:rPr>
              <w:t xml:space="preserve">] </w:t>
            </w:r>
            <w:r w:rsidR="3807C222" w:rsidRPr="4C4A9BEA">
              <w:rPr>
                <w:rFonts w:ascii="Tahoma" w:eastAsia="Tahoma" w:hAnsi="Tahoma" w:cs="Tahoma"/>
                <w:b/>
                <w:bCs/>
                <w:color w:val="000000" w:themeColor="text1"/>
                <w:u w:val="single"/>
              </w:rPr>
              <w:t>April 7</w:t>
            </w:r>
            <w:r w:rsidRPr="4C4A9BEA">
              <w:rPr>
                <w:rFonts w:ascii="Tahoma" w:eastAsia="Tahoma" w:hAnsi="Tahoma" w:cs="Tahoma"/>
                <w:color w:val="000000" w:themeColor="text1"/>
              </w:rPr>
              <w:t>, 2025</w:t>
            </w:r>
          </w:p>
        </w:tc>
      </w:tr>
      <w:tr w:rsidR="4A4585F5" w14:paraId="21C30EE1" w14:textId="77777777" w:rsidTr="4C4A9BEA">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677C2D3D" w14:textId="1CCA7F85" w:rsidR="4A4585F5" w:rsidRDefault="4A4585F5" w:rsidP="4A4585F5">
            <w:pPr>
              <w:rPr>
                <w:rFonts w:ascii="Tahoma" w:eastAsia="Tahoma" w:hAnsi="Tahoma" w:cs="Tahoma"/>
              </w:rPr>
            </w:pPr>
            <w:r w:rsidRPr="4A4585F5">
              <w:rPr>
                <w:rFonts w:ascii="Tahoma" w:eastAsia="Tahoma" w:hAnsi="Tahoma" w:cs="Tahoma"/>
              </w:rPr>
              <w:t xml:space="preserve">Anticipated CEC Business Meeting </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5EAC21D4" w14:textId="7B1E6122" w:rsidR="3AF166DF" w:rsidRDefault="3AF166DF" w:rsidP="4A4585F5">
            <w:pPr>
              <w:rPr>
                <w:rFonts w:ascii="Tahoma" w:eastAsia="Tahoma" w:hAnsi="Tahoma" w:cs="Tahoma"/>
                <w:color w:val="000000" w:themeColor="text1"/>
              </w:rPr>
            </w:pPr>
            <w:r w:rsidRPr="4C4A9BEA">
              <w:rPr>
                <w:rFonts w:ascii="Tahoma" w:eastAsia="Tahoma" w:hAnsi="Tahoma" w:cs="Tahoma"/>
                <w:color w:val="000000" w:themeColor="text1"/>
              </w:rPr>
              <w:t>[</w:t>
            </w:r>
            <w:r w:rsidR="4A4585F5" w:rsidRPr="4C4A9BEA">
              <w:rPr>
                <w:rFonts w:ascii="Tahoma" w:eastAsia="Tahoma" w:hAnsi="Tahoma" w:cs="Tahoma"/>
                <w:strike/>
                <w:color w:val="000000" w:themeColor="text1"/>
              </w:rPr>
              <w:t>June 11</w:t>
            </w:r>
            <w:r w:rsidR="7F872763" w:rsidRPr="4C4A9BEA">
              <w:rPr>
                <w:rFonts w:ascii="Tahoma" w:eastAsia="Tahoma" w:hAnsi="Tahoma" w:cs="Tahoma"/>
                <w:color w:val="000000" w:themeColor="text1"/>
              </w:rPr>
              <w:t>]</w:t>
            </w:r>
            <w:r w:rsidR="1379433B" w:rsidRPr="4C4A9BEA">
              <w:rPr>
                <w:rFonts w:ascii="Tahoma" w:eastAsia="Tahoma" w:hAnsi="Tahoma" w:cs="Tahoma"/>
                <w:color w:val="000000" w:themeColor="text1"/>
              </w:rPr>
              <w:t xml:space="preserve"> </w:t>
            </w:r>
            <w:r w:rsidR="1379433B" w:rsidRPr="4C4A9BEA">
              <w:rPr>
                <w:rFonts w:ascii="Tahoma" w:eastAsia="Tahoma" w:hAnsi="Tahoma" w:cs="Tahoma"/>
                <w:b/>
                <w:bCs/>
                <w:color w:val="000000" w:themeColor="text1"/>
                <w:u w:val="single"/>
              </w:rPr>
              <w:t>July 9</w:t>
            </w:r>
            <w:r w:rsidR="4A4585F5" w:rsidRPr="4C4A9BEA">
              <w:rPr>
                <w:rFonts w:ascii="Tahoma" w:eastAsia="Tahoma" w:hAnsi="Tahoma" w:cs="Tahoma"/>
                <w:color w:val="000000" w:themeColor="text1"/>
              </w:rPr>
              <w:t>, 2025</w:t>
            </w:r>
          </w:p>
        </w:tc>
      </w:tr>
    </w:tbl>
    <w:p w14:paraId="1671F460" w14:textId="4DEE0A1B" w:rsidR="4A4585F5" w:rsidRDefault="4A4585F5" w:rsidP="4A4585F5">
      <w:pPr>
        <w:pStyle w:val="ListParagraph"/>
        <w:rPr>
          <w:rFonts w:ascii="Tahoma" w:eastAsia="Calibri" w:hAnsi="Tahoma" w:cs="Tahoma"/>
          <w:b/>
          <w:bCs/>
          <w:color w:val="000000" w:themeColor="text1"/>
        </w:rPr>
      </w:pPr>
    </w:p>
    <w:p w14:paraId="1425734E" w14:textId="0F818633" w:rsidR="4A4585F5" w:rsidRDefault="4A4585F5" w:rsidP="4A4585F5">
      <w:pPr>
        <w:pStyle w:val="ListParagraph"/>
        <w:rPr>
          <w:rFonts w:ascii="Tahoma" w:eastAsia="Calibri" w:hAnsi="Tahoma" w:cs="Tahoma"/>
          <w:b/>
          <w:bCs/>
          <w:color w:val="000000" w:themeColor="text1"/>
        </w:rPr>
      </w:pPr>
    </w:p>
    <w:p w14:paraId="3435E3FB" w14:textId="1E8A6C34" w:rsidR="4E63EF05" w:rsidRDefault="4E63EF05" w:rsidP="4A4585F5">
      <w:pPr>
        <w:pStyle w:val="ListParagraph"/>
        <w:numPr>
          <w:ilvl w:val="0"/>
          <w:numId w:val="14"/>
        </w:numPr>
        <w:rPr>
          <w:rFonts w:ascii="Tahoma" w:eastAsia="Calibri" w:hAnsi="Tahoma" w:cs="Tahoma"/>
          <w:b/>
          <w:bCs/>
          <w:color w:val="000000" w:themeColor="text1"/>
        </w:rPr>
      </w:pPr>
      <w:r w:rsidRPr="4A4585F5">
        <w:rPr>
          <w:rFonts w:ascii="Tahoma" w:eastAsia="Calibri" w:hAnsi="Tahoma" w:cs="Tahoma"/>
          <w:b/>
          <w:bCs/>
          <w:color w:val="000000" w:themeColor="text1"/>
        </w:rPr>
        <w:t>Section II</w:t>
      </w:r>
      <w:r w:rsidR="07778CDB" w:rsidRPr="4A4585F5">
        <w:rPr>
          <w:rFonts w:ascii="Tahoma" w:eastAsia="Calibri" w:hAnsi="Tahoma" w:cs="Tahoma"/>
          <w:b/>
          <w:bCs/>
          <w:color w:val="000000" w:themeColor="text1"/>
        </w:rPr>
        <w:t>.B.5. Number of Charging Ports</w:t>
      </w:r>
      <w:r w:rsidR="3D9B308A" w:rsidRPr="4A4585F5">
        <w:rPr>
          <w:rFonts w:ascii="Tahoma" w:eastAsia="Calibri" w:hAnsi="Tahoma" w:cs="Tahoma"/>
          <w:b/>
          <w:bCs/>
          <w:color w:val="000000" w:themeColor="text1"/>
        </w:rPr>
        <w:t xml:space="preserve"> </w:t>
      </w:r>
      <w:r w:rsidR="3D9B308A" w:rsidRPr="4A4585F5">
        <w:rPr>
          <w:rFonts w:ascii="Tahoma" w:eastAsia="Calibri" w:hAnsi="Tahoma" w:cs="Tahoma"/>
          <w:color w:val="000000" w:themeColor="text1"/>
        </w:rPr>
        <w:t>(page 16)</w:t>
      </w:r>
    </w:p>
    <w:p w14:paraId="7DF74C89" w14:textId="3E01CF71" w:rsidR="4A4585F5" w:rsidRDefault="4A4585F5" w:rsidP="4A4585F5">
      <w:pPr>
        <w:pStyle w:val="ListParagraph"/>
        <w:rPr>
          <w:rFonts w:ascii="Tahoma" w:eastAsia="Tahoma" w:hAnsi="Tahoma" w:cs="Tahoma"/>
          <w:b/>
          <w:bCs/>
          <w:color w:val="000000" w:themeColor="text1"/>
        </w:rPr>
      </w:pPr>
    </w:p>
    <w:p w14:paraId="45374694" w14:textId="289FC7A4" w:rsidR="006E1137" w:rsidRPr="006E1137" w:rsidRDefault="26D4E0A8" w:rsidP="4A4585F5">
      <w:pPr>
        <w:autoSpaceDE w:val="0"/>
        <w:autoSpaceDN w:val="0"/>
        <w:adjustRightInd w:val="0"/>
        <w:ind w:firstLine="720"/>
        <w:rPr>
          <w:rFonts w:ascii="Tahoma" w:eastAsia="Tahoma" w:hAnsi="Tahoma" w:cs="Tahoma"/>
        </w:rPr>
      </w:pPr>
      <w:r w:rsidRPr="4A4585F5">
        <w:rPr>
          <w:rFonts w:ascii="Tahoma" w:eastAsia="Tahoma" w:hAnsi="Tahoma" w:cs="Tahoma"/>
          <w:color w:val="000000" w:themeColor="text1"/>
        </w:rPr>
        <w:t xml:space="preserve">5. </w:t>
      </w:r>
      <w:r w:rsidR="006E1137" w:rsidRPr="4A4585F5">
        <w:rPr>
          <w:rFonts w:ascii="Tahoma" w:eastAsia="Tahoma" w:hAnsi="Tahoma" w:cs="Tahoma"/>
          <w:color w:val="000000" w:themeColor="text1"/>
        </w:rPr>
        <w:t> </w:t>
      </w:r>
      <w:r w:rsidR="5794EC38" w:rsidRPr="4A4585F5">
        <w:rPr>
          <w:rFonts w:ascii="Tahoma" w:eastAsia="Tahoma" w:hAnsi="Tahoma" w:cs="Tahoma"/>
        </w:rPr>
        <w:t>Number of Charging Ports</w:t>
      </w:r>
    </w:p>
    <w:p w14:paraId="37E2EDAA" w14:textId="7FE342D2" w:rsidR="006E1137" w:rsidRPr="006E1137" w:rsidRDefault="006E1137" w:rsidP="4A4585F5">
      <w:pPr>
        <w:autoSpaceDE w:val="0"/>
        <w:autoSpaceDN w:val="0"/>
        <w:adjustRightInd w:val="0"/>
        <w:ind w:firstLine="720"/>
        <w:rPr>
          <w:rFonts w:ascii="Tahoma" w:eastAsia="Tahoma" w:hAnsi="Tahoma" w:cs="Tahoma"/>
          <w:b/>
          <w:bCs/>
        </w:rPr>
      </w:pPr>
    </w:p>
    <w:p w14:paraId="611C92EE" w14:textId="1255CBD2" w:rsidR="006E1137" w:rsidRPr="006E1137" w:rsidRDefault="5794EC38" w:rsidP="4A4585F5">
      <w:pPr>
        <w:pStyle w:val="ListParagraph"/>
        <w:autoSpaceDE w:val="0"/>
        <w:autoSpaceDN w:val="0"/>
        <w:adjustRightInd w:val="0"/>
        <w:rPr>
          <w:rFonts w:ascii="Tahoma" w:eastAsia="Tahoma" w:hAnsi="Tahoma" w:cs="Tahoma"/>
        </w:rPr>
      </w:pPr>
      <w:r w:rsidRPr="4A4585F5">
        <w:rPr>
          <w:rFonts w:ascii="Tahoma" w:eastAsia="Tahoma" w:hAnsi="Tahoma" w:cs="Tahoma"/>
        </w:rPr>
        <w:t xml:space="preserve">Per 23 CFR 680.106, AFC charging stations must have a minimum of four network-connected DCFC ports that have a continuous power delivery rating of at least 150 kW and supply power according to an EV’s power delivery request up to 150kW, simultaneously from each charging port, and be capable of simultaneously charging at least four EVs. Non-AFC charging stations must also have a minimum of four ports; these ports can be all DCFC, all Level 2, or a combination of DCFC and Level 2. </w:t>
      </w:r>
    </w:p>
    <w:p w14:paraId="2D95623E" w14:textId="3F232A7E" w:rsidR="006E1137" w:rsidRPr="006E1137" w:rsidRDefault="006E1137" w:rsidP="4A4585F5">
      <w:pPr>
        <w:pStyle w:val="ListParagraph"/>
        <w:autoSpaceDE w:val="0"/>
        <w:autoSpaceDN w:val="0"/>
        <w:adjustRightInd w:val="0"/>
        <w:rPr>
          <w:rFonts w:ascii="Tahoma" w:eastAsia="Tahoma" w:hAnsi="Tahoma" w:cs="Tahoma"/>
        </w:rPr>
      </w:pPr>
    </w:p>
    <w:p w14:paraId="5AE63ECC" w14:textId="3FC70E00" w:rsidR="006E1137" w:rsidRPr="006E1137" w:rsidRDefault="5794EC38" w:rsidP="4A4585F5">
      <w:pPr>
        <w:pStyle w:val="ListParagraph"/>
        <w:autoSpaceDE w:val="0"/>
        <w:autoSpaceDN w:val="0"/>
        <w:adjustRightInd w:val="0"/>
        <w:rPr>
          <w:rFonts w:ascii="Tahoma" w:eastAsia="Tahoma" w:hAnsi="Tahoma" w:cs="Tahoma"/>
        </w:rPr>
      </w:pPr>
      <w:r w:rsidRPr="4A4585F5">
        <w:rPr>
          <w:rFonts w:ascii="Tahoma" w:eastAsia="Tahoma" w:hAnsi="Tahoma" w:cs="Tahoma"/>
        </w:rPr>
        <w:t>If the charging station does not have four ports that meet the federal NEVI standards in 23 CFR 680, Applicants must propose to install additional ports to meet the four-port minimum. For AFC charging stations, additional ports must be DCFC and meet the requirements stated in the paragraph above. For non-AFC charging stations, additional ports must be Level 2.</w:t>
      </w:r>
    </w:p>
    <w:p w14:paraId="61FF47A1" w14:textId="5BF5F787" w:rsidR="006E1137" w:rsidRPr="006E1137" w:rsidRDefault="006E1137" w:rsidP="4A4585F5">
      <w:pPr>
        <w:pStyle w:val="ListParagraph"/>
        <w:autoSpaceDE w:val="0"/>
        <w:autoSpaceDN w:val="0"/>
        <w:adjustRightInd w:val="0"/>
        <w:rPr>
          <w:rFonts w:ascii="Tahoma" w:eastAsia="Tahoma" w:hAnsi="Tahoma" w:cs="Tahoma"/>
        </w:rPr>
      </w:pPr>
    </w:p>
    <w:p w14:paraId="534548F9" w14:textId="1FF5CA05" w:rsidR="006E1137" w:rsidRPr="006E1137" w:rsidRDefault="5794EC38" w:rsidP="4A4585F5">
      <w:pPr>
        <w:pStyle w:val="ListParagraph"/>
        <w:autoSpaceDE w:val="0"/>
        <w:autoSpaceDN w:val="0"/>
        <w:adjustRightInd w:val="0"/>
        <w:rPr>
          <w:rFonts w:ascii="Tahoma" w:eastAsia="Tahoma" w:hAnsi="Tahoma" w:cs="Tahoma"/>
          <w:b/>
          <w:bCs/>
          <w:color w:val="000000" w:themeColor="text1"/>
          <w:u w:val="single"/>
        </w:rPr>
      </w:pPr>
      <w:r w:rsidRPr="4A4585F5">
        <w:rPr>
          <w:rFonts w:ascii="Tahoma" w:eastAsia="Tahoma" w:hAnsi="Tahoma" w:cs="Tahoma"/>
          <w:b/>
          <w:bCs/>
          <w:color w:val="000000" w:themeColor="text1"/>
          <w:u w:val="single"/>
        </w:rPr>
        <w:t xml:space="preserve">Existing operational ports that are upgraded or replaced to comply with 23 CFR 680 at a charging station where non-operational ports from the </w:t>
      </w:r>
      <w:r w:rsidR="00614738">
        <w:rPr>
          <w:rFonts w:ascii="Tahoma" w:eastAsia="Tahoma" w:hAnsi="Tahoma" w:cs="Tahoma"/>
          <w:b/>
          <w:bCs/>
          <w:color w:val="000000" w:themeColor="text1"/>
          <w:u w:val="single"/>
        </w:rPr>
        <w:t xml:space="preserve">FHWA’s </w:t>
      </w:r>
      <w:r w:rsidRPr="4A4585F5">
        <w:rPr>
          <w:rFonts w:ascii="Tahoma" w:eastAsia="Tahoma" w:hAnsi="Tahoma" w:cs="Tahoma"/>
          <w:b/>
          <w:bCs/>
          <w:color w:val="000000" w:themeColor="text1"/>
          <w:u w:val="single"/>
        </w:rPr>
        <w:t>Final List or Final List Addendum of Non-Operational Ports are repaired or replaced are considered additional ports. As additional ports, they must be included on the “Additional Ports” tab of the Charging Station Application Template (Attachment 5). Please see the instructions in</w:t>
      </w:r>
      <w:r w:rsidR="3831596C" w:rsidRPr="4A4585F5">
        <w:rPr>
          <w:rFonts w:ascii="Tahoma" w:eastAsia="Tahoma" w:hAnsi="Tahoma" w:cs="Tahoma"/>
          <w:b/>
          <w:bCs/>
          <w:color w:val="000000" w:themeColor="text1"/>
          <w:u w:val="single"/>
        </w:rPr>
        <w:t xml:space="preserve"> the</w:t>
      </w:r>
      <w:r w:rsidRPr="4A4585F5">
        <w:rPr>
          <w:rFonts w:ascii="Tahoma" w:eastAsia="Tahoma" w:hAnsi="Tahoma" w:cs="Tahoma"/>
          <w:b/>
          <w:bCs/>
          <w:color w:val="000000" w:themeColor="text1"/>
          <w:u w:val="single"/>
        </w:rPr>
        <w:t xml:space="preserve"> Charging Station Application Template (Attachment 5) for more information.</w:t>
      </w:r>
    </w:p>
    <w:p w14:paraId="01EC444F" w14:textId="40F3ABA7" w:rsidR="006E1137" w:rsidRPr="006E1137" w:rsidRDefault="006E1137" w:rsidP="4A4585F5">
      <w:pPr>
        <w:autoSpaceDE w:val="0"/>
        <w:autoSpaceDN w:val="0"/>
        <w:adjustRightInd w:val="0"/>
        <w:rPr>
          <w:rFonts w:ascii="Tahoma" w:eastAsia="Tahoma" w:hAnsi="Tahoma" w:cs="Tahoma"/>
          <w:color w:val="242424"/>
        </w:rPr>
      </w:pPr>
    </w:p>
    <w:p w14:paraId="4E8F698E" w14:textId="7DFF6213" w:rsidR="006E1137" w:rsidRPr="006E1137" w:rsidRDefault="5794EC38" w:rsidP="4A4585F5">
      <w:pPr>
        <w:pStyle w:val="ListParagraph"/>
        <w:autoSpaceDE w:val="0"/>
        <w:autoSpaceDN w:val="0"/>
        <w:adjustRightInd w:val="0"/>
        <w:rPr>
          <w:rFonts w:ascii="Tahoma" w:eastAsia="Tahoma" w:hAnsi="Tahoma" w:cs="Tahoma"/>
        </w:rPr>
      </w:pPr>
      <w:r w:rsidRPr="4A4585F5">
        <w:rPr>
          <w:rFonts w:ascii="Tahoma" w:eastAsia="Tahoma" w:hAnsi="Tahoma" w:cs="Tahoma"/>
        </w:rPr>
        <w:t>Applicants may install extra ports beyond the four-port minimum, but these extra ports cannot be included in the proposed project, cannot use EVC RAA funding, and cannot count towards the Applicant’s Match funding.</w:t>
      </w:r>
    </w:p>
    <w:p w14:paraId="20200F65" w14:textId="33CBD79E" w:rsidR="006E1137" w:rsidRPr="006E1137" w:rsidRDefault="006E1137" w:rsidP="4A4585F5">
      <w:pPr>
        <w:pStyle w:val="ListParagraph"/>
        <w:autoSpaceDE w:val="0"/>
        <w:autoSpaceDN w:val="0"/>
        <w:adjustRightInd w:val="0"/>
        <w:rPr>
          <w:rFonts w:ascii="Tahoma" w:eastAsia="Tahoma" w:hAnsi="Tahoma" w:cs="Tahoma"/>
        </w:rPr>
      </w:pPr>
    </w:p>
    <w:p w14:paraId="729EB555" w14:textId="51888B36" w:rsidR="006E1137" w:rsidRPr="006E1137" w:rsidRDefault="006E1137" w:rsidP="4A4585F5">
      <w:pPr>
        <w:pStyle w:val="ListParagraph"/>
        <w:autoSpaceDE w:val="0"/>
        <w:autoSpaceDN w:val="0"/>
        <w:adjustRightInd w:val="0"/>
        <w:rPr>
          <w:rFonts w:ascii="Tahoma" w:eastAsia="Tahoma" w:hAnsi="Tahoma" w:cs="Tahoma"/>
        </w:rPr>
      </w:pPr>
    </w:p>
    <w:p w14:paraId="7A4CB3F6" w14:textId="5B78763C" w:rsidR="006E1137" w:rsidRPr="006E1137" w:rsidRDefault="6516051D" w:rsidP="4A4585F5">
      <w:pPr>
        <w:pStyle w:val="ListParagraph"/>
        <w:numPr>
          <w:ilvl w:val="0"/>
          <w:numId w:val="14"/>
        </w:numPr>
        <w:autoSpaceDE w:val="0"/>
        <w:autoSpaceDN w:val="0"/>
        <w:adjustRightInd w:val="0"/>
        <w:rPr>
          <w:rFonts w:ascii="Tahoma" w:eastAsia="Calibri" w:hAnsi="Tahoma" w:cs="Tahoma"/>
          <w:b/>
          <w:bCs/>
          <w:color w:val="000000" w:themeColor="text1"/>
        </w:rPr>
      </w:pPr>
      <w:r w:rsidRPr="4A4585F5">
        <w:rPr>
          <w:rFonts w:ascii="Tahoma" w:eastAsia="Calibri" w:hAnsi="Tahoma" w:cs="Tahoma"/>
          <w:b/>
          <w:bCs/>
          <w:color w:val="000000" w:themeColor="text1"/>
        </w:rPr>
        <w:t xml:space="preserve">Section II.B.10. Charging Equipment Requirements </w:t>
      </w:r>
      <w:r w:rsidRPr="4A4585F5">
        <w:rPr>
          <w:rFonts w:ascii="Tahoma" w:eastAsia="Calibri" w:hAnsi="Tahoma" w:cs="Tahoma"/>
          <w:color w:val="000000" w:themeColor="text1"/>
        </w:rPr>
        <w:t>(page</w:t>
      </w:r>
      <w:r w:rsidR="006B7050">
        <w:rPr>
          <w:rFonts w:ascii="Tahoma" w:eastAsia="Calibri" w:hAnsi="Tahoma" w:cs="Tahoma"/>
          <w:color w:val="000000" w:themeColor="text1"/>
        </w:rPr>
        <w:t>s 18-2</w:t>
      </w:r>
      <w:r w:rsidR="00FB507E">
        <w:rPr>
          <w:rFonts w:ascii="Tahoma" w:eastAsia="Calibri" w:hAnsi="Tahoma" w:cs="Tahoma"/>
          <w:color w:val="000000" w:themeColor="text1"/>
        </w:rPr>
        <w:t>0</w:t>
      </w:r>
      <w:r w:rsidRPr="4A4585F5">
        <w:rPr>
          <w:rFonts w:ascii="Tahoma" w:eastAsia="Calibri" w:hAnsi="Tahoma" w:cs="Tahoma"/>
          <w:color w:val="000000" w:themeColor="text1"/>
        </w:rPr>
        <w:t>)</w:t>
      </w:r>
    </w:p>
    <w:p w14:paraId="57443345" w14:textId="4087B830" w:rsidR="006E1137" w:rsidRPr="006E1137" w:rsidRDefault="006E1137" w:rsidP="4A4585F5">
      <w:pPr>
        <w:pStyle w:val="ListParagraph"/>
        <w:autoSpaceDE w:val="0"/>
        <w:autoSpaceDN w:val="0"/>
        <w:adjustRightInd w:val="0"/>
        <w:rPr>
          <w:rFonts w:ascii="Tahoma" w:eastAsia="Calibri" w:hAnsi="Tahoma" w:cs="Tahoma"/>
          <w:b/>
          <w:bCs/>
          <w:color w:val="000000" w:themeColor="text1"/>
        </w:rPr>
      </w:pPr>
    </w:p>
    <w:p w14:paraId="4F3E8E66" w14:textId="562D3F8B" w:rsidR="006E1137" w:rsidRPr="00EC00A4" w:rsidRDefault="5694B193" w:rsidP="3C79E995">
      <w:pPr>
        <w:pStyle w:val="ListParagraph"/>
        <w:numPr>
          <w:ilvl w:val="0"/>
          <w:numId w:val="11"/>
        </w:numPr>
        <w:autoSpaceDE w:val="0"/>
        <w:autoSpaceDN w:val="0"/>
        <w:adjustRightInd w:val="0"/>
        <w:ind w:left="1440" w:hanging="900"/>
        <w:rPr>
          <w:rFonts w:ascii="Tahoma" w:eastAsia="Arial" w:hAnsi="Tahoma" w:cs="Tahoma"/>
          <w:b/>
          <w:bCs/>
        </w:rPr>
      </w:pPr>
      <w:r w:rsidRPr="4C4A9BEA">
        <w:rPr>
          <w:rFonts w:ascii="Tahoma" w:eastAsia="Arial" w:hAnsi="Tahoma" w:cs="Tahoma"/>
          <w:b/>
          <w:bCs/>
        </w:rPr>
        <w:t xml:space="preserve">Charging Equipment </w:t>
      </w:r>
      <w:r w:rsidRPr="4C4A9BEA">
        <w:rPr>
          <w:rFonts w:ascii="Tahoma" w:eastAsia="Arial" w:hAnsi="Tahoma" w:cs="Tahoma"/>
          <w:b/>
          <w:bCs/>
          <w:u w:val="single"/>
        </w:rPr>
        <w:t>and Network</w:t>
      </w:r>
      <w:r w:rsidRPr="4C4A9BEA">
        <w:rPr>
          <w:rFonts w:ascii="Tahoma" w:eastAsia="Arial" w:hAnsi="Tahoma" w:cs="Tahoma"/>
          <w:b/>
          <w:bCs/>
        </w:rPr>
        <w:t xml:space="preserve"> Requirements</w:t>
      </w:r>
    </w:p>
    <w:p w14:paraId="31959184" w14:textId="77777777" w:rsidR="0050138D" w:rsidRPr="0050138D" w:rsidRDefault="0050138D" w:rsidP="0050138D">
      <w:pPr>
        <w:keepNext/>
        <w:ind w:left="1440"/>
        <w:rPr>
          <w:rFonts w:ascii="Tahoma" w:hAnsi="Tahoma" w:cs="Tahoma"/>
          <w:b/>
        </w:rPr>
      </w:pPr>
      <w:r w:rsidRPr="0050138D">
        <w:rPr>
          <w:rFonts w:ascii="Tahoma" w:hAnsi="Tahoma" w:cs="Tahoma"/>
        </w:rPr>
        <w:lastRenderedPageBreak/>
        <w:t>All of the following requirements must be met:</w:t>
      </w:r>
    </w:p>
    <w:p w14:paraId="51FC4E0B" w14:textId="77777777" w:rsidR="0050138D" w:rsidRPr="0050138D" w:rsidRDefault="0050138D" w:rsidP="0050138D">
      <w:pPr>
        <w:pStyle w:val="ListParagraph"/>
        <w:numPr>
          <w:ilvl w:val="0"/>
          <w:numId w:val="43"/>
        </w:numPr>
        <w:ind w:left="2160"/>
        <w:rPr>
          <w:rFonts w:ascii="Tahoma" w:hAnsi="Tahoma" w:cs="Tahoma"/>
        </w:rPr>
      </w:pPr>
      <w:r w:rsidRPr="0050138D">
        <w:rPr>
          <w:rFonts w:ascii="Tahoma" w:hAnsi="Tahoma" w:cs="Tahoma"/>
        </w:rPr>
        <w:t>Power Requirements</w:t>
      </w:r>
    </w:p>
    <w:p w14:paraId="574AD4B6" w14:textId="77777777" w:rsidR="0050138D" w:rsidRPr="0050138D" w:rsidRDefault="0050138D" w:rsidP="0050138D">
      <w:pPr>
        <w:pStyle w:val="ListParagraph"/>
        <w:numPr>
          <w:ilvl w:val="1"/>
          <w:numId w:val="43"/>
        </w:numPr>
        <w:ind w:left="2520"/>
        <w:rPr>
          <w:rFonts w:ascii="Tahoma" w:hAnsi="Tahoma" w:cs="Tahoma"/>
        </w:rPr>
      </w:pPr>
      <w:r w:rsidRPr="0050138D">
        <w:rPr>
          <w:rFonts w:ascii="Tahoma" w:hAnsi="Tahoma" w:cs="Tahoma"/>
        </w:rPr>
        <w:t>DCFCs – Each DCFC charging port must support output voltages between 250 volts DC and 920 volts DC. DCFCs located at AFC charging stations must have a continuous power delivery rating of at least 150 kW and supply power according to an EV’s power delivery request up to 150 kW, simultaneously from each charging port at a charging station. Lower power DCFCs may be installed at non-AFC charging stations.</w:t>
      </w:r>
    </w:p>
    <w:p w14:paraId="6CCF265A" w14:textId="77777777" w:rsidR="0050138D" w:rsidRPr="0050138D" w:rsidRDefault="0050138D" w:rsidP="0050138D">
      <w:pPr>
        <w:pStyle w:val="ListParagraph"/>
        <w:numPr>
          <w:ilvl w:val="1"/>
          <w:numId w:val="43"/>
        </w:numPr>
        <w:ind w:left="2520"/>
        <w:rPr>
          <w:rFonts w:ascii="Tahoma" w:hAnsi="Tahoma" w:cs="Tahoma"/>
        </w:rPr>
      </w:pPr>
      <w:r w:rsidRPr="0050138D">
        <w:rPr>
          <w:rFonts w:ascii="Tahoma" w:hAnsi="Tahoma" w:cs="Tahoma"/>
        </w:rPr>
        <w:t xml:space="preserve">Level 2 – Each Level 2 charging port must have a continuous power delivery rating of at least 6 kW and the charging station must be capable of providing at least 6 kW per port simultaneously across all Level 2 ports. </w:t>
      </w:r>
    </w:p>
    <w:p w14:paraId="61FF3B89" w14:textId="77777777" w:rsidR="0050138D" w:rsidRPr="0050138D" w:rsidRDefault="0050138D" w:rsidP="0050138D">
      <w:pPr>
        <w:pStyle w:val="ListParagraph"/>
        <w:widowControl w:val="0"/>
        <w:numPr>
          <w:ilvl w:val="1"/>
          <w:numId w:val="43"/>
        </w:numPr>
        <w:ind w:left="2520"/>
        <w:rPr>
          <w:rFonts w:ascii="Tahoma" w:hAnsi="Tahoma" w:cs="Tahoma"/>
        </w:rPr>
      </w:pPr>
      <w:r w:rsidRPr="0050138D">
        <w:rPr>
          <w:rFonts w:ascii="Tahoma" w:hAnsi="Tahoma" w:cs="Tahoma"/>
        </w:rPr>
        <w:t>AFC charging stations should be supported by a grid connection of at least 600 kW. For AFC charging stations not connecting to the grid with at least 600 kW, Applicants will need to justify how the charging station will still comply with the simultaneous supply of 150 kW per charging port requirement (Attachment 5).</w:t>
      </w:r>
    </w:p>
    <w:p w14:paraId="179BE5E4" w14:textId="77777777" w:rsidR="0050138D" w:rsidRPr="0050138D" w:rsidRDefault="0050138D" w:rsidP="0050138D">
      <w:pPr>
        <w:pStyle w:val="ListParagraph"/>
        <w:widowControl w:val="0"/>
        <w:numPr>
          <w:ilvl w:val="0"/>
          <w:numId w:val="43"/>
        </w:numPr>
        <w:ind w:left="2160"/>
        <w:rPr>
          <w:rFonts w:ascii="Tahoma" w:hAnsi="Tahoma" w:cs="Tahoma"/>
        </w:rPr>
      </w:pPr>
      <w:r w:rsidRPr="0050138D">
        <w:rPr>
          <w:rFonts w:ascii="Tahoma" w:hAnsi="Tahoma" w:cs="Tahoma"/>
        </w:rPr>
        <w:t>Connectors</w:t>
      </w:r>
    </w:p>
    <w:p w14:paraId="52CF1D9D" w14:textId="77777777" w:rsidR="0050138D" w:rsidRPr="0050138D" w:rsidRDefault="0050138D" w:rsidP="0050138D">
      <w:pPr>
        <w:pStyle w:val="ListParagraph"/>
        <w:widowControl w:val="0"/>
        <w:numPr>
          <w:ilvl w:val="1"/>
          <w:numId w:val="44"/>
        </w:numPr>
        <w:ind w:left="2520"/>
        <w:rPr>
          <w:rFonts w:ascii="Tahoma" w:hAnsi="Tahoma" w:cs="Tahoma"/>
        </w:rPr>
      </w:pPr>
      <w:r w:rsidRPr="0050138D">
        <w:rPr>
          <w:rFonts w:ascii="Tahoma" w:hAnsi="Tahoma" w:cs="Tahoma"/>
        </w:rPr>
        <w:t>DCFCs - Each charging port must have at least one permanently attached CCS connector. Additional connector types such as SAE J3400 are allowed to be installed if the previous requirement is still met.</w:t>
      </w:r>
    </w:p>
    <w:p w14:paraId="6EAFFC4E" w14:textId="77777777" w:rsidR="0050138D" w:rsidRPr="0050138D" w:rsidRDefault="0050138D" w:rsidP="0050138D">
      <w:pPr>
        <w:pStyle w:val="ListParagraph"/>
        <w:widowControl w:val="0"/>
        <w:numPr>
          <w:ilvl w:val="1"/>
          <w:numId w:val="44"/>
        </w:numPr>
        <w:ind w:left="2520"/>
        <w:rPr>
          <w:rFonts w:ascii="Tahoma" w:hAnsi="Tahoma" w:cs="Tahoma"/>
        </w:rPr>
      </w:pPr>
      <w:r w:rsidRPr="0050138D">
        <w:rPr>
          <w:rFonts w:ascii="Tahoma" w:hAnsi="Tahoma" w:cs="Tahoma"/>
        </w:rPr>
        <w:t>Level 2 – Each charging port must have at least one permanently attached SAE J1772 connector. Additional connector types such as SAE J3400 are allowed to be installed if the previous requirement is still met.</w:t>
      </w:r>
    </w:p>
    <w:p w14:paraId="706F283B" w14:textId="77777777" w:rsidR="0050138D" w:rsidRPr="0050138D" w:rsidRDefault="0050138D" w:rsidP="0050138D">
      <w:pPr>
        <w:pStyle w:val="ListParagraph"/>
        <w:widowControl w:val="0"/>
        <w:numPr>
          <w:ilvl w:val="0"/>
          <w:numId w:val="43"/>
        </w:numPr>
        <w:ind w:left="2160"/>
        <w:rPr>
          <w:rFonts w:ascii="Tahoma" w:hAnsi="Tahoma" w:cs="Tahoma"/>
        </w:rPr>
      </w:pPr>
      <w:r w:rsidRPr="0050138D">
        <w:rPr>
          <w:rFonts w:ascii="Tahoma" w:hAnsi="Tahoma" w:cs="Tahoma"/>
        </w:rPr>
        <w:t>Energy Star Certification</w:t>
      </w:r>
    </w:p>
    <w:p w14:paraId="73674ED9" w14:textId="77777777" w:rsidR="0050138D" w:rsidRPr="0050138D" w:rsidRDefault="0050138D" w:rsidP="0050138D">
      <w:pPr>
        <w:pStyle w:val="ListParagraph"/>
        <w:widowControl w:val="0"/>
        <w:numPr>
          <w:ilvl w:val="1"/>
          <w:numId w:val="43"/>
        </w:numPr>
        <w:ind w:left="2520"/>
        <w:rPr>
          <w:rFonts w:ascii="Tahoma" w:hAnsi="Tahoma" w:cs="Tahoma"/>
        </w:rPr>
      </w:pPr>
      <w:r w:rsidRPr="0050138D">
        <w:rPr>
          <w:rFonts w:ascii="Tahoma" w:hAnsi="Tahoma" w:cs="Tahoma"/>
        </w:rPr>
        <w:t xml:space="preserve">The chargers must be Energy Star certified and listed on the </w:t>
      </w:r>
      <w:hyperlink r:id="rId11">
        <w:r w:rsidRPr="0050138D">
          <w:rPr>
            <w:rStyle w:val="Hyperlink"/>
            <w:rFonts w:ascii="Tahoma" w:hAnsi="Tahoma" w:cs="Tahoma"/>
          </w:rPr>
          <w:t>Energy Star Product Finder Page</w:t>
        </w:r>
      </w:hyperlink>
      <w:r w:rsidRPr="0050138D">
        <w:rPr>
          <w:rFonts w:ascii="Tahoma" w:hAnsi="Tahoma" w:cs="Tahoma"/>
        </w:rPr>
        <w:t xml:space="preserve"> at https://www.energystar.gov/productfinder/product/certified-evse/results. Chargers do not have to be certified at the time of submitting the </w:t>
      </w:r>
      <w:proofErr w:type="gramStart"/>
      <w:r w:rsidRPr="0050138D">
        <w:rPr>
          <w:rFonts w:ascii="Tahoma" w:hAnsi="Tahoma" w:cs="Tahoma"/>
        </w:rPr>
        <w:t>proposal, but</w:t>
      </w:r>
      <w:proofErr w:type="gramEnd"/>
      <w:r w:rsidRPr="0050138D">
        <w:rPr>
          <w:rFonts w:ascii="Tahoma" w:hAnsi="Tahoma" w:cs="Tahoma"/>
        </w:rPr>
        <w:t xml:space="preserve"> must be certified prior to submitting an invoice that seeks repayment for the chargers. Chargers over 350 kW are not required to be Energy Star certified.</w:t>
      </w:r>
    </w:p>
    <w:p w14:paraId="5D48DEEE" w14:textId="77777777" w:rsidR="0050138D" w:rsidRPr="0050138D" w:rsidRDefault="0050138D" w:rsidP="0050138D">
      <w:pPr>
        <w:pStyle w:val="ListParagraph"/>
        <w:widowControl w:val="0"/>
        <w:numPr>
          <w:ilvl w:val="0"/>
          <w:numId w:val="43"/>
        </w:numPr>
        <w:ind w:left="2160"/>
        <w:rPr>
          <w:rFonts w:ascii="Tahoma" w:hAnsi="Tahoma" w:cs="Tahoma"/>
        </w:rPr>
      </w:pPr>
      <w:r w:rsidRPr="0050138D">
        <w:rPr>
          <w:rFonts w:ascii="Tahoma" w:hAnsi="Tahoma" w:cs="Tahoma"/>
        </w:rPr>
        <w:t>Interoperability: Charger-to-EV Communication</w:t>
      </w:r>
    </w:p>
    <w:p w14:paraId="4F9D334A" w14:textId="77777777" w:rsidR="0050138D" w:rsidRPr="0050138D" w:rsidRDefault="0050138D" w:rsidP="0050138D">
      <w:pPr>
        <w:pStyle w:val="ListParagraph"/>
        <w:widowControl w:val="0"/>
        <w:numPr>
          <w:ilvl w:val="1"/>
          <w:numId w:val="43"/>
        </w:numPr>
        <w:ind w:left="2520"/>
        <w:rPr>
          <w:rFonts w:ascii="Tahoma" w:hAnsi="Tahoma" w:cs="Tahoma"/>
        </w:rPr>
      </w:pPr>
      <w:r w:rsidRPr="0050138D">
        <w:rPr>
          <w:rFonts w:ascii="Tahoma" w:hAnsi="Tahoma" w:cs="Tahoma"/>
        </w:rPr>
        <w:t xml:space="preserve">The chargers must conform to ISO 15118-3, and hardware must be capable of implementing both ISO 15118-2 and ISO </w:t>
      </w:r>
      <w:r w:rsidRPr="0050138D">
        <w:rPr>
          <w:rFonts w:ascii="Tahoma" w:hAnsi="Tahoma" w:cs="Tahoma"/>
        </w:rPr>
        <w:lastRenderedPageBreak/>
        <w:t>15118-20.</w:t>
      </w:r>
    </w:p>
    <w:p w14:paraId="5CC58E20" w14:textId="77777777" w:rsidR="0050138D" w:rsidRPr="0050138D" w:rsidRDefault="0050138D" w:rsidP="0050138D">
      <w:pPr>
        <w:pStyle w:val="ListParagraph"/>
        <w:widowControl w:val="0"/>
        <w:numPr>
          <w:ilvl w:val="1"/>
          <w:numId w:val="43"/>
        </w:numPr>
        <w:ind w:left="2520"/>
        <w:rPr>
          <w:rFonts w:ascii="Tahoma" w:hAnsi="Tahoma" w:cs="Tahoma"/>
        </w:rPr>
      </w:pPr>
      <w:r w:rsidRPr="0050138D">
        <w:rPr>
          <w:rFonts w:ascii="Tahoma" w:hAnsi="Tahoma" w:cs="Tahoma"/>
        </w:rPr>
        <w:t>The chargers must include all necessary software and hardware to perform Plug-and-Charge using ISO 15118-2.</w:t>
      </w:r>
    </w:p>
    <w:p w14:paraId="21EA3F36" w14:textId="77777777" w:rsidR="0050138D" w:rsidRPr="0050138D" w:rsidRDefault="0050138D" w:rsidP="0050138D">
      <w:pPr>
        <w:pStyle w:val="ListParagraph"/>
        <w:widowControl w:val="0"/>
        <w:numPr>
          <w:ilvl w:val="1"/>
          <w:numId w:val="43"/>
        </w:numPr>
        <w:ind w:left="2520"/>
        <w:rPr>
          <w:rFonts w:ascii="Tahoma" w:hAnsi="Tahoma" w:cs="Tahoma"/>
        </w:rPr>
      </w:pPr>
      <w:r w:rsidRPr="0050138D">
        <w:rPr>
          <w:rFonts w:ascii="Tahoma" w:hAnsi="Tahoma" w:cs="Tahoma"/>
        </w:rPr>
        <w:t>Conformance testing for charger software and hardware should follow ISO 15118-4 and 15118-5, respectively.</w:t>
      </w:r>
    </w:p>
    <w:p w14:paraId="3287CF70" w14:textId="77777777" w:rsidR="0050138D" w:rsidRPr="0050138D" w:rsidRDefault="0050138D" w:rsidP="0050138D">
      <w:pPr>
        <w:pStyle w:val="ListParagraph"/>
        <w:widowControl w:val="0"/>
        <w:numPr>
          <w:ilvl w:val="0"/>
          <w:numId w:val="43"/>
        </w:numPr>
        <w:ind w:left="2070"/>
        <w:rPr>
          <w:rFonts w:ascii="Tahoma" w:hAnsi="Tahoma" w:cs="Tahoma"/>
        </w:rPr>
      </w:pPr>
      <w:r w:rsidRPr="0050138D">
        <w:rPr>
          <w:rFonts w:ascii="Tahoma" w:hAnsi="Tahoma" w:cs="Tahoma"/>
        </w:rPr>
        <w:t>Interoperability: Charger-to-Charger Network Communication</w:t>
      </w:r>
    </w:p>
    <w:p w14:paraId="1F2DC6D8" w14:textId="77777777" w:rsidR="0050138D" w:rsidRPr="0050138D" w:rsidRDefault="0050138D" w:rsidP="0050138D">
      <w:pPr>
        <w:pStyle w:val="ListParagraph"/>
        <w:widowControl w:val="0"/>
        <w:numPr>
          <w:ilvl w:val="1"/>
          <w:numId w:val="43"/>
        </w:numPr>
        <w:ind w:left="2520"/>
        <w:rPr>
          <w:rFonts w:ascii="Tahoma" w:hAnsi="Tahoma" w:cs="Tahoma"/>
        </w:rPr>
      </w:pPr>
      <w:r w:rsidRPr="0050138D">
        <w:rPr>
          <w:rFonts w:ascii="Tahoma" w:hAnsi="Tahoma" w:cs="Tahoma"/>
        </w:rPr>
        <w:t>The chargers must conform to OCPP 2.0.1 or later. Manufacturers must attest that the charger conforms to OCPP 2.0.1 or later by detailing it on a publicly available charger specification sheet.</w:t>
      </w:r>
    </w:p>
    <w:p w14:paraId="3A320710" w14:textId="77777777" w:rsidR="0050138D" w:rsidRPr="0050138D" w:rsidRDefault="0050138D" w:rsidP="0050138D">
      <w:pPr>
        <w:pStyle w:val="ListParagraph"/>
        <w:widowControl w:val="0"/>
        <w:numPr>
          <w:ilvl w:val="0"/>
          <w:numId w:val="43"/>
        </w:numPr>
        <w:ind w:left="2160"/>
        <w:rPr>
          <w:rFonts w:ascii="Tahoma" w:hAnsi="Tahoma" w:cs="Tahoma"/>
        </w:rPr>
      </w:pPr>
      <w:r w:rsidRPr="0050138D">
        <w:rPr>
          <w:rFonts w:ascii="Tahoma" w:hAnsi="Tahoma" w:cs="Tahoma"/>
        </w:rPr>
        <w:t>Interoperability: Charging-Network-to-Charging Network Communication</w:t>
      </w:r>
    </w:p>
    <w:p w14:paraId="2C45CC4D" w14:textId="77777777" w:rsidR="0050138D" w:rsidRDefault="0050138D" w:rsidP="0050138D">
      <w:pPr>
        <w:pStyle w:val="ListParagraph"/>
        <w:widowControl w:val="0"/>
        <w:numPr>
          <w:ilvl w:val="1"/>
          <w:numId w:val="43"/>
        </w:numPr>
        <w:ind w:left="2520"/>
        <w:rPr>
          <w:rFonts w:ascii="Tahoma" w:hAnsi="Tahoma" w:cs="Tahoma"/>
        </w:rPr>
      </w:pPr>
      <w:r w:rsidRPr="0050138D">
        <w:rPr>
          <w:rFonts w:ascii="Tahoma" w:hAnsi="Tahoma" w:cs="Tahoma"/>
        </w:rPr>
        <w:t>The charger’s networking software must connect to a central management system using OCPP 2.0.1 for the purposes of charger management and data reporting.</w:t>
      </w:r>
    </w:p>
    <w:p w14:paraId="47B2B049" w14:textId="62A7AC6E" w:rsidR="00C24276" w:rsidRPr="00C24276" w:rsidRDefault="00C24276" w:rsidP="0050138D">
      <w:pPr>
        <w:pStyle w:val="ListParagraph"/>
        <w:widowControl w:val="0"/>
        <w:numPr>
          <w:ilvl w:val="1"/>
          <w:numId w:val="43"/>
        </w:numPr>
        <w:ind w:left="2520"/>
        <w:rPr>
          <w:rFonts w:ascii="Tahoma" w:hAnsi="Tahoma" w:cs="Tahoma"/>
          <w:b/>
          <w:bCs/>
          <w:u w:val="single"/>
        </w:rPr>
      </w:pPr>
      <w:r w:rsidRPr="00C24276">
        <w:rPr>
          <w:rFonts w:ascii="Tahoma" w:hAnsi="Tahoma" w:cs="Tahoma"/>
          <w:b/>
          <w:bCs/>
          <w:u w:val="single"/>
        </w:rPr>
        <w:t>The charging network must be capable of communicating with other charging networks in accordance with the Open Charge Point Interface (OCPI) 2.2.1. </w:t>
      </w:r>
    </w:p>
    <w:p w14:paraId="0CBB7780" w14:textId="77777777" w:rsidR="0050138D" w:rsidRPr="0050138D" w:rsidRDefault="0050138D" w:rsidP="0050138D">
      <w:pPr>
        <w:pStyle w:val="ListParagraph"/>
        <w:widowControl w:val="0"/>
        <w:numPr>
          <w:ilvl w:val="0"/>
          <w:numId w:val="43"/>
        </w:numPr>
        <w:ind w:left="2160"/>
        <w:rPr>
          <w:rFonts w:ascii="Tahoma" w:hAnsi="Tahoma" w:cs="Tahoma"/>
        </w:rPr>
      </w:pPr>
      <w:r w:rsidRPr="0050138D">
        <w:rPr>
          <w:rFonts w:ascii="Tahoma" w:hAnsi="Tahoma" w:cs="Tahoma"/>
        </w:rPr>
        <w:t>Interoperability: Network Switching Capability</w:t>
      </w:r>
    </w:p>
    <w:p w14:paraId="0EE40E98" w14:textId="77777777" w:rsidR="0050138D" w:rsidRPr="0050138D" w:rsidRDefault="0050138D" w:rsidP="0050138D">
      <w:pPr>
        <w:pStyle w:val="ListParagraph"/>
        <w:widowControl w:val="0"/>
        <w:numPr>
          <w:ilvl w:val="0"/>
          <w:numId w:val="45"/>
        </w:numPr>
        <w:rPr>
          <w:rFonts w:ascii="Tahoma" w:hAnsi="Tahoma" w:cs="Tahoma"/>
        </w:rPr>
      </w:pPr>
      <w:r w:rsidRPr="0050138D">
        <w:rPr>
          <w:rFonts w:ascii="Tahoma" w:hAnsi="Tahoma" w:cs="Tahoma"/>
        </w:rPr>
        <w:t>The chargers must be designed to securely switch network providers without any changes in hardware.</w:t>
      </w:r>
    </w:p>
    <w:p w14:paraId="5E108D52" w14:textId="77777777" w:rsidR="0050138D" w:rsidRPr="0050138D" w:rsidRDefault="0050138D" w:rsidP="0050138D">
      <w:pPr>
        <w:pStyle w:val="ListParagraph"/>
        <w:widowControl w:val="0"/>
        <w:numPr>
          <w:ilvl w:val="0"/>
          <w:numId w:val="43"/>
        </w:numPr>
        <w:ind w:left="2160"/>
        <w:rPr>
          <w:rFonts w:ascii="Tahoma" w:hAnsi="Tahoma" w:cs="Tahoma"/>
        </w:rPr>
      </w:pPr>
      <w:r w:rsidRPr="0050138D">
        <w:rPr>
          <w:rFonts w:ascii="Tahoma" w:hAnsi="Tahoma" w:cs="Tahoma"/>
        </w:rPr>
        <w:t>Cybersecurity</w:t>
      </w:r>
    </w:p>
    <w:p w14:paraId="3C0A7428" w14:textId="3E09A075" w:rsidR="0050138D" w:rsidRPr="006D6BEA" w:rsidRDefault="3BC981CE">
      <w:pPr>
        <w:pStyle w:val="ListParagraph"/>
        <w:widowControl w:val="0"/>
        <w:numPr>
          <w:ilvl w:val="1"/>
          <w:numId w:val="43"/>
        </w:numPr>
        <w:ind w:left="2520"/>
        <w:rPr>
          <w:rFonts w:ascii="Tahoma" w:hAnsi="Tahoma" w:cs="Tahoma"/>
        </w:rPr>
      </w:pPr>
      <w:r w:rsidRPr="006D6BEA">
        <w:rPr>
          <w:rFonts w:ascii="Tahoma" w:hAnsi="Tahoma" w:cs="Tahoma"/>
        </w:rPr>
        <w:t>The chargers and charging software must meet all the NEVI cybersecurity requirements listed in the federal NEVI standards</w:t>
      </w:r>
      <w:r w:rsidR="7BDE1C4B" w:rsidRPr="4C4A9BEA">
        <w:rPr>
          <w:rFonts w:ascii="Tahoma" w:hAnsi="Tahoma" w:cs="Tahoma"/>
          <w:vertAlign w:val="superscript"/>
        </w:rPr>
        <w:t>7</w:t>
      </w:r>
    </w:p>
    <w:p w14:paraId="7816F58C" w14:textId="77777777" w:rsidR="0050138D" w:rsidRPr="0050138D" w:rsidRDefault="0050138D" w:rsidP="0050138D">
      <w:pPr>
        <w:pStyle w:val="ListParagraph"/>
        <w:widowControl w:val="0"/>
        <w:numPr>
          <w:ilvl w:val="0"/>
          <w:numId w:val="43"/>
        </w:numPr>
        <w:spacing w:after="120"/>
        <w:ind w:left="2160"/>
        <w:rPr>
          <w:rFonts w:ascii="Tahoma" w:eastAsia="Tahoma" w:hAnsi="Tahoma" w:cs="Tahoma"/>
        </w:rPr>
      </w:pPr>
      <w:r w:rsidRPr="0050138D">
        <w:rPr>
          <w:rFonts w:ascii="Tahoma" w:eastAsia="Tahoma" w:hAnsi="Tahoma" w:cs="Tahoma"/>
        </w:rPr>
        <w:t>Charger Network Connectivity Requirements</w:t>
      </w:r>
    </w:p>
    <w:p w14:paraId="23D705F4" w14:textId="77777777" w:rsidR="0050138D" w:rsidRPr="0050138D" w:rsidRDefault="0050138D" w:rsidP="0050138D">
      <w:pPr>
        <w:pStyle w:val="ListParagraph"/>
        <w:widowControl w:val="0"/>
        <w:numPr>
          <w:ilvl w:val="0"/>
          <w:numId w:val="46"/>
        </w:numPr>
        <w:spacing w:after="120"/>
        <w:rPr>
          <w:rFonts w:ascii="Tahoma" w:eastAsia="Tahoma" w:hAnsi="Tahoma" w:cs="Tahoma"/>
        </w:rPr>
      </w:pPr>
      <w:r w:rsidRPr="0050138D">
        <w:rPr>
          <w:rFonts w:ascii="Tahoma" w:hAnsi="Tahoma" w:cs="Tahoma"/>
        </w:rPr>
        <w:t>The chargers must be networked and must include the following three abilities:</w:t>
      </w:r>
    </w:p>
    <w:p w14:paraId="0B0C327E" w14:textId="77777777" w:rsidR="0050138D" w:rsidRPr="0050138D" w:rsidRDefault="0050138D" w:rsidP="0050138D">
      <w:pPr>
        <w:pStyle w:val="ListParagraph"/>
        <w:widowControl w:val="0"/>
        <w:numPr>
          <w:ilvl w:val="3"/>
          <w:numId w:val="43"/>
        </w:numPr>
        <w:spacing w:after="120"/>
        <w:contextualSpacing w:val="0"/>
        <w:rPr>
          <w:rFonts w:ascii="Tahoma" w:hAnsi="Tahoma" w:cs="Tahoma"/>
          <w:bCs/>
        </w:rPr>
      </w:pPr>
      <w:r w:rsidRPr="0050138D">
        <w:rPr>
          <w:rFonts w:ascii="Tahoma" w:hAnsi="Tahoma" w:cs="Tahoma"/>
        </w:rPr>
        <w:t>Have network</w:t>
      </w:r>
      <w:r w:rsidRPr="0050138D">
        <w:rPr>
          <w:rFonts w:ascii="Tahoma" w:hAnsi="Tahoma" w:cs="Tahoma"/>
          <w:bCs/>
        </w:rPr>
        <w:t xml:space="preserve"> connectivity with one of the following:</w:t>
      </w:r>
    </w:p>
    <w:p w14:paraId="6DF9BEDF" w14:textId="77777777" w:rsidR="0050138D" w:rsidRPr="0050138D" w:rsidRDefault="0050138D" w:rsidP="0050138D">
      <w:pPr>
        <w:pStyle w:val="ListParagraph"/>
        <w:widowControl w:val="0"/>
        <w:numPr>
          <w:ilvl w:val="4"/>
          <w:numId w:val="43"/>
        </w:numPr>
        <w:spacing w:after="120"/>
        <w:contextualSpacing w:val="0"/>
        <w:rPr>
          <w:rFonts w:ascii="Tahoma" w:hAnsi="Tahoma" w:cs="Tahoma"/>
          <w:bCs/>
        </w:rPr>
      </w:pPr>
      <w:r w:rsidRPr="0050138D">
        <w:rPr>
          <w:rFonts w:ascii="Tahoma" w:hAnsi="Tahoma" w:cs="Tahoma"/>
          <w:bCs/>
        </w:rPr>
        <w:t>IEEE 802.11n for high-bandwidth wireless networking, or</w:t>
      </w:r>
    </w:p>
    <w:p w14:paraId="211C6C92" w14:textId="77777777" w:rsidR="0050138D" w:rsidRPr="0050138D" w:rsidRDefault="0050138D" w:rsidP="0050138D">
      <w:pPr>
        <w:pStyle w:val="ListParagraph"/>
        <w:widowControl w:val="0"/>
        <w:numPr>
          <w:ilvl w:val="4"/>
          <w:numId w:val="43"/>
        </w:numPr>
        <w:spacing w:after="120"/>
        <w:contextualSpacing w:val="0"/>
        <w:rPr>
          <w:rFonts w:ascii="Tahoma" w:hAnsi="Tahoma" w:cs="Tahoma"/>
          <w:bCs/>
        </w:rPr>
      </w:pPr>
      <w:r w:rsidRPr="0050138D">
        <w:rPr>
          <w:rFonts w:ascii="Tahoma" w:hAnsi="Tahoma" w:cs="Tahoma"/>
          <w:bCs/>
        </w:rPr>
        <w:t>IEEE 802.3 for Ethernet for local- or wide-area network applications</w:t>
      </w:r>
    </w:p>
    <w:p w14:paraId="5A7DE4BF" w14:textId="77777777" w:rsidR="0050138D" w:rsidRPr="0050138D" w:rsidRDefault="0050138D" w:rsidP="0050138D">
      <w:pPr>
        <w:pStyle w:val="ListParagraph"/>
        <w:widowControl w:val="0"/>
        <w:numPr>
          <w:ilvl w:val="3"/>
          <w:numId w:val="43"/>
        </w:numPr>
        <w:spacing w:after="120"/>
        <w:contextualSpacing w:val="0"/>
        <w:rPr>
          <w:rFonts w:ascii="Tahoma" w:hAnsi="Tahoma" w:cs="Tahoma"/>
          <w:bCs/>
        </w:rPr>
      </w:pPr>
      <w:r w:rsidRPr="0050138D">
        <w:rPr>
          <w:rFonts w:ascii="Tahoma" w:hAnsi="Tahoma" w:cs="Tahoma"/>
        </w:rPr>
        <w:t xml:space="preserve">Be able </w:t>
      </w:r>
      <w:r w:rsidRPr="0050138D">
        <w:rPr>
          <w:rFonts w:ascii="Tahoma" w:hAnsi="Tahoma" w:cs="Tahoma"/>
          <w:bCs/>
        </w:rPr>
        <w:t>to receive remote software updates, real-time protocol translation, encryption, and decryption, including:</w:t>
      </w:r>
    </w:p>
    <w:p w14:paraId="2ABD46B5" w14:textId="77777777" w:rsidR="0050138D" w:rsidRPr="0050138D" w:rsidRDefault="0050138D" w:rsidP="0050138D">
      <w:pPr>
        <w:pStyle w:val="ListParagraph"/>
        <w:numPr>
          <w:ilvl w:val="4"/>
          <w:numId w:val="43"/>
        </w:numPr>
        <w:spacing w:after="120"/>
        <w:contextualSpacing w:val="0"/>
        <w:rPr>
          <w:rFonts w:ascii="Tahoma" w:hAnsi="Tahoma" w:cs="Tahoma"/>
          <w:bCs/>
        </w:rPr>
      </w:pPr>
      <w:r w:rsidRPr="0050138D">
        <w:rPr>
          <w:rFonts w:ascii="Tahoma" w:hAnsi="Tahoma" w:cs="Tahoma"/>
          <w:bCs/>
        </w:rPr>
        <w:t>Internet Protocol (IP)-based processor which must support multiple protocols, and</w:t>
      </w:r>
    </w:p>
    <w:p w14:paraId="3A4E66FF" w14:textId="77777777" w:rsidR="0050138D" w:rsidRPr="0050138D" w:rsidRDefault="0050138D" w:rsidP="0050138D">
      <w:pPr>
        <w:pStyle w:val="ListParagraph"/>
        <w:widowControl w:val="0"/>
        <w:numPr>
          <w:ilvl w:val="4"/>
          <w:numId w:val="43"/>
        </w:numPr>
        <w:spacing w:after="120"/>
        <w:contextualSpacing w:val="0"/>
        <w:rPr>
          <w:rFonts w:ascii="Tahoma" w:hAnsi="Tahoma" w:cs="Tahoma"/>
          <w:bCs/>
        </w:rPr>
      </w:pPr>
      <w:r w:rsidRPr="0050138D">
        <w:rPr>
          <w:rFonts w:ascii="Tahoma" w:hAnsi="Tahoma" w:cs="Tahoma"/>
          <w:bCs/>
        </w:rPr>
        <w:lastRenderedPageBreak/>
        <w:t>Compliance with Transmission Control Protocol (TCP)/IP and IPv6.</w:t>
      </w:r>
    </w:p>
    <w:p w14:paraId="6CD204EC" w14:textId="77777777" w:rsidR="0050138D" w:rsidRPr="0050138D" w:rsidRDefault="0050138D" w:rsidP="0050138D">
      <w:pPr>
        <w:pStyle w:val="ListParagraph"/>
        <w:widowControl w:val="0"/>
        <w:numPr>
          <w:ilvl w:val="3"/>
          <w:numId w:val="43"/>
        </w:numPr>
        <w:spacing w:after="120"/>
        <w:contextualSpacing w:val="0"/>
        <w:rPr>
          <w:rFonts w:ascii="Tahoma" w:hAnsi="Tahoma" w:cs="Tahoma"/>
          <w:bCs/>
        </w:rPr>
      </w:pPr>
      <w:r w:rsidRPr="0050138D">
        <w:rPr>
          <w:rFonts w:ascii="Tahoma" w:hAnsi="Tahoma" w:cs="Tahoma"/>
        </w:rPr>
        <w:t>Be able</w:t>
      </w:r>
      <w:r w:rsidRPr="0050138D">
        <w:rPr>
          <w:rFonts w:ascii="Tahoma" w:hAnsi="Tahoma" w:cs="Tahoma"/>
          <w:bCs/>
        </w:rPr>
        <w:t xml:space="preserve"> to connect to a network’s back-end software</w:t>
      </w:r>
    </w:p>
    <w:p w14:paraId="5013CC17" w14:textId="77777777" w:rsidR="0050138D" w:rsidRPr="0050138D" w:rsidRDefault="0050138D" w:rsidP="0050138D">
      <w:pPr>
        <w:pStyle w:val="ListParagraph"/>
        <w:widowControl w:val="0"/>
        <w:numPr>
          <w:ilvl w:val="1"/>
          <w:numId w:val="43"/>
        </w:numPr>
        <w:spacing w:after="120"/>
        <w:ind w:left="2520"/>
        <w:contextualSpacing w:val="0"/>
        <w:rPr>
          <w:rFonts w:ascii="Tahoma" w:hAnsi="Tahoma" w:cs="Tahoma"/>
          <w:bCs/>
        </w:rPr>
      </w:pPr>
      <w:r w:rsidRPr="0050138D">
        <w:rPr>
          <w:rFonts w:ascii="Tahoma" w:hAnsi="Tahoma" w:cs="Tahoma"/>
        </w:rPr>
        <w:t>Each charging port must be covered by and included in a networking agreement for at least five (5) years.</w:t>
      </w:r>
    </w:p>
    <w:p w14:paraId="22898006" w14:textId="77777777" w:rsidR="0050138D" w:rsidRPr="0050138D" w:rsidRDefault="0050138D" w:rsidP="0050138D">
      <w:pPr>
        <w:pStyle w:val="ListParagraph"/>
        <w:widowControl w:val="0"/>
        <w:numPr>
          <w:ilvl w:val="0"/>
          <w:numId w:val="43"/>
        </w:numPr>
        <w:ind w:left="2160"/>
        <w:contextualSpacing w:val="0"/>
        <w:rPr>
          <w:rFonts w:ascii="Tahoma" w:hAnsi="Tahoma" w:cs="Tahoma"/>
        </w:rPr>
      </w:pPr>
      <w:r w:rsidRPr="0050138D">
        <w:rPr>
          <w:rFonts w:ascii="Tahoma" w:hAnsi="Tahoma" w:cs="Tahoma"/>
        </w:rPr>
        <w:t xml:space="preserve"> Safety and Weather Resistance</w:t>
      </w:r>
    </w:p>
    <w:p w14:paraId="10012EB7" w14:textId="77777777" w:rsidR="0050138D" w:rsidRPr="0050138D" w:rsidRDefault="0050138D" w:rsidP="0050138D">
      <w:pPr>
        <w:pStyle w:val="ListParagraph"/>
        <w:widowControl w:val="0"/>
        <w:numPr>
          <w:ilvl w:val="0"/>
          <w:numId w:val="46"/>
        </w:numPr>
        <w:contextualSpacing w:val="0"/>
        <w:rPr>
          <w:rFonts w:ascii="Tahoma" w:hAnsi="Tahoma" w:cs="Tahoma"/>
        </w:rPr>
      </w:pPr>
      <w:r w:rsidRPr="0050138D">
        <w:rPr>
          <w:rFonts w:ascii="Tahoma" w:hAnsi="Tahoma" w:cs="Tahoma"/>
        </w:rPr>
        <w:t>The charging equipment must be certified by an Occupational Safety and Health Administration Nationally Recognized Testing Laboratory.</w:t>
      </w:r>
    </w:p>
    <w:p w14:paraId="1869CF5E" w14:textId="77777777" w:rsidR="0050138D" w:rsidRPr="0050138D" w:rsidRDefault="0050138D" w:rsidP="0050138D">
      <w:pPr>
        <w:pStyle w:val="ListParagraph"/>
        <w:widowControl w:val="0"/>
        <w:numPr>
          <w:ilvl w:val="0"/>
          <w:numId w:val="46"/>
        </w:numPr>
        <w:contextualSpacing w:val="0"/>
        <w:rPr>
          <w:rFonts w:ascii="Tahoma" w:hAnsi="Tahoma" w:cs="Tahoma"/>
        </w:rPr>
      </w:pPr>
      <w:r w:rsidRPr="0050138D">
        <w:rPr>
          <w:rFonts w:ascii="Tahoma" w:hAnsi="Tahoma" w:cs="Tahoma"/>
        </w:rPr>
        <w:t>The charging equipment must be able to withstand extreme weather conditions, including temperature extremes, flooding, heavy rains, and high winds.</w:t>
      </w:r>
    </w:p>
    <w:p w14:paraId="2E44F50F" w14:textId="77777777" w:rsidR="0050138D" w:rsidRPr="0050138D" w:rsidRDefault="0050138D" w:rsidP="0050138D">
      <w:pPr>
        <w:pStyle w:val="ListParagraph"/>
        <w:widowControl w:val="0"/>
        <w:numPr>
          <w:ilvl w:val="0"/>
          <w:numId w:val="46"/>
        </w:numPr>
        <w:contextualSpacing w:val="0"/>
        <w:rPr>
          <w:rFonts w:ascii="Tahoma" w:hAnsi="Tahoma" w:cs="Tahoma"/>
        </w:rPr>
      </w:pPr>
      <w:r w:rsidRPr="0050138D">
        <w:rPr>
          <w:rFonts w:ascii="Tahoma" w:hAnsi="Tahoma" w:cs="Tahoma"/>
        </w:rPr>
        <w:t>Display screens must be protected from malfunctions due to condensation and any local area weather conditions.</w:t>
      </w:r>
    </w:p>
    <w:p w14:paraId="267A04DC" w14:textId="77777777" w:rsidR="0050138D" w:rsidRPr="0050138D" w:rsidRDefault="0050138D" w:rsidP="0050138D">
      <w:pPr>
        <w:pStyle w:val="ListParagraph"/>
        <w:widowControl w:val="0"/>
        <w:numPr>
          <w:ilvl w:val="0"/>
          <w:numId w:val="43"/>
        </w:numPr>
        <w:ind w:left="2160"/>
        <w:contextualSpacing w:val="0"/>
        <w:rPr>
          <w:rFonts w:ascii="Tahoma" w:hAnsi="Tahoma" w:cs="Tahoma"/>
        </w:rPr>
      </w:pPr>
      <w:r w:rsidRPr="0050138D">
        <w:rPr>
          <w:rFonts w:ascii="Tahoma" w:hAnsi="Tahoma" w:cs="Tahoma"/>
        </w:rPr>
        <w:t xml:space="preserve"> Compliance with State Requirements</w:t>
      </w:r>
    </w:p>
    <w:p w14:paraId="32193F8B" w14:textId="77777777" w:rsidR="0050138D" w:rsidRPr="0050138D" w:rsidRDefault="0050138D" w:rsidP="0050138D">
      <w:pPr>
        <w:pStyle w:val="ListParagraph"/>
        <w:widowControl w:val="0"/>
        <w:numPr>
          <w:ilvl w:val="0"/>
          <w:numId w:val="47"/>
        </w:numPr>
        <w:ind w:left="2520"/>
        <w:contextualSpacing w:val="0"/>
        <w:rPr>
          <w:rFonts w:ascii="Tahoma" w:hAnsi="Tahoma" w:cs="Tahoma"/>
        </w:rPr>
      </w:pPr>
      <w:r w:rsidRPr="0050138D">
        <w:rPr>
          <w:rFonts w:ascii="Tahoma" w:hAnsi="Tahoma" w:cs="Tahoma"/>
        </w:rPr>
        <w:t>All chargers must meet applicable requirements, including those of Senate Bill 454 (Corbett, Chapter 418, Statutes of 2013), the California Air Resources Board Electric Vehicle Supply Equipment (EVSE) Standards, and the California Department of Food and Agriculture Division of Measurement Standards, for public chargers.</w:t>
      </w:r>
    </w:p>
    <w:p w14:paraId="0DA78640" w14:textId="77777777" w:rsidR="0050138D" w:rsidRPr="0050138D" w:rsidRDefault="0050138D" w:rsidP="0050138D">
      <w:pPr>
        <w:rPr>
          <w:rStyle w:val="eop"/>
          <w:rFonts w:ascii="Tahoma" w:hAnsi="Tahoma" w:cs="Tahoma"/>
          <w:shd w:val="clear" w:color="auto" w:fill="FFFFFF"/>
        </w:rPr>
      </w:pPr>
    </w:p>
    <w:p w14:paraId="6ED5F50D" w14:textId="77777777" w:rsidR="0050138D" w:rsidRPr="0050138D" w:rsidRDefault="0050138D" w:rsidP="0050138D">
      <w:pPr>
        <w:ind w:left="1440"/>
        <w:rPr>
          <w:rStyle w:val="eop"/>
          <w:rFonts w:ascii="Tahoma" w:hAnsi="Tahoma" w:cs="Tahoma"/>
        </w:rPr>
      </w:pPr>
      <w:r w:rsidRPr="3C79E995">
        <w:rPr>
          <w:rStyle w:val="eop"/>
          <w:rFonts w:ascii="Tahoma" w:hAnsi="Tahoma" w:cs="Tahoma"/>
        </w:rPr>
        <w:t>Applicants may use any EVSP and charging equipment that complies with these requirements and the requirements in Section II.B. in entirety, so long as they have consent from the site host to complete the work at the charging station. See Section III.D.10.a. for more information about the site host consent requirements.</w:t>
      </w:r>
    </w:p>
    <w:p w14:paraId="6D01E6DC" w14:textId="01AF40F5" w:rsidR="3C79E995" w:rsidRDefault="3C79E995" w:rsidP="3C79E995">
      <w:pPr>
        <w:ind w:left="1440"/>
        <w:rPr>
          <w:rStyle w:val="eop"/>
          <w:rFonts w:ascii="Tahoma" w:hAnsi="Tahoma" w:cs="Tahoma"/>
        </w:rPr>
      </w:pPr>
    </w:p>
    <w:p w14:paraId="48CA1002" w14:textId="082BB9AC" w:rsidR="0170C057" w:rsidRDefault="0170C057" w:rsidP="3C79E995">
      <w:pPr>
        <w:pStyle w:val="ListParagraph"/>
        <w:numPr>
          <w:ilvl w:val="0"/>
          <w:numId w:val="14"/>
        </w:numPr>
        <w:spacing w:line="259" w:lineRule="auto"/>
        <w:rPr>
          <w:rFonts w:ascii="Arial" w:eastAsia="Arial" w:hAnsi="Arial" w:cs="Arial"/>
          <w:b/>
          <w:bCs/>
        </w:rPr>
      </w:pPr>
      <w:r w:rsidRPr="78E24D1A">
        <w:rPr>
          <w:rStyle w:val="eop"/>
          <w:rFonts w:ascii="Tahoma" w:hAnsi="Tahoma" w:cs="Tahoma"/>
          <w:b/>
          <w:bCs/>
        </w:rPr>
        <w:t xml:space="preserve">Section II.C.3. In-Kind Match Share </w:t>
      </w:r>
      <w:r w:rsidRPr="78E24D1A">
        <w:rPr>
          <w:rStyle w:val="eop"/>
          <w:rFonts w:ascii="Tahoma" w:hAnsi="Tahoma" w:cs="Tahoma"/>
        </w:rPr>
        <w:t>(page</w:t>
      </w:r>
      <w:r w:rsidR="00191135" w:rsidRPr="78E24D1A">
        <w:rPr>
          <w:rStyle w:val="eop"/>
          <w:rFonts w:ascii="Tahoma" w:hAnsi="Tahoma" w:cs="Tahoma"/>
        </w:rPr>
        <w:t>s</w:t>
      </w:r>
      <w:r w:rsidR="63C708A9" w:rsidRPr="78E24D1A">
        <w:rPr>
          <w:rStyle w:val="eop"/>
          <w:rFonts w:ascii="Tahoma" w:hAnsi="Tahoma" w:cs="Tahoma"/>
        </w:rPr>
        <w:t xml:space="preserve"> </w:t>
      </w:r>
      <w:r w:rsidR="00191135" w:rsidRPr="78E24D1A">
        <w:rPr>
          <w:rStyle w:val="eop"/>
          <w:rFonts w:ascii="Tahoma" w:hAnsi="Tahoma" w:cs="Tahoma"/>
        </w:rPr>
        <w:t>31-32</w:t>
      </w:r>
      <w:r w:rsidR="63C708A9" w:rsidRPr="78E24D1A">
        <w:rPr>
          <w:rStyle w:val="eop"/>
          <w:rFonts w:ascii="Tahoma" w:hAnsi="Tahoma" w:cs="Tahoma"/>
        </w:rPr>
        <w:t>)</w:t>
      </w:r>
    </w:p>
    <w:p w14:paraId="2EF8156A" w14:textId="5CF3C6FE" w:rsidR="3C79E995" w:rsidRDefault="3C79E995" w:rsidP="3C79E995">
      <w:pPr>
        <w:pStyle w:val="ListParagraph"/>
        <w:spacing w:line="259" w:lineRule="auto"/>
        <w:ind w:hanging="360"/>
        <w:rPr>
          <w:rFonts w:ascii="Arial" w:eastAsia="Arial" w:hAnsi="Arial" w:cs="Arial"/>
          <w:b/>
          <w:bCs/>
        </w:rPr>
      </w:pPr>
    </w:p>
    <w:p w14:paraId="3D98374B" w14:textId="3AC10DB7" w:rsidR="57E396AE" w:rsidRDefault="57E396AE" w:rsidP="3C79E995">
      <w:pPr>
        <w:pStyle w:val="ListParagraph"/>
        <w:spacing w:line="259" w:lineRule="auto"/>
        <w:ind w:left="1440"/>
        <w:rPr>
          <w:rFonts w:ascii="Tahoma" w:eastAsia="Tahoma" w:hAnsi="Tahoma" w:cs="Tahoma"/>
        </w:rPr>
      </w:pPr>
      <w:r w:rsidRPr="3C79E995">
        <w:rPr>
          <w:rFonts w:ascii="Tahoma" w:eastAsia="Tahoma" w:hAnsi="Tahoma" w:cs="Tahoma"/>
          <w:color w:val="000000" w:themeColor="text1"/>
        </w:rPr>
        <w:t>3.  In-Kind Match Share</w:t>
      </w:r>
    </w:p>
    <w:p w14:paraId="3E8FCB8C" w14:textId="0A4E9F51" w:rsidR="63C708A9" w:rsidRDefault="63C708A9" w:rsidP="3C79E995">
      <w:pPr>
        <w:pStyle w:val="ListParagraph"/>
        <w:ind w:left="1440"/>
        <w:rPr>
          <w:rFonts w:ascii="Tahoma" w:eastAsia="Tahoma" w:hAnsi="Tahoma" w:cs="Tahoma"/>
          <w:color w:val="000000" w:themeColor="text1"/>
        </w:rPr>
      </w:pPr>
      <w:r w:rsidRPr="3C79E995">
        <w:rPr>
          <w:rFonts w:ascii="Tahoma" w:eastAsia="Tahoma" w:hAnsi="Tahoma" w:cs="Tahoma"/>
          <w:color w:val="000000" w:themeColor="text1"/>
        </w:rPr>
        <w:t>The balance of the total match share requirement beyond the cash match share requirement (if any) may be met through in-kind match share contributions.</w:t>
      </w:r>
    </w:p>
    <w:p w14:paraId="4374B6EF" w14:textId="58F23973" w:rsidR="3C79E995" w:rsidRDefault="3C79E995" w:rsidP="3C79E995">
      <w:pPr>
        <w:ind w:left="1440"/>
        <w:rPr>
          <w:rFonts w:ascii="Tahoma" w:eastAsia="Tahoma" w:hAnsi="Tahoma" w:cs="Tahoma"/>
          <w:color w:val="000000" w:themeColor="text1"/>
        </w:rPr>
      </w:pPr>
    </w:p>
    <w:p w14:paraId="71BE9DFC" w14:textId="3C09AF9B" w:rsidR="63C708A9" w:rsidRDefault="63C708A9" w:rsidP="3C79E995">
      <w:pPr>
        <w:ind w:left="1440"/>
        <w:rPr>
          <w:rFonts w:ascii="Tahoma" w:eastAsia="Tahoma" w:hAnsi="Tahoma" w:cs="Tahoma"/>
          <w:color w:val="000000" w:themeColor="text1"/>
        </w:rPr>
      </w:pPr>
      <w:r w:rsidRPr="3C79E995">
        <w:rPr>
          <w:rFonts w:ascii="Tahoma" w:eastAsia="Tahoma" w:hAnsi="Tahoma" w:cs="Tahoma"/>
          <w:color w:val="000000" w:themeColor="text1"/>
        </w:rPr>
        <w:t xml:space="preserve">Applications that move to an executed agreement will require FHWA approval for any in-kind match funding sources. Applicants may propose in-kind match funding in their proposal’s budget. If FHWA does not approve the in-kind match source(s), then the Applicant must </w:t>
      </w:r>
      <w:r w:rsidRPr="3C79E995">
        <w:rPr>
          <w:rFonts w:ascii="Tahoma" w:eastAsia="Tahoma" w:hAnsi="Tahoma" w:cs="Tahoma"/>
          <w:color w:val="000000" w:themeColor="text1"/>
        </w:rPr>
        <w:lastRenderedPageBreak/>
        <w:t xml:space="preserve">replace the ineligible match sources and will still be liable for the total match funding in the grant agreement. Please reference Section 3.9 Flexible Match in the </w:t>
      </w:r>
      <w:hyperlink r:id="rId12">
        <w:r w:rsidRPr="3C79E995">
          <w:rPr>
            <w:rStyle w:val="Hyperlink"/>
            <w:rFonts w:ascii="Tahoma" w:eastAsia="Tahoma" w:hAnsi="Tahoma" w:cs="Tahoma"/>
          </w:rPr>
          <w:t>Local Assistance Procedures Manual</w:t>
        </w:r>
      </w:hyperlink>
      <w:r w:rsidRPr="3C79E995">
        <w:rPr>
          <w:rFonts w:ascii="Tahoma" w:eastAsia="Tahoma" w:hAnsi="Tahoma" w:cs="Tahoma"/>
          <w:color w:val="000000" w:themeColor="text1"/>
        </w:rPr>
        <w:t xml:space="preserve"> at </w:t>
      </w:r>
      <w:hyperlink r:id="rId13">
        <w:r w:rsidRPr="3C79E995">
          <w:rPr>
            <w:rStyle w:val="Hyperlink"/>
            <w:rFonts w:ascii="Tahoma" w:eastAsia="Tahoma" w:hAnsi="Tahoma" w:cs="Tahoma"/>
          </w:rPr>
          <w:t>https://dot.ca.gov/programs/local-assistance/guidelines-and-procedures/local-assistance-procedures-manual-lapm</w:t>
        </w:r>
      </w:hyperlink>
      <w:r w:rsidRPr="3C79E995">
        <w:rPr>
          <w:rFonts w:ascii="Tahoma" w:eastAsia="Tahoma" w:hAnsi="Tahoma" w:cs="Tahoma"/>
          <w:color w:val="000000" w:themeColor="text1"/>
        </w:rPr>
        <w:t xml:space="preserve"> for more information.</w:t>
      </w:r>
    </w:p>
    <w:p w14:paraId="204A6AC0" w14:textId="6BADA100" w:rsidR="3C79E995" w:rsidRDefault="3C79E995" w:rsidP="3C79E995">
      <w:pPr>
        <w:ind w:left="1440"/>
        <w:rPr>
          <w:rFonts w:ascii="Tahoma" w:eastAsia="Tahoma" w:hAnsi="Tahoma" w:cs="Tahoma"/>
          <w:color w:val="000000" w:themeColor="text1"/>
        </w:rPr>
      </w:pPr>
    </w:p>
    <w:p w14:paraId="03942171" w14:textId="00BE71C4" w:rsidR="63C708A9" w:rsidRDefault="63C708A9" w:rsidP="3C79E995">
      <w:pPr>
        <w:ind w:left="1440"/>
        <w:rPr>
          <w:rFonts w:ascii="Tahoma" w:eastAsia="Tahoma" w:hAnsi="Tahoma" w:cs="Tahoma"/>
          <w:color w:val="000000" w:themeColor="text1"/>
        </w:rPr>
      </w:pPr>
      <w:r w:rsidRPr="4C4A9BEA">
        <w:rPr>
          <w:rFonts w:ascii="Tahoma" w:eastAsia="Tahoma" w:hAnsi="Tahoma" w:cs="Tahoma"/>
          <w:color w:val="000000" w:themeColor="text1"/>
        </w:rPr>
        <w:t>In-kind match share contributions are: 1) non-cash contributions provided by the Applicant; 2) cash or non-cash contributions provided by a subrecipient; and 3) cash or non-cash contributions provided by other third parties. Applicant in-kind match share can be in the form of volunteer labor,</w:t>
      </w:r>
      <w:r w:rsidRPr="4C4A9BEA">
        <w:rPr>
          <w:rFonts w:ascii="Tahoma" w:eastAsia="Tahoma" w:hAnsi="Tahoma" w:cs="Tahoma"/>
          <w:b/>
          <w:bCs/>
          <w:color w:val="000000" w:themeColor="text1"/>
        </w:rPr>
        <w:t xml:space="preserve"> </w:t>
      </w:r>
      <w:r w:rsidRPr="4C4A9BEA">
        <w:rPr>
          <w:rFonts w:ascii="Tahoma" w:eastAsia="Tahoma" w:hAnsi="Tahoma" w:cs="Tahoma"/>
          <w:color w:val="000000" w:themeColor="text1"/>
        </w:rPr>
        <w:t>[</w:t>
      </w:r>
      <w:r w:rsidRPr="4C4A9BEA">
        <w:rPr>
          <w:rFonts w:ascii="Tahoma" w:eastAsia="Tahoma" w:hAnsi="Tahoma" w:cs="Tahoma"/>
          <w:strike/>
          <w:color w:val="000000" w:themeColor="text1"/>
        </w:rPr>
        <w:t>real property,</w:t>
      </w:r>
      <w:r w:rsidRPr="4C4A9BEA">
        <w:rPr>
          <w:rFonts w:ascii="Tahoma" w:eastAsia="Tahoma" w:hAnsi="Tahoma" w:cs="Tahoma"/>
          <w:color w:val="000000" w:themeColor="text1"/>
        </w:rPr>
        <w:t xml:space="preserve">] existing equipment, existing supplies, </w:t>
      </w:r>
      <w:r w:rsidRPr="4C4A9BEA">
        <w:rPr>
          <w:rFonts w:ascii="Tahoma" w:eastAsia="Tahoma" w:hAnsi="Tahoma" w:cs="Tahoma"/>
          <w:b/>
          <w:bCs/>
          <w:color w:val="000000" w:themeColor="text1"/>
          <w:u w:val="single"/>
        </w:rPr>
        <w:t>and</w:t>
      </w:r>
      <w:r w:rsidRPr="4C4A9BEA">
        <w:rPr>
          <w:rFonts w:ascii="Tahoma" w:eastAsia="Tahoma" w:hAnsi="Tahoma" w:cs="Tahoma"/>
          <w:color w:val="000000" w:themeColor="text1"/>
        </w:rPr>
        <w:t xml:space="preserve"> services provided by a third-party or </w:t>
      </w:r>
      <w:proofErr w:type="gramStart"/>
      <w:r w:rsidRPr="4C4A9BEA">
        <w:rPr>
          <w:rFonts w:ascii="Tahoma" w:eastAsia="Tahoma" w:hAnsi="Tahoma" w:cs="Tahoma"/>
          <w:color w:val="000000" w:themeColor="text1"/>
        </w:rPr>
        <w:t>subcontract[</w:t>
      </w:r>
      <w:proofErr w:type="gramEnd"/>
      <w:r w:rsidRPr="4C4A9BEA">
        <w:rPr>
          <w:rFonts w:ascii="Tahoma" w:eastAsia="Tahoma" w:hAnsi="Tahoma" w:cs="Tahoma"/>
          <w:strike/>
          <w:color w:val="000000" w:themeColor="text1"/>
        </w:rPr>
        <w:t>, and other expendable property</w:t>
      </w:r>
      <w:r w:rsidRPr="4C4A9BEA">
        <w:rPr>
          <w:rFonts w:ascii="Tahoma" w:eastAsia="Tahoma" w:hAnsi="Tahoma" w:cs="Tahoma"/>
          <w:color w:val="000000" w:themeColor="text1"/>
        </w:rPr>
        <w:t>]. The value of in-kind match is based on the fair market value of the goods and services provided at the time it is claimed as match. In-kind match share must be included in the agreement budget and supported with appropriate documentation. Cost allocations must be reasonable and allocable to the proposed project.</w:t>
      </w:r>
    </w:p>
    <w:p w14:paraId="780E3F32" w14:textId="78126E34" w:rsidR="3C79E995" w:rsidRDefault="3C79E995" w:rsidP="3C79E995">
      <w:pPr>
        <w:ind w:left="1440"/>
        <w:rPr>
          <w:rFonts w:ascii="Tahoma" w:eastAsia="Tahoma" w:hAnsi="Tahoma" w:cs="Tahoma"/>
          <w:color w:val="000000" w:themeColor="text1"/>
        </w:rPr>
      </w:pPr>
    </w:p>
    <w:p w14:paraId="0256E989" w14:textId="194CA35B" w:rsidR="5D9CA9A2" w:rsidRDefault="5D9CA9A2" w:rsidP="1E18ADC6">
      <w:pPr>
        <w:pStyle w:val="ListParagraph"/>
        <w:numPr>
          <w:ilvl w:val="0"/>
          <w:numId w:val="14"/>
        </w:numPr>
        <w:rPr>
          <w:rStyle w:val="eop"/>
          <w:rFonts w:ascii="Tahoma" w:eastAsia="Tahoma" w:hAnsi="Tahoma" w:cs="Tahoma"/>
          <w:b/>
          <w:bCs/>
        </w:rPr>
      </w:pPr>
      <w:r w:rsidRPr="78E24D1A">
        <w:rPr>
          <w:rStyle w:val="eop"/>
          <w:rFonts w:ascii="Tahoma" w:eastAsia="Tahoma" w:hAnsi="Tahoma" w:cs="Tahoma"/>
          <w:b/>
          <w:bCs/>
        </w:rPr>
        <w:t>Section II.C.4. Match Share Restrictions</w:t>
      </w:r>
      <w:r w:rsidR="41A56D01" w:rsidRPr="78E24D1A">
        <w:rPr>
          <w:rStyle w:val="eop"/>
          <w:rFonts w:ascii="Tahoma" w:eastAsia="Tahoma" w:hAnsi="Tahoma" w:cs="Tahoma"/>
          <w:b/>
          <w:bCs/>
        </w:rPr>
        <w:t xml:space="preserve"> </w:t>
      </w:r>
      <w:r w:rsidR="41A56D01" w:rsidRPr="78E24D1A">
        <w:rPr>
          <w:rStyle w:val="eop"/>
          <w:rFonts w:ascii="Tahoma" w:eastAsia="Tahoma" w:hAnsi="Tahoma" w:cs="Tahoma"/>
        </w:rPr>
        <w:t xml:space="preserve">(pages </w:t>
      </w:r>
      <w:r w:rsidR="00E66D46" w:rsidRPr="78E24D1A">
        <w:rPr>
          <w:rStyle w:val="eop"/>
          <w:rFonts w:ascii="Tahoma" w:eastAsia="Tahoma" w:hAnsi="Tahoma" w:cs="Tahoma"/>
        </w:rPr>
        <w:t>32-33</w:t>
      </w:r>
      <w:r w:rsidR="41A56D01" w:rsidRPr="78E24D1A">
        <w:rPr>
          <w:rStyle w:val="eop"/>
          <w:rFonts w:ascii="Tahoma" w:eastAsia="Tahoma" w:hAnsi="Tahoma" w:cs="Tahoma"/>
        </w:rPr>
        <w:t>)</w:t>
      </w:r>
    </w:p>
    <w:p w14:paraId="5999432E" w14:textId="3A9CA22C" w:rsidR="3C79E995" w:rsidRDefault="3C79E995" w:rsidP="1E18ADC6">
      <w:pPr>
        <w:pStyle w:val="ListParagraph"/>
        <w:rPr>
          <w:rStyle w:val="eop"/>
          <w:rFonts w:ascii="Tahoma" w:eastAsia="Tahoma" w:hAnsi="Tahoma" w:cs="Tahoma"/>
          <w:b/>
          <w:bCs/>
        </w:rPr>
      </w:pPr>
    </w:p>
    <w:p w14:paraId="4D006EB6" w14:textId="7282B6DD" w:rsidR="41A56D01" w:rsidRDefault="41A56D01" w:rsidP="3C79E995">
      <w:pPr>
        <w:pStyle w:val="ListParagraph"/>
        <w:spacing w:line="259" w:lineRule="auto"/>
        <w:ind w:left="1440"/>
        <w:rPr>
          <w:rFonts w:ascii="Tahoma" w:eastAsia="Tahoma" w:hAnsi="Tahoma" w:cs="Tahoma"/>
        </w:rPr>
      </w:pPr>
      <w:r w:rsidRPr="78E24D1A">
        <w:rPr>
          <w:rStyle w:val="eop"/>
        </w:rPr>
        <w:t xml:space="preserve"> </w:t>
      </w:r>
      <w:r w:rsidR="01A31BF6" w:rsidRPr="78E24D1A">
        <w:rPr>
          <w:rStyle w:val="eop"/>
          <w:rFonts w:ascii="Tahoma" w:hAnsi="Tahoma" w:cs="Tahoma"/>
        </w:rPr>
        <w:t>4</w:t>
      </w:r>
      <w:r w:rsidR="01A31BF6" w:rsidRPr="78E24D1A">
        <w:rPr>
          <w:rFonts w:ascii="Tahoma" w:eastAsia="Tahoma" w:hAnsi="Tahoma" w:cs="Tahoma"/>
          <w:color w:val="000000" w:themeColor="text1"/>
        </w:rPr>
        <w:t>.  Match Share Restrictions</w:t>
      </w:r>
    </w:p>
    <w:p w14:paraId="205E211F" w14:textId="59F8F838" w:rsidR="3C79E995" w:rsidRDefault="3C79E995" w:rsidP="3C79E995">
      <w:pPr>
        <w:ind w:left="1440" w:hanging="720"/>
        <w:jc w:val="both"/>
        <w:rPr>
          <w:rStyle w:val="eop"/>
        </w:rPr>
      </w:pPr>
    </w:p>
    <w:p w14:paraId="33BDBFD2" w14:textId="2506C3DE" w:rsidR="3C79E995" w:rsidRDefault="3C79E995" w:rsidP="3C79E995">
      <w:pPr>
        <w:ind w:left="2160"/>
        <w:rPr>
          <w:rFonts w:ascii="Arial" w:eastAsia="Arial" w:hAnsi="Arial" w:cs="Arial"/>
          <w:color w:val="000000" w:themeColor="text1"/>
        </w:rPr>
      </w:pPr>
    </w:p>
    <w:p w14:paraId="06E21BEB" w14:textId="339D4EA6" w:rsidR="01A31BF6" w:rsidRDefault="01A31BF6" w:rsidP="3C79E995">
      <w:pPr>
        <w:pStyle w:val="ListParagraph"/>
        <w:numPr>
          <w:ilvl w:val="0"/>
          <w:numId w:val="1"/>
        </w:numPr>
        <w:ind w:left="2160" w:hanging="720"/>
        <w:rPr>
          <w:rFonts w:ascii="Tahoma" w:eastAsia="Tahoma" w:hAnsi="Tahoma" w:cs="Tahoma"/>
          <w:color w:val="000000" w:themeColor="text1"/>
        </w:rPr>
      </w:pPr>
      <w:r w:rsidRPr="3C79E995">
        <w:rPr>
          <w:rFonts w:ascii="Tahoma" w:eastAsia="Tahoma" w:hAnsi="Tahoma" w:cs="Tahoma"/>
          <w:b/>
          <w:bCs/>
          <w:i/>
          <w:iCs/>
          <w:color w:val="000000" w:themeColor="text1"/>
        </w:rPr>
        <w:t>Other Sources of CEC Funding</w:t>
      </w:r>
      <w:r w:rsidRPr="3C79E995">
        <w:rPr>
          <w:rFonts w:ascii="Tahoma" w:eastAsia="Tahoma" w:hAnsi="Tahoma" w:cs="Tahoma"/>
          <w:color w:val="000000" w:themeColor="text1"/>
        </w:rPr>
        <w:t xml:space="preserve"> – Other sources of CEC funding may not be claimed as match share. This includes block grants funded by the CEC. </w:t>
      </w:r>
    </w:p>
    <w:p w14:paraId="7A4C25D6" w14:textId="4F8F9BBA" w:rsidR="3C79E995" w:rsidRDefault="3C79E995" w:rsidP="3C79E995">
      <w:pPr>
        <w:ind w:left="2160"/>
        <w:rPr>
          <w:rFonts w:ascii="Tahoma" w:eastAsia="Tahoma" w:hAnsi="Tahoma" w:cs="Tahoma"/>
          <w:color w:val="000000" w:themeColor="text1"/>
        </w:rPr>
      </w:pPr>
    </w:p>
    <w:p w14:paraId="3A77C0C4" w14:textId="77CF3CC2" w:rsidR="01A31BF6" w:rsidRDefault="01A31BF6" w:rsidP="3C79E995">
      <w:pPr>
        <w:pStyle w:val="ListParagraph"/>
        <w:numPr>
          <w:ilvl w:val="0"/>
          <w:numId w:val="1"/>
        </w:numPr>
        <w:ind w:left="2160" w:hanging="720"/>
        <w:rPr>
          <w:rFonts w:ascii="Tahoma" w:eastAsia="Tahoma" w:hAnsi="Tahoma" w:cs="Tahoma"/>
          <w:color w:val="000000" w:themeColor="text1"/>
        </w:rPr>
      </w:pPr>
      <w:r w:rsidRPr="3C79E995">
        <w:rPr>
          <w:rFonts w:ascii="Tahoma" w:eastAsia="Tahoma" w:hAnsi="Tahoma" w:cs="Tahoma"/>
          <w:b/>
          <w:bCs/>
          <w:i/>
          <w:iCs/>
          <w:color w:val="000000" w:themeColor="text1"/>
        </w:rPr>
        <w:t xml:space="preserve">Other sources of Federal Funding </w:t>
      </w:r>
      <w:r w:rsidRPr="3C79E995">
        <w:rPr>
          <w:rFonts w:ascii="Tahoma" w:eastAsia="Tahoma" w:hAnsi="Tahoma" w:cs="Tahoma"/>
          <w:color w:val="000000" w:themeColor="text1"/>
        </w:rPr>
        <w:t>- Other sources of Federal funding may not be claimed as match share, unless specifically allowed by law to be used as non-Federal match.</w:t>
      </w:r>
    </w:p>
    <w:p w14:paraId="339AC368" w14:textId="33E2CF2E" w:rsidR="3C79E995" w:rsidRDefault="3C79E995" w:rsidP="3C79E995">
      <w:pPr>
        <w:ind w:left="2160"/>
        <w:rPr>
          <w:rFonts w:ascii="Tahoma" w:eastAsia="Tahoma" w:hAnsi="Tahoma" w:cs="Tahoma"/>
          <w:color w:val="000000" w:themeColor="text1"/>
          <w:sz w:val="28"/>
          <w:szCs w:val="28"/>
        </w:rPr>
      </w:pPr>
    </w:p>
    <w:p w14:paraId="4E70E5F8" w14:textId="114A8BA7" w:rsidR="01A31BF6" w:rsidRDefault="01A31BF6" w:rsidP="3C79E995">
      <w:pPr>
        <w:pStyle w:val="ListParagraph"/>
        <w:numPr>
          <w:ilvl w:val="0"/>
          <w:numId w:val="1"/>
        </w:numPr>
        <w:ind w:left="2160" w:hanging="720"/>
        <w:rPr>
          <w:rFonts w:ascii="Tahoma" w:eastAsia="Tahoma" w:hAnsi="Tahoma" w:cs="Tahoma"/>
          <w:color w:val="000000" w:themeColor="text1"/>
        </w:rPr>
      </w:pPr>
      <w:r w:rsidRPr="3C79E995">
        <w:rPr>
          <w:rFonts w:ascii="Tahoma" w:eastAsia="Tahoma" w:hAnsi="Tahoma" w:cs="Tahoma"/>
          <w:color w:val="000000" w:themeColor="text1"/>
        </w:rPr>
        <w:t>[</w:t>
      </w:r>
      <w:r w:rsidRPr="3C79E995">
        <w:rPr>
          <w:rFonts w:ascii="Tahoma" w:eastAsia="Tahoma" w:hAnsi="Tahoma" w:cs="Tahoma"/>
          <w:b/>
          <w:bCs/>
          <w:i/>
          <w:iCs/>
          <w:strike/>
          <w:color w:val="000000" w:themeColor="text1"/>
        </w:rPr>
        <w:t>Property Not Owned by the Applicant</w:t>
      </w:r>
      <w:r w:rsidRPr="3C79E995">
        <w:rPr>
          <w:rFonts w:ascii="Tahoma" w:eastAsia="Tahoma" w:hAnsi="Tahoma" w:cs="Tahoma"/>
          <w:strike/>
          <w:color w:val="000000" w:themeColor="text1"/>
        </w:rPr>
        <w:t xml:space="preserve"> – Donated property may be claimed as match based on the fair market value of renting or leasing the property. Fair market value is based on rental costs of comparable property (if any), market conditions in the area, alternatives available and the type, life expectancy, condition, and value of the property. </w:t>
      </w:r>
    </w:p>
    <w:p w14:paraId="55989432" w14:textId="317E53C6" w:rsidR="3C79E995" w:rsidRDefault="3C79E995" w:rsidP="3C79E995">
      <w:pPr>
        <w:ind w:left="2160"/>
        <w:rPr>
          <w:rFonts w:ascii="Tahoma" w:eastAsia="Tahoma" w:hAnsi="Tahoma" w:cs="Tahoma"/>
          <w:color w:val="000000" w:themeColor="text1"/>
        </w:rPr>
      </w:pPr>
    </w:p>
    <w:p w14:paraId="1F7634EF" w14:textId="36CCF6BB" w:rsidR="01A31BF6" w:rsidRDefault="01A31BF6" w:rsidP="3C79E995">
      <w:pPr>
        <w:pStyle w:val="ListParagraph"/>
        <w:numPr>
          <w:ilvl w:val="0"/>
          <w:numId w:val="1"/>
        </w:numPr>
        <w:ind w:left="2160" w:hanging="720"/>
        <w:rPr>
          <w:rFonts w:ascii="Tahoma" w:eastAsia="Tahoma" w:hAnsi="Tahoma" w:cs="Tahoma"/>
          <w:color w:val="000000" w:themeColor="text1"/>
        </w:rPr>
      </w:pPr>
      <w:r w:rsidRPr="3C79E995">
        <w:rPr>
          <w:rFonts w:ascii="Tahoma" w:eastAsia="Tahoma" w:hAnsi="Tahoma" w:cs="Tahoma"/>
          <w:b/>
          <w:bCs/>
          <w:i/>
          <w:iCs/>
          <w:strike/>
          <w:color w:val="000000" w:themeColor="text1"/>
        </w:rPr>
        <w:lastRenderedPageBreak/>
        <w:t>Existing Property Owned by the Grant Recipient</w:t>
      </w:r>
      <w:r w:rsidRPr="3C79E995">
        <w:rPr>
          <w:rFonts w:ascii="Tahoma" w:eastAsia="Tahoma" w:hAnsi="Tahoma" w:cs="Tahoma"/>
          <w:strike/>
          <w:color w:val="000000" w:themeColor="text1"/>
        </w:rPr>
        <w:t xml:space="preserve"> – Applicants may use the property’s depreciation expense as a method to allocate the value of the property to the project. Valuation will need to be documented to support the initial acquisition costs as well as the method of depreciation.</w:t>
      </w:r>
    </w:p>
    <w:p w14:paraId="312CFAB1" w14:textId="5176C078" w:rsidR="3C79E995" w:rsidRDefault="3C79E995" w:rsidP="3C79E995">
      <w:pPr>
        <w:ind w:left="2160"/>
        <w:rPr>
          <w:rFonts w:ascii="Tahoma" w:eastAsia="Tahoma" w:hAnsi="Tahoma" w:cs="Tahoma"/>
          <w:color w:val="000000" w:themeColor="text1"/>
        </w:rPr>
      </w:pPr>
    </w:p>
    <w:p w14:paraId="48A44EFF" w14:textId="56095488" w:rsidR="01A31BF6" w:rsidRDefault="01A31BF6" w:rsidP="3C79E995">
      <w:pPr>
        <w:pStyle w:val="ListParagraph"/>
        <w:numPr>
          <w:ilvl w:val="0"/>
          <w:numId w:val="1"/>
        </w:numPr>
        <w:ind w:left="2160" w:hanging="720"/>
        <w:rPr>
          <w:rFonts w:ascii="Tahoma" w:eastAsia="Tahoma" w:hAnsi="Tahoma" w:cs="Tahoma"/>
          <w:color w:val="000000" w:themeColor="text1"/>
        </w:rPr>
      </w:pPr>
      <w:r w:rsidRPr="3C79E995">
        <w:rPr>
          <w:rFonts w:ascii="Tahoma" w:eastAsia="Tahoma" w:hAnsi="Tahoma" w:cs="Tahoma"/>
          <w:b/>
          <w:bCs/>
          <w:i/>
          <w:iCs/>
          <w:strike/>
          <w:color w:val="000000" w:themeColor="text1"/>
        </w:rPr>
        <w:t>Valuation of Land</w:t>
      </w:r>
      <w:r w:rsidRPr="3C79E995">
        <w:rPr>
          <w:rFonts w:ascii="Tahoma" w:eastAsia="Tahoma" w:hAnsi="Tahoma" w:cs="Tahoma"/>
          <w:strike/>
          <w:color w:val="000000" w:themeColor="text1"/>
        </w:rPr>
        <w:t xml:space="preserve"> –</w:t>
      </w:r>
      <w:r w:rsidRPr="3C79E995">
        <w:rPr>
          <w:rFonts w:ascii="Tahoma" w:eastAsia="Tahoma" w:hAnsi="Tahoma" w:cs="Tahoma"/>
          <w:b/>
          <w:bCs/>
          <w:i/>
          <w:iCs/>
          <w:strike/>
          <w:color w:val="000000" w:themeColor="text1"/>
        </w:rPr>
        <w:t xml:space="preserve"> </w:t>
      </w:r>
      <w:r w:rsidRPr="3C79E995">
        <w:rPr>
          <w:rFonts w:ascii="Tahoma" w:eastAsia="Tahoma" w:hAnsi="Tahoma" w:cs="Tahoma"/>
          <w:strike/>
          <w:color w:val="000000" w:themeColor="text1"/>
        </w:rPr>
        <w:t>Land cannot be depreciated. If the value of land is claimed as match, the Applicant must provide documentation to support a fair market value for the use of the land (i.e., rent or lease cost) for the time period it is used. Appraised value of land cannot be used since this represents the full value of the land if it is sold which includes value beyond the term of the proposed project.</w:t>
      </w:r>
    </w:p>
    <w:p w14:paraId="4BAFDBC4" w14:textId="3DF6879D" w:rsidR="3C79E995" w:rsidRDefault="3C79E995" w:rsidP="3C79E995">
      <w:pPr>
        <w:ind w:left="2160"/>
        <w:rPr>
          <w:rFonts w:ascii="Tahoma" w:eastAsia="Tahoma" w:hAnsi="Tahoma" w:cs="Tahoma"/>
          <w:color w:val="000000" w:themeColor="text1"/>
          <w:sz w:val="28"/>
          <w:szCs w:val="28"/>
        </w:rPr>
      </w:pPr>
    </w:p>
    <w:p w14:paraId="55E1ABA8" w14:textId="58FF7FE5" w:rsidR="01A31BF6" w:rsidRDefault="01A31BF6" w:rsidP="3C79E995">
      <w:pPr>
        <w:pStyle w:val="ListParagraph"/>
        <w:numPr>
          <w:ilvl w:val="0"/>
          <w:numId w:val="1"/>
        </w:numPr>
        <w:ind w:left="2160" w:hanging="720"/>
        <w:rPr>
          <w:rFonts w:ascii="Tahoma" w:eastAsia="Tahoma" w:hAnsi="Tahoma" w:cs="Tahoma"/>
          <w:color w:val="000000" w:themeColor="text1"/>
        </w:rPr>
      </w:pPr>
      <w:r w:rsidRPr="3C79E995">
        <w:rPr>
          <w:rFonts w:ascii="Tahoma" w:eastAsia="Tahoma" w:hAnsi="Tahoma" w:cs="Tahoma"/>
          <w:b/>
          <w:bCs/>
          <w:i/>
          <w:iCs/>
          <w:strike/>
          <w:color w:val="000000" w:themeColor="text1"/>
        </w:rPr>
        <w:t>Property Owned by a Related Party</w:t>
      </w:r>
      <w:r w:rsidRPr="3C79E995">
        <w:rPr>
          <w:rFonts w:ascii="Tahoma" w:eastAsia="Tahoma" w:hAnsi="Tahoma" w:cs="Tahoma"/>
          <w:strike/>
          <w:color w:val="000000" w:themeColor="text1"/>
        </w:rPr>
        <w:t xml:space="preserve"> –</w:t>
      </w:r>
      <w:r w:rsidRPr="3C79E995">
        <w:rPr>
          <w:rFonts w:ascii="Tahoma" w:eastAsia="Tahoma" w:hAnsi="Tahoma" w:cs="Tahoma"/>
          <w:b/>
          <w:bCs/>
          <w:i/>
          <w:iCs/>
          <w:strike/>
          <w:color w:val="000000" w:themeColor="text1"/>
        </w:rPr>
        <w:t xml:space="preserve"> </w:t>
      </w:r>
      <w:r w:rsidRPr="3C79E995">
        <w:rPr>
          <w:rFonts w:ascii="Tahoma" w:eastAsia="Tahoma" w:hAnsi="Tahoma" w:cs="Tahoma"/>
          <w:strike/>
          <w:color w:val="000000" w:themeColor="text1"/>
        </w:rPr>
        <w:t>Related parties are individuals or other entities that are able to control or substantially influence the actions of the Applicant and includes spouses, board members, family members of principals or employees of the Applicant as well as property owned by principals/employees of the Applicant. Because an agreement between an Applicant and a related party is a “less than arms-length” transaction, Applicants must disclose the relationship between the Applicant and the related party and be able to support the fair market value of property that is claimed as match.</w:t>
      </w:r>
    </w:p>
    <w:p w14:paraId="6DC1B89A" w14:textId="0E3A0FD8" w:rsidR="3C79E995" w:rsidRDefault="3C79E995" w:rsidP="3C79E995">
      <w:pPr>
        <w:ind w:left="2160"/>
        <w:rPr>
          <w:rFonts w:ascii="Tahoma" w:eastAsia="Tahoma" w:hAnsi="Tahoma" w:cs="Tahoma"/>
          <w:color w:val="000000" w:themeColor="text1"/>
          <w:sz w:val="28"/>
          <w:szCs w:val="28"/>
        </w:rPr>
      </w:pPr>
    </w:p>
    <w:p w14:paraId="227B307C" w14:textId="63F67A7F" w:rsidR="01A31BF6" w:rsidRDefault="01A31BF6" w:rsidP="3C79E995">
      <w:pPr>
        <w:ind w:left="2160"/>
        <w:rPr>
          <w:rFonts w:ascii="Tahoma" w:eastAsia="Tahoma" w:hAnsi="Tahoma" w:cs="Tahoma"/>
          <w:color w:val="000000" w:themeColor="text1"/>
        </w:rPr>
      </w:pPr>
      <w:r w:rsidRPr="3C79E995">
        <w:rPr>
          <w:rFonts w:ascii="Tahoma" w:eastAsia="Tahoma" w:hAnsi="Tahoma" w:cs="Tahoma"/>
          <w:strike/>
          <w:color w:val="000000" w:themeColor="text1"/>
        </w:rPr>
        <w:t xml:space="preserve">If CEC funds are used to reimburse lease/rental payments for property owned by a related party, the Applicant can only claim the </w:t>
      </w:r>
      <w:r w:rsidRPr="3C79E995">
        <w:rPr>
          <w:rFonts w:ascii="Tahoma" w:eastAsia="Tahoma" w:hAnsi="Tahoma" w:cs="Tahoma"/>
          <w:b/>
          <w:bCs/>
          <w:i/>
          <w:iCs/>
          <w:strike/>
          <w:color w:val="000000" w:themeColor="text1"/>
        </w:rPr>
        <w:t>lesser</w:t>
      </w:r>
      <w:r w:rsidRPr="3C79E995">
        <w:rPr>
          <w:rFonts w:ascii="Tahoma" w:eastAsia="Tahoma" w:hAnsi="Tahoma" w:cs="Tahoma"/>
          <w:strike/>
          <w:color w:val="000000" w:themeColor="text1"/>
        </w:rPr>
        <w:t xml:space="preserve"> of fair market value or actual lease payments, regardless of lease agreement terms.</w:t>
      </w:r>
    </w:p>
    <w:p w14:paraId="688E392E" w14:textId="49047BAB" w:rsidR="3C79E995" w:rsidRDefault="3C79E995" w:rsidP="3C79E995">
      <w:pPr>
        <w:ind w:left="2160"/>
        <w:rPr>
          <w:rFonts w:ascii="Tahoma" w:eastAsia="Tahoma" w:hAnsi="Tahoma" w:cs="Tahoma"/>
          <w:color w:val="000000" w:themeColor="text1"/>
        </w:rPr>
      </w:pPr>
    </w:p>
    <w:p w14:paraId="4A425405" w14:textId="7DC04122" w:rsidR="01A31BF6" w:rsidRDefault="01A31BF6" w:rsidP="3C79E995">
      <w:pPr>
        <w:pStyle w:val="ListParagraph"/>
        <w:numPr>
          <w:ilvl w:val="0"/>
          <w:numId w:val="1"/>
        </w:numPr>
        <w:ind w:left="2160" w:hanging="720"/>
        <w:rPr>
          <w:rFonts w:ascii="Tahoma" w:eastAsia="Tahoma" w:hAnsi="Tahoma" w:cs="Tahoma"/>
          <w:color w:val="000000" w:themeColor="text1"/>
        </w:rPr>
      </w:pPr>
      <w:r w:rsidRPr="4C4A9BEA">
        <w:rPr>
          <w:rFonts w:ascii="Tahoma" w:eastAsia="Tahoma" w:hAnsi="Tahoma" w:cs="Tahoma"/>
          <w:b/>
          <w:bCs/>
          <w:i/>
          <w:iCs/>
          <w:strike/>
          <w:color w:val="000000" w:themeColor="text1"/>
        </w:rPr>
        <w:t xml:space="preserve">Prorated Value of Property </w:t>
      </w:r>
      <w:r w:rsidRPr="4C4A9BEA">
        <w:rPr>
          <w:rFonts w:ascii="Tahoma" w:eastAsia="Tahoma" w:hAnsi="Tahoma" w:cs="Tahoma"/>
          <w:strike/>
          <w:color w:val="000000" w:themeColor="text1"/>
        </w:rPr>
        <w:t>– 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r w:rsidRPr="4C4A9BEA">
        <w:rPr>
          <w:rFonts w:ascii="Tahoma" w:eastAsia="Tahoma" w:hAnsi="Tahoma" w:cs="Tahoma"/>
          <w:color w:val="000000" w:themeColor="text1"/>
        </w:rPr>
        <w:t>]</w:t>
      </w:r>
    </w:p>
    <w:p w14:paraId="6FB53239" w14:textId="036C816E" w:rsidR="3C79E995" w:rsidRDefault="3C79E995" w:rsidP="3C79E995">
      <w:pPr>
        <w:ind w:left="2160"/>
        <w:rPr>
          <w:rFonts w:ascii="Tahoma" w:eastAsia="Tahoma" w:hAnsi="Tahoma" w:cs="Tahoma"/>
          <w:color w:val="000000" w:themeColor="text1"/>
        </w:rPr>
      </w:pPr>
    </w:p>
    <w:p w14:paraId="4711DC0C" w14:textId="684CDDC8" w:rsidR="01A31BF6" w:rsidRDefault="01A31BF6" w:rsidP="3C79E995">
      <w:pPr>
        <w:pStyle w:val="ListParagraph"/>
        <w:numPr>
          <w:ilvl w:val="0"/>
          <w:numId w:val="1"/>
        </w:numPr>
        <w:ind w:left="2160" w:hanging="720"/>
        <w:rPr>
          <w:rFonts w:ascii="Tahoma" w:eastAsia="Tahoma" w:hAnsi="Tahoma" w:cs="Tahoma"/>
          <w:color w:val="000000" w:themeColor="text1"/>
        </w:rPr>
      </w:pPr>
      <w:r w:rsidRPr="3C79E995">
        <w:rPr>
          <w:rFonts w:ascii="Tahoma" w:eastAsia="Tahoma" w:hAnsi="Tahoma" w:cs="Tahoma"/>
          <w:b/>
          <w:bCs/>
          <w:i/>
          <w:iCs/>
          <w:color w:val="000000" w:themeColor="text1"/>
        </w:rPr>
        <w:t xml:space="preserve">Documentation </w:t>
      </w:r>
      <w:r w:rsidRPr="3C79E995">
        <w:rPr>
          <w:rFonts w:ascii="Tahoma" w:eastAsia="Tahoma" w:hAnsi="Tahoma" w:cs="Tahoma"/>
          <w:color w:val="000000" w:themeColor="text1"/>
        </w:rPr>
        <w:t xml:space="preserve">– If selected for an award, all claimed match share expenditures must be adequately documented to CEC </w:t>
      </w:r>
      <w:r w:rsidRPr="3C79E995">
        <w:rPr>
          <w:rFonts w:ascii="Tahoma" w:eastAsia="Tahoma" w:hAnsi="Tahoma" w:cs="Tahoma"/>
          <w:color w:val="000000" w:themeColor="text1"/>
        </w:rPr>
        <w:lastRenderedPageBreak/>
        <w:t xml:space="preserve">during the agreement invoicing process </w:t>
      </w:r>
      <w:r w:rsidR="45EC8255" w:rsidRPr="2210C4CF">
        <w:rPr>
          <w:rFonts w:ascii="Tahoma" w:eastAsia="Tahoma" w:hAnsi="Tahoma" w:cs="Tahoma"/>
          <w:color w:val="000000" w:themeColor="text1"/>
        </w:rPr>
        <w:t>[</w:t>
      </w:r>
      <w:r w:rsidRPr="2210C4CF">
        <w:rPr>
          <w:rFonts w:ascii="Tahoma" w:eastAsia="Tahoma" w:hAnsi="Tahoma" w:cs="Tahoma"/>
          <w:strike/>
          <w:color w:val="000000" w:themeColor="text1"/>
        </w:rPr>
        <w:t xml:space="preserve">which may include but is not limited </w:t>
      </w:r>
      <w:proofErr w:type="gramStart"/>
      <w:r w:rsidRPr="2210C4CF">
        <w:rPr>
          <w:rFonts w:ascii="Tahoma" w:eastAsia="Tahoma" w:hAnsi="Tahoma" w:cs="Tahoma"/>
          <w:strike/>
          <w:color w:val="000000" w:themeColor="text1"/>
        </w:rPr>
        <w:t>to:</w:t>
      </w:r>
      <w:proofErr w:type="gramEnd"/>
      <w:r w:rsidRPr="2210C4CF">
        <w:rPr>
          <w:rFonts w:ascii="Tahoma" w:eastAsia="Tahoma" w:hAnsi="Tahoma" w:cs="Tahoma"/>
          <w:strike/>
          <w:color w:val="000000" w:themeColor="text1"/>
        </w:rPr>
        <w:t xml:space="preserve"> the fair market value of existing property, methodology to allocate existing property on a prorated basis, lease agreements, and other appropriate documentation</w:t>
      </w:r>
      <w:r w:rsidR="146CDF3E" w:rsidRPr="2210C4CF">
        <w:rPr>
          <w:rFonts w:ascii="Tahoma" w:eastAsia="Tahoma" w:hAnsi="Tahoma" w:cs="Tahoma"/>
          <w:color w:val="000000" w:themeColor="text1"/>
        </w:rPr>
        <w:t>]</w:t>
      </w:r>
      <w:r w:rsidR="2AE9E023" w:rsidRPr="2210C4CF">
        <w:rPr>
          <w:rFonts w:ascii="Tahoma" w:eastAsia="Tahoma" w:hAnsi="Tahoma" w:cs="Tahoma"/>
          <w:color w:val="000000" w:themeColor="text1"/>
        </w:rPr>
        <w:t>.</w:t>
      </w:r>
    </w:p>
    <w:p w14:paraId="5BE03F2F" w14:textId="78EF4208" w:rsidR="3C79E995" w:rsidRDefault="3C79E995" w:rsidP="3C79E995">
      <w:pPr>
        <w:ind w:left="1440"/>
        <w:rPr>
          <w:rFonts w:ascii="Tahoma" w:eastAsia="Tahoma" w:hAnsi="Tahoma" w:cs="Tahoma"/>
          <w:color w:val="000000" w:themeColor="text1"/>
        </w:rPr>
      </w:pPr>
    </w:p>
    <w:p w14:paraId="7FB1A2E2" w14:textId="587DA892" w:rsidR="01A31BF6" w:rsidRDefault="01A31BF6" w:rsidP="3C79E995">
      <w:pPr>
        <w:ind w:left="2160" w:hanging="720"/>
        <w:rPr>
          <w:rFonts w:ascii="Tahoma" w:eastAsia="Tahoma" w:hAnsi="Tahoma" w:cs="Tahoma"/>
          <w:color w:val="000000" w:themeColor="text1"/>
        </w:rPr>
      </w:pPr>
      <w:proofErr w:type="spellStart"/>
      <w:r w:rsidRPr="3C79E995">
        <w:rPr>
          <w:rFonts w:ascii="Tahoma" w:eastAsia="Tahoma" w:hAnsi="Tahoma" w:cs="Tahoma"/>
          <w:color w:val="000000" w:themeColor="text1"/>
        </w:rPr>
        <w:t>i</w:t>
      </w:r>
      <w:proofErr w:type="spellEnd"/>
      <w:r w:rsidRPr="3C79E995">
        <w:rPr>
          <w:rFonts w:ascii="Tahoma" w:eastAsia="Tahoma" w:hAnsi="Tahoma" w:cs="Tahoma"/>
          <w:color w:val="000000" w:themeColor="text1"/>
        </w:rPr>
        <w:t xml:space="preserve">. </w:t>
      </w:r>
      <w:r>
        <w:tab/>
      </w:r>
      <w:r w:rsidRPr="3C79E995">
        <w:rPr>
          <w:rFonts w:ascii="Tahoma" w:eastAsia="Tahoma" w:hAnsi="Tahoma" w:cs="Tahoma"/>
          <w:b/>
          <w:bCs/>
          <w:i/>
          <w:iCs/>
          <w:color w:val="000000" w:themeColor="text1"/>
        </w:rPr>
        <w:t xml:space="preserve">Funds already expended (or otherwise encumbered) </w:t>
      </w:r>
      <w:r w:rsidRPr="3C79E995">
        <w:rPr>
          <w:rFonts w:ascii="Tahoma" w:eastAsia="Tahoma" w:hAnsi="Tahoma" w:cs="Tahoma"/>
          <w:color w:val="000000" w:themeColor="text1"/>
        </w:rPr>
        <w:t>– Applicants cannot claim funds that have already been expended or otherwise encumbered as match share. Match share expenditures are only allowable if they are incurred after an agreement is fully executed with the CEC and after FHWA’s authorization of the project.</w:t>
      </w:r>
    </w:p>
    <w:p w14:paraId="60E713EA" w14:textId="3A7D338E" w:rsidR="3C79E995" w:rsidRDefault="3C79E995" w:rsidP="3C79E995">
      <w:pPr>
        <w:ind w:left="2160" w:hanging="720"/>
        <w:rPr>
          <w:rFonts w:ascii="Arial" w:eastAsia="Arial" w:hAnsi="Arial" w:cs="Arial"/>
          <w:color w:val="000000" w:themeColor="text1"/>
        </w:rPr>
      </w:pPr>
    </w:p>
    <w:p w14:paraId="2272BEB2" w14:textId="5EA722EA" w:rsidR="006E1137" w:rsidRPr="0050138D" w:rsidRDefault="006E1137" w:rsidP="4A4585F5">
      <w:pPr>
        <w:pStyle w:val="ListParagraph"/>
        <w:autoSpaceDE w:val="0"/>
        <w:autoSpaceDN w:val="0"/>
        <w:adjustRightInd w:val="0"/>
        <w:rPr>
          <w:rFonts w:ascii="Tahoma" w:eastAsia="Calibri" w:hAnsi="Tahoma" w:cs="Tahoma"/>
          <w:b/>
          <w:bCs/>
          <w:color w:val="000000" w:themeColor="text1"/>
        </w:rPr>
      </w:pPr>
    </w:p>
    <w:p w14:paraId="03C17E94" w14:textId="1DD836BD" w:rsidR="000169F8" w:rsidRDefault="000169F8" w:rsidP="000169F8">
      <w:pPr>
        <w:rPr>
          <w:rFonts w:ascii="Tahoma" w:eastAsia="Calibri" w:hAnsi="Tahoma" w:cs="Tahoma"/>
          <w:b/>
          <w:bCs/>
          <w:color w:val="000000" w:themeColor="text1"/>
        </w:rPr>
      </w:pPr>
      <w:r>
        <w:rPr>
          <w:rFonts w:ascii="Tahoma" w:eastAsia="Calibri" w:hAnsi="Tahoma" w:cs="Tahoma"/>
          <w:b/>
          <w:bCs/>
          <w:color w:val="000000" w:themeColor="text1"/>
        </w:rPr>
        <w:t>Scope of Work</w:t>
      </w:r>
    </w:p>
    <w:p w14:paraId="3121B913" w14:textId="52685D23" w:rsidR="000169F8" w:rsidRDefault="000169F8" w:rsidP="000169F8">
      <w:pPr>
        <w:rPr>
          <w:rFonts w:ascii="Tahoma" w:eastAsia="Calibri" w:hAnsi="Tahoma" w:cs="Tahoma"/>
          <w:color w:val="000000" w:themeColor="text1"/>
        </w:rPr>
      </w:pPr>
      <w:r w:rsidRPr="4A4585F5">
        <w:rPr>
          <w:rFonts w:ascii="Tahoma" w:eastAsia="Calibri" w:hAnsi="Tahoma" w:cs="Tahoma"/>
          <w:color w:val="000000" w:themeColor="text1"/>
        </w:rPr>
        <w:t xml:space="preserve">The following edits are made to the </w:t>
      </w:r>
      <w:r>
        <w:rPr>
          <w:rFonts w:ascii="Tahoma" w:eastAsia="Calibri" w:hAnsi="Tahoma" w:cs="Tahoma"/>
          <w:color w:val="000000" w:themeColor="text1"/>
        </w:rPr>
        <w:t>Scope of Work</w:t>
      </w:r>
      <w:r w:rsidRPr="4A4585F5">
        <w:rPr>
          <w:rFonts w:ascii="Tahoma" w:eastAsia="Calibri" w:hAnsi="Tahoma" w:cs="Tahoma"/>
          <w:color w:val="000000" w:themeColor="text1"/>
        </w:rPr>
        <w:t xml:space="preserve"> (Attachment 0</w:t>
      </w:r>
      <w:r w:rsidR="00B47F97">
        <w:rPr>
          <w:rFonts w:ascii="Tahoma" w:eastAsia="Calibri" w:hAnsi="Tahoma" w:cs="Tahoma"/>
          <w:color w:val="000000" w:themeColor="text1"/>
        </w:rPr>
        <w:t>2</w:t>
      </w:r>
      <w:r w:rsidRPr="4A4585F5">
        <w:rPr>
          <w:rFonts w:ascii="Tahoma" w:eastAsia="Calibri" w:hAnsi="Tahoma" w:cs="Tahoma"/>
          <w:color w:val="000000" w:themeColor="text1"/>
        </w:rPr>
        <w:t>)</w:t>
      </w:r>
      <w:r w:rsidR="007342EE">
        <w:rPr>
          <w:rFonts w:ascii="Tahoma" w:eastAsia="Calibri" w:hAnsi="Tahoma" w:cs="Tahoma"/>
          <w:color w:val="000000" w:themeColor="text1"/>
        </w:rPr>
        <w:t>.</w:t>
      </w:r>
    </w:p>
    <w:p w14:paraId="545F9351" w14:textId="77777777" w:rsidR="00724B4D" w:rsidRDefault="00724B4D" w:rsidP="000169F8">
      <w:pPr>
        <w:rPr>
          <w:rFonts w:ascii="Tahoma" w:eastAsia="Calibri" w:hAnsi="Tahoma" w:cs="Tahoma"/>
          <w:color w:val="000000" w:themeColor="text1"/>
        </w:rPr>
      </w:pPr>
    </w:p>
    <w:p w14:paraId="4A27AA10" w14:textId="6D939B61" w:rsidR="00724B4D" w:rsidRDefault="00724B4D" w:rsidP="00724B4D">
      <w:pPr>
        <w:pStyle w:val="Heading2"/>
        <w:numPr>
          <w:ilvl w:val="2"/>
          <w:numId w:val="43"/>
        </w:numPr>
        <w:spacing w:line="259" w:lineRule="auto"/>
        <w:rPr>
          <w:rFonts w:cs="Arial"/>
          <w:bCs/>
          <w:szCs w:val="24"/>
        </w:rPr>
      </w:pPr>
      <w:r w:rsidRPr="008315B4">
        <w:rPr>
          <w:rFonts w:cs="Arial"/>
          <w:szCs w:val="24"/>
        </w:rPr>
        <w:t>TASK 5 CHARGING STATION REPAIR, REPLACEMENT, AND/OR INSTALLATION</w:t>
      </w:r>
      <w:r w:rsidRPr="009D0777">
        <w:rPr>
          <w:rFonts w:cs="Arial"/>
          <w:szCs w:val="24"/>
        </w:rPr>
        <w:t xml:space="preserve"> </w:t>
      </w:r>
      <w:r w:rsidRPr="009D0777">
        <w:rPr>
          <w:rFonts w:cs="Arial"/>
          <w:bCs/>
          <w:szCs w:val="24"/>
        </w:rPr>
        <w:t>AND COMMISSIONING</w:t>
      </w:r>
      <w:r>
        <w:rPr>
          <w:rFonts w:cs="Arial"/>
          <w:bCs/>
          <w:szCs w:val="24"/>
        </w:rPr>
        <w:t xml:space="preserve"> (page </w:t>
      </w:r>
      <w:r w:rsidR="002760D4">
        <w:rPr>
          <w:rFonts w:cs="Arial"/>
          <w:bCs/>
          <w:szCs w:val="24"/>
        </w:rPr>
        <w:t>22-24)</w:t>
      </w:r>
    </w:p>
    <w:p w14:paraId="488A2C3B" w14:textId="32A9B8BB" w:rsidR="00282337" w:rsidRPr="0086164F" w:rsidRDefault="002E686D" w:rsidP="002E686D">
      <w:pPr>
        <w:ind w:firstLine="720"/>
        <w:rPr>
          <w:rFonts w:ascii="Tahoma" w:hAnsi="Tahoma" w:cs="Tahoma"/>
        </w:rPr>
      </w:pPr>
      <w:r w:rsidRPr="0086164F">
        <w:rPr>
          <w:rFonts w:ascii="Tahoma" w:hAnsi="Tahoma" w:cs="Tahoma"/>
        </w:rPr>
        <w:t>….</w:t>
      </w:r>
    </w:p>
    <w:p w14:paraId="4E206BB6" w14:textId="77777777" w:rsidR="002E686D" w:rsidRPr="002E686D" w:rsidRDefault="002E686D" w:rsidP="002E686D">
      <w:pPr>
        <w:widowControl w:val="0"/>
        <w:numPr>
          <w:ilvl w:val="1"/>
          <w:numId w:val="48"/>
        </w:numPr>
        <w:spacing w:after="120"/>
        <w:ind w:left="1440" w:hanging="720"/>
        <w:rPr>
          <w:rFonts w:ascii="Tahoma" w:eastAsia="Arial" w:hAnsi="Tahoma" w:cs="Tahoma"/>
        </w:rPr>
      </w:pPr>
      <w:r w:rsidRPr="002E686D">
        <w:rPr>
          <w:rFonts w:ascii="Tahoma" w:eastAsia="Arial" w:hAnsi="Tahoma" w:cs="Tahoma"/>
        </w:rPr>
        <w:t xml:space="preserve">Ensure charging equipment </w:t>
      </w:r>
      <w:r w:rsidRPr="002E686D">
        <w:rPr>
          <w:rFonts w:ascii="Tahoma" w:eastAsia="Arial" w:hAnsi="Tahoma" w:cs="Tahoma"/>
          <w:b/>
          <w:bCs/>
          <w:u w:val="single"/>
        </w:rPr>
        <w:t>and network</w:t>
      </w:r>
      <w:r w:rsidRPr="002E686D">
        <w:rPr>
          <w:rFonts w:ascii="Tahoma" w:eastAsia="Arial" w:hAnsi="Tahoma" w:cs="Tahoma"/>
        </w:rPr>
        <w:t xml:space="preserve"> meets the following specifications:</w:t>
      </w:r>
    </w:p>
    <w:p w14:paraId="4CD1144F" w14:textId="56B3B07B" w:rsidR="002E686D" w:rsidRPr="002760D4" w:rsidRDefault="002E686D" w:rsidP="00DC1D02">
      <w:pPr>
        <w:pStyle w:val="ListParagraph"/>
        <w:numPr>
          <w:ilvl w:val="0"/>
          <w:numId w:val="49"/>
        </w:numPr>
        <w:tabs>
          <w:tab w:val="left" w:pos="2160"/>
        </w:tabs>
        <w:ind w:left="2160"/>
        <w:rPr>
          <w:rFonts w:ascii="Tahoma" w:eastAsia="Arial" w:hAnsi="Tahoma" w:cs="Tahoma"/>
        </w:rPr>
      </w:pPr>
      <w:r w:rsidRPr="002760D4">
        <w:rPr>
          <w:rFonts w:ascii="Tahoma" w:eastAsia="Arial" w:hAnsi="Tahoma" w:cs="Tahoma"/>
        </w:rPr>
        <w:t>Power Requirements</w:t>
      </w:r>
    </w:p>
    <w:p w14:paraId="0C0509D2" w14:textId="77777777" w:rsidR="002E686D" w:rsidRPr="002E686D" w:rsidRDefault="002E686D" w:rsidP="002E686D">
      <w:pPr>
        <w:pStyle w:val="ListParagraph"/>
        <w:widowControl w:val="0"/>
        <w:numPr>
          <w:ilvl w:val="1"/>
          <w:numId w:val="44"/>
        </w:numPr>
        <w:ind w:left="2520"/>
        <w:rPr>
          <w:rFonts w:ascii="Tahoma" w:eastAsia="Arial" w:hAnsi="Tahoma" w:cs="Tahoma"/>
        </w:rPr>
      </w:pPr>
      <w:r w:rsidRPr="002E686D">
        <w:rPr>
          <w:rFonts w:ascii="Tahoma" w:eastAsia="Arial" w:hAnsi="Tahoma" w:cs="Tahoma"/>
        </w:rPr>
        <w:t>DCFCs – Each DCFC charging port must support output voltages between 250 volts DC and 920 volts DC. DCFCs located at AFC charging stations must have a continuous power delivery rating of at least 150 kilowatt (kW) and supply power according to an EV’s power delivery request up to 150 kW, simultaneously from each charging port at a charging station. Lower power DCFCs may be installed at non-AFC charging stations.</w:t>
      </w:r>
    </w:p>
    <w:p w14:paraId="38567F14" w14:textId="77777777" w:rsidR="002E686D" w:rsidRPr="002E686D" w:rsidRDefault="002E686D" w:rsidP="002E686D">
      <w:pPr>
        <w:pStyle w:val="ListParagraph"/>
        <w:widowControl w:val="0"/>
        <w:numPr>
          <w:ilvl w:val="1"/>
          <w:numId w:val="44"/>
        </w:numPr>
        <w:ind w:left="2520"/>
        <w:rPr>
          <w:rFonts w:ascii="Tahoma" w:eastAsia="Arial" w:hAnsi="Tahoma" w:cs="Tahoma"/>
        </w:rPr>
      </w:pPr>
      <w:r w:rsidRPr="002E686D">
        <w:rPr>
          <w:rFonts w:ascii="Tahoma" w:eastAsia="Arial" w:hAnsi="Tahoma" w:cs="Tahoma"/>
        </w:rPr>
        <w:t xml:space="preserve">Level 2 – Each Level 2 charging port must have a continuous power delivery rating of at least 6 kW and the charging station must be capable of providing at least 6 kW per port simultaneously across all Level 2 ports. </w:t>
      </w:r>
    </w:p>
    <w:p w14:paraId="6955E82C" w14:textId="77777777" w:rsidR="002E686D" w:rsidRPr="002E686D" w:rsidRDefault="002E686D" w:rsidP="002E686D">
      <w:pPr>
        <w:pStyle w:val="ListParagraph"/>
        <w:widowControl w:val="0"/>
        <w:numPr>
          <w:ilvl w:val="1"/>
          <w:numId w:val="44"/>
        </w:numPr>
        <w:ind w:left="2520"/>
        <w:rPr>
          <w:rFonts w:ascii="Tahoma" w:eastAsia="Arial" w:hAnsi="Tahoma" w:cs="Tahoma"/>
        </w:rPr>
      </w:pPr>
      <w:r w:rsidRPr="002E686D">
        <w:rPr>
          <w:rFonts w:ascii="Tahoma" w:eastAsia="Arial" w:hAnsi="Tahoma" w:cs="Tahoma"/>
        </w:rPr>
        <w:t xml:space="preserve">AFC charging stations should be supported by a grid connection of at least 600 kW. </w:t>
      </w:r>
      <w:r w:rsidRPr="002E686D">
        <w:rPr>
          <w:rFonts w:ascii="Tahoma" w:hAnsi="Tahoma" w:cs="Tahoma"/>
        </w:rPr>
        <w:t xml:space="preserve">For AFC charging stations not connecting to the grid with at least 600 kW, Recipients will provide the CAM </w:t>
      </w:r>
      <w:r w:rsidRPr="002E686D">
        <w:rPr>
          <w:rFonts w:ascii="Tahoma" w:hAnsi="Tahoma" w:cs="Tahoma"/>
          <w:i/>
          <w:iCs/>
        </w:rPr>
        <w:t xml:space="preserve">justification </w:t>
      </w:r>
      <w:r w:rsidRPr="002E686D">
        <w:rPr>
          <w:rFonts w:ascii="Tahoma" w:hAnsi="Tahoma" w:cs="Tahoma"/>
        </w:rPr>
        <w:t>on how the charging station will still comply with the simultaneous supply of 150 kW per charging port requirement.</w:t>
      </w:r>
    </w:p>
    <w:p w14:paraId="1FB8CBE2" w14:textId="77777777" w:rsidR="002E686D" w:rsidRPr="002E686D" w:rsidRDefault="002E686D" w:rsidP="002760D4">
      <w:pPr>
        <w:pStyle w:val="ListParagraph"/>
        <w:widowControl w:val="0"/>
        <w:numPr>
          <w:ilvl w:val="0"/>
          <w:numId w:val="49"/>
        </w:numPr>
        <w:ind w:left="2160"/>
        <w:rPr>
          <w:rFonts w:ascii="Tahoma" w:eastAsia="Arial" w:hAnsi="Tahoma" w:cs="Tahoma"/>
        </w:rPr>
      </w:pPr>
      <w:r w:rsidRPr="002E686D">
        <w:rPr>
          <w:rFonts w:ascii="Tahoma" w:eastAsia="Arial" w:hAnsi="Tahoma" w:cs="Tahoma"/>
        </w:rPr>
        <w:t>Connectors</w:t>
      </w:r>
    </w:p>
    <w:p w14:paraId="0F726629" w14:textId="77777777" w:rsidR="002E686D" w:rsidRPr="002E686D" w:rsidRDefault="002E686D" w:rsidP="002E686D">
      <w:pPr>
        <w:pStyle w:val="ListParagraph"/>
        <w:widowControl w:val="0"/>
        <w:numPr>
          <w:ilvl w:val="1"/>
          <w:numId w:val="44"/>
        </w:numPr>
        <w:ind w:left="2520"/>
        <w:rPr>
          <w:rFonts w:ascii="Tahoma" w:eastAsia="Arial" w:hAnsi="Tahoma" w:cs="Tahoma"/>
        </w:rPr>
      </w:pPr>
      <w:r w:rsidRPr="002E686D">
        <w:rPr>
          <w:rFonts w:ascii="Tahoma" w:eastAsia="Arial" w:hAnsi="Tahoma" w:cs="Tahoma"/>
        </w:rPr>
        <w:lastRenderedPageBreak/>
        <w:t>DCFCs - Each charging port must have at least one permanently attached CCS connector. Additional connector types such as CHAdeMO and SAE J3400 are allowed to be installed if the previous requirement is still met.</w:t>
      </w:r>
    </w:p>
    <w:p w14:paraId="32C5EA31" w14:textId="77777777" w:rsidR="002E686D" w:rsidRPr="002E686D" w:rsidRDefault="002E686D" w:rsidP="002E686D">
      <w:pPr>
        <w:pStyle w:val="ListParagraph"/>
        <w:widowControl w:val="0"/>
        <w:numPr>
          <w:ilvl w:val="1"/>
          <w:numId w:val="44"/>
        </w:numPr>
        <w:ind w:left="2520"/>
        <w:rPr>
          <w:rFonts w:ascii="Tahoma" w:eastAsia="Arial" w:hAnsi="Tahoma" w:cs="Tahoma"/>
        </w:rPr>
      </w:pPr>
      <w:r w:rsidRPr="002E686D">
        <w:rPr>
          <w:rFonts w:ascii="Tahoma" w:eastAsia="Arial" w:hAnsi="Tahoma" w:cs="Tahoma"/>
        </w:rPr>
        <w:t>Level 2 – Each charging port must have at least one permanently attached J1772 connector. Additional connector types such as SAE J3400 are allowed to be installed if the previous requirement is still met.</w:t>
      </w:r>
    </w:p>
    <w:p w14:paraId="6DB63596" w14:textId="77777777" w:rsidR="002E686D" w:rsidRPr="002E686D" w:rsidRDefault="002E686D" w:rsidP="002760D4">
      <w:pPr>
        <w:pStyle w:val="ListParagraph"/>
        <w:widowControl w:val="0"/>
        <w:numPr>
          <w:ilvl w:val="0"/>
          <w:numId w:val="49"/>
        </w:numPr>
        <w:ind w:left="2160"/>
        <w:rPr>
          <w:rFonts w:ascii="Tahoma" w:eastAsia="Arial" w:hAnsi="Tahoma" w:cs="Tahoma"/>
        </w:rPr>
      </w:pPr>
      <w:r w:rsidRPr="002E686D">
        <w:rPr>
          <w:rFonts w:ascii="Tahoma" w:eastAsia="Arial" w:hAnsi="Tahoma" w:cs="Tahoma"/>
        </w:rPr>
        <w:t>Energy Star Certification</w:t>
      </w:r>
    </w:p>
    <w:p w14:paraId="0232A8E4" w14:textId="77777777" w:rsidR="002E686D" w:rsidRPr="002E686D" w:rsidRDefault="002E686D" w:rsidP="78E24D1A">
      <w:pPr>
        <w:pStyle w:val="ListParagraph"/>
        <w:widowControl w:val="0"/>
        <w:numPr>
          <w:ilvl w:val="1"/>
          <w:numId w:val="49"/>
        </w:numPr>
        <w:ind w:left="2520"/>
        <w:rPr>
          <w:rFonts w:ascii="Tahoma" w:eastAsia="Arial" w:hAnsi="Tahoma" w:cs="Tahoma"/>
        </w:rPr>
      </w:pPr>
      <w:r w:rsidRPr="78E24D1A">
        <w:rPr>
          <w:rFonts w:ascii="Tahoma" w:eastAsia="Arial" w:hAnsi="Tahoma" w:cs="Tahoma"/>
        </w:rPr>
        <w:t xml:space="preserve">The chargers must be Energy Star certified and listed on the </w:t>
      </w:r>
      <w:hyperlink r:id="rId14">
        <w:r w:rsidRPr="78E24D1A">
          <w:rPr>
            <w:rStyle w:val="Hyperlink"/>
            <w:rFonts w:ascii="Tahoma" w:eastAsia="Arial" w:hAnsi="Tahoma" w:cs="Tahoma"/>
          </w:rPr>
          <w:t>Energy Star Product Finder Page</w:t>
        </w:r>
      </w:hyperlink>
      <w:r w:rsidRPr="78E24D1A">
        <w:rPr>
          <w:rFonts w:ascii="Tahoma" w:eastAsia="Arial" w:hAnsi="Tahoma" w:cs="Tahoma"/>
        </w:rPr>
        <w:t xml:space="preserve"> at https://www.energystar.gov/productfinder/product/certified-evse/results. Chargers do not have to be certified at the time of submitting the </w:t>
      </w:r>
      <w:proofErr w:type="gramStart"/>
      <w:r w:rsidRPr="78E24D1A">
        <w:rPr>
          <w:rFonts w:ascii="Tahoma" w:eastAsia="Arial" w:hAnsi="Tahoma" w:cs="Tahoma"/>
        </w:rPr>
        <w:t>proposal, but</w:t>
      </w:r>
      <w:proofErr w:type="gramEnd"/>
      <w:r w:rsidRPr="78E24D1A">
        <w:rPr>
          <w:rFonts w:ascii="Tahoma" w:eastAsia="Arial" w:hAnsi="Tahoma" w:cs="Tahoma"/>
        </w:rPr>
        <w:t xml:space="preserve"> must be certified prior to submitting an invoice that seeks repayment for the chargers. Chargers over 350 kW are not required to be Energy Star certified.</w:t>
      </w:r>
    </w:p>
    <w:p w14:paraId="6C85EDCB" w14:textId="77777777" w:rsidR="002E686D" w:rsidRPr="002E686D" w:rsidRDefault="002E686D" w:rsidP="002760D4">
      <w:pPr>
        <w:pStyle w:val="ListParagraph"/>
        <w:widowControl w:val="0"/>
        <w:numPr>
          <w:ilvl w:val="0"/>
          <w:numId w:val="49"/>
        </w:numPr>
        <w:ind w:left="2160"/>
        <w:rPr>
          <w:rFonts w:ascii="Tahoma" w:eastAsia="Arial" w:hAnsi="Tahoma" w:cs="Tahoma"/>
        </w:rPr>
      </w:pPr>
      <w:r w:rsidRPr="002E686D">
        <w:rPr>
          <w:rFonts w:ascii="Tahoma" w:eastAsia="Arial" w:hAnsi="Tahoma" w:cs="Tahoma"/>
        </w:rPr>
        <w:t>Interoperability: Charger-to-EV Communication</w:t>
      </w:r>
    </w:p>
    <w:p w14:paraId="69008313" w14:textId="77777777" w:rsidR="002E686D" w:rsidRPr="002E686D" w:rsidRDefault="002E686D" w:rsidP="00494D17">
      <w:pPr>
        <w:pStyle w:val="ListParagraph"/>
        <w:widowControl w:val="0"/>
        <w:numPr>
          <w:ilvl w:val="1"/>
          <w:numId w:val="49"/>
        </w:numPr>
        <w:ind w:left="2520"/>
        <w:rPr>
          <w:rFonts w:ascii="Tahoma" w:eastAsia="Arial" w:hAnsi="Tahoma" w:cs="Tahoma"/>
        </w:rPr>
      </w:pPr>
      <w:r w:rsidRPr="002E686D">
        <w:rPr>
          <w:rFonts w:ascii="Tahoma" w:eastAsia="Arial" w:hAnsi="Tahoma" w:cs="Tahoma"/>
        </w:rPr>
        <w:t>The chargers must conform to ISO 15118-3, and hardware must be capable of implementing both ISO 15118-2 and ISO 15118-20.</w:t>
      </w:r>
    </w:p>
    <w:p w14:paraId="53B16A42" w14:textId="77777777" w:rsidR="002E686D" w:rsidRPr="002E686D" w:rsidRDefault="002E686D" w:rsidP="00494D17">
      <w:pPr>
        <w:pStyle w:val="ListParagraph"/>
        <w:widowControl w:val="0"/>
        <w:numPr>
          <w:ilvl w:val="1"/>
          <w:numId w:val="49"/>
        </w:numPr>
        <w:ind w:left="2520"/>
        <w:rPr>
          <w:rFonts w:ascii="Tahoma" w:eastAsia="Arial" w:hAnsi="Tahoma" w:cs="Tahoma"/>
        </w:rPr>
      </w:pPr>
      <w:r w:rsidRPr="002E686D">
        <w:rPr>
          <w:rFonts w:ascii="Tahoma" w:eastAsia="Arial" w:hAnsi="Tahoma" w:cs="Tahoma"/>
        </w:rPr>
        <w:t>The chargers must include all necessary software and hardware to perform Plug-and-Charge using ISO 15118-2.</w:t>
      </w:r>
    </w:p>
    <w:p w14:paraId="58465791" w14:textId="77777777" w:rsidR="002E686D" w:rsidRPr="002E686D" w:rsidRDefault="002E686D" w:rsidP="00494D17">
      <w:pPr>
        <w:pStyle w:val="ListParagraph"/>
        <w:widowControl w:val="0"/>
        <w:numPr>
          <w:ilvl w:val="1"/>
          <w:numId w:val="49"/>
        </w:numPr>
        <w:ind w:left="2520"/>
        <w:rPr>
          <w:rFonts w:ascii="Tahoma" w:eastAsia="Arial" w:hAnsi="Tahoma" w:cs="Tahoma"/>
        </w:rPr>
      </w:pPr>
      <w:r w:rsidRPr="002E686D">
        <w:rPr>
          <w:rFonts w:ascii="Tahoma" w:eastAsia="Arial" w:hAnsi="Tahoma" w:cs="Tahoma"/>
        </w:rPr>
        <w:t>Conformance testing for charger software and hardware should follow ISO 15118-4 and 15118-5, respectively.</w:t>
      </w:r>
    </w:p>
    <w:p w14:paraId="1D9A3D9B" w14:textId="77777777" w:rsidR="002E686D" w:rsidRPr="002E686D" w:rsidRDefault="002E686D" w:rsidP="002760D4">
      <w:pPr>
        <w:pStyle w:val="ListParagraph"/>
        <w:widowControl w:val="0"/>
        <w:numPr>
          <w:ilvl w:val="0"/>
          <w:numId w:val="49"/>
        </w:numPr>
        <w:ind w:left="2070"/>
        <w:rPr>
          <w:rFonts w:ascii="Tahoma" w:eastAsia="Arial" w:hAnsi="Tahoma" w:cs="Tahoma"/>
        </w:rPr>
      </w:pPr>
      <w:r w:rsidRPr="002E686D">
        <w:rPr>
          <w:rFonts w:ascii="Tahoma" w:eastAsia="Arial" w:hAnsi="Tahoma" w:cs="Tahoma"/>
        </w:rPr>
        <w:t>Interoperability: Charger-to-Charger Network Communication</w:t>
      </w:r>
    </w:p>
    <w:p w14:paraId="413A1450" w14:textId="77777777" w:rsidR="002E686D" w:rsidRPr="002E686D" w:rsidRDefault="002E686D" w:rsidP="00494D17">
      <w:pPr>
        <w:pStyle w:val="ListParagraph"/>
        <w:widowControl w:val="0"/>
        <w:numPr>
          <w:ilvl w:val="1"/>
          <w:numId w:val="49"/>
        </w:numPr>
        <w:ind w:left="2520"/>
        <w:rPr>
          <w:rFonts w:ascii="Tahoma" w:eastAsia="Arial" w:hAnsi="Tahoma" w:cs="Tahoma"/>
        </w:rPr>
      </w:pPr>
      <w:r w:rsidRPr="002E686D">
        <w:rPr>
          <w:rFonts w:ascii="Tahoma" w:eastAsia="Arial" w:hAnsi="Tahoma" w:cs="Tahoma"/>
        </w:rPr>
        <w:t>The chargers must conform to OCPP 2.0.1 or later. Manufacturers must attest that the charger conforms to OCPP 2.0.1 or later by detailing it on a publicly available charger specification sheet.</w:t>
      </w:r>
    </w:p>
    <w:p w14:paraId="6C2A12F5" w14:textId="77777777" w:rsidR="002E686D" w:rsidRPr="002E686D" w:rsidRDefault="002E686D" w:rsidP="002760D4">
      <w:pPr>
        <w:pStyle w:val="ListParagraph"/>
        <w:widowControl w:val="0"/>
        <w:numPr>
          <w:ilvl w:val="0"/>
          <w:numId w:val="49"/>
        </w:numPr>
        <w:ind w:left="2160"/>
        <w:rPr>
          <w:rFonts w:ascii="Tahoma" w:eastAsia="Arial" w:hAnsi="Tahoma" w:cs="Tahoma"/>
        </w:rPr>
      </w:pPr>
      <w:r w:rsidRPr="002E686D">
        <w:rPr>
          <w:rFonts w:ascii="Tahoma" w:eastAsia="Arial" w:hAnsi="Tahoma" w:cs="Tahoma"/>
        </w:rPr>
        <w:t>Interoperability: Charging-Network-to-Charging Network Communication</w:t>
      </w:r>
    </w:p>
    <w:p w14:paraId="25262F4D" w14:textId="77777777" w:rsidR="002E686D" w:rsidRPr="002E686D" w:rsidRDefault="002E686D" w:rsidP="00494D17">
      <w:pPr>
        <w:pStyle w:val="ListParagraph"/>
        <w:widowControl w:val="0"/>
        <w:numPr>
          <w:ilvl w:val="1"/>
          <w:numId w:val="49"/>
        </w:numPr>
        <w:ind w:left="2520"/>
        <w:rPr>
          <w:rFonts w:ascii="Tahoma" w:eastAsia="Arial" w:hAnsi="Tahoma" w:cs="Tahoma"/>
        </w:rPr>
      </w:pPr>
      <w:r w:rsidRPr="002E686D">
        <w:rPr>
          <w:rFonts w:ascii="Tahoma" w:eastAsia="Arial" w:hAnsi="Tahoma" w:cs="Tahoma"/>
        </w:rPr>
        <w:t>The charger’s networking software must connect to a central management system using OCPP 2.0.1 for the purposes of charger management and data reporting.</w:t>
      </w:r>
    </w:p>
    <w:p w14:paraId="44F15ED6" w14:textId="77777777" w:rsidR="002E686D" w:rsidRPr="002E686D" w:rsidRDefault="002E686D" w:rsidP="00494D17">
      <w:pPr>
        <w:pStyle w:val="ListParagraph"/>
        <w:widowControl w:val="0"/>
        <w:numPr>
          <w:ilvl w:val="1"/>
          <w:numId w:val="49"/>
        </w:numPr>
        <w:ind w:left="2520"/>
        <w:rPr>
          <w:rFonts w:ascii="Tahoma" w:eastAsia="Times New Roman" w:hAnsi="Tahoma" w:cs="Tahoma"/>
          <w:b/>
          <w:bCs/>
          <w:u w:val="single"/>
        </w:rPr>
      </w:pPr>
      <w:r w:rsidRPr="002E686D">
        <w:rPr>
          <w:rFonts w:ascii="Tahoma" w:hAnsi="Tahoma" w:cs="Tahoma"/>
          <w:b/>
          <w:bCs/>
          <w:u w:val="single"/>
        </w:rPr>
        <w:t>The charging network must be capable of communicating with other charging networks in accordance with the Open Charge Point Interface (OCPI) 2.2.1. </w:t>
      </w:r>
    </w:p>
    <w:p w14:paraId="7AD0049E" w14:textId="77777777" w:rsidR="002E686D" w:rsidRPr="002E686D" w:rsidRDefault="002E686D" w:rsidP="002760D4">
      <w:pPr>
        <w:pStyle w:val="ListParagraph"/>
        <w:widowControl w:val="0"/>
        <w:numPr>
          <w:ilvl w:val="0"/>
          <w:numId w:val="49"/>
        </w:numPr>
        <w:ind w:left="2160"/>
        <w:rPr>
          <w:rFonts w:ascii="Tahoma" w:eastAsia="Arial" w:hAnsi="Tahoma" w:cs="Tahoma"/>
        </w:rPr>
      </w:pPr>
      <w:r w:rsidRPr="002E686D">
        <w:rPr>
          <w:rFonts w:ascii="Tahoma" w:eastAsia="Arial" w:hAnsi="Tahoma" w:cs="Tahoma"/>
        </w:rPr>
        <w:t>Interoperability: Network Switching Capability</w:t>
      </w:r>
    </w:p>
    <w:p w14:paraId="194E092D" w14:textId="77777777" w:rsidR="002E686D" w:rsidRPr="002E686D" w:rsidRDefault="002E686D" w:rsidP="002E686D">
      <w:pPr>
        <w:pStyle w:val="ListParagraph"/>
        <w:widowControl w:val="0"/>
        <w:numPr>
          <w:ilvl w:val="0"/>
          <w:numId w:val="45"/>
        </w:numPr>
        <w:rPr>
          <w:rFonts w:ascii="Tahoma" w:eastAsia="Arial" w:hAnsi="Tahoma" w:cs="Tahoma"/>
        </w:rPr>
      </w:pPr>
      <w:r w:rsidRPr="002E686D">
        <w:rPr>
          <w:rFonts w:ascii="Tahoma" w:eastAsia="Arial" w:hAnsi="Tahoma" w:cs="Tahoma"/>
        </w:rPr>
        <w:t xml:space="preserve">The chargers must be designed to securely switch network </w:t>
      </w:r>
      <w:r w:rsidRPr="002E686D">
        <w:rPr>
          <w:rFonts w:ascii="Tahoma" w:eastAsia="Arial" w:hAnsi="Tahoma" w:cs="Tahoma"/>
        </w:rPr>
        <w:lastRenderedPageBreak/>
        <w:t>providers without any changes in hardware.</w:t>
      </w:r>
    </w:p>
    <w:p w14:paraId="61C2CCDA" w14:textId="77777777" w:rsidR="002E686D" w:rsidRPr="002E686D" w:rsidRDefault="002E686D" w:rsidP="002760D4">
      <w:pPr>
        <w:pStyle w:val="ListParagraph"/>
        <w:widowControl w:val="0"/>
        <w:numPr>
          <w:ilvl w:val="0"/>
          <w:numId w:val="49"/>
        </w:numPr>
        <w:ind w:left="2160"/>
        <w:rPr>
          <w:rFonts w:ascii="Tahoma" w:eastAsia="Arial" w:hAnsi="Tahoma" w:cs="Tahoma"/>
        </w:rPr>
      </w:pPr>
      <w:r w:rsidRPr="002E686D">
        <w:rPr>
          <w:rFonts w:ascii="Tahoma" w:eastAsia="Arial" w:hAnsi="Tahoma" w:cs="Tahoma"/>
        </w:rPr>
        <w:t>Cybersecurity</w:t>
      </w:r>
    </w:p>
    <w:p w14:paraId="0939A84E" w14:textId="77777777" w:rsidR="002E686D" w:rsidRPr="002E686D" w:rsidRDefault="002E686D" w:rsidP="00992F06">
      <w:pPr>
        <w:pStyle w:val="ListParagraph"/>
        <w:widowControl w:val="0"/>
        <w:numPr>
          <w:ilvl w:val="1"/>
          <w:numId w:val="49"/>
        </w:numPr>
        <w:ind w:left="2520"/>
        <w:rPr>
          <w:rFonts w:ascii="Tahoma" w:eastAsia="Arial" w:hAnsi="Tahoma" w:cs="Tahoma"/>
        </w:rPr>
      </w:pPr>
      <w:r w:rsidRPr="002E686D">
        <w:rPr>
          <w:rFonts w:ascii="Tahoma" w:eastAsia="Arial" w:hAnsi="Tahoma" w:cs="Tahoma"/>
        </w:rPr>
        <w:t>The chargers and charging software must meet all the NEVI cybersecurity requirements listed in the federal NEVI standards.</w:t>
      </w:r>
    </w:p>
    <w:p w14:paraId="03FA7B67" w14:textId="77777777" w:rsidR="002E686D" w:rsidRPr="002E686D" w:rsidRDefault="002E686D" w:rsidP="002760D4">
      <w:pPr>
        <w:pStyle w:val="ListParagraph"/>
        <w:widowControl w:val="0"/>
        <w:numPr>
          <w:ilvl w:val="0"/>
          <w:numId w:val="49"/>
        </w:numPr>
        <w:spacing w:after="120"/>
        <w:ind w:left="2160"/>
        <w:rPr>
          <w:rFonts w:ascii="Tahoma" w:eastAsia="Arial" w:hAnsi="Tahoma" w:cs="Tahoma"/>
        </w:rPr>
      </w:pPr>
      <w:r w:rsidRPr="002E686D">
        <w:rPr>
          <w:rFonts w:ascii="Tahoma" w:eastAsia="Arial" w:hAnsi="Tahoma" w:cs="Tahoma"/>
        </w:rPr>
        <w:t>Charger Network Connectivity Requirements</w:t>
      </w:r>
    </w:p>
    <w:p w14:paraId="3B5CC156" w14:textId="77777777" w:rsidR="002E686D" w:rsidRPr="002E686D" w:rsidRDefault="002E686D" w:rsidP="002E686D">
      <w:pPr>
        <w:pStyle w:val="ListParagraph"/>
        <w:widowControl w:val="0"/>
        <w:numPr>
          <w:ilvl w:val="0"/>
          <w:numId w:val="46"/>
        </w:numPr>
        <w:spacing w:after="120"/>
        <w:rPr>
          <w:rFonts w:ascii="Tahoma" w:eastAsia="Arial" w:hAnsi="Tahoma" w:cs="Tahoma"/>
        </w:rPr>
      </w:pPr>
      <w:r w:rsidRPr="002E686D">
        <w:rPr>
          <w:rFonts w:ascii="Tahoma" w:eastAsia="Arial" w:hAnsi="Tahoma" w:cs="Tahoma"/>
        </w:rPr>
        <w:t>The chargers must be networked and must include the following three abilities:</w:t>
      </w:r>
    </w:p>
    <w:p w14:paraId="7071CC71" w14:textId="77777777" w:rsidR="002E686D" w:rsidRPr="002E686D" w:rsidRDefault="002E686D" w:rsidP="002760D4">
      <w:pPr>
        <w:pStyle w:val="ListParagraph"/>
        <w:widowControl w:val="0"/>
        <w:numPr>
          <w:ilvl w:val="3"/>
          <w:numId w:val="49"/>
        </w:numPr>
        <w:spacing w:after="120"/>
        <w:contextualSpacing w:val="0"/>
        <w:rPr>
          <w:rFonts w:ascii="Tahoma" w:eastAsia="Arial" w:hAnsi="Tahoma" w:cs="Tahoma"/>
        </w:rPr>
      </w:pPr>
      <w:r w:rsidRPr="002E686D">
        <w:rPr>
          <w:rFonts w:ascii="Tahoma" w:eastAsia="Arial" w:hAnsi="Tahoma" w:cs="Tahoma"/>
        </w:rPr>
        <w:t>Have network connectivity with one of the following:</w:t>
      </w:r>
    </w:p>
    <w:p w14:paraId="58BD00D6" w14:textId="77777777" w:rsidR="002E686D" w:rsidRPr="002E686D" w:rsidRDefault="002E686D" w:rsidP="00494D17">
      <w:pPr>
        <w:pStyle w:val="ListParagraph"/>
        <w:widowControl w:val="0"/>
        <w:numPr>
          <w:ilvl w:val="4"/>
          <w:numId w:val="49"/>
        </w:numPr>
        <w:spacing w:after="120"/>
        <w:ind w:left="4050"/>
        <w:contextualSpacing w:val="0"/>
        <w:rPr>
          <w:rFonts w:ascii="Tahoma" w:eastAsia="Arial" w:hAnsi="Tahoma" w:cs="Tahoma"/>
        </w:rPr>
      </w:pPr>
      <w:r w:rsidRPr="002E686D">
        <w:rPr>
          <w:rFonts w:ascii="Tahoma" w:eastAsia="Arial" w:hAnsi="Tahoma" w:cs="Tahoma"/>
        </w:rPr>
        <w:t>IEEE 802.11n for high-bandwidth wireless networking, or</w:t>
      </w:r>
    </w:p>
    <w:p w14:paraId="65D60042" w14:textId="77777777" w:rsidR="002E686D" w:rsidRPr="002E686D" w:rsidRDefault="002E686D" w:rsidP="00494D17">
      <w:pPr>
        <w:pStyle w:val="ListParagraph"/>
        <w:widowControl w:val="0"/>
        <w:numPr>
          <w:ilvl w:val="4"/>
          <w:numId w:val="49"/>
        </w:numPr>
        <w:spacing w:after="120"/>
        <w:ind w:left="4050"/>
        <w:contextualSpacing w:val="0"/>
        <w:rPr>
          <w:rFonts w:ascii="Tahoma" w:eastAsia="Arial" w:hAnsi="Tahoma" w:cs="Tahoma"/>
        </w:rPr>
      </w:pPr>
      <w:r w:rsidRPr="002E686D">
        <w:rPr>
          <w:rFonts w:ascii="Tahoma" w:eastAsia="Arial" w:hAnsi="Tahoma" w:cs="Tahoma"/>
        </w:rPr>
        <w:t>IEEE 802.3 for Ethernet for local- or wide-area network applications</w:t>
      </w:r>
    </w:p>
    <w:p w14:paraId="5DD4E11B" w14:textId="77777777" w:rsidR="002E686D" w:rsidRPr="002E686D" w:rsidRDefault="002E686D" w:rsidP="002760D4">
      <w:pPr>
        <w:pStyle w:val="ListParagraph"/>
        <w:widowControl w:val="0"/>
        <w:numPr>
          <w:ilvl w:val="3"/>
          <w:numId w:val="49"/>
        </w:numPr>
        <w:spacing w:after="120"/>
        <w:contextualSpacing w:val="0"/>
        <w:rPr>
          <w:rFonts w:ascii="Tahoma" w:eastAsia="Arial" w:hAnsi="Tahoma" w:cs="Tahoma"/>
        </w:rPr>
      </w:pPr>
      <w:r w:rsidRPr="002E686D">
        <w:rPr>
          <w:rFonts w:ascii="Tahoma" w:eastAsia="Arial" w:hAnsi="Tahoma" w:cs="Tahoma"/>
        </w:rPr>
        <w:t>Be able to receive remote software updates, real-time protocol translation, encryption, and decryption, including:</w:t>
      </w:r>
    </w:p>
    <w:p w14:paraId="4ACCAFAF" w14:textId="77777777" w:rsidR="002E686D" w:rsidRPr="002E686D" w:rsidRDefault="002E686D" w:rsidP="00494D17">
      <w:pPr>
        <w:pStyle w:val="ListParagraph"/>
        <w:numPr>
          <w:ilvl w:val="4"/>
          <w:numId w:val="49"/>
        </w:numPr>
        <w:spacing w:after="120"/>
        <w:ind w:left="4050"/>
        <w:contextualSpacing w:val="0"/>
        <w:rPr>
          <w:rFonts w:ascii="Tahoma" w:eastAsia="Arial" w:hAnsi="Tahoma" w:cs="Tahoma"/>
        </w:rPr>
      </w:pPr>
      <w:r w:rsidRPr="002E686D">
        <w:rPr>
          <w:rFonts w:ascii="Tahoma" w:eastAsia="Arial" w:hAnsi="Tahoma" w:cs="Tahoma"/>
        </w:rPr>
        <w:t>Internet Protocol (IP)-based processor which must support multiple protocols, and</w:t>
      </w:r>
    </w:p>
    <w:p w14:paraId="297CB57A" w14:textId="77777777" w:rsidR="002E686D" w:rsidRPr="002E686D" w:rsidRDefault="002E686D" w:rsidP="78E24D1A">
      <w:pPr>
        <w:pStyle w:val="ListParagraph"/>
        <w:widowControl w:val="0"/>
        <w:numPr>
          <w:ilvl w:val="4"/>
          <w:numId w:val="49"/>
        </w:numPr>
        <w:spacing w:after="120"/>
        <w:ind w:left="4050"/>
        <w:rPr>
          <w:rFonts w:ascii="Tahoma" w:eastAsia="Arial" w:hAnsi="Tahoma" w:cs="Tahoma"/>
        </w:rPr>
      </w:pPr>
      <w:r w:rsidRPr="78E24D1A">
        <w:rPr>
          <w:rFonts w:ascii="Tahoma" w:eastAsia="Arial" w:hAnsi="Tahoma" w:cs="Tahoma"/>
        </w:rPr>
        <w:t>Compliance with Transmission Control Protocol (TCP)/IP and IPv6.</w:t>
      </w:r>
    </w:p>
    <w:p w14:paraId="304AC830" w14:textId="77777777" w:rsidR="002E686D" w:rsidRPr="002E686D" w:rsidRDefault="002E686D" w:rsidP="002760D4">
      <w:pPr>
        <w:pStyle w:val="ListParagraph"/>
        <w:widowControl w:val="0"/>
        <w:numPr>
          <w:ilvl w:val="3"/>
          <w:numId w:val="49"/>
        </w:numPr>
        <w:spacing w:after="120"/>
        <w:contextualSpacing w:val="0"/>
        <w:rPr>
          <w:rFonts w:ascii="Tahoma" w:eastAsia="Arial" w:hAnsi="Tahoma" w:cs="Tahoma"/>
        </w:rPr>
      </w:pPr>
      <w:r w:rsidRPr="002E686D">
        <w:rPr>
          <w:rFonts w:ascii="Tahoma" w:eastAsia="Arial" w:hAnsi="Tahoma" w:cs="Tahoma"/>
        </w:rPr>
        <w:t>Be able to connect to a network’s back-end software</w:t>
      </w:r>
    </w:p>
    <w:p w14:paraId="3FEE9C20" w14:textId="77777777" w:rsidR="002E686D" w:rsidRPr="002E686D" w:rsidRDefault="002E686D" w:rsidP="78E24D1A">
      <w:pPr>
        <w:pStyle w:val="ListParagraph"/>
        <w:widowControl w:val="0"/>
        <w:numPr>
          <w:ilvl w:val="1"/>
          <w:numId w:val="49"/>
        </w:numPr>
        <w:spacing w:after="120"/>
        <w:ind w:left="2520"/>
        <w:rPr>
          <w:rFonts w:ascii="Tahoma" w:eastAsia="Arial" w:hAnsi="Tahoma" w:cs="Tahoma"/>
        </w:rPr>
      </w:pPr>
      <w:r w:rsidRPr="78E24D1A">
        <w:rPr>
          <w:rFonts w:ascii="Tahoma" w:eastAsia="Arial" w:hAnsi="Tahoma" w:cs="Tahoma"/>
        </w:rPr>
        <w:t>Each charging port must be covered by and included in a networking agreement for at least five (5) years.</w:t>
      </w:r>
    </w:p>
    <w:p w14:paraId="3FE8446D" w14:textId="77777777" w:rsidR="002E686D" w:rsidRPr="002E686D" w:rsidRDefault="002E686D" w:rsidP="002760D4">
      <w:pPr>
        <w:pStyle w:val="ListParagraph"/>
        <w:widowControl w:val="0"/>
        <w:numPr>
          <w:ilvl w:val="0"/>
          <w:numId w:val="49"/>
        </w:numPr>
        <w:ind w:left="2160"/>
        <w:contextualSpacing w:val="0"/>
        <w:rPr>
          <w:rFonts w:ascii="Tahoma" w:eastAsia="Arial" w:hAnsi="Tahoma" w:cs="Tahoma"/>
        </w:rPr>
      </w:pPr>
      <w:r w:rsidRPr="002E686D">
        <w:rPr>
          <w:rFonts w:ascii="Tahoma" w:eastAsia="Arial" w:hAnsi="Tahoma" w:cs="Tahoma"/>
        </w:rPr>
        <w:t xml:space="preserve"> Safety and Weather Resistance</w:t>
      </w:r>
    </w:p>
    <w:p w14:paraId="4C95EA68" w14:textId="77777777" w:rsidR="002E686D" w:rsidRPr="002E686D" w:rsidRDefault="002E686D" w:rsidP="002E686D">
      <w:pPr>
        <w:pStyle w:val="ListParagraph"/>
        <w:widowControl w:val="0"/>
        <w:numPr>
          <w:ilvl w:val="0"/>
          <w:numId w:val="46"/>
        </w:numPr>
        <w:contextualSpacing w:val="0"/>
        <w:rPr>
          <w:rFonts w:ascii="Tahoma" w:eastAsia="Arial" w:hAnsi="Tahoma" w:cs="Tahoma"/>
        </w:rPr>
      </w:pPr>
      <w:r w:rsidRPr="002E686D">
        <w:rPr>
          <w:rFonts w:ascii="Tahoma" w:eastAsia="Arial" w:hAnsi="Tahoma" w:cs="Tahoma"/>
        </w:rPr>
        <w:t>The charging equipment must be certified by an Occupational Safety and Health Administration Nationally Recognized Testing Laboratory.</w:t>
      </w:r>
    </w:p>
    <w:p w14:paraId="2E4E6555" w14:textId="77777777" w:rsidR="002E686D" w:rsidRPr="002E686D" w:rsidRDefault="002E686D" w:rsidP="002E686D">
      <w:pPr>
        <w:pStyle w:val="ListParagraph"/>
        <w:widowControl w:val="0"/>
        <w:numPr>
          <w:ilvl w:val="0"/>
          <w:numId w:val="46"/>
        </w:numPr>
        <w:contextualSpacing w:val="0"/>
        <w:rPr>
          <w:rFonts w:ascii="Tahoma" w:eastAsia="Arial" w:hAnsi="Tahoma" w:cs="Tahoma"/>
        </w:rPr>
      </w:pPr>
      <w:r w:rsidRPr="002E686D">
        <w:rPr>
          <w:rFonts w:ascii="Tahoma" w:eastAsia="Arial" w:hAnsi="Tahoma" w:cs="Tahoma"/>
        </w:rPr>
        <w:t>The equipment must be able to withstand extreme weather conditions, including temperature extremes, flooding, heavy rains, and high winds.</w:t>
      </w:r>
    </w:p>
    <w:p w14:paraId="109247A5" w14:textId="77777777" w:rsidR="002E686D" w:rsidRPr="002E686D" w:rsidRDefault="002E686D" w:rsidP="002E686D">
      <w:pPr>
        <w:pStyle w:val="ListParagraph"/>
        <w:widowControl w:val="0"/>
        <w:numPr>
          <w:ilvl w:val="0"/>
          <w:numId w:val="46"/>
        </w:numPr>
        <w:contextualSpacing w:val="0"/>
        <w:rPr>
          <w:rFonts w:ascii="Tahoma" w:eastAsia="Arial" w:hAnsi="Tahoma" w:cs="Tahoma"/>
        </w:rPr>
      </w:pPr>
      <w:r w:rsidRPr="002E686D">
        <w:rPr>
          <w:rFonts w:ascii="Tahoma" w:eastAsia="Arial" w:hAnsi="Tahoma" w:cs="Tahoma"/>
        </w:rPr>
        <w:t>Display screens must be protected from malfunctions due to condensation and any local area weather conditions.</w:t>
      </w:r>
    </w:p>
    <w:p w14:paraId="56D34FA5" w14:textId="77777777" w:rsidR="002E686D" w:rsidRPr="002E686D" w:rsidRDefault="002E686D" w:rsidP="002760D4">
      <w:pPr>
        <w:pStyle w:val="ListParagraph"/>
        <w:widowControl w:val="0"/>
        <w:numPr>
          <w:ilvl w:val="0"/>
          <w:numId w:val="49"/>
        </w:numPr>
        <w:ind w:left="2160"/>
        <w:contextualSpacing w:val="0"/>
        <w:rPr>
          <w:rFonts w:ascii="Tahoma" w:eastAsia="Arial" w:hAnsi="Tahoma" w:cs="Tahoma"/>
        </w:rPr>
      </w:pPr>
      <w:r w:rsidRPr="002E686D">
        <w:rPr>
          <w:rFonts w:ascii="Tahoma" w:eastAsia="Arial" w:hAnsi="Tahoma" w:cs="Tahoma"/>
        </w:rPr>
        <w:t xml:space="preserve"> Compliance with State Requirements</w:t>
      </w:r>
    </w:p>
    <w:p w14:paraId="03A34A75" w14:textId="77777777" w:rsidR="002E686D" w:rsidRPr="002E686D" w:rsidRDefault="002E686D" w:rsidP="002E686D">
      <w:pPr>
        <w:pStyle w:val="ListParagraph"/>
        <w:widowControl w:val="0"/>
        <w:numPr>
          <w:ilvl w:val="0"/>
          <w:numId w:val="47"/>
        </w:numPr>
        <w:ind w:left="2520"/>
        <w:contextualSpacing w:val="0"/>
        <w:rPr>
          <w:rFonts w:ascii="Tahoma" w:eastAsia="Arial" w:hAnsi="Tahoma" w:cs="Tahoma"/>
        </w:rPr>
      </w:pPr>
      <w:r w:rsidRPr="002E686D">
        <w:rPr>
          <w:rFonts w:ascii="Tahoma" w:eastAsia="Arial" w:hAnsi="Tahoma" w:cs="Tahoma"/>
        </w:rPr>
        <w:t xml:space="preserve">All chargers must meet applicable requirements, including those of Senate Bill 454 (Corbett, Chapter 418, Statutes of 2013), the California Air Resources Board Electric Vehicle Supply Equipment (EVSE) Standards, and the California </w:t>
      </w:r>
      <w:r w:rsidRPr="002E686D">
        <w:rPr>
          <w:rFonts w:ascii="Tahoma" w:eastAsia="Arial" w:hAnsi="Tahoma" w:cs="Tahoma"/>
        </w:rPr>
        <w:lastRenderedPageBreak/>
        <w:t>Department of Food and Agriculture Division of Measurement Standards, for public chargers.</w:t>
      </w:r>
    </w:p>
    <w:p w14:paraId="75C5E86A" w14:textId="77777777" w:rsidR="000169F8" w:rsidRDefault="000169F8" w:rsidP="000169F8">
      <w:pPr>
        <w:rPr>
          <w:rFonts w:ascii="Tahoma" w:eastAsia="Calibri" w:hAnsi="Tahoma" w:cs="Tahoma"/>
          <w:color w:val="000000" w:themeColor="text1"/>
        </w:rPr>
      </w:pPr>
    </w:p>
    <w:p w14:paraId="3C89FEB3" w14:textId="1F582E34" w:rsidR="007342EE" w:rsidRDefault="007342EE" w:rsidP="007342EE">
      <w:pPr>
        <w:rPr>
          <w:rFonts w:ascii="Tahoma" w:eastAsia="Calibri" w:hAnsi="Tahoma" w:cs="Tahoma"/>
          <w:b/>
          <w:bCs/>
          <w:color w:val="000000" w:themeColor="text1"/>
        </w:rPr>
      </w:pPr>
      <w:r>
        <w:rPr>
          <w:rFonts w:ascii="Tahoma" w:eastAsia="Calibri" w:hAnsi="Tahoma" w:cs="Tahoma"/>
          <w:b/>
          <w:bCs/>
          <w:color w:val="000000" w:themeColor="text1"/>
        </w:rPr>
        <w:t>Charging Station Application Template</w:t>
      </w:r>
    </w:p>
    <w:p w14:paraId="14FCDFB0" w14:textId="1B2415E3" w:rsidR="007342EE" w:rsidRDefault="007342EE" w:rsidP="007342EE">
      <w:pPr>
        <w:rPr>
          <w:rFonts w:ascii="Tahoma" w:eastAsia="Calibri" w:hAnsi="Tahoma" w:cs="Tahoma"/>
          <w:color w:val="000000" w:themeColor="text1"/>
        </w:rPr>
      </w:pPr>
      <w:r w:rsidRPr="4A4585F5">
        <w:rPr>
          <w:rFonts w:ascii="Tahoma" w:eastAsia="Calibri" w:hAnsi="Tahoma" w:cs="Tahoma"/>
          <w:color w:val="000000" w:themeColor="text1"/>
        </w:rPr>
        <w:t xml:space="preserve">The following edits are made to the </w:t>
      </w:r>
      <w:r>
        <w:rPr>
          <w:rFonts w:ascii="Tahoma" w:eastAsia="Calibri" w:hAnsi="Tahoma" w:cs="Tahoma"/>
          <w:color w:val="000000" w:themeColor="text1"/>
        </w:rPr>
        <w:t>Charging Station Application Template</w:t>
      </w:r>
      <w:r w:rsidRPr="4A4585F5">
        <w:rPr>
          <w:rFonts w:ascii="Tahoma" w:eastAsia="Calibri" w:hAnsi="Tahoma" w:cs="Tahoma"/>
          <w:color w:val="000000" w:themeColor="text1"/>
        </w:rPr>
        <w:t xml:space="preserve"> (Attachment 0</w:t>
      </w:r>
      <w:r>
        <w:rPr>
          <w:rFonts w:ascii="Tahoma" w:eastAsia="Calibri" w:hAnsi="Tahoma" w:cs="Tahoma"/>
          <w:color w:val="000000" w:themeColor="text1"/>
        </w:rPr>
        <w:t>5</w:t>
      </w:r>
      <w:r w:rsidRPr="4A4585F5">
        <w:rPr>
          <w:rFonts w:ascii="Tahoma" w:eastAsia="Calibri" w:hAnsi="Tahoma" w:cs="Tahoma"/>
          <w:color w:val="000000" w:themeColor="text1"/>
        </w:rPr>
        <w:t>)</w:t>
      </w:r>
      <w:r>
        <w:rPr>
          <w:rFonts w:ascii="Tahoma" w:eastAsia="Calibri" w:hAnsi="Tahoma" w:cs="Tahoma"/>
          <w:color w:val="000000" w:themeColor="text1"/>
        </w:rPr>
        <w:t>.</w:t>
      </w:r>
    </w:p>
    <w:p w14:paraId="2B512035" w14:textId="77777777" w:rsidR="00B20F3A" w:rsidRDefault="00B20F3A" w:rsidP="00B20F3A">
      <w:pPr>
        <w:rPr>
          <w:rFonts w:ascii="Tahoma" w:eastAsia="Calibri" w:hAnsi="Tahoma" w:cs="Tahoma"/>
          <w:color w:val="000000" w:themeColor="text1"/>
        </w:rPr>
      </w:pPr>
    </w:p>
    <w:p w14:paraId="2371E02F" w14:textId="68BF07A6" w:rsidR="005771AF" w:rsidRPr="00F72814" w:rsidRDefault="00B20F3A" w:rsidP="00F72814">
      <w:pPr>
        <w:pStyle w:val="ListParagraph"/>
        <w:numPr>
          <w:ilvl w:val="0"/>
          <w:numId w:val="50"/>
        </w:numPr>
        <w:rPr>
          <w:rFonts w:ascii="Tahoma" w:eastAsia="Calibri" w:hAnsi="Tahoma" w:cs="Tahoma"/>
          <w:b/>
          <w:bCs/>
          <w:color w:val="000000" w:themeColor="text1"/>
        </w:rPr>
      </w:pPr>
      <w:r>
        <w:rPr>
          <w:rFonts w:ascii="Tahoma" w:eastAsia="Calibri" w:hAnsi="Tahoma" w:cs="Tahoma"/>
          <w:b/>
          <w:bCs/>
          <w:color w:val="000000" w:themeColor="text1"/>
        </w:rPr>
        <w:t>“Instructions” Tab</w:t>
      </w:r>
      <w:r w:rsidR="005464D2">
        <w:rPr>
          <w:rFonts w:ascii="Tahoma" w:eastAsia="Calibri" w:hAnsi="Tahoma" w:cs="Tahoma"/>
          <w:b/>
          <w:bCs/>
          <w:color w:val="000000" w:themeColor="text1"/>
        </w:rPr>
        <w:t xml:space="preserve"> -</w:t>
      </w:r>
      <w:r w:rsidR="00F72814">
        <w:rPr>
          <w:rFonts w:ascii="Tahoma" w:eastAsia="Calibri" w:hAnsi="Tahoma" w:cs="Tahoma"/>
          <w:b/>
          <w:bCs/>
          <w:color w:val="000000" w:themeColor="text1"/>
        </w:rPr>
        <w:t xml:space="preserve"> </w:t>
      </w:r>
      <w:r w:rsidR="00F72814" w:rsidRPr="005464D2">
        <w:rPr>
          <w:rFonts w:ascii="Tahoma" w:eastAsia="Tahoma" w:hAnsi="Tahoma" w:cs="Tahoma"/>
          <w:b/>
          <w:bCs/>
          <w:color w:val="000000" w:themeColor="text1"/>
          <w:lang w:val=""/>
        </w:rPr>
        <w:t>“Additional Ports” Instructions</w:t>
      </w:r>
      <w:r w:rsidR="00F72814" w:rsidRPr="00F72814">
        <w:rPr>
          <w:rFonts w:ascii="Tahoma" w:eastAsia="Tahoma" w:hAnsi="Tahoma" w:cs="Tahoma"/>
          <w:color w:val="000000" w:themeColor="text1"/>
          <w:lang w:val=""/>
        </w:rPr>
        <w:t xml:space="preserve"> (</w:t>
      </w:r>
      <w:r w:rsidR="008D5583" w:rsidRPr="00F72814">
        <w:rPr>
          <w:rFonts w:ascii="Tahoma" w:eastAsia="Tahoma" w:hAnsi="Tahoma" w:cs="Tahoma"/>
          <w:color w:val="000000" w:themeColor="text1"/>
          <w:lang w:val=""/>
        </w:rPr>
        <w:t>Cell D72</w:t>
      </w:r>
      <w:r w:rsidR="00F72814" w:rsidRPr="00F72814">
        <w:rPr>
          <w:rFonts w:ascii="Tahoma" w:eastAsia="Tahoma" w:hAnsi="Tahoma" w:cs="Tahoma"/>
          <w:color w:val="000000" w:themeColor="text1"/>
          <w:lang w:val=""/>
        </w:rPr>
        <w:t>)</w:t>
      </w:r>
    </w:p>
    <w:p w14:paraId="04E3B00E" w14:textId="77777777" w:rsidR="00F72814" w:rsidRDefault="00F72814" w:rsidP="005771AF">
      <w:pPr>
        <w:spacing w:line="259" w:lineRule="auto"/>
        <w:ind w:firstLine="720"/>
        <w:rPr>
          <w:rFonts w:ascii="Tahoma" w:eastAsia="Tahoma" w:hAnsi="Tahoma" w:cs="Tahoma"/>
          <w:color w:val="000000" w:themeColor="text1"/>
          <w:lang w:val=""/>
        </w:rPr>
      </w:pPr>
    </w:p>
    <w:p w14:paraId="20288797" w14:textId="77777777" w:rsidR="005771AF" w:rsidRPr="005771AF" w:rsidRDefault="005771AF" w:rsidP="2BC9A09D">
      <w:pPr>
        <w:spacing w:line="259" w:lineRule="auto"/>
        <w:ind w:left="720"/>
        <w:rPr>
          <w:rFonts w:ascii="Tahoma" w:eastAsia="Tahoma" w:hAnsi="Tahoma" w:cs="Tahoma"/>
          <w:b/>
          <w:bCs/>
          <w:color w:val="000000" w:themeColor="text1"/>
          <w:u w:val="single"/>
        </w:rPr>
      </w:pPr>
      <w:r w:rsidRPr="2BC9A09D">
        <w:rPr>
          <w:rFonts w:ascii="Tahoma" w:eastAsia="Tahoma" w:hAnsi="Tahoma" w:cs="Tahoma"/>
          <w:color w:val="000000" w:themeColor="text1"/>
        </w:rPr>
        <w:t xml:space="preserve">Please fill out the “Additional Ports” tab for each port that you are applying to add. </w:t>
      </w:r>
      <w:r w:rsidRPr="2BC9A09D">
        <w:rPr>
          <w:rFonts w:ascii="Tahoma" w:eastAsia="Tahoma" w:hAnsi="Tahoma" w:cs="Tahoma"/>
          <w:b/>
          <w:bCs/>
          <w:color w:val="000000" w:themeColor="text1"/>
          <w:u w:val="single"/>
        </w:rPr>
        <w:t xml:space="preserve">Existing operational ports that are upgraded or replaced to comply with 23 CFR 680 at a charging station where non-operational ports from the FHWA's Final List or Final List Addendum of Non-Operational Ports are repaired or replaced are considered additional ports. As additional ports, they must be included on the “Additional Ports” tab. </w:t>
      </w:r>
    </w:p>
    <w:p w14:paraId="4DE67536" w14:textId="77777777" w:rsidR="005771AF" w:rsidRPr="005771AF" w:rsidRDefault="005771AF" w:rsidP="005771AF">
      <w:pPr>
        <w:spacing w:line="259" w:lineRule="auto"/>
        <w:ind w:firstLine="720"/>
        <w:rPr>
          <w:rFonts w:ascii="Tahoma" w:eastAsia="Tahoma" w:hAnsi="Tahoma" w:cs="Tahoma"/>
          <w:color w:val="000000" w:themeColor="text1"/>
          <w:lang w:val=""/>
        </w:rPr>
      </w:pPr>
    </w:p>
    <w:p w14:paraId="6CB240A5" w14:textId="1D2B6BCA" w:rsidR="005771AF" w:rsidRDefault="005771AF" w:rsidP="005771AF">
      <w:pPr>
        <w:spacing w:line="259" w:lineRule="auto"/>
        <w:ind w:firstLine="720"/>
        <w:rPr>
          <w:rFonts w:ascii="Tahoma" w:eastAsia="Tahoma" w:hAnsi="Tahoma" w:cs="Tahoma"/>
          <w:color w:val="000000" w:themeColor="text1"/>
          <w:lang w:val=""/>
        </w:rPr>
      </w:pPr>
      <w:r w:rsidRPr="005771AF">
        <w:rPr>
          <w:rFonts w:ascii="Tahoma" w:eastAsia="Tahoma" w:hAnsi="Tahoma" w:cs="Tahoma"/>
          <w:color w:val="000000" w:themeColor="text1"/>
          <w:lang w:val=""/>
        </w:rPr>
        <w:t>**Important: Enter one row for each port you are applying to add.</w:t>
      </w:r>
    </w:p>
    <w:p w14:paraId="45F54A99" w14:textId="77777777" w:rsidR="00B20F3A" w:rsidRDefault="00B20F3A" w:rsidP="00B1122A">
      <w:pPr>
        <w:rPr>
          <w:rFonts w:ascii="Tahoma" w:eastAsia="Calibri" w:hAnsi="Tahoma" w:cs="Tahoma"/>
          <w:color w:val="000000" w:themeColor="text1"/>
        </w:rPr>
      </w:pPr>
    </w:p>
    <w:p w14:paraId="03101834" w14:textId="77777777" w:rsidR="00B20F3A" w:rsidRDefault="00B20F3A" w:rsidP="00B1122A">
      <w:pPr>
        <w:rPr>
          <w:rFonts w:ascii="Tahoma" w:hAnsi="Tahoma" w:cs="Tahoma"/>
          <w:b/>
          <w:bCs/>
        </w:rPr>
      </w:pPr>
    </w:p>
    <w:p w14:paraId="79A422C7" w14:textId="700D7AB2" w:rsidR="007A7DF0" w:rsidRPr="003D5F92" w:rsidRDefault="006E1137" w:rsidP="00B1122A">
      <w:pPr>
        <w:rPr>
          <w:rFonts w:ascii="Tahoma" w:hAnsi="Tahoma" w:cs="Tahoma"/>
          <w:b/>
          <w:bCs/>
        </w:rPr>
      </w:pPr>
      <w:r>
        <w:rPr>
          <w:rFonts w:ascii="Tahoma" w:hAnsi="Tahoma" w:cs="Tahoma"/>
          <w:b/>
          <w:bCs/>
        </w:rPr>
        <w:t>Eunice Lemos-Adair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BA3B31">
      <w:headerReference w:type="default" r:id="rId15"/>
      <w:footerReference w:type="default" r:id="rId16"/>
      <w:headerReference w:type="first" r:id="rId17"/>
      <w:footerReference w:type="first" r:id="rId18"/>
      <w:type w:val="continuous"/>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A2966" w14:textId="77777777" w:rsidR="00F46674" w:rsidRDefault="00F46674" w:rsidP="00F86D2B">
      <w:r>
        <w:separator/>
      </w:r>
    </w:p>
  </w:endnote>
  <w:endnote w:type="continuationSeparator" w:id="0">
    <w:p w14:paraId="26F494FA" w14:textId="77777777" w:rsidR="00F46674" w:rsidRDefault="00F46674" w:rsidP="00F86D2B">
      <w:r>
        <w:continuationSeparator/>
      </w:r>
    </w:p>
  </w:endnote>
  <w:endnote w:type="continuationNotice" w:id="1">
    <w:p w14:paraId="0703EFCC" w14:textId="77777777" w:rsidR="00F46674" w:rsidRDefault="00F46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58521097" name="Picture 1058521097"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CC7A0" w14:textId="77777777" w:rsidR="00F46674" w:rsidRDefault="00F46674" w:rsidP="00F86D2B">
      <w:r>
        <w:separator/>
      </w:r>
    </w:p>
  </w:footnote>
  <w:footnote w:type="continuationSeparator" w:id="0">
    <w:p w14:paraId="323C56E1" w14:textId="77777777" w:rsidR="00F46674" w:rsidRDefault="00F46674" w:rsidP="00F86D2B">
      <w:r>
        <w:continuationSeparator/>
      </w:r>
    </w:p>
  </w:footnote>
  <w:footnote w:type="continuationNotice" w:id="1">
    <w:p w14:paraId="0701C586" w14:textId="77777777" w:rsidR="00F46674" w:rsidRDefault="00F46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1349344891" name="Picture 1349344891"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4A2"/>
    <w:multiLevelType w:val="hybridMultilevel"/>
    <w:tmpl w:val="0262CE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2803EE"/>
    <w:multiLevelType w:val="hybridMultilevel"/>
    <w:tmpl w:val="E41A3E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5">
      <w:start w:val="1"/>
      <w:numFmt w:val="bullet"/>
      <w:lvlText w:val=""/>
      <w:lvlJc w:val="left"/>
      <w:pPr>
        <w:ind w:left="216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CC541F"/>
    <w:multiLevelType w:val="hybridMultilevel"/>
    <w:tmpl w:val="E63C33C8"/>
    <w:lvl w:ilvl="0" w:tplc="06BE09D8">
      <w:start w:val="1"/>
      <w:numFmt w:val="decimal"/>
      <w:lvlText w:val="%1."/>
      <w:lvlJc w:val="left"/>
      <w:pPr>
        <w:ind w:left="720" w:hanging="360"/>
      </w:pPr>
    </w:lvl>
    <w:lvl w:ilvl="1" w:tplc="FB464C96">
      <w:start w:val="1"/>
      <w:numFmt w:val="lowerLetter"/>
      <w:lvlText w:val="%2."/>
      <w:lvlJc w:val="left"/>
      <w:pPr>
        <w:ind w:left="1440" w:hanging="360"/>
      </w:pPr>
    </w:lvl>
    <w:lvl w:ilvl="2" w:tplc="75804038">
      <w:start w:val="1"/>
      <w:numFmt w:val="lowerRoman"/>
      <w:lvlText w:val="%3."/>
      <w:lvlJc w:val="right"/>
      <w:pPr>
        <w:ind w:left="2160" w:hanging="180"/>
      </w:pPr>
    </w:lvl>
    <w:lvl w:ilvl="3" w:tplc="EE9C56C4">
      <w:start w:val="1"/>
      <w:numFmt w:val="decimal"/>
      <w:lvlText w:val="%4."/>
      <w:lvlJc w:val="left"/>
      <w:pPr>
        <w:ind w:left="2880" w:hanging="360"/>
      </w:pPr>
    </w:lvl>
    <w:lvl w:ilvl="4" w:tplc="18B07658">
      <w:start w:val="1"/>
      <w:numFmt w:val="lowerLetter"/>
      <w:lvlText w:val="%5."/>
      <w:lvlJc w:val="left"/>
      <w:pPr>
        <w:ind w:left="3600" w:hanging="360"/>
      </w:pPr>
    </w:lvl>
    <w:lvl w:ilvl="5" w:tplc="754C7858">
      <w:start w:val="1"/>
      <w:numFmt w:val="lowerRoman"/>
      <w:lvlText w:val="%6."/>
      <w:lvlJc w:val="right"/>
      <w:pPr>
        <w:ind w:left="4320" w:hanging="180"/>
      </w:pPr>
    </w:lvl>
    <w:lvl w:ilvl="6" w:tplc="5EBA9C4C">
      <w:start w:val="1"/>
      <w:numFmt w:val="decimal"/>
      <w:lvlText w:val="%7."/>
      <w:lvlJc w:val="left"/>
      <w:pPr>
        <w:ind w:left="5040" w:hanging="360"/>
      </w:pPr>
    </w:lvl>
    <w:lvl w:ilvl="7" w:tplc="B308F000">
      <w:start w:val="1"/>
      <w:numFmt w:val="lowerLetter"/>
      <w:lvlText w:val="%8."/>
      <w:lvlJc w:val="left"/>
      <w:pPr>
        <w:ind w:left="5760" w:hanging="360"/>
      </w:pPr>
    </w:lvl>
    <w:lvl w:ilvl="8" w:tplc="E33AB998">
      <w:start w:val="1"/>
      <w:numFmt w:val="lowerRoman"/>
      <w:lvlText w:val="%9."/>
      <w:lvlJc w:val="right"/>
      <w:pPr>
        <w:ind w:left="6480" w:hanging="180"/>
      </w:pPr>
    </w:lvl>
  </w:abstractNum>
  <w:abstractNum w:abstractNumId="7" w15:restartNumberingAfterBreak="0">
    <w:nsid w:val="0AF87422"/>
    <w:multiLevelType w:val="hybridMultilevel"/>
    <w:tmpl w:val="AB6CC6A6"/>
    <w:lvl w:ilvl="0" w:tplc="6B806D72">
      <w:start w:val="1"/>
      <w:numFmt w:val="decimal"/>
      <w:lvlText w:val="%1)"/>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720" w:hanging="360"/>
      </w:p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3CE16AC"/>
    <w:multiLevelType w:val="hybridMultilevel"/>
    <w:tmpl w:val="77580912"/>
    <w:lvl w:ilvl="0" w:tplc="53E608A2">
      <w:start w:val="1"/>
      <w:numFmt w:val="bullet"/>
      <w:lvlText w:val="o"/>
      <w:lvlJc w:val="left"/>
      <w:pPr>
        <w:ind w:left="720" w:hanging="360"/>
      </w:pPr>
      <w:rPr>
        <w:rFonts w:ascii="&quot;Courier New&quot;" w:hAnsi="&quot;Courier New&quot;" w:hint="default"/>
      </w:rPr>
    </w:lvl>
    <w:lvl w:ilvl="1" w:tplc="9E106DCA">
      <w:start w:val="1"/>
      <w:numFmt w:val="bullet"/>
      <w:lvlText w:val="o"/>
      <w:lvlJc w:val="left"/>
      <w:pPr>
        <w:ind w:left="1440" w:hanging="360"/>
      </w:pPr>
      <w:rPr>
        <w:rFonts w:ascii="Courier New" w:hAnsi="Courier New" w:hint="default"/>
      </w:rPr>
    </w:lvl>
    <w:lvl w:ilvl="2" w:tplc="80AEF07A">
      <w:start w:val="1"/>
      <w:numFmt w:val="bullet"/>
      <w:lvlText w:val=""/>
      <w:lvlJc w:val="left"/>
      <w:pPr>
        <w:ind w:left="2160" w:hanging="360"/>
      </w:pPr>
      <w:rPr>
        <w:rFonts w:ascii="Wingdings" w:hAnsi="Wingdings" w:hint="default"/>
      </w:rPr>
    </w:lvl>
    <w:lvl w:ilvl="3" w:tplc="1B90B5A6">
      <w:start w:val="1"/>
      <w:numFmt w:val="bullet"/>
      <w:lvlText w:val=""/>
      <w:lvlJc w:val="left"/>
      <w:pPr>
        <w:ind w:left="2880" w:hanging="360"/>
      </w:pPr>
      <w:rPr>
        <w:rFonts w:ascii="Symbol" w:hAnsi="Symbol" w:hint="default"/>
      </w:rPr>
    </w:lvl>
    <w:lvl w:ilvl="4" w:tplc="501C96FE">
      <w:start w:val="1"/>
      <w:numFmt w:val="bullet"/>
      <w:lvlText w:val="o"/>
      <w:lvlJc w:val="left"/>
      <w:pPr>
        <w:ind w:left="3600" w:hanging="360"/>
      </w:pPr>
      <w:rPr>
        <w:rFonts w:ascii="Courier New" w:hAnsi="Courier New" w:hint="default"/>
      </w:rPr>
    </w:lvl>
    <w:lvl w:ilvl="5" w:tplc="1E10CD38">
      <w:start w:val="1"/>
      <w:numFmt w:val="bullet"/>
      <w:lvlText w:val=""/>
      <w:lvlJc w:val="left"/>
      <w:pPr>
        <w:ind w:left="4320" w:hanging="360"/>
      </w:pPr>
      <w:rPr>
        <w:rFonts w:ascii="Wingdings" w:hAnsi="Wingdings" w:hint="default"/>
      </w:rPr>
    </w:lvl>
    <w:lvl w:ilvl="6" w:tplc="692E6B2E">
      <w:start w:val="1"/>
      <w:numFmt w:val="bullet"/>
      <w:lvlText w:val=""/>
      <w:lvlJc w:val="left"/>
      <w:pPr>
        <w:ind w:left="5040" w:hanging="360"/>
      </w:pPr>
      <w:rPr>
        <w:rFonts w:ascii="Symbol" w:hAnsi="Symbol" w:hint="default"/>
      </w:rPr>
    </w:lvl>
    <w:lvl w:ilvl="7" w:tplc="41E67056">
      <w:start w:val="1"/>
      <w:numFmt w:val="bullet"/>
      <w:lvlText w:val="o"/>
      <w:lvlJc w:val="left"/>
      <w:pPr>
        <w:ind w:left="5760" w:hanging="360"/>
      </w:pPr>
      <w:rPr>
        <w:rFonts w:ascii="Courier New" w:hAnsi="Courier New" w:hint="default"/>
      </w:rPr>
    </w:lvl>
    <w:lvl w:ilvl="8" w:tplc="20245C8A">
      <w:start w:val="1"/>
      <w:numFmt w:val="bullet"/>
      <w:lvlText w:val=""/>
      <w:lvlJc w:val="left"/>
      <w:pPr>
        <w:ind w:left="6480" w:hanging="360"/>
      </w:pPr>
      <w:rPr>
        <w:rFonts w:ascii="Wingdings" w:hAnsi="Wingdings" w:hint="default"/>
      </w:rPr>
    </w:lvl>
  </w:abstractNum>
  <w:abstractNum w:abstractNumId="10" w15:restartNumberingAfterBreak="0">
    <w:nsid w:val="1441164B"/>
    <w:multiLevelType w:val="hybridMultilevel"/>
    <w:tmpl w:val="B8DA3660"/>
    <w:lvl w:ilvl="0" w:tplc="FFFFFFFF">
      <w:start w:val="1"/>
      <w:numFmt w:val="decimal"/>
      <w:lvlText w:val="%1."/>
      <w:lvlJc w:val="left"/>
      <w:pPr>
        <w:ind w:left="720" w:hanging="360"/>
      </w:pPr>
    </w:lvl>
    <w:lvl w:ilvl="1" w:tplc="C42AF2E2">
      <w:start w:val="1"/>
      <w:numFmt w:val="lowerLetter"/>
      <w:lvlText w:val="%2."/>
      <w:lvlJc w:val="left"/>
      <w:pPr>
        <w:ind w:left="1440" w:hanging="360"/>
      </w:pPr>
    </w:lvl>
    <w:lvl w:ilvl="2" w:tplc="91BC6BE8">
      <w:start w:val="1"/>
      <w:numFmt w:val="lowerRoman"/>
      <w:lvlText w:val="%3."/>
      <w:lvlJc w:val="right"/>
      <w:pPr>
        <w:ind w:left="2160" w:hanging="180"/>
      </w:pPr>
    </w:lvl>
    <w:lvl w:ilvl="3" w:tplc="2CBCA95C">
      <w:start w:val="1"/>
      <w:numFmt w:val="decimal"/>
      <w:lvlText w:val="%4."/>
      <w:lvlJc w:val="left"/>
      <w:pPr>
        <w:ind w:left="2880" w:hanging="360"/>
      </w:pPr>
    </w:lvl>
    <w:lvl w:ilvl="4" w:tplc="E3ACD96C">
      <w:start w:val="1"/>
      <w:numFmt w:val="lowerLetter"/>
      <w:lvlText w:val="%5."/>
      <w:lvlJc w:val="left"/>
      <w:pPr>
        <w:ind w:left="3600" w:hanging="360"/>
      </w:pPr>
    </w:lvl>
    <w:lvl w:ilvl="5" w:tplc="7D52362A">
      <w:start w:val="1"/>
      <w:numFmt w:val="lowerRoman"/>
      <w:lvlText w:val="%6."/>
      <w:lvlJc w:val="right"/>
      <w:pPr>
        <w:ind w:left="4320" w:hanging="180"/>
      </w:pPr>
    </w:lvl>
    <w:lvl w:ilvl="6" w:tplc="678CBC1E">
      <w:start w:val="1"/>
      <w:numFmt w:val="decimal"/>
      <w:lvlText w:val="%7."/>
      <w:lvlJc w:val="left"/>
      <w:pPr>
        <w:ind w:left="5040" w:hanging="360"/>
      </w:pPr>
    </w:lvl>
    <w:lvl w:ilvl="7" w:tplc="79449252">
      <w:start w:val="1"/>
      <w:numFmt w:val="lowerLetter"/>
      <w:lvlText w:val="%8."/>
      <w:lvlJc w:val="left"/>
      <w:pPr>
        <w:ind w:left="5760" w:hanging="360"/>
      </w:pPr>
    </w:lvl>
    <w:lvl w:ilvl="8" w:tplc="D9A2CAAC">
      <w:start w:val="1"/>
      <w:numFmt w:val="lowerRoman"/>
      <w:lvlText w:val="%9."/>
      <w:lvlJc w:val="right"/>
      <w:pPr>
        <w:ind w:left="6480" w:hanging="180"/>
      </w:pPr>
    </w:lvl>
  </w:abstractNum>
  <w:abstractNum w:abstractNumId="11" w15:restartNumberingAfterBreak="0">
    <w:nsid w:val="15C99CF3"/>
    <w:multiLevelType w:val="hybridMultilevel"/>
    <w:tmpl w:val="39A2496A"/>
    <w:lvl w:ilvl="0" w:tplc="CFB86156">
      <w:start w:val="1"/>
      <w:numFmt w:val="bullet"/>
      <w:lvlText w:val="o"/>
      <w:lvlJc w:val="left"/>
      <w:pPr>
        <w:ind w:left="720" w:hanging="360"/>
      </w:pPr>
      <w:rPr>
        <w:rFonts w:ascii="&quot;Courier New&quot;" w:hAnsi="&quot;Courier New&quot;" w:hint="default"/>
      </w:rPr>
    </w:lvl>
    <w:lvl w:ilvl="1" w:tplc="76CCD944">
      <w:start w:val="1"/>
      <w:numFmt w:val="bullet"/>
      <w:lvlText w:val="o"/>
      <w:lvlJc w:val="left"/>
      <w:pPr>
        <w:ind w:left="1440" w:hanging="360"/>
      </w:pPr>
      <w:rPr>
        <w:rFonts w:ascii="Courier New" w:hAnsi="Courier New" w:hint="default"/>
      </w:rPr>
    </w:lvl>
    <w:lvl w:ilvl="2" w:tplc="8CB8EB00">
      <w:start w:val="1"/>
      <w:numFmt w:val="bullet"/>
      <w:lvlText w:val=""/>
      <w:lvlJc w:val="left"/>
      <w:pPr>
        <w:ind w:left="2160" w:hanging="360"/>
      </w:pPr>
      <w:rPr>
        <w:rFonts w:ascii="Wingdings" w:hAnsi="Wingdings" w:hint="default"/>
      </w:rPr>
    </w:lvl>
    <w:lvl w:ilvl="3" w:tplc="E408C9F2">
      <w:start w:val="1"/>
      <w:numFmt w:val="bullet"/>
      <w:lvlText w:val=""/>
      <w:lvlJc w:val="left"/>
      <w:pPr>
        <w:ind w:left="2880" w:hanging="360"/>
      </w:pPr>
      <w:rPr>
        <w:rFonts w:ascii="Symbol" w:hAnsi="Symbol" w:hint="default"/>
      </w:rPr>
    </w:lvl>
    <w:lvl w:ilvl="4" w:tplc="E598BC3E">
      <w:start w:val="1"/>
      <w:numFmt w:val="bullet"/>
      <w:lvlText w:val="o"/>
      <w:lvlJc w:val="left"/>
      <w:pPr>
        <w:ind w:left="3600" w:hanging="360"/>
      </w:pPr>
      <w:rPr>
        <w:rFonts w:ascii="Courier New" w:hAnsi="Courier New" w:hint="default"/>
      </w:rPr>
    </w:lvl>
    <w:lvl w:ilvl="5" w:tplc="2124DDB2">
      <w:start w:val="1"/>
      <w:numFmt w:val="bullet"/>
      <w:lvlText w:val=""/>
      <w:lvlJc w:val="left"/>
      <w:pPr>
        <w:ind w:left="4320" w:hanging="360"/>
      </w:pPr>
      <w:rPr>
        <w:rFonts w:ascii="Wingdings" w:hAnsi="Wingdings" w:hint="default"/>
      </w:rPr>
    </w:lvl>
    <w:lvl w:ilvl="6" w:tplc="B09CC772">
      <w:start w:val="1"/>
      <w:numFmt w:val="bullet"/>
      <w:lvlText w:val=""/>
      <w:lvlJc w:val="left"/>
      <w:pPr>
        <w:ind w:left="5040" w:hanging="360"/>
      </w:pPr>
      <w:rPr>
        <w:rFonts w:ascii="Symbol" w:hAnsi="Symbol" w:hint="default"/>
      </w:rPr>
    </w:lvl>
    <w:lvl w:ilvl="7" w:tplc="10062CBC">
      <w:start w:val="1"/>
      <w:numFmt w:val="bullet"/>
      <w:lvlText w:val="o"/>
      <w:lvlJc w:val="left"/>
      <w:pPr>
        <w:ind w:left="5760" w:hanging="360"/>
      </w:pPr>
      <w:rPr>
        <w:rFonts w:ascii="Courier New" w:hAnsi="Courier New" w:hint="default"/>
      </w:rPr>
    </w:lvl>
    <w:lvl w:ilvl="8" w:tplc="B54A9026">
      <w:start w:val="1"/>
      <w:numFmt w:val="bullet"/>
      <w:lvlText w:val=""/>
      <w:lvlJc w:val="left"/>
      <w:pPr>
        <w:ind w:left="6480" w:hanging="360"/>
      </w:pPr>
      <w:rPr>
        <w:rFonts w:ascii="Wingdings" w:hAnsi="Wingdings" w:hint="default"/>
      </w:rPr>
    </w:lvl>
  </w:abstractNum>
  <w:abstractNum w:abstractNumId="12" w15:restartNumberingAfterBreak="0">
    <w:nsid w:val="18EA0DC5"/>
    <w:multiLevelType w:val="hybridMultilevel"/>
    <w:tmpl w:val="AEF69D3E"/>
    <w:lvl w:ilvl="0" w:tplc="EA4CEF5A">
      <w:start w:val="8"/>
      <w:numFmt w:val="decimal"/>
      <w:lvlText w:val="8)"/>
      <w:lvlJc w:val="left"/>
      <w:pPr>
        <w:ind w:left="720" w:hanging="360"/>
      </w:pPr>
    </w:lvl>
    <w:lvl w:ilvl="1" w:tplc="F072C504">
      <w:start w:val="1"/>
      <w:numFmt w:val="lowerLetter"/>
      <w:lvlText w:val="%2."/>
      <w:lvlJc w:val="left"/>
      <w:pPr>
        <w:ind w:left="1440" w:hanging="360"/>
      </w:pPr>
    </w:lvl>
    <w:lvl w:ilvl="2" w:tplc="B8960C74">
      <w:start w:val="1"/>
      <w:numFmt w:val="lowerRoman"/>
      <w:lvlText w:val="%3."/>
      <w:lvlJc w:val="right"/>
      <w:pPr>
        <w:ind w:left="2160" w:hanging="180"/>
      </w:pPr>
    </w:lvl>
    <w:lvl w:ilvl="3" w:tplc="37DA3210">
      <w:start w:val="1"/>
      <w:numFmt w:val="decimal"/>
      <w:lvlText w:val="%4."/>
      <w:lvlJc w:val="left"/>
      <w:pPr>
        <w:ind w:left="2880" w:hanging="360"/>
      </w:pPr>
    </w:lvl>
    <w:lvl w:ilvl="4" w:tplc="E6222BF6">
      <w:start w:val="1"/>
      <w:numFmt w:val="lowerLetter"/>
      <w:lvlText w:val="%5."/>
      <w:lvlJc w:val="left"/>
      <w:pPr>
        <w:ind w:left="3600" w:hanging="360"/>
      </w:pPr>
    </w:lvl>
    <w:lvl w:ilvl="5" w:tplc="0486CD2C">
      <w:start w:val="1"/>
      <w:numFmt w:val="lowerRoman"/>
      <w:lvlText w:val="%6."/>
      <w:lvlJc w:val="right"/>
      <w:pPr>
        <w:ind w:left="4320" w:hanging="180"/>
      </w:pPr>
    </w:lvl>
    <w:lvl w:ilvl="6" w:tplc="A01837DE">
      <w:start w:val="1"/>
      <w:numFmt w:val="decimal"/>
      <w:lvlText w:val="%7."/>
      <w:lvlJc w:val="left"/>
      <w:pPr>
        <w:ind w:left="5040" w:hanging="360"/>
      </w:pPr>
    </w:lvl>
    <w:lvl w:ilvl="7" w:tplc="9F8A233E">
      <w:start w:val="1"/>
      <w:numFmt w:val="lowerLetter"/>
      <w:lvlText w:val="%8."/>
      <w:lvlJc w:val="left"/>
      <w:pPr>
        <w:ind w:left="5760" w:hanging="360"/>
      </w:pPr>
    </w:lvl>
    <w:lvl w:ilvl="8" w:tplc="8BF47EAC">
      <w:start w:val="1"/>
      <w:numFmt w:val="lowerRoman"/>
      <w:lvlText w:val="%9."/>
      <w:lvlJc w:val="right"/>
      <w:pPr>
        <w:ind w:left="6480" w:hanging="180"/>
      </w:pPr>
    </w:lvl>
  </w:abstractNum>
  <w:abstractNum w:abstractNumId="13" w15:restartNumberingAfterBreak="0">
    <w:nsid w:val="1CB22170"/>
    <w:multiLevelType w:val="hybridMultilevel"/>
    <w:tmpl w:val="25662C9A"/>
    <w:lvl w:ilvl="0" w:tplc="8368C90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320D88A"/>
    <w:multiLevelType w:val="hybridMultilevel"/>
    <w:tmpl w:val="C1AA1006"/>
    <w:lvl w:ilvl="0" w:tplc="F354A904">
      <w:start w:val="1"/>
      <w:numFmt w:val="decimal"/>
      <w:lvlText w:val="%1."/>
      <w:lvlJc w:val="left"/>
      <w:pPr>
        <w:ind w:left="720" w:hanging="360"/>
      </w:pPr>
    </w:lvl>
    <w:lvl w:ilvl="1" w:tplc="A0464ECC">
      <w:start w:val="1"/>
      <w:numFmt w:val="lowerLetter"/>
      <w:lvlText w:val="%2."/>
      <w:lvlJc w:val="left"/>
      <w:pPr>
        <w:ind w:left="1440" w:hanging="360"/>
      </w:pPr>
    </w:lvl>
    <w:lvl w:ilvl="2" w:tplc="367ED76E">
      <w:start w:val="1"/>
      <w:numFmt w:val="lowerRoman"/>
      <w:lvlText w:val="%3."/>
      <w:lvlJc w:val="right"/>
      <w:pPr>
        <w:ind w:left="2160" w:hanging="180"/>
      </w:pPr>
    </w:lvl>
    <w:lvl w:ilvl="3" w:tplc="50982A66">
      <w:start w:val="1"/>
      <w:numFmt w:val="decimal"/>
      <w:lvlText w:val="%4."/>
      <w:lvlJc w:val="left"/>
      <w:pPr>
        <w:ind w:left="2880" w:hanging="360"/>
      </w:pPr>
    </w:lvl>
    <w:lvl w:ilvl="4" w:tplc="15AE3B64">
      <w:start w:val="1"/>
      <w:numFmt w:val="lowerLetter"/>
      <w:lvlText w:val="%5."/>
      <w:lvlJc w:val="left"/>
      <w:pPr>
        <w:ind w:left="3600" w:hanging="360"/>
      </w:pPr>
    </w:lvl>
    <w:lvl w:ilvl="5" w:tplc="BDDC17C4">
      <w:start w:val="1"/>
      <w:numFmt w:val="lowerRoman"/>
      <w:lvlText w:val="%6."/>
      <w:lvlJc w:val="right"/>
      <w:pPr>
        <w:ind w:left="4320" w:hanging="180"/>
      </w:pPr>
    </w:lvl>
    <w:lvl w:ilvl="6" w:tplc="FA9E06A4">
      <w:start w:val="1"/>
      <w:numFmt w:val="decimal"/>
      <w:lvlText w:val="%7."/>
      <w:lvlJc w:val="left"/>
      <w:pPr>
        <w:ind w:left="5040" w:hanging="360"/>
      </w:pPr>
    </w:lvl>
    <w:lvl w:ilvl="7" w:tplc="FF40BD7A">
      <w:start w:val="1"/>
      <w:numFmt w:val="lowerLetter"/>
      <w:lvlText w:val="%8."/>
      <w:lvlJc w:val="left"/>
      <w:pPr>
        <w:ind w:left="5760" w:hanging="360"/>
      </w:pPr>
    </w:lvl>
    <w:lvl w:ilvl="8" w:tplc="A51C90E0">
      <w:start w:val="1"/>
      <w:numFmt w:val="lowerRoman"/>
      <w:lvlText w:val="%9."/>
      <w:lvlJc w:val="right"/>
      <w:pPr>
        <w:ind w:left="6480" w:hanging="180"/>
      </w:pPr>
    </w:lvl>
  </w:abstractNum>
  <w:abstractNum w:abstractNumId="17" w15:restartNumberingAfterBreak="0">
    <w:nsid w:val="25866999"/>
    <w:multiLevelType w:val="hybridMultilevel"/>
    <w:tmpl w:val="B4A24EA8"/>
    <w:lvl w:ilvl="0" w:tplc="DE52B3D0">
      <w:start w:val="1"/>
      <w:numFmt w:val="bullet"/>
      <w:lvlText w:val=""/>
      <w:lvlJc w:val="left"/>
      <w:pPr>
        <w:ind w:left="720" w:hanging="360"/>
      </w:pPr>
      <w:rPr>
        <w:rFonts w:ascii="Symbol" w:hAnsi="Symbol" w:hint="default"/>
      </w:rPr>
    </w:lvl>
    <w:lvl w:ilvl="1" w:tplc="A69C3474">
      <w:start w:val="1"/>
      <w:numFmt w:val="bullet"/>
      <w:lvlText w:val="o"/>
      <w:lvlJc w:val="left"/>
      <w:pPr>
        <w:ind w:left="1440" w:hanging="360"/>
      </w:pPr>
      <w:rPr>
        <w:rFonts w:ascii="&quot;Courier New&quot;" w:hAnsi="&quot;Courier New&quot;" w:hint="default"/>
      </w:rPr>
    </w:lvl>
    <w:lvl w:ilvl="2" w:tplc="D4BA9232">
      <w:start w:val="1"/>
      <w:numFmt w:val="bullet"/>
      <w:lvlText w:val=""/>
      <w:lvlJc w:val="left"/>
      <w:pPr>
        <w:ind w:left="2160" w:hanging="360"/>
      </w:pPr>
      <w:rPr>
        <w:rFonts w:ascii="Wingdings" w:hAnsi="Wingdings" w:hint="default"/>
      </w:rPr>
    </w:lvl>
    <w:lvl w:ilvl="3" w:tplc="F9FE2BB8">
      <w:start w:val="1"/>
      <w:numFmt w:val="bullet"/>
      <w:lvlText w:val=""/>
      <w:lvlJc w:val="left"/>
      <w:pPr>
        <w:ind w:left="2880" w:hanging="360"/>
      </w:pPr>
      <w:rPr>
        <w:rFonts w:ascii="Symbol" w:hAnsi="Symbol" w:hint="default"/>
      </w:rPr>
    </w:lvl>
    <w:lvl w:ilvl="4" w:tplc="BC708634">
      <w:start w:val="1"/>
      <w:numFmt w:val="bullet"/>
      <w:lvlText w:val="o"/>
      <w:lvlJc w:val="left"/>
      <w:pPr>
        <w:ind w:left="3600" w:hanging="360"/>
      </w:pPr>
      <w:rPr>
        <w:rFonts w:ascii="Courier New" w:hAnsi="Courier New" w:hint="default"/>
      </w:rPr>
    </w:lvl>
    <w:lvl w:ilvl="5" w:tplc="DFDA2CBE">
      <w:start w:val="1"/>
      <w:numFmt w:val="bullet"/>
      <w:lvlText w:val=""/>
      <w:lvlJc w:val="left"/>
      <w:pPr>
        <w:ind w:left="4320" w:hanging="360"/>
      </w:pPr>
      <w:rPr>
        <w:rFonts w:ascii="Wingdings" w:hAnsi="Wingdings" w:hint="default"/>
      </w:rPr>
    </w:lvl>
    <w:lvl w:ilvl="6" w:tplc="C69E2EB2">
      <w:start w:val="1"/>
      <w:numFmt w:val="bullet"/>
      <w:lvlText w:val=""/>
      <w:lvlJc w:val="left"/>
      <w:pPr>
        <w:ind w:left="5040" w:hanging="360"/>
      </w:pPr>
      <w:rPr>
        <w:rFonts w:ascii="Symbol" w:hAnsi="Symbol" w:hint="default"/>
      </w:rPr>
    </w:lvl>
    <w:lvl w:ilvl="7" w:tplc="AB16E83E">
      <w:start w:val="1"/>
      <w:numFmt w:val="bullet"/>
      <w:lvlText w:val="o"/>
      <w:lvlJc w:val="left"/>
      <w:pPr>
        <w:ind w:left="5760" w:hanging="360"/>
      </w:pPr>
      <w:rPr>
        <w:rFonts w:ascii="Courier New" w:hAnsi="Courier New" w:hint="default"/>
      </w:rPr>
    </w:lvl>
    <w:lvl w:ilvl="8" w:tplc="52F615FA">
      <w:start w:val="1"/>
      <w:numFmt w:val="bullet"/>
      <w:lvlText w:val=""/>
      <w:lvlJc w:val="left"/>
      <w:pPr>
        <w:ind w:left="6480" w:hanging="360"/>
      </w:pPr>
      <w:rPr>
        <w:rFonts w:ascii="Wingdings" w:hAnsi="Wingdings" w:hint="default"/>
      </w:rPr>
    </w:lvl>
  </w:abstractNum>
  <w:abstractNum w:abstractNumId="18" w15:restartNumberingAfterBreak="0">
    <w:nsid w:val="2936DA21"/>
    <w:multiLevelType w:val="hybridMultilevel"/>
    <w:tmpl w:val="9676D050"/>
    <w:lvl w:ilvl="0" w:tplc="2E664BCC">
      <w:start w:val="1"/>
      <w:numFmt w:val="bullet"/>
      <w:lvlText w:val="o"/>
      <w:lvlJc w:val="left"/>
      <w:pPr>
        <w:ind w:left="720" w:hanging="360"/>
      </w:pPr>
      <w:rPr>
        <w:rFonts w:ascii="&quot;Courier New&quot;" w:hAnsi="&quot;Courier New&quot;" w:hint="default"/>
      </w:rPr>
    </w:lvl>
    <w:lvl w:ilvl="1" w:tplc="216EF8FA">
      <w:start w:val="1"/>
      <w:numFmt w:val="bullet"/>
      <w:lvlText w:val="o"/>
      <w:lvlJc w:val="left"/>
      <w:pPr>
        <w:ind w:left="1440" w:hanging="360"/>
      </w:pPr>
      <w:rPr>
        <w:rFonts w:ascii="Courier New" w:hAnsi="Courier New" w:hint="default"/>
      </w:rPr>
    </w:lvl>
    <w:lvl w:ilvl="2" w:tplc="38BE5320">
      <w:start w:val="1"/>
      <w:numFmt w:val="bullet"/>
      <w:lvlText w:val=""/>
      <w:lvlJc w:val="left"/>
      <w:pPr>
        <w:ind w:left="2160" w:hanging="360"/>
      </w:pPr>
      <w:rPr>
        <w:rFonts w:ascii="Wingdings" w:hAnsi="Wingdings" w:hint="default"/>
      </w:rPr>
    </w:lvl>
    <w:lvl w:ilvl="3" w:tplc="640473D8">
      <w:start w:val="1"/>
      <w:numFmt w:val="bullet"/>
      <w:lvlText w:val=""/>
      <w:lvlJc w:val="left"/>
      <w:pPr>
        <w:ind w:left="2880" w:hanging="360"/>
      </w:pPr>
      <w:rPr>
        <w:rFonts w:ascii="Symbol" w:hAnsi="Symbol" w:hint="default"/>
      </w:rPr>
    </w:lvl>
    <w:lvl w:ilvl="4" w:tplc="B0322340">
      <w:start w:val="1"/>
      <w:numFmt w:val="bullet"/>
      <w:lvlText w:val="o"/>
      <w:lvlJc w:val="left"/>
      <w:pPr>
        <w:ind w:left="3600" w:hanging="360"/>
      </w:pPr>
      <w:rPr>
        <w:rFonts w:ascii="Courier New" w:hAnsi="Courier New" w:hint="default"/>
      </w:rPr>
    </w:lvl>
    <w:lvl w:ilvl="5" w:tplc="A308072C">
      <w:start w:val="1"/>
      <w:numFmt w:val="bullet"/>
      <w:lvlText w:val=""/>
      <w:lvlJc w:val="left"/>
      <w:pPr>
        <w:ind w:left="4320" w:hanging="360"/>
      </w:pPr>
      <w:rPr>
        <w:rFonts w:ascii="Wingdings" w:hAnsi="Wingdings" w:hint="default"/>
      </w:rPr>
    </w:lvl>
    <w:lvl w:ilvl="6" w:tplc="8D849072">
      <w:start w:val="1"/>
      <w:numFmt w:val="bullet"/>
      <w:lvlText w:val=""/>
      <w:lvlJc w:val="left"/>
      <w:pPr>
        <w:ind w:left="5040" w:hanging="360"/>
      </w:pPr>
      <w:rPr>
        <w:rFonts w:ascii="Symbol" w:hAnsi="Symbol" w:hint="default"/>
      </w:rPr>
    </w:lvl>
    <w:lvl w:ilvl="7" w:tplc="C76CFFDC">
      <w:start w:val="1"/>
      <w:numFmt w:val="bullet"/>
      <w:lvlText w:val="o"/>
      <w:lvlJc w:val="left"/>
      <w:pPr>
        <w:ind w:left="5760" w:hanging="360"/>
      </w:pPr>
      <w:rPr>
        <w:rFonts w:ascii="Courier New" w:hAnsi="Courier New" w:hint="default"/>
      </w:rPr>
    </w:lvl>
    <w:lvl w:ilvl="8" w:tplc="4C2A6532">
      <w:start w:val="1"/>
      <w:numFmt w:val="bullet"/>
      <w:lvlText w:val=""/>
      <w:lvlJc w:val="left"/>
      <w:pPr>
        <w:ind w:left="6480" w:hanging="360"/>
      </w:pPr>
      <w:rPr>
        <w:rFonts w:ascii="Wingdings" w:hAnsi="Wingdings" w:hint="default"/>
      </w:rPr>
    </w:lvl>
  </w:abstractNum>
  <w:abstractNum w:abstractNumId="19" w15:restartNumberingAfterBreak="0">
    <w:nsid w:val="2B5DAD22"/>
    <w:multiLevelType w:val="hybridMultilevel"/>
    <w:tmpl w:val="50B22A22"/>
    <w:lvl w:ilvl="0" w:tplc="9E0EFC60">
      <w:start w:val="3"/>
      <w:numFmt w:val="decimal"/>
      <w:lvlText w:val="3)"/>
      <w:lvlJc w:val="left"/>
      <w:pPr>
        <w:ind w:left="720" w:hanging="360"/>
      </w:pPr>
    </w:lvl>
    <w:lvl w:ilvl="1" w:tplc="92903E26">
      <w:start w:val="1"/>
      <w:numFmt w:val="lowerLetter"/>
      <w:lvlText w:val="%2."/>
      <w:lvlJc w:val="left"/>
      <w:pPr>
        <w:ind w:left="1440" w:hanging="360"/>
      </w:pPr>
    </w:lvl>
    <w:lvl w:ilvl="2" w:tplc="AD1486E4">
      <w:start w:val="1"/>
      <w:numFmt w:val="lowerRoman"/>
      <w:lvlText w:val="%3."/>
      <w:lvlJc w:val="right"/>
      <w:pPr>
        <w:ind w:left="2160" w:hanging="180"/>
      </w:pPr>
    </w:lvl>
    <w:lvl w:ilvl="3" w:tplc="65803ADC">
      <w:start w:val="1"/>
      <w:numFmt w:val="decimal"/>
      <w:lvlText w:val="%4."/>
      <w:lvlJc w:val="left"/>
      <w:pPr>
        <w:ind w:left="2880" w:hanging="360"/>
      </w:pPr>
    </w:lvl>
    <w:lvl w:ilvl="4" w:tplc="5E5ECB20">
      <w:start w:val="1"/>
      <w:numFmt w:val="lowerLetter"/>
      <w:lvlText w:val="%5."/>
      <w:lvlJc w:val="left"/>
      <w:pPr>
        <w:ind w:left="3600" w:hanging="360"/>
      </w:pPr>
    </w:lvl>
    <w:lvl w:ilvl="5" w:tplc="0B5AC5D8">
      <w:start w:val="1"/>
      <w:numFmt w:val="lowerRoman"/>
      <w:lvlText w:val="%6."/>
      <w:lvlJc w:val="right"/>
      <w:pPr>
        <w:ind w:left="4320" w:hanging="180"/>
      </w:pPr>
    </w:lvl>
    <w:lvl w:ilvl="6" w:tplc="8B90B5EC">
      <w:start w:val="1"/>
      <w:numFmt w:val="decimal"/>
      <w:lvlText w:val="%7."/>
      <w:lvlJc w:val="left"/>
      <w:pPr>
        <w:ind w:left="5040" w:hanging="360"/>
      </w:pPr>
    </w:lvl>
    <w:lvl w:ilvl="7" w:tplc="9C0634A4">
      <w:start w:val="1"/>
      <w:numFmt w:val="lowerLetter"/>
      <w:lvlText w:val="%8."/>
      <w:lvlJc w:val="left"/>
      <w:pPr>
        <w:ind w:left="5760" w:hanging="360"/>
      </w:pPr>
    </w:lvl>
    <w:lvl w:ilvl="8" w:tplc="C33A107E">
      <w:start w:val="1"/>
      <w:numFmt w:val="lowerRoman"/>
      <w:lvlText w:val="%9."/>
      <w:lvlJc w:val="right"/>
      <w:pPr>
        <w:ind w:left="6480" w:hanging="180"/>
      </w:pPr>
    </w:lvl>
  </w:abstractNum>
  <w:abstractNum w:abstractNumId="20"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C6373E"/>
    <w:multiLevelType w:val="hybridMultilevel"/>
    <w:tmpl w:val="B8228242"/>
    <w:lvl w:ilvl="0" w:tplc="2794DC9C">
      <w:start w:val="1"/>
      <w:numFmt w:val="decimal"/>
      <w:lvlText w:val="%1."/>
      <w:lvlJc w:val="left"/>
      <w:pPr>
        <w:ind w:left="720" w:hanging="360"/>
      </w:pPr>
      <w:rPr>
        <w:rFonts w:eastAsiaTheme="majorEastAsi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0C1B77"/>
    <w:multiLevelType w:val="hybridMultilevel"/>
    <w:tmpl w:val="705C0F2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15:restartNumberingAfterBreak="0">
    <w:nsid w:val="420CCBD4"/>
    <w:multiLevelType w:val="hybridMultilevel"/>
    <w:tmpl w:val="BF162858"/>
    <w:lvl w:ilvl="0" w:tplc="02F855A6">
      <w:start w:val="11"/>
      <w:numFmt w:val="decimal"/>
      <w:lvlText w:val="11)"/>
      <w:lvlJc w:val="left"/>
      <w:pPr>
        <w:ind w:left="720" w:hanging="360"/>
      </w:pPr>
    </w:lvl>
    <w:lvl w:ilvl="1" w:tplc="399A4F8C">
      <w:start w:val="1"/>
      <w:numFmt w:val="lowerLetter"/>
      <w:lvlText w:val="%2."/>
      <w:lvlJc w:val="left"/>
      <w:pPr>
        <w:ind w:left="1440" w:hanging="360"/>
      </w:pPr>
    </w:lvl>
    <w:lvl w:ilvl="2" w:tplc="26363124">
      <w:start w:val="1"/>
      <w:numFmt w:val="lowerRoman"/>
      <w:lvlText w:val="%3."/>
      <w:lvlJc w:val="right"/>
      <w:pPr>
        <w:ind w:left="2160" w:hanging="180"/>
      </w:pPr>
    </w:lvl>
    <w:lvl w:ilvl="3" w:tplc="AB8A74D6">
      <w:start w:val="1"/>
      <w:numFmt w:val="decimal"/>
      <w:lvlText w:val="%4."/>
      <w:lvlJc w:val="left"/>
      <w:pPr>
        <w:ind w:left="2880" w:hanging="360"/>
      </w:pPr>
    </w:lvl>
    <w:lvl w:ilvl="4" w:tplc="B5BA4EC4">
      <w:start w:val="1"/>
      <w:numFmt w:val="lowerLetter"/>
      <w:lvlText w:val="%5."/>
      <w:lvlJc w:val="left"/>
      <w:pPr>
        <w:ind w:left="3600" w:hanging="360"/>
      </w:pPr>
    </w:lvl>
    <w:lvl w:ilvl="5" w:tplc="4EEC198C">
      <w:start w:val="1"/>
      <w:numFmt w:val="lowerRoman"/>
      <w:lvlText w:val="%6."/>
      <w:lvlJc w:val="right"/>
      <w:pPr>
        <w:ind w:left="4320" w:hanging="180"/>
      </w:pPr>
    </w:lvl>
    <w:lvl w:ilvl="6" w:tplc="59020090">
      <w:start w:val="1"/>
      <w:numFmt w:val="decimal"/>
      <w:lvlText w:val="%7."/>
      <w:lvlJc w:val="left"/>
      <w:pPr>
        <w:ind w:left="5040" w:hanging="360"/>
      </w:pPr>
    </w:lvl>
    <w:lvl w:ilvl="7" w:tplc="E4DEBC4E">
      <w:start w:val="1"/>
      <w:numFmt w:val="lowerLetter"/>
      <w:lvlText w:val="%8."/>
      <w:lvlJc w:val="left"/>
      <w:pPr>
        <w:ind w:left="5760" w:hanging="360"/>
      </w:pPr>
    </w:lvl>
    <w:lvl w:ilvl="8" w:tplc="9668ACB2">
      <w:start w:val="1"/>
      <w:numFmt w:val="lowerRoman"/>
      <w:lvlText w:val="%9."/>
      <w:lvlJc w:val="right"/>
      <w:pPr>
        <w:ind w:left="6480" w:hanging="180"/>
      </w:pPr>
    </w:lvl>
  </w:abstractNum>
  <w:abstractNum w:abstractNumId="29"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9F5CC1"/>
    <w:multiLevelType w:val="hybridMultilevel"/>
    <w:tmpl w:val="585EA5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7BE1399"/>
    <w:multiLevelType w:val="hybridMultilevel"/>
    <w:tmpl w:val="A366035E"/>
    <w:lvl w:ilvl="0" w:tplc="9E4A14A4">
      <w:start w:val="1"/>
      <w:numFmt w:val="decimal"/>
      <w:lvlText w:val="10)"/>
      <w:lvlJc w:val="left"/>
      <w:pPr>
        <w:ind w:left="720" w:hanging="360"/>
      </w:pPr>
    </w:lvl>
    <w:lvl w:ilvl="1" w:tplc="42F4D8BC">
      <w:start w:val="1"/>
      <w:numFmt w:val="bullet"/>
      <w:lvlText w:val="o"/>
      <w:lvlJc w:val="left"/>
      <w:pPr>
        <w:ind w:left="1440" w:hanging="360"/>
      </w:pPr>
      <w:rPr>
        <w:rFonts w:ascii="Wingdings" w:hAnsi="Wingdings" w:hint="default"/>
      </w:rPr>
    </w:lvl>
    <w:lvl w:ilvl="2" w:tplc="4E50DD72">
      <w:start w:val="1"/>
      <w:numFmt w:val="lowerRoman"/>
      <w:lvlText w:val="%3."/>
      <w:lvlJc w:val="right"/>
      <w:pPr>
        <w:ind w:left="2160" w:hanging="180"/>
      </w:pPr>
    </w:lvl>
    <w:lvl w:ilvl="3" w:tplc="D79C16BC">
      <w:start w:val="1"/>
      <w:numFmt w:val="bullet"/>
      <w:lvlText w:val="§"/>
      <w:lvlJc w:val="left"/>
      <w:pPr>
        <w:ind w:left="2880" w:hanging="360"/>
      </w:pPr>
      <w:rPr>
        <w:rFonts w:ascii="Wingdings" w:hAnsi="Wingdings" w:hint="default"/>
      </w:rPr>
    </w:lvl>
    <w:lvl w:ilvl="4" w:tplc="7CB236CE">
      <w:start w:val="1"/>
      <w:numFmt w:val="bullet"/>
      <w:lvlText w:val="o"/>
      <w:lvlJc w:val="left"/>
      <w:pPr>
        <w:ind w:left="3600" w:hanging="360"/>
      </w:pPr>
      <w:rPr>
        <w:rFonts w:ascii="Wingdings" w:hAnsi="Wingdings" w:hint="default"/>
      </w:rPr>
    </w:lvl>
    <w:lvl w:ilvl="5" w:tplc="FAD450E4">
      <w:start w:val="1"/>
      <w:numFmt w:val="lowerRoman"/>
      <w:lvlText w:val="%6."/>
      <w:lvlJc w:val="right"/>
      <w:pPr>
        <w:ind w:left="4320" w:hanging="180"/>
      </w:pPr>
    </w:lvl>
    <w:lvl w:ilvl="6" w:tplc="D3DC1A04">
      <w:start w:val="1"/>
      <w:numFmt w:val="decimal"/>
      <w:lvlText w:val="%7."/>
      <w:lvlJc w:val="left"/>
      <w:pPr>
        <w:ind w:left="5040" w:hanging="360"/>
      </w:pPr>
    </w:lvl>
    <w:lvl w:ilvl="7" w:tplc="7D8E1684">
      <w:start w:val="1"/>
      <w:numFmt w:val="lowerLetter"/>
      <w:lvlText w:val="%8."/>
      <w:lvlJc w:val="left"/>
      <w:pPr>
        <w:ind w:left="5760" w:hanging="360"/>
      </w:pPr>
    </w:lvl>
    <w:lvl w:ilvl="8" w:tplc="2D600BAE">
      <w:start w:val="1"/>
      <w:numFmt w:val="lowerRoman"/>
      <w:lvlText w:val="%9."/>
      <w:lvlJc w:val="right"/>
      <w:pPr>
        <w:ind w:left="6480" w:hanging="180"/>
      </w:pPr>
    </w:lvl>
  </w:abstractNum>
  <w:abstractNum w:abstractNumId="32" w15:restartNumberingAfterBreak="0">
    <w:nsid w:val="485BFDEF"/>
    <w:multiLevelType w:val="multilevel"/>
    <w:tmpl w:val="73F863C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B711E0"/>
    <w:multiLevelType w:val="hybridMultilevel"/>
    <w:tmpl w:val="E63C33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5"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8C4891"/>
    <w:multiLevelType w:val="hybridMultilevel"/>
    <w:tmpl w:val="9E0EE55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5AB942B1"/>
    <w:multiLevelType w:val="hybridMultilevel"/>
    <w:tmpl w:val="F0E87FF0"/>
    <w:lvl w:ilvl="0" w:tplc="897847F6">
      <w:start w:val="1"/>
      <w:numFmt w:val="decimal"/>
      <w:lvlText w:val="%1)"/>
      <w:lvlJc w:val="left"/>
      <w:pPr>
        <w:ind w:left="180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1B" w:tentative="1">
      <w:start w:val="1"/>
      <w:numFmt w:val="lowerRoman"/>
      <w:lvlText w:val="%3."/>
      <w:lvlJc w:val="right"/>
      <w:pPr>
        <w:ind w:left="3240" w:hanging="180"/>
      </w:p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2520" w:hanging="360"/>
      </w:pPr>
      <w:rPr>
        <w:rFonts w:ascii="Courier New" w:hAnsi="Courier New" w:cs="Courier New"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659D4B"/>
    <w:multiLevelType w:val="hybridMultilevel"/>
    <w:tmpl w:val="0FDA6830"/>
    <w:lvl w:ilvl="0" w:tplc="50425976">
      <w:start w:val="1"/>
      <w:numFmt w:val="bullet"/>
      <w:lvlText w:val="o"/>
      <w:lvlJc w:val="left"/>
      <w:pPr>
        <w:ind w:left="720" w:hanging="360"/>
      </w:pPr>
      <w:rPr>
        <w:rFonts w:ascii="&quot;Courier New&quot;" w:hAnsi="&quot;Courier New&quot;" w:hint="default"/>
      </w:rPr>
    </w:lvl>
    <w:lvl w:ilvl="1" w:tplc="9FE22680">
      <w:start w:val="1"/>
      <w:numFmt w:val="bullet"/>
      <w:lvlText w:val="o"/>
      <w:lvlJc w:val="left"/>
      <w:pPr>
        <w:ind w:left="1440" w:hanging="360"/>
      </w:pPr>
      <w:rPr>
        <w:rFonts w:ascii="Courier New" w:hAnsi="Courier New" w:hint="default"/>
      </w:rPr>
    </w:lvl>
    <w:lvl w:ilvl="2" w:tplc="437C6F4A">
      <w:start w:val="1"/>
      <w:numFmt w:val="bullet"/>
      <w:lvlText w:val=""/>
      <w:lvlJc w:val="left"/>
      <w:pPr>
        <w:ind w:left="2160" w:hanging="360"/>
      </w:pPr>
      <w:rPr>
        <w:rFonts w:ascii="Wingdings" w:hAnsi="Wingdings" w:hint="default"/>
      </w:rPr>
    </w:lvl>
    <w:lvl w:ilvl="3" w:tplc="D9A4FBBC">
      <w:start w:val="1"/>
      <w:numFmt w:val="bullet"/>
      <w:lvlText w:val=""/>
      <w:lvlJc w:val="left"/>
      <w:pPr>
        <w:ind w:left="2880" w:hanging="360"/>
      </w:pPr>
      <w:rPr>
        <w:rFonts w:ascii="Symbol" w:hAnsi="Symbol" w:hint="default"/>
      </w:rPr>
    </w:lvl>
    <w:lvl w:ilvl="4" w:tplc="EB76AE00">
      <w:start w:val="1"/>
      <w:numFmt w:val="bullet"/>
      <w:lvlText w:val="o"/>
      <w:lvlJc w:val="left"/>
      <w:pPr>
        <w:ind w:left="3600" w:hanging="360"/>
      </w:pPr>
      <w:rPr>
        <w:rFonts w:ascii="Courier New" w:hAnsi="Courier New" w:hint="default"/>
      </w:rPr>
    </w:lvl>
    <w:lvl w:ilvl="5" w:tplc="B546D514">
      <w:start w:val="1"/>
      <w:numFmt w:val="bullet"/>
      <w:lvlText w:val=""/>
      <w:lvlJc w:val="left"/>
      <w:pPr>
        <w:ind w:left="4320" w:hanging="360"/>
      </w:pPr>
      <w:rPr>
        <w:rFonts w:ascii="Wingdings" w:hAnsi="Wingdings" w:hint="default"/>
      </w:rPr>
    </w:lvl>
    <w:lvl w:ilvl="6" w:tplc="1E109BA0">
      <w:start w:val="1"/>
      <w:numFmt w:val="bullet"/>
      <w:lvlText w:val=""/>
      <w:lvlJc w:val="left"/>
      <w:pPr>
        <w:ind w:left="5040" w:hanging="360"/>
      </w:pPr>
      <w:rPr>
        <w:rFonts w:ascii="Symbol" w:hAnsi="Symbol" w:hint="default"/>
      </w:rPr>
    </w:lvl>
    <w:lvl w:ilvl="7" w:tplc="C9C6385E">
      <w:start w:val="1"/>
      <w:numFmt w:val="bullet"/>
      <w:lvlText w:val="o"/>
      <w:lvlJc w:val="left"/>
      <w:pPr>
        <w:ind w:left="5760" w:hanging="360"/>
      </w:pPr>
      <w:rPr>
        <w:rFonts w:ascii="Courier New" w:hAnsi="Courier New" w:hint="default"/>
      </w:rPr>
    </w:lvl>
    <w:lvl w:ilvl="8" w:tplc="E45E69C2">
      <w:start w:val="1"/>
      <w:numFmt w:val="bullet"/>
      <w:lvlText w:val=""/>
      <w:lvlJc w:val="left"/>
      <w:pPr>
        <w:ind w:left="6480" w:hanging="360"/>
      </w:pPr>
      <w:rPr>
        <w:rFonts w:ascii="Wingdings" w:hAnsi="Wingdings" w:hint="default"/>
      </w:rPr>
    </w:lvl>
  </w:abstractNum>
  <w:abstractNum w:abstractNumId="43"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7347E5"/>
    <w:multiLevelType w:val="hybridMultilevel"/>
    <w:tmpl w:val="9CD66F0C"/>
    <w:lvl w:ilvl="0" w:tplc="8B1C1DBA">
      <w:start w:val="1"/>
      <w:numFmt w:val="decimal"/>
      <w:lvlText w:val="%1."/>
      <w:lvlJc w:val="left"/>
      <w:pPr>
        <w:ind w:left="720" w:hanging="360"/>
      </w:pPr>
    </w:lvl>
    <w:lvl w:ilvl="1" w:tplc="E01C116A">
      <w:start w:val="1"/>
      <w:numFmt w:val="lowerLetter"/>
      <w:lvlText w:val="%2."/>
      <w:lvlJc w:val="left"/>
      <w:pPr>
        <w:ind w:left="1440" w:hanging="360"/>
      </w:pPr>
    </w:lvl>
    <w:lvl w:ilvl="2" w:tplc="77E8A5A6">
      <w:start w:val="1"/>
      <w:numFmt w:val="lowerRoman"/>
      <w:lvlText w:val="%3."/>
      <w:lvlJc w:val="right"/>
      <w:pPr>
        <w:ind w:left="2160" w:hanging="180"/>
      </w:pPr>
    </w:lvl>
    <w:lvl w:ilvl="3" w:tplc="713C6B6E">
      <w:start w:val="1"/>
      <w:numFmt w:val="decimal"/>
      <w:lvlText w:val="%4."/>
      <w:lvlJc w:val="left"/>
      <w:pPr>
        <w:ind w:left="2880" w:hanging="360"/>
      </w:pPr>
    </w:lvl>
    <w:lvl w:ilvl="4" w:tplc="F6968C0E">
      <w:start w:val="1"/>
      <w:numFmt w:val="lowerLetter"/>
      <w:lvlText w:val="%5."/>
      <w:lvlJc w:val="left"/>
      <w:pPr>
        <w:ind w:left="3600" w:hanging="360"/>
      </w:pPr>
    </w:lvl>
    <w:lvl w:ilvl="5" w:tplc="89A6301C">
      <w:start w:val="1"/>
      <w:numFmt w:val="lowerRoman"/>
      <w:lvlText w:val="%6."/>
      <w:lvlJc w:val="right"/>
      <w:pPr>
        <w:ind w:left="4320" w:hanging="180"/>
      </w:pPr>
    </w:lvl>
    <w:lvl w:ilvl="6" w:tplc="E7762892">
      <w:start w:val="1"/>
      <w:numFmt w:val="decimal"/>
      <w:lvlText w:val="%7."/>
      <w:lvlJc w:val="left"/>
      <w:pPr>
        <w:ind w:left="5040" w:hanging="360"/>
      </w:pPr>
    </w:lvl>
    <w:lvl w:ilvl="7" w:tplc="C82A7A12">
      <w:start w:val="1"/>
      <w:numFmt w:val="lowerLetter"/>
      <w:lvlText w:val="%8."/>
      <w:lvlJc w:val="left"/>
      <w:pPr>
        <w:ind w:left="5760" w:hanging="360"/>
      </w:pPr>
    </w:lvl>
    <w:lvl w:ilvl="8" w:tplc="6858771C">
      <w:start w:val="1"/>
      <w:numFmt w:val="lowerRoman"/>
      <w:lvlText w:val="%9."/>
      <w:lvlJc w:val="right"/>
      <w:pPr>
        <w:ind w:left="6480" w:hanging="180"/>
      </w:pPr>
    </w:lvl>
  </w:abstractNum>
  <w:abstractNum w:abstractNumId="48"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49"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718044954">
    <w:abstractNumId w:val="32"/>
  </w:num>
  <w:num w:numId="2" w16cid:durableId="275984912">
    <w:abstractNumId w:val="18"/>
  </w:num>
  <w:num w:numId="3" w16cid:durableId="1745952971">
    <w:abstractNumId w:val="28"/>
  </w:num>
  <w:num w:numId="4" w16cid:durableId="1007247227">
    <w:abstractNumId w:val="42"/>
  </w:num>
  <w:num w:numId="5" w16cid:durableId="678778569">
    <w:abstractNumId w:val="9"/>
  </w:num>
  <w:num w:numId="6" w16cid:durableId="1741638842">
    <w:abstractNumId w:val="12"/>
  </w:num>
  <w:num w:numId="7" w16cid:durableId="570891659">
    <w:abstractNumId w:val="11"/>
  </w:num>
  <w:num w:numId="8" w16cid:durableId="872158183">
    <w:abstractNumId w:val="19"/>
  </w:num>
  <w:num w:numId="9" w16cid:durableId="1962807959">
    <w:abstractNumId w:val="17"/>
  </w:num>
  <w:num w:numId="10" w16cid:durableId="850686732">
    <w:abstractNumId w:val="31"/>
  </w:num>
  <w:num w:numId="11" w16cid:durableId="247348160">
    <w:abstractNumId w:val="10"/>
  </w:num>
  <w:num w:numId="12" w16cid:durableId="551884646">
    <w:abstractNumId w:val="47"/>
  </w:num>
  <w:num w:numId="13" w16cid:durableId="1719666585">
    <w:abstractNumId w:val="16"/>
  </w:num>
  <w:num w:numId="14" w16cid:durableId="305017809">
    <w:abstractNumId w:val="6"/>
  </w:num>
  <w:num w:numId="15" w16cid:durableId="113015248">
    <w:abstractNumId w:val="48"/>
  </w:num>
  <w:num w:numId="16" w16cid:durableId="2114937146">
    <w:abstractNumId w:val="49"/>
  </w:num>
  <w:num w:numId="17" w16cid:durableId="280697836">
    <w:abstractNumId w:val="4"/>
  </w:num>
  <w:num w:numId="18" w16cid:durableId="413355859">
    <w:abstractNumId w:val="46"/>
  </w:num>
  <w:num w:numId="19" w16cid:durableId="788089280">
    <w:abstractNumId w:val="25"/>
  </w:num>
  <w:num w:numId="20" w16cid:durableId="117572321">
    <w:abstractNumId w:val="27"/>
  </w:num>
  <w:num w:numId="21" w16cid:durableId="1873495320">
    <w:abstractNumId w:val="24"/>
  </w:num>
  <w:num w:numId="22" w16cid:durableId="1962953226">
    <w:abstractNumId w:val="8"/>
  </w:num>
  <w:num w:numId="23" w16cid:durableId="864296668">
    <w:abstractNumId w:val="2"/>
  </w:num>
  <w:num w:numId="24" w16cid:durableId="131096484">
    <w:abstractNumId w:val="45"/>
  </w:num>
  <w:num w:numId="25" w16cid:durableId="891769305">
    <w:abstractNumId w:val="40"/>
  </w:num>
  <w:num w:numId="26" w16cid:durableId="70592467">
    <w:abstractNumId w:val="26"/>
  </w:num>
  <w:num w:numId="27" w16cid:durableId="390495430">
    <w:abstractNumId w:val="44"/>
    <w:lvlOverride w:ilvl="0"/>
    <w:lvlOverride w:ilvl="1">
      <w:startOverride w:val="6"/>
    </w:lvlOverride>
    <w:lvlOverride w:ilvl="2"/>
    <w:lvlOverride w:ilvl="3"/>
    <w:lvlOverride w:ilvl="4"/>
    <w:lvlOverride w:ilvl="5"/>
    <w:lvlOverride w:ilvl="6"/>
    <w:lvlOverride w:ilvl="7"/>
    <w:lvlOverride w:ilvl="8"/>
  </w:num>
  <w:num w:numId="28" w16cid:durableId="1050418423">
    <w:abstractNumId w:val="14"/>
  </w:num>
  <w:num w:numId="29" w16cid:durableId="481119243">
    <w:abstractNumId w:val="41"/>
    <w:lvlOverride w:ilvl="0"/>
    <w:lvlOverride w:ilvl="1">
      <w:startOverride w:val="1"/>
    </w:lvlOverride>
    <w:lvlOverride w:ilvl="2">
      <w:startOverride w:val="1"/>
    </w:lvlOverride>
    <w:lvlOverride w:ilvl="3"/>
    <w:lvlOverride w:ilvl="4"/>
    <w:lvlOverride w:ilvl="5"/>
    <w:lvlOverride w:ilvl="6"/>
    <w:lvlOverride w:ilvl="7"/>
    <w:lvlOverride w:ilvl="8"/>
  </w:num>
  <w:num w:numId="30" w16cid:durableId="1365515958">
    <w:abstractNumId w:val="20"/>
  </w:num>
  <w:num w:numId="31" w16cid:durableId="1830561889">
    <w:abstractNumId w:val="34"/>
  </w:num>
  <w:num w:numId="32" w16cid:durableId="1295209087">
    <w:abstractNumId w:val="15"/>
  </w:num>
  <w:num w:numId="33" w16cid:durableId="608591256">
    <w:abstractNumId w:val="5"/>
  </w:num>
  <w:num w:numId="34" w16cid:durableId="1018241333">
    <w:abstractNumId w:val="35"/>
  </w:num>
  <w:num w:numId="35" w16cid:durableId="1869291384">
    <w:abstractNumId w:val="21"/>
  </w:num>
  <w:num w:numId="36" w16cid:durableId="36125900">
    <w:abstractNumId w:val="43"/>
  </w:num>
  <w:num w:numId="37" w16cid:durableId="218903019">
    <w:abstractNumId w:val="37"/>
  </w:num>
  <w:num w:numId="38" w16cid:durableId="1715545950">
    <w:abstractNumId w:val="29"/>
  </w:num>
  <w:num w:numId="39" w16cid:durableId="1934967505">
    <w:abstractNumId w:val="1"/>
  </w:num>
  <w:num w:numId="40" w16cid:durableId="2137674533">
    <w:abstractNumId w:val="36"/>
  </w:num>
  <w:num w:numId="41" w16cid:durableId="616107592">
    <w:abstractNumId w:val="23"/>
  </w:num>
  <w:num w:numId="42" w16cid:durableId="397021994">
    <w:abstractNumId w:val="13"/>
  </w:num>
  <w:num w:numId="43" w16cid:durableId="1729962663">
    <w:abstractNumId w:val="7"/>
  </w:num>
  <w:num w:numId="44" w16cid:durableId="1569261754">
    <w:abstractNumId w:val="0"/>
  </w:num>
  <w:num w:numId="45" w16cid:durableId="1415005222">
    <w:abstractNumId w:val="22"/>
  </w:num>
  <w:num w:numId="46" w16cid:durableId="365718340">
    <w:abstractNumId w:val="38"/>
  </w:num>
  <w:num w:numId="47" w16cid:durableId="1253203628">
    <w:abstractNumId w:val="30"/>
  </w:num>
  <w:num w:numId="48" w16cid:durableId="53816737">
    <w:abstractNumId w:val="3"/>
  </w:num>
  <w:num w:numId="49" w16cid:durableId="1519462443">
    <w:abstractNumId w:val="39"/>
  </w:num>
  <w:num w:numId="50" w16cid:durableId="18604363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231D"/>
    <w:rsid w:val="00005DA1"/>
    <w:rsid w:val="00006CBE"/>
    <w:rsid w:val="00007776"/>
    <w:rsid w:val="00010859"/>
    <w:rsid w:val="0001161F"/>
    <w:rsid w:val="00013BAA"/>
    <w:rsid w:val="0001408A"/>
    <w:rsid w:val="00015969"/>
    <w:rsid w:val="000169F8"/>
    <w:rsid w:val="00025C81"/>
    <w:rsid w:val="00027125"/>
    <w:rsid w:val="00034890"/>
    <w:rsid w:val="000431AE"/>
    <w:rsid w:val="0004705B"/>
    <w:rsid w:val="0004705D"/>
    <w:rsid w:val="000548D5"/>
    <w:rsid w:val="000557AC"/>
    <w:rsid w:val="00060591"/>
    <w:rsid w:val="000611BE"/>
    <w:rsid w:val="000622B5"/>
    <w:rsid w:val="0006377F"/>
    <w:rsid w:val="00063B9D"/>
    <w:rsid w:val="00063F60"/>
    <w:rsid w:val="000653A6"/>
    <w:rsid w:val="00071316"/>
    <w:rsid w:val="000728DA"/>
    <w:rsid w:val="00074E58"/>
    <w:rsid w:val="00075B3A"/>
    <w:rsid w:val="00083008"/>
    <w:rsid w:val="00085476"/>
    <w:rsid w:val="0009064B"/>
    <w:rsid w:val="000922CE"/>
    <w:rsid w:val="000926AE"/>
    <w:rsid w:val="000A0E8C"/>
    <w:rsid w:val="000A0FA4"/>
    <w:rsid w:val="000A2C22"/>
    <w:rsid w:val="000A4A34"/>
    <w:rsid w:val="000A4BCA"/>
    <w:rsid w:val="000A6CE7"/>
    <w:rsid w:val="000B07F0"/>
    <w:rsid w:val="000B1315"/>
    <w:rsid w:val="000C16AE"/>
    <w:rsid w:val="000D4A7B"/>
    <w:rsid w:val="000D684F"/>
    <w:rsid w:val="000E31D6"/>
    <w:rsid w:val="000E433B"/>
    <w:rsid w:val="000F0D5B"/>
    <w:rsid w:val="000F3F47"/>
    <w:rsid w:val="000F5BE1"/>
    <w:rsid w:val="001002EF"/>
    <w:rsid w:val="00103791"/>
    <w:rsid w:val="00106C10"/>
    <w:rsid w:val="00121C6E"/>
    <w:rsid w:val="00122045"/>
    <w:rsid w:val="00123E80"/>
    <w:rsid w:val="0012428F"/>
    <w:rsid w:val="001261BE"/>
    <w:rsid w:val="00131958"/>
    <w:rsid w:val="0014043C"/>
    <w:rsid w:val="00146C62"/>
    <w:rsid w:val="0014731B"/>
    <w:rsid w:val="001477A0"/>
    <w:rsid w:val="00151B70"/>
    <w:rsid w:val="00152A09"/>
    <w:rsid w:val="001570F9"/>
    <w:rsid w:val="001616D4"/>
    <w:rsid w:val="00162611"/>
    <w:rsid w:val="001665C7"/>
    <w:rsid w:val="00167654"/>
    <w:rsid w:val="00167FD1"/>
    <w:rsid w:val="001704B3"/>
    <w:rsid w:val="00171BF6"/>
    <w:rsid w:val="00174095"/>
    <w:rsid w:val="0017489B"/>
    <w:rsid w:val="001801A5"/>
    <w:rsid w:val="001803D7"/>
    <w:rsid w:val="00190B05"/>
    <w:rsid w:val="00191135"/>
    <w:rsid w:val="001962D7"/>
    <w:rsid w:val="001A048B"/>
    <w:rsid w:val="001A7BC1"/>
    <w:rsid w:val="001B0F25"/>
    <w:rsid w:val="001B2889"/>
    <w:rsid w:val="001C3CDA"/>
    <w:rsid w:val="001C63DB"/>
    <w:rsid w:val="001C6A3B"/>
    <w:rsid w:val="001E31DD"/>
    <w:rsid w:val="001E5F52"/>
    <w:rsid w:val="001F00DD"/>
    <w:rsid w:val="001F2E2E"/>
    <w:rsid w:val="001F3152"/>
    <w:rsid w:val="001F5FEC"/>
    <w:rsid w:val="001F62F3"/>
    <w:rsid w:val="001F6FB0"/>
    <w:rsid w:val="00202D6B"/>
    <w:rsid w:val="00203587"/>
    <w:rsid w:val="00204718"/>
    <w:rsid w:val="00210F3E"/>
    <w:rsid w:val="002111F6"/>
    <w:rsid w:val="00217014"/>
    <w:rsid w:val="00220996"/>
    <w:rsid w:val="00221C82"/>
    <w:rsid w:val="00235167"/>
    <w:rsid w:val="00235678"/>
    <w:rsid w:val="00242C23"/>
    <w:rsid w:val="00256C04"/>
    <w:rsid w:val="002572D4"/>
    <w:rsid w:val="00262D0D"/>
    <w:rsid w:val="00263182"/>
    <w:rsid w:val="0026385E"/>
    <w:rsid w:val="0026739C"/>
    <w:rsid w:val="002747CF"/>
    <w:rsid w:val="002760D4"/>
    <w:rsid w:val="00282337"/>
    <w:rsid w:val="002829DB"/>
    <w:rsid w:val="00290108"/>
    <w:rsid w:val="002922B1"/>
    <w:rsid w:val="0029238B"/>
    <w:rsid w:val="00292AA4"/>
    <w:rsid w:val="00293C05"/>
    <w:rsid w:val="002A2C80"/>
    <w:rsid w:val="002A5F7A"/>
    <w:rsid w:val="002B269F"/>
    <w:rsid w:val="002B3D9A"/>
    <w:rsid w:val="002C3A9E"/>
    <w:rsid w:val="002D0ACB"/>
    <w:rsid w:val="002D11A5"/>
    <w:rsid w:val="002D60B2"/>
    <w:rsid w:val="002E6832"/>
    <w:rsid w:val="002E686D"/>
    <w:rsid w:val="002F2B94"/>
    <w:rsid w:val="00300FB1"/>
    <w:rsid w:val="003037A1"/>
    <w:rsid w:val="00306AA9"/>
    <w:rsid w:val="00306C82"/>
    <w:rsid w:val="003077B7"/>
    <w:rsid w:val="00311433"/>
    <w:rsid w:val="00312BA3"/>
    <w:rsid w:val="00315EC9"/>
    <w:rsid w:val="003206E1"/>
    <w:rsid w:val="00320D6A"/>
    <w:rsid w:val="00320FE6"/>
    <w:rsid w:val="00331A80"/>
    <w:rsid w:val="003369AA"/>
    <w:rsid w:val="003371C8"/>
    <w:rsid w:val="00340ABF"/>
    <w:rsid w:val="00342D66"/>
    <w:rsid w:val="00344417"/>
    <w:rsid w:val="00351004"/>
    <w:rsid w:val="00353981"/>
    <w:rsid w:val="00356F9C"/>
    <w:rsid w:val="00360BE0"/>
    <w:rsid w:val="00365491"/>
    <w:rsid w:val="00372CC1"/>
    <w:rsid w:val="0038146D"/>
    <w:rsid w:val="003910B9"/>
    <w:rsid w:val="00391FC2"/>
    <w:rsid w:val="00393204"/>
    <w:rsid w:val="0039642F"/>
    <w:rsid w:val="003A7702"/>
    <w:rsid w:val="003C19A2"/>
    <w:rsid w:val="003C4419"/>
    <w:rsid w:val="003C47B8"/>
    <w:rsid w:val="003C55A4"/>
    <w:rsid w:val="003C746B"/>
    <w:rsid w:val="003D0C68"/>
    <w:rsid w:val="003D30CA"/>
    <w:rsid w:val="003D5F92"/>
    <w:rsid w:val="003D7FD5"/>
    <w:rsid w:val="003E0AD6"/>
    <w:rsid w:val="003E0D2D"/>
    <w:rsid w:val="003E404F"/>
    <w:rsid w:val="003E6B21"/>
    <w:rsid w:val="003F1FDC"/>
    <w:rsid w:val="003F4EB2"/>
    <w:rsid w:val="004076CF"/>
    <w:rsid w:val="00410AC7"/>
    <w:rsid w:val="004141C1"/>
    <w:rsid w:val="004155A5"/>
    <w:rsid w:val="00415DE9"/>
    <w:rsid w:val="00416ABE"/>
    <w:rsid w:val="0042244C"/>
    <w:rsid w:val="004227DE"/>
    <w:rsid w:val="0042591B"/>
    <w:rsid w:val="00426795"/>
    <w:rsid w:val="004276CE"/>
    <w:rsid w:val="00427DF2"/>
    <w:rsid w:val="00430859"/>
    <w:rsid w:val="00432FB1"/>
    <w:rsid w:val="00434A01"/>
    <w:rsid w:val="0043556B"/>
    <w:rsid w:val="004379A5"/>
    <w:rsid w:val="00437D5F"/>
    <w:rsid w:val="00445151"/>
    <w:rsid w:val="004504D5"/>
    <w:rsid w:val="004518FA"/>
    <w:rsid w:val="0045462E"/>
    <w:rsid w:val="00454BFE"/>
    <w:rsid w:val="004568B2"/>
    <w:rsid w:val="00456FB3"/>
    <w:rsid w:val="0045786A"/>
    <w:rsid w:val="0046003A"/>
    <w:rsid w:val="00463011"/>
    <w:rsid w:val="00464D01"/>
    <w:rsid w:val="0046614B"/>
    <w:rsid w:val="00475B35"/>
    <w:rsid w:val="004772EB"/>
    <w:rsid w:val="0047739E"/>
    <w:rsid w:val="00484E98"/>
    <w:rsid w:val="00491630"/>
    <w:rsid w:val="00493781"/>
    <w:rsid w:val="00494D17"/>
    <w:rsid w:val="00496116"/>
    <w:rsid w:val="004A11B6"/>
    <w:rsid w:val="004A1AAA"/>
    <w:rsid w:val="004A4C18"/>
    <w:rsid w:val="004A69AA"/>
    <w:rsid w:val="004B68A8"/>
    <w:rsid w:val="004C3A69"/>
    <w:rsid w:val="004C47E0"/>
    <w:rsid w:val="004D0158"/>
    <w:rsid w:val="004D128F"/>
    <w:rsid w:val="004E1EA3"/>
    <w:rsid w:val="004E72B5"/>
    <w:rsid w:val="004F0B7D"/>
    <w:rsid w:val="004F6E91"/>
    <w:rsid w:val="004F734A"/>
    <w:rsid w:val="0050138D"/>
    <w:rsid w:val="0050279B"/>
    <w:rsid w:val="00505DB1"/>
    <w:rsid w:val="005100D5"/>
    <w:rsid w:val="00511F4E"/>
    <w:rsid w:val="00516F13"/>
    <w:rsid w:val="00521437"/>
    <w:rsid w:val="00522697"/>
    <w:rsid w:val="005242B9"/>
    <w:rsid w:val="00524EA9"/>
    <w:rsid w:val="00525E2C"/>
    <w:rsid w:val="00527817"/>
    <w:rsid w:val="00530590"/>
    <w:rsid w:val="005312B7"/>
    <w:rsid w:val="00531588"/>
    <w:rsid w:val="005317BF"/>
    <w:rsid w:val="00534797"/>
    <w:rsid w:val="0054031A"/>
    <w:rsid w:val="00541330"/>
    <w:rsid w:val="005430D4"/>
    <w:rsid w:val="00544461"/>
    <w:rsid w:val="005454B5"/>
    <w:rsid w:val="005464D2"/>
    <w:rsid w:val="00546779"/>
    <w:rsid w:val="00552BB9"/>
    <w:rsid w:val="005568CA"/>
    <w:rsid w:val="00560773"/>
    <w:rsid w:val="00561990"/>
    <w:rsid w:val="00566D9C"/>
    <w:rsid w:val="00567541"/>
    <w:rsid w:val="00573FF2"/>
    <w:rsid w:val="005771AF"/>
    <w:rsid w:val="00577D95"/>
    <w:rsid w:val="00577EA6"/>
    <w:rsid w:val="005833A4"/>
    <w:rsid w:val="005879A0"/>
    <w:rsid w:val="0059609D"/>
    <w:rsid w:val="005C03EA"/>
    <w:rsid w:val="005D4D7F"/>
    <w:rsid w:val="005E09C6"/>
    <w:rsid w:val="005E6FA2"/>
    <w:rsid w:val="00601F17"/>
    <w:rsid w:val="00601FB5"/>
    <w:rsid w:val="00603E43"/>
    <w:rsid w:val="00604B0B"/>
    <w:rsid w:val="00605FA8"/>
    <w:rsid w:val="00612C77"/>
    <w:rsid w:val="00614738"/>
    <w:rsid w:val="006157EC"/>
    <w:rsid w:val="00615E32"/>
    <w:rsid w:val="006352A1"/>
    <w:rsid w:val="00640BB6"/>
    <w:rsid w:val="00644807"/>
    <w:rsid w:val="0064527B"/>
    <w:rsid w:val="00646A3E"/>
    <w:rsid w:val="00646CD2"/>
    <w:rsid w:val="00647FCA"/>
    <w:rsid w:val="006511D6"/>
    <w:rsid w:val="0065465F"/>
    <w:rsid w:val="00654BE4"/>
    <w:rsid w:val="00657C98"/>
    <w:rsid w:val="00657CC5"/>
    <w:rsid w:val="00660821"/>
    <w:rsid w:val="00661706"/>
    <w:rsid w:val="00661857"/>
    <w:rsid w:val="00663283"/>
    <w:rsid w:val="00665F58"/>
    <w:rsid w:val="00670F39"/>
    <w:rsid w:val="00672F8E"/>
    <w:rsid w:val="00674D7D"/>
    <w:rsid w:val="0067745C"/>
    <w:rsid w:val="006819CF"/>
    <w:rsid w:val="00685B29"/>
    <w:rsid w:val="00693454"/>
    <w:rsid w:val="006A57AF"/>
    <w:rsid w:val="006A6DEA"/>
    <w:rsid w:val="006B13F0"/>
    <w:rsid w:val="006B7050"/>
    <w:rsid w:val="006C7442"/>
    <w:rsid w:val="006D0B88"/>
    <w:rsid w:val="006D0C70"/>
    <w:rsid w:val="006D3827"/>
    <w:rsid w:val="006D4B16"/>
    <w:rsid w:val="006D6BEA"/>
    <w:rsid w:val="006D6C22"/>
    <w:rsid w:val="006E04CA"/>
    <w:rsid w:val="006E1137"/>
    <w:rsid w:val="006E146A"/>
    <w:rsid w:val="0070018A"/>
    <w:rsid w:val="007008BE"/>
    <w:rsid w:val="00706A89"/>
    <w:rsid w:val="007134AE"/>
    <w:rsid w:val="0071562E"/>
    <w:rsid w:val="0072006A"/>
    <w:rsid w:val="0072118B"/>
    <w:rsid w:val="007211FC"/>
    <w:rsid w:val="00724B4D"/>
    <w:rsid w:val="007342EE"/>
    <w:rsid w:val="00734C5A"/>
    <w:rsid w:val="00744EE3"/>
    <w:rsid w:val="00747B01"/>
    <w:rsid w:val="00751C0F"/>
    <w:rsid w:val="00760303"/>
    <w:rsid w:val="00761F8B"/>
    <w:rsid w:val="00765510"/>
    <w:rsid w:val="00765F88"/>
    <w:rsid w:val="0077265A"/>
    <w:rsid w:val="00775E82"/>
    <w:rsid w:val="00777798"/>
    <w:rsid w:val="0078154A"/>
    <w:rsid w:val="00783717"/>
    <w:rsid w:val="00784DA3"/>
    <w:rsid w:val="00790482"/>
    <w:rsid w:val="0079120A"/>
    <w:rsid w:val="00794224"/>
    <w:rsid w:val="00796CFC"/>
    <w:rsid w:val="007975D9"/>
    <w:rsid w:val="007A5DD3"/>
    <w:rsid w:val="007A7DF0"/>
    <w:rsid w:val="007B0E08"/>
    <w:rsid w:val="007B3CC9"/>
    <w:rsid w:val="007B3F87"/>
    <w:rsid w:val="007B6F19"/>
    <w:rsid w:val="007B7949"/>
    <w:rsid w:val="007C20B1"/>
    <w:rsid w:val="007C5894"/>
    <w:rsid w:val="007C676D"/>
    <w:rsid w:val="007C67CF"/>
    <w:rsid w:val="007C6C8A"/>
    <w:rsid w:val="007C795F"/>
    <w:rsid w:val="007C79F1"/>
    <w:rsid w:val="007D05C8"/>
    <w:rsid w:val="007D2A77"/>
    <w:rsid w:val="007D545A"/>
    <w:rsid w:val="007D75E1"/>
    <w:rsid w:val="007E1C46"/>
    <w:rsid w:val="007E47D3"/>
    <w:rsid w:val="007F1484"/>
    <w:rsid w:val="007F6063"/>
    <w:rsid w:val="008008AA"/>
    <w:rsid w:val="00803E15"/>
    <w:rsid w:val="0080408D"/>
    <w:rsid w:val="0080478D"/>
    <w:rsid w:val="00805AD3"/>
    <w:rsid w:val="00806195"/>
    <w:rsid w:val="0081533B"/>
    <w:rsid w:val="0081551E"/>
    <w:rsid w:val="00820ED2"/>
    <w:rsid w:val="008270AD"/>
    <w:rsid w:val="008328E2"/>
    <w:rsid w:val="00835AFC"/>
    <w:rsid w:val="0083768C"/>
    <w:rsid w:val="00841D92"/>
    <w:rsid w:val="00846985"/>
    <w:rsid w:val="008472D6"/>
    <w:rsid w:val="008540BC"/>
    <w:rsid w:val="008560BB"/>
    <w:rsid w:val="008604AC"/>
    <w:rsid w:val="00860A6B"/>
    <w:rsid w:val="0086164F"/>
    <w:rsid w:val="00873303"/>
    <w:rsid w:val="008746DC"/>
    <w:rsid w:val="00874988"/>
    <w:rsid w:val="008770A2"/>
    <w:rsid w:val="00881565"/>
    <w:rsid w:val="0088675D"/>
    <w:rsid w:val="00886C5C"/>
    <w:rsid w:val="00891290"/>
    <w:rsid w:val="00891410"/>
    <w:rsid w:val="008923B2"/>
    <w:rsid w:val="008A5273"/>
    <w:rsid w:val="008B3F6C"/>
    <w:rsid w:val="008C45EF"/>
    <w:rsid w:val="008C51C3"/>
    <w:rsid w:val="008D421C"/>
    <w:rsid w:val="008D5583"/>
    <w:rsid w:val="008D7686"/>
    <w:rsid w:val="008E051A"/>
    <w:rsid w:val="008E1433"/>
    <w:rsid w:val="008E3926"/>
    <w:rsid w:val="008E4794"/>
    <w:rsid w:val="008E4930"/>
    <w:rsid w:val="008E7852"/>
    <w:rsid w:val="008F37DA"/>
    <w:rsid w:val="008F4EE9"/>
    <w:rsid w:val="008F5946"/>
    <w:rsid w:val="008F5B28"/>
    <w:rsid w:val="008F70F2"/>
    <w:rsid w:val="008F7BB2"/>
    <w:rsid w:val="009029E3"/>
    <w:rsid w:val="0090646F"/>
    <w:rsid w:val="009103C1"/>
    <w:rsid w:val="00910710"/>
    <w:rsid w:val="0091638A"/>
    <w:rsid w:val="009208E6"/>
    <w:rsid w:val="0092273D"/>
    <w:rsid w:val="009230DB"/>
    <w:rsid w:val="009234FE"/>
    <w:rsid w:val="00923C09"/>
    <w:rsid w:val="00923C0F"/>
    <w:rsid w:val="009245F9"/>
    <w:rsid w:val="009252BC"/>
    <w:rsid w:val="00925908"/>
    <w:rsid w:val="00926356"/>
    <w:rsid w:val="00926DAF"/>
    <w:rsid w:val="00931032"/>
    <w:rsid w:val="00932602"/>
    <w:rsid w:val="00934FF9"/>
    <w:rsid w:val="009407F5"/>
    <w:rsid w:val="0094104E"/>
    <w:rsid w:val="00950AF4"/>
    <w:rsid w:val="00962BB3"/>
    <w:rsid w:val="00963C60"/>
    <w:rsid w:val="0096686C"/>
    <w:rsid w:val="00966C66"/>
    <w:rsid w:val="009674EB"/>
    <w:rsid w:val="0097247B"/>
    <w:rsid w:val="0097356C"/>
    <w:rsid w:val="00974BB8"/>
    <w:rsid w:val="00983FF2"/>
    <w:rsid w:val="0099130C"/>
    <w:rsid w:val="00992F06"/>
    <w:rsid w:val="00993CAB"/>
    <w:rsid w:val="009A0B3E"/>
    <w:rsid w:val="009A4B9E"/>
    <w:rsid w:val="009A5D22"/>
    <w:rsid w:val="009A729E"/>
    <w:rsid w:val="009B3212"/>
    <w:rsid w:val="009B7B6A"/>
    <w:rsid w:val="009D29BD"/>
    <w:rsid w:val="009D2FD5"/>
    <w:rsid w:val="009E11DE"/>
    <w:rsid w:val="009E618D"/>
    <w:rsid w:val="009E6C35"/>
    <w:rsid w:val="009E754B"/>
    <w:rsid w:val="00A07BCC"/>
    <w:rsid w:val="00A151DB"/>
    <w:rsid w:val="00A15FA8"/>
    <w:rsid w:val="00A17202"/>
    <w:rsid w:val="00A24C47"/>
    <w:rsid w:val="00A27654"/>
    <w:rsid w:val="00A309EB"/>
    <w:rsid w:val="00A3384C"/>
    <w:rsid w:val="00A364F2"/>
    <w:rsid w:val="00A369FB"/>
    <w:rsid w:val="00A36CF5"/>
    <w:rsid w:val="00A5427C"/>
    <w:rsid w:val="00A5500D"/>
    <w:rsid w:val="00A568D1"/>
    <w:rsid w:val="00A57451"/>
    <w:rsid w:val="00A71CE9"/>
    <w:rsid w:val="00A71F84"/>
    <w:rsid w:val="00A73089"/>
    <w:rsid w:val="00A74376"/>
    <w:rsid w:val="00A763D5"/>
    <w:rsid w:val="00A76860"/>
    <w:rsid w:val="00A81577"/>
    <w:rsid w:val="00A90DC6"/>
    <w:rsid w:val="00A927B3"/>
    <w:rsid w:val="00A96E09"/>
    <w:rsid w:val="00AA7636"/>
    <w:rsid w:val="00AB75D5"/>
    <w:rsid w:val="00AC0DC8"/>
    <w:rsid w:val="00AC15F0"/>
    <w:rsid w:val="00AD021C"/>
    <w:rsid w:val="00AD1D37"/>
    <w:rsid w:val="00AD21FC"/>
    <w:rsid w:val="00AD240B"/>
    <w:rsid w:val="00AD383D"/>
    <w:rsid w:val="00AD5870"/>
    <w:rsid w:val="00AD6488"/>
    <w:rsid w:val="00AE05B9"/>
    <w:rsid w:val="00AE3D3E"/>
    <w:rsid w:val="00AE4413"/>
    <w:rsid w:val="00AE5C20"/>
    <w:rsid w:val="00AF2371"/>
    <w:rsid w:val="00AF5919"/>
    <w:rsid w:val="00AF6165"/>
    <w:rsid w:val="00AF76BF"/>
    <w:rsid w:val="00B03AD3"/>
    <w:rsid w:val="00B100D6"/>
    <w:rsid w:val="00B10F20"/>
    <w:rsid w:val="00B1122A"/>
    <w:rsid w:val="00B11AE4"/>
    <w:rsid w:val="00B178D8"/>
    <w:rsid w:val="00B20F3A"/>
    <w:rsid w:val="00B2160E"/>
    <w:rsid w:val="00B232AE"/>
    <w:rsid w:val="00B30EFA"/>
    <w:rsid w:val="00B33F69"/>
    <w:rsid w:val="00B404CE"/>
    <w:rsid w:val="00B4606A"/>
    <w:rsid w:val="00B47F97"/>
    <w:rsid w:val="00B50C8F"/>
    <w:rsid w:val="00B51D4C"/>
    <w:rsid w:val="00B55552"/>
    <w:rsid w:val="00B564F9"/>
    <w:rsid w:val="00B5781C"/>
    <w:rsid w:val="00B672EF"/>
    <w:rsid w:val="00B74C7D"/>
    <w:rsid w:val="00B802A0"/>
    <w:rsid w:val="00B803A0"/>
    <w:rsid w:val="00B80E72"/>
    <w:rsid w:val="00B84D31"/>
    <w:rsid w:val="00B906E9"/>
    <w:rsid w:val="00B95F81"/>
    <w:rsid w:val="00B965DF"/>
    <w:rsid w:val="00BA1317"/>
    <w:rsid w:val="00BA3B31"/>
    <w:rsid w:val="00BA3F4C"/>
    <w:rsid w:val="00BA4AD4"/>
    <w:rsid w:val="00BA55D6"/>
    <w:rsid w:val="00BA56CE"/>
    <w:rsid w:val="00BB2CCD"/>
    <w:rsid w:val="00BB3B50"/>
    <w:rsid w:val="00BB5DCD"/>
    <w:rsid w:val="00BD1BA2"/>
    <w:rsid w:val="00BD77BE"/>
    <w:rsid w:val="00BE7A05"/>
    <w:rsid w:val="00BF0705"/>
    <w:rsid w:val="00BF345D"/>
    <w:rsid w:val="00BF48A9"/>
    <w:rsid w:val="00C01C97"/>
    <w:rsid w:val="00C02ABD"/>
    <w:rsid w:val="00C03527"/>
    <w:rsid w:val="00C03FA5"/>
    <w:rsid w:val="00C043A7"/>
    <w:rsid w:val="00C0572D"/>
    <w:rsid w:val="00C07C46"/>
    <w:rsid w:val="00C2116D"/>
    <w:rsid w:val="00C2141D"/>
    <w:rsid w:val="00C2336E"/>
    <w:rsid w:val="00C23390"/>
    <w:rsid w:val="00C24276"/>
    <w:rsid w:val="00C314AB"/>
    <w:rsid w:val="00C315CE"/>
    <w:rsid w:val="00C33FE7"/>
    <w:rsid w:val="00C436AD"/>
    <w:rsid w:val="00C454FF"/>
    <w:rsid w:val="00C52DBD"/>
    <w:rsid w:val="00C53FF3"/>
    <w:rsid w:val="00C554B3"/>
    <w:rsid w:val="00C634F1"/>
    <w:rsid w:val="00C64F27"/>
    <w:rsid w:val="00C65B9A"/>
    <w:rsid w:val="00C66653"/>
    <w:rsid w:val="00C67037"/>
    <w:rsid w:val="00C73A1F"/>
    <w:rsid w:val="00C7767F"/>
    <w:rsid w:val="00C83639"/>
    <w:rsid w:val="00C85257"/>
    <w:rsid w:val="00C95D7F"/>
    <w:rsid w:val="00C96BDD"/>
    <w:rsid w:val="00C97CEF"/>
    <w:rsid w:val="00CA139A"/>
    <w:rsid w:val="00CA1ECF"/>
    <w:rsid w:val="00CA6B2B"/>
    <w:rsid w:val="00CB2DE6"/>
    <w:rsid w:val="00CB3D8B"/>
    <w:rsid w:val="00CB72CF"/>
    <w:rsid w:val="00CC3518"/>
    <w:rsid w:val="00CD354D"/>
    <w:rsid w:val="00CD390A"/>
    <w:rsid w:val="00CD54DD"/>
    <w:rsid w:val="00CD7A1A"/>
    <w:rsid w:val="00CF7D4C"/>
    <w:rsid w:val="00CF7FA5"/>
    <w:rsid w:val="00D06479"/>
    <w:rsid w:val="00D06D4F"/>
    <w:rsid w:val="00D141E3"/>
    <w:rsid w:val="00D17966"/>
    <w:rsid w:val="00D22FF9"/>
    <w:rsid w:val="00D23A43"/>
    <w:rsid w:val="00D2465B"/>
    <w:rsid w:val="00D24C83"/>
    <w:rsid w:val="00D259DD"/>
    <w:rsid w:val="00D26106"/>
    <w:rsid w:val="00D30266"/>
    <w:rsid w:val="00D32C3D"/>
    <w:rsid w:val="00D33013"/>
    <w:rsid w:val="00D3336B"/>
    <w:rsid w:val="00D431C2"/>
    <w:rsid w:val="00D43B83"/>
    <w:rsid w:val="00D44167"/>
    <w:rsid w:val="00D452DE"/>
    <w:rsid w:val="00D45E89"/>
    <w:rsid w:val="00D472D8"/>
    <w:rsid w:val="00D5175A"/>
    <w:rsid w:val="00D54459"/>
    <w:rsid w:val="00D57D7A"/>
    <w:rsid w:val="00D73963"/>
    <w:rsid w:val="00D818A9"/>
    <w:rsid w:val="00D84E53"/>
    <w:rsid w:val="00D87C37"/>
    <w:rsid w:val="00D903C5"/>
    <w:rsid w:val="00DA301E"/>
    <w:rsid w:val="00DA7551"/>
    <w:rsid w:val="00DB17F8"/>
    <w:rsid w:val="00DB1BDC"/>
    <w:rsid w:val="00DB53FE"/>
    <w:rsid w:val="00DB6CB9"/>
    <w:rsid w:val="00DC1D02"/>
    <w:rsid w:val="00DC3790"/>
    <w:rsid w:val="00DC681C"/>
    <w:rsid w:val="00DD6BB6"/>
    <w:rsid w:val="00DE0550"/>
    <w:rsid w:val="00DF0CE3"/>
    <w:rsid w:val="00DF133F"/>
    <w:rsid w:val="00DF5C71"/>
    <w:rsid w:val="00DF7D7B"/>
    <w:rsid w:val="00E03651"/>
    <w:rsid w:val="00E04ADE"/>
    <w:rsid w:val="00E07D88"/>
    <w:rsid w:val="00E10160"/>
    <w:rsid w:val="00E11B39"/>
    <w:rsid w:val="00E12DB8"/>
    <w:rsid w:val="00E1306D"/>
    <w:rsid w:val="00E210F6"/>
    <w:rsid w:val="00E21BCA"/>
    <w:rsid w:val="00E2294F"/>
    <w:rsid w:val="00E31888"/>
    <w:rsid w:val="00E31F0B"/>
    <w:rsid w:val="00E344B3"/>
    <w:rsid w:val="00E420B6"/>
    <w:rsid w:val="00E44585"/>
    <w:rsid w:val="00E45712"/>
    <w:rsid w:val="00E46C5F"/>
    <w:rsid w:val="00E46E41"/>
    <w:rsid w:val="00E53955"/>
    <w:rsid w:val="00E554D5"/>
    <w:rsid w:val="00E61304"/>
    <w:rsid w:val="00E62715"/>
    <w:rsid w:val="00E630EB"/>
    <w:rsid w:val="00E63F6F"/>
    <w:rsid w:val="00E66D46"/>
    <w:rsid w:val="00E70A8C"/>
    <w:rsid w:val="00E72BA9"/>
    <w:rsid w:val="00E74FF1"/>
    <w:rsid w:val="00E75EF5"/>
    <w:rsid w:val="00E76903"/>
    <w:rsid w:val="00E815E8"/>
    <w:rsid w:val="00E833CD"/>
    <w:rsid w:val="00E84A4D"/>
    <w:rsid w:val="00E91364"/>
    <w:rsid w:val="00E9387A"/>
    <w:rsid w:val="00E95AA9"/>
    <w:rsid w:val="00EA044B"/>
    <w:rsid w:val="00EA61D3"/>
    <w:rsid w:val="00EA7217"/>
    <w:rsid w:val="00EA7BDE"/>
    <w:rsid w:val="00EB4A49"/>
    <w:rsid w:val="00EB671D"/>
    <w:rsid w:val="00EC00A4"/>
    <w:rsid w:val="00EC0978"/>
    <w:rsid w:val="00EC2B71"/>
    <w:rsid w:val="00ED18F1"/>
    <w:rsid w:val="00ED316B"/>
    <w:rsid w:val="00ED4F88"/>
    <w:rsid w:val="00EE67BA"/>
    <w:rsid w:val="00EE6CEC"/>
    <w:rsid w:val="00EE7957"/>
    <w:rsid w:val="00F00E96"/>
    <w:rsid w:val="00F053EC"/>
    <w:rsid w:val="00F061A1"/>
    <w:rsid w:val="00F10DFF"/>
    <w:rsid w:val="00F1429D"/>
    <w:rsid w:val="00F20AE8"/>
    <w:rsid w:val="00F20EAE"/>
    <w:rsid w:val="00F220FC"/>
    <w:rsid w:val="00F22AD4"/>
    <w:rsid w:val="00F24B06"/>
    <w:rsid w:val="00F25347"/>
    <w:rsid w:val="00F25D0B"/>
    <w:rsid w:val="00F26F2A"/>
    <w:rsid w:val="00F329E8"/>
    <w:rsid w:val="00F35411"/>
    <w:rsid w:val="00F35480"/>
    <w:rsid w:val="00F35E37"/>
    <w:rsid w:val="00F37E83"/>
    <w:rsid w:val="00F44B48"/>
    <w:rsid w:val="00F46674"/>
    <w:rsid w:val="00F515AE"/>
    <w:rsid w:val="00F55B7A"/>
    <w:rsid w:val="00F560A9"/>
    <w:rsid w:val="00F72814"/>
    <w:rsid w:val="00F7353A"/>
    <w:rsid w:val="00F7696E"/>
    <w:rsid w:val="00F82F3B"/>
    <w:rsid w:val="00F83581"/>
    <w:rsid w:val="00F842D7"/>
    <w:rsid w:val="00F85526"/>
    <w:rsid w:val="00F85C38"/>
    <w:rsid w:val="00F86D2B"/>
    <w:rsid w:val="00F90128"/>
    <w:rsid w:val="00F90F6B"/>
    <w:rsid w:val="00F92C5E"/>
    <w:rsid w:val="00F947AC"/>
    <w:rsid w:val="00F95D8D"/>
    <w:rsid w:val="00F967DF"/>
    <w:rsid w:val="00F96F53"/>
    <w:rsid w:val="00F97A78"/>
    <w:rsid w:val="00FA15AE"/>
    <w:rsid w:val="00FA21AF"/>
    <w:rsid w:val="00FA69FD"/>
    <w:rsid w:val="00FB3AF3"/>
    <w:rsid w:val="00FB507E"/>
    <w:rsid w:val="00FB5EEF"/>
    <w:rsid w:val="00FB6565"/>
    <w:rsid w:val="00FC4728"/>
    <w:rsid w:val="00FC7181"/>
    <w:rsid w:val="00FC7E8D"/>
    <w:rsid w:val="00FD3FE9"/>
    <w:rsid w:val="00FD441B"/>
    <w:rsid w:val="00FD596F"/>
    <w:rsid w:val="00FD6054"/>
    <w:rsid w:val="00FD63C8"/>
    <w:rsid w:val="00FE31AA"/>
    <w:rsid w:val="00FE5320"/>
    <w:rsid w:val="00FF6A34"/>
    <w:rsid w:val="00FF7117"/>
    <w:rsid w:val="00FF7303"/>
    <w:rsid w:val="013FCFB6"/>
    <w:rsid w:val="0170C057"/>
    <w:rsid w:val="01A31BF6"/>
    <w:rsid w:val="023E72DD"/>
    <w:rsid w:val="029DD2B0"/>
    <w:rsid w:val="06CEB1BF"/>
    <w:rsid w:val="07778CDB"/>
    <w:rsid w:val="0794B323"/>
    <w:rsid w:val="081CD563"/>
    <w:rsid w:val="091AB67A"/>
    <w:rsid w:val="0CDE3617"/>
    <w:rsid w:val="0D9DC20C"/>
    <w:rsid w:val="0DFB8102"/>
    <w:rsid w:val="0E91F676"/>
    <w:rsid w:val="0F090BE8"/>
    <w:rsid w:val="0F6E2C32"/>
    <w:rsid w:val="1273F94B"/>
    <w:rsid w:val="1314B946"/>
    <w:rsid w:val="1379433B"/>
    <w:rsid w:val="146CDF3E"/>
    <w:rsid w:val="162D339D"/>
    <w:rsid w:val="16817FA7"/>
    <w:rsid w:val="16FBF3B6"/>
    <w:rsid w:val="18CBB671"/>
    <w:rsid w:val="1A5E6320"/>
    <w:rsid w:val="1A7A3CCD"/>
    <w:rsid w:val="1B75446D"/>
    <w:rsid w:val="1B955587"/>
    <w:rsid w:val="1C1F3A18"/>
    <w:rsid w:val="1DE15198"/>
    <w:rsid w:val="1E183F89"/>
    <w:rsid w:val="1E18ADC6"/>
    <w:rsid w:val="2035CB42"/>
    <w:rsid w:val="206705F4"/>
    <w:rsid w:val="21479051"/>
    <w:rsid w:val="2210C4CF"/>
    <w:rsid w:val="23DAF934"/>
    <w:rsid w:val="2407BBC1"/>
    <w:rsid w:val="25ECEADF"/>
    <w:rsid w:val="26D4E0A8"/>
    <w:rsid w:val="274C0677"/>
    <w:rsid w:val="2798B25C"/>
    <w:rsid w:val="27CEF574"/>
    <w:rsid w:val="28B2D625"/>
    <w:rsid w:val="2A0707F1"/>
    <w:rsid w:val="2A7A0687"/>
    <w:rsid w:val="2A7A4F8E"/>
    <w:rsid w:val="2AE9E023"/>
    <w:rsid w:val="2BC9A09D"/>
    <w:rsid w:val="2C538143"/>
    <w:rsid w:val="2C7ACCA2"/>
    <w:rsid w:val="2D6C36E5"/>
    <w:rsid w:val="2E114FE2"/>
    <w:rsid w:val="2E6928A1"/>
    <w:rsid w:val="2E6E9E32"/>
    <w:rsid w:val="2EEED1A0"/>
    <w:rsid w:val="2F598105"/>
    <w:rsid w:val="2F9DDD69"/>
    <w:rsid w:val="30D2BE5B"/>
    <w:rsid w:val="314FF27E"/>
    <w:rsid w:val="31F163EA"/>
    <w:rsid w:val="3328C0DC"/>
    <w:rsid w:val="3340129D"/>
    <w:rsid w:val="3363634D"/>
    <w:rsid w:val="34C67D2A"/>
    <w:rsid w:val="35E65CD7"/>
    <w:rsid w:val="3736655B"/>
    <w:rsid w:val="37E61136"/>
    <w:rsid w:val="3807C222"/>
    <w:rsid w:val="3831596C"/>
    <w:rsid w:val="3842A9E7"/>
    <w:rsid w:val="390F0A72"/>
    <w:rsid w:val="3A601016"/>
    <w:rsid w:val="3AF166DF"/>
    <w:rsid w:val="3BC981CE"/>
    <w:rsid w:val="3C77E8A8"/>
    <w:rsid w:val="3C7870E5"/>
    <w:rsid w:val="3C79E995"/>
    <w:rsid w:val="3D5294F7"/>
    <w:rsid w:val="3D9B308A"/>
    <w:rsid w:val="3F7416C0"/>
    <w:rsid w:val="3FAB7940"/>
    <w:rsid w:val="413A14A1"/>
    <w:rsid w:val="4152C8D3"/>
    <w:rsid w:val="41A56D01"/>
    <w:rsid w:val="4202D9FE"/>
    <w:rsid w:val="423965FA"/>
    <w:rsid w:val="44230373"/>
    <w:rsid w:val="457AD55E"/>
    <w:rsid w:val="45CB42D3"/>
    <w:rsid w:val="45EC8255"/>
    <w:rsid w:val="4600CB85"/>
    <w:rsid w:val="46524773"/>
    <w:rsid w:val="478EC9C4"/>
    <w:rsid w:val="4A4585F5"/>
    <w:rsid w:val="4B5D3539"/>
    <w:rsid w:val="4B9D46BE"/>
    <w:rsid w:val="4B9F3047"/>
    <w:rsid w:val="4C4A9BEA"/>
    <w:rsid w:val="4D46E1DB"/>
    <w:rsid w:val="4D7C6706"/>
    <w:rsid w:val="4E63EF05"/>
    <w:rsid w:val="4F3E139A"/>
    <w:rsid w:val="4FFD5275"/>
    <w:rsid w:val="509E1228"/>
    <w:rsid w:val="51665EC9"/>
    <w:rsid w:val="519FAB8A"/>
    <w:rsid w:val="52376C54"/>
    <w:rsid w:val="52521B09"/>
    <w:rsid w:val="52669A43"/>
    <w:rsid w:val="53229996"/>
    <w:rsid w:val="53C48A0B"/>
    <w:rsid w:val="53E7A7BD"/>
    <w:rsid w:val="563FBB60"/>
    <w:rsid w:val="5694B193"/>
    <w:rsid w:val="5770E9BA"/>
    <w:rsid w:val="578488FD"/>
    <w:rsid w:val="5794EC38"/>
    <w:rsid w:val="57A872FE"/>
    <w:rsid w:val="57A92FA2"/>
    <w:rsid w:val="57E396AE"/>
    <w:rsid w:val="59F8D2E6"/>
    <w:rsid w:val="5A20D253"/>
    <w:rsid w:val="5AA1B42C"/>
    <w:rsid w:val="5B1A706F"/>
    <w:rsid w:val="5B7C7FB3"/>
    <w:rsid w:val="5D9CA9A2"/>
    <w:rsid w:val="5E247D1F"/>
    <w:rsid w:val="5E85A82C"/>
    <w:rsid w:val="5EEEB0DD"/>
    <w:rsid w:val="603DD49B"/>
    <w:rsid w:val="60E052F1"/>
    <w:rsid w:val="63C708A9"/>
    <w:rsid w:val="6447C252"/>
    <w:rsid w:val="6516051D"/>
    <w:rsid w:val="658B17EE"/>
    <w:rsid w:val="65B14D97"/>
    <w:rsid w:val="66452483"/>
    <w:rsid w:val="67BE0222"/>
    <w:rsid w:val="693E293C"/>
    <w:rsid w:val="6D8B5EEF"/>
    <w:rsid w:val="6DF39696"/>
    <w:rsid w:val="6E28BA75"/>
    <w:rsid w:val="6E28E9A4"/>
    <w:rsid w:val="6ED94527"/>
    <w:rsid w:val="71ADE2AF"/>
    <w:rsid w:val="725A545B"/>
    <w:rsid w:val="73241326"/>
    <w:rsid w:val="75034763"/>
    <w:rsid w:val="7507FE6F"/>
    <w:rsid w:val="750E9567"/>
    <w:rsid w:val="7562B63C"/>
    <w:rsid w:val="76C482D4"/>
    <w:rsid w:val="7821581B"/>
    <w:rsid w:val="78C33FD2"/>
    <w:rsid w:val="78E24D1A"/>
    <w:rsid w:val="7B08CDE6"/>
    <w:rsid w:val="7B9D87F7"/>
    <w:rsid w:val="7BDE1C4B"/>
    <w:rsid w:val="7CD3F24F"/>
    <w:rsid w:val="7E5AC5E6"/>
    <w:rsid w:val="7E72E029"/>
    <w:rsid w:val="7F3BB0A6"/>
    <w:rsid w:val="7F6D5EB8"/>
    <w:rsid w:val="7F872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ECD58560-F37A-496D-B62F-9CC2C0FE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paragraph" w:styleId="Heading2">
    <w:name w:val="heading 2"/>
    <w:basedOn w:val="Normal"/>
    <w:next w:val="Normal"/>
    <w:link w:val="Heading2Char"/>
    <w:qFormat/>
    <w:rsid w:val="00724B4D"/>
    <w:pPr>
      <w:keepNext/>
      <w:spacing w:after="120"/>
      <w:outlineLvl w:val="1"/>
    </w:pPr>
    <w:rPr>
      <w:rFonts w:ascii="Arial" w:eastAsia="Times New Roman" w:hAnsi="Arial" w:cs="Times New Roman"/>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aliases w:val="DPAC Alpha Numeric List"/>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aliases w:val="DPAC Alpha Numeric List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character" w:customStyle="1" w:styleId="Heading2Char">
    <w:name w:val="Heading 2 Char"/>
    <w:basedOn w:val="DefaultParagraphFont"/>
    <w:link w:val="Heading2"/>
    <w:rsid w:val="00724B4D"/>
    <w:rPr>
      <w:rFonts w:ascii="Arial" w:eastAsia="Times New Roman" w:hAnsi="Arial"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628">
      <w:bodyDiv w:val="1"/>
      <w:marLeft w:val="0"/>
      <w:marRight w:val="0"/>
      <w:marTop w:val="0"/>
      <w:marBottom w:val="0"/>
      <w:divBdr>
        <w:top w:val="none" w:sz="0" w:space="0" w:color="auto"/>
        <w:left w:val="none" w:sz="0" w:space="0" w:color="auto"/>
        <w:bottom w:val="none" w:sz="0" w:space="0" w:color="auto"/>
        <w:right w:val="none" w:sz="0" w:space="0" w:color="auto"/>
      </w:divBdr>
    </w:div>
    <w:div w:id="1122190005">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t.ca.gov/programs/local-assistance/guidelines-and-procedures/local-assistance-procedures-manual-lap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t.ca.gov/programs/local-assistance/guidelines-and-procedures/local-assistance-procedures-manual-lap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tar.gov/productfinder/product/certified-evse/resul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tar.gov/productfinder/product/certified-evse/resul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Dudek editorial (Steve Taffolla)</DisplayName>
        <AccountId>4898</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EE3AD6E7-3F6D-454C-B063-8B8DC90B0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2885</Words>
  <Characters>16449</Characters>
  <Application>Microsoft Office Word</Application>
  <DocSecurity>0</DocSecurity>
  <Lines>137</Lines>
  <Paragraphs>38</Paragraphs>
  <ScaleCrop>false</ScaleCrop>
  <Company>Wobschall Design</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Lemos-Adair, Eunice@Energy</cp:lastModifiedBy>
  <cp:revision>76</cp:revision>
  <cp:lastPrinted>2019-04-08T16:38:00Z</cp:lastPrinted>
  <dcterms:created xsi:type="dcterms:W3CDTF">2024-11-07T21:54:00Z</dcterms:created>
  <dcterms:modified xsi:type="dcterms:W3CDTF">2024-12-16T22:32:00Z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