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CA855" w14:textId="77777777" w:rsidR="00472D2F" w:rsidRPr="00A62F65" w:rsidRDefault="00472D2F" w:rsidP="005D5E93">
      <w:pPr>
        <w:pStyle w:val="Heading1"/>
      </w:pPr>
      <w:r w:rsidRPr="00A62F65">
        <w:t>Questions and Answers</w:t>
      </w:r>
    </w:p>
    <w:p w14:paraId="17B7B460" w14:textId="77777777" w:rsidR="00872F31" w:rsidRPr="00050087" w:rsidRDefault="00872F31" w:rsidP="00872F31">
      <w:pPr>
        <w:spacing w:after="0"/>
        <w:jc w:val="center"/>
      </w:pPr>
    </w:p>
    <w:p w14:paraId="7D8F8403" w14:textId="77777777" w:rsidR="00872F31" w:rsidRPr="00872F31" w:rsidRDefault="00872F31" w:rsidP="00872F31">
      <w:pPr>
        <w:spacing w:after="0" w:line="240" w:lineRule="auto"/>
        <w:ind w:left="720" w:hanging="720"/>
        <w:jc w:val="center"/>
        <w:rPr>
          <w:rFonts w:cs="Tahoma"/>
          <w:b/>
          <w:szCs w:val="24"/>
        </w:rPr>
      </w:pPr>
      <w:r w:rsidRPr="00872F31">
        <w:rPr>
          <w:rFonts w:cs="Tahoma"/>
          <w:b/>
          <w:szCs w:val="24"/>
        </w:rPr>
        <w:t>California’s Electric Vehicle Charger Reliability and Accessibility Accelerator (EVC RAA) Program</w:t>
      </w:r>
    </w:p>
    <w:p w14:paraId="677D311C" w14:textId="14B1CE13" w:rsidR="00472D2F" w:rsidRDefault="00320494" w:rsidP="00B4351B">
      <w:pPr>
        <w:spacing w:after="0" w:line="240" w:lineRule="auto"/>
        <w:ind w:left="720" w:hanging="720"/>
        <w:jc w:val="center"/>
        <w:rPr>
          <w:rFonts w:cs="Tahoma"/>
          <w:b/>
          <w:szCs w:val="24"/>
        </w:rPr>
      </w:pPr>
      <w:r w:rsidRPr="00A62F65">
        <w:rPr>
          <w:rFonts w:cs="Tahoma"/>
          <w:b/>
          <w:szCs w:val="24"/>
        </w:rPr>
        <w:t>GFO</w:t>
      </w:r>
      <w:r w:rsidR="00B4351B" w:rsidRPr="00A62F65">
        <w:rPr>
          <w:rFonts w:cs="Tahoma"/>
          <w:b/>
          <w:szCs w:val="24"/>
        </w:rPr>
        <w:t>-</w:t>
      </w:r>
      <w:r w:rsidR="00872F31">
        <w:rPr>
          <w:rFonts w:cs="Tahoma"/>
          <w:b/>
          <w:szCs w:val="24"/>
        </w:rPr>
        <w:t>24</w:t>
      </w:r>
      <w:r w:rsidR="00B4351B" w:rsidRPr="00A62F65">
        <w:rPr>
          <w:rFonts w:cs="Tahoma"/>
          <w:b/>
          <w:szCs w:val="24"/>
        </w:rPr>
        <w:t>-</w:t>
      </w:r>
      <w:r w:rsidR="00872F31">
        <w:rPr>
          <w:rFonts w:cs="Tahoma"/>
          <w:b/>
          <w:szCs w:val="24"/>
        </w:rPr>
        <w:t>603</w:t>
      </w:r>
    </w:p>
    <w:p w14:paraId="48D1EAEC" w14:textId="626A58CF" w:rsidR="00A62F65" w:rsidRPr="00A62F65" w:rsidRDefault="00872F31" w:rsidP="00B4351B">
      <w:pPr>
        <w:spacing w:after="0" w:line="240" w:lineRule="auto"/>
        <w:ind w:left="720" w:hanging="720"/>
        <w:jc w:val="center"/>
        <w:rPr>
          <w:rFonts w:cs="Tahoma"/>
          <w:b/>
          <w:szCs w:val="24"/>
        </w:rPr>
      </w:pPr>
      <w:r w:rsidRPr="00872F31">
        <w:rPr>
          <w:rFonts w:cs="Tahoma"/>
          <w:b/>
          <w:szCs w:val="24"/>
        </w:rPr>
        <w:t xml:space="preserve">December </w:t>
      </w:r>
      <w:r w:rsidR="00795C95">
        <w:rPr>
          <w:rFonts w:cs="Tahoma"/>
          <w:b/>
          <w:szCs w:val="24"/>
        </w:rPr>
        <w:t>16</w:t>
      </w:r>
      <w:r w:rsidR="00A62F65" w:rsidRPr="00872F31">
        <w:rPr>
          <w:rFonts w:cs="Tahoma"/>
          <w:b/>
          <w:szCs w:val="24"/>
        </w:rPr>
        <w:t>, 20</w:t>
      </w:r>
      <w:r w:rsidRPr="00872F31">
        <w:rPr>
          <w:rFonts w:cs="Tahoma"/>
          <w:b/>
          <w:szCs w:val="24"/>
        </w:rPr>
        <w:t>24</w:t>
      </w:r>
    </w:p>
    <w:p w14:paraId="382E31DB" w14:textId="77777777" w:rsidR="00472D2F" w:rsidRDefault="00472D2F" w:rsidP="00B4351B">
      <w:pPr>
        <w:spacing w:after="0" w:line="240" w:lineRule="auto"/>
        <w:ind w:left="720" w:hanging="720"/>
      </w:pPr>
    </w:p>
    <w:p w14:paraId="5F3B7B65" w14:textId="77777777" w:rsidR="00B4351B" w:rsidRDefault="00B4351B" w:rsidP="00B4351B">
      <w:pPr>
        <w:spacing w:after="0" w:line="240" w:lineRule="auto"/>
        <w:ind w:left="720" w:hanging="720"/>
      </w:pPr>
    </w:p>
    <w:p w14:paraId="07F9AD8F" w14:textId="77777777" w:rsidR="00A62F65" w:rsidRDefault="00A62F65" w:rsidP="00A62F65">
      <w:pPr>
        <w:spacing w:after="0" w:line="240" w:lineRule="auto"/>
        <w:rPr>
          <w:rFonts w:cs="Tahoma"/>
          <w:szCs w:val="24"/>
        </w:rPr>
      </w:pPr>
      <w:r w:rsidRPr="00547B20">
        <w:rPr>
          <w:rFonts w:cs="Tahoma"/>
          <w:szCs w:val="24"/>
        </w:rPr>
        <w:t>The following answers are based on California Energy Commission (CEC) staff’s interpretation of the questions received. It is the Applicant’s responsibility to review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3064CDB4" w14:textId="13551E48" w:rsidR="00472D2F" w:rsidRPr="00B13AFC" w:rsidRDefault="00472D2F" w:rsidP="00872F31">
      <w:pPr>
        <w:spacing w:after="0" w:line="240" w:lineRule="auto"/>
        <w:rPr>
          <w:rFonts w:cs="Tahoma"/>
          <w:b/>
          <w:szCs w:val="24"/>
          <w:highlight w:val="cyan"/>
        </w:rPr>
      </w:pPr>
    </w:p>
    <w:p w14:paraId="41181A72" w14:textId="26EF637C" w:rsidR="00B13AFC" w:rsidRPr="00B13AFC" w:rsidRDefault="00B13AFC" w:rsidP="00872F31">
      <w:pPr>
        <w:spacing w:after="0" w:line="240" w:lineRule="auto"/>
        <w:rPr>
          <w:rFonts w:cs="Tahoma"/>
          <w:b/>
          <w:szCs w:val="24"/>
          <w:u w:val="single"/>
        </w:rPr>
      </w:pPr>
      <w:r w:rsidRPr="00B13AFC">
        <w:rPr>
          <w:rFonts w:cs="Tahoma"/>
          <w:b/>
          <w:szCs w:val="24"/>
          <w:u w:val="single"/>
        </w:rPr>
        <w:t>Eligibility</w:t>
      </w:r>
    </w:p>
    <w:p w14:paraId="26344ABC" w14:textId="77777777" w:rsidR="00B4351B" w:rsidRPr="00A62F65" w:rsidRDefault="00B4351B" w:rsidP="00B4351B">
      <w:pPr>
        <w:spacing w:after="0" w:line="240" w:lineRule="auto"/>
        <w:ind w:left="720" w:hanging="720"/>
        <w:rPr>
          <w:rFonts w:cs="Tahoma"/>
          <w:szCs w:val="24"/>
        </w:rPr>
      </w:pPr>
    </w:p>
    <w:p w14:paraId="76969D17" w14:textId="76854EE2" w:rsidR="00394C16" w:rsidRDefault="00472D2F" w:rsidP="00B4351B">
      <w:pPr>
        <w:spacing w:after="0" w:line="240" w:lineRule="auto"/>
        <w:ind w:left="720" w:hanging="720"/>
        <w:rPr>
          <w:rFonts w:cs="Tahoma"/>
          <w:b/>
          <w:szCs w:val="24"/>
        </w:rPr>
      </w:pPr>
      <w:r w:rsidRPr="003F59CF">
        <w:rPr>
          <w:rFonts w:cs="Tahoma"/>
          <w:b/>
          <w:szCs w:val="24"/>
        </w:rPr>
        <w:t>Q1</w:t>
      </w:r>
      <w:r w:rsidR="00A62F65" w:rsidRPr="003F59CF">
        <w:rPr>
          <w:rFonts w:cs="Tahoma"/>
          <w:b/>
          <w:szCs w:val="24"/>
        </w:rPr>
        <w:t>.</w:t>
      </w:r>
      <w:r w:rsidR="00715AF8">
        <w:rPr>
          <w:rFonts w:cs="Tahoma"/>
          <w:b/>
          <w:szCs w:val="24"/>
        </w:rPr>
        <w:t xml:space="preserve"> </w:t>
      </w:r>
      <w:r w:rsidR="00394C16">
        <w:rPr>
          <w:rFonts w:cs="Tahoma"/>
          <w:b/>
          <w:szCs w:val="24"/>
        </w:rPr>
        <w:tab/>
      </w:r>
      <w:r w:rsidR="00715AF8">
        <w:rPr>
          <w:rFonts w:cs="Tahoma"/>
          <w:b/>
          <w:szCs w:val="24"/>
        </w:rPr>
        <w:t>Who is eligible to apply</w:t>
      </w:r>
      <w:r w:rsidR="00394C16">
        <w:rPr>
          <w:rFonts w:cs="Tahoma"/>
          <w:b/>
          <w:szCs w:val="24"/>
        </w:rPr>
        <w:t>?</w:t>
      </w:r>
    </w:p>
    <w:p w14:paraId="2CD152E4" w14:textId="77777777" w:rsidR="00394C16" w:rsidRDefault="00394C16" w:rsidP="00B4351B">
      <w:pPr>
        <w:spacing w:after="0" w:line="240" w:lineRule="auto"/>
        <w:ind w:left="720" w:hanging="720"/>
        <w:rPr>
          <w:rFonts w:cs="Tahoma"/>
          <w:b/>
          <w:szCs w:val="24"/>
        </w:rPr>
      </w:pPr>
    </w:p>
    <w:p w14:paraId="1F6E575D" w14:textId="177825B3" w:rsidR="00CD181D" w:rsidRDefault="00394C16" w:rsidP="00AB6304">
      <w:pPr>
        <w:spacing w:after="0" w:line="240" w:lineRule="auto"/>
        <w:ind w:left="720" w:hanging="720"/>
        <w:rPr>
          <w:rFonts w:cs="Tahoma"/>
          <w:b/>
          <w:szCs w:val="24"/>
        </w:rPr>
      </w:pPr>
      <w:r w:rsidRPr="724696E9">
        <w:rPr>
          <w:rFonts w:cs="Tahoma"/>
        </w:rPr>
        <w:t>A1.</w:t>
      </w:r>
      <w:r w:rsidRPr="724696E9">
        <w:rPr>
          <w:rFonts w:cs="Tahoma"/>
          <w:b/>
        </w:rPr>
        <w:t xml:space="preserve"> </w:t>
      </w:r>
      <w:r>
        <w:tab/>
      </w:r>
      <w:r w:rsidRPr="724696E9">
        <w:rPr>
          <w:rFonts w:cs="Tahoma"/>
        </w:rPr>
        <w:t>Eligible Applicants include Electric Vehicle Service Providers (EVSPs)</w:t>
      </w:r>
      <w:r w:rsidR="58A165D1" w:rsidRPr="724696E9">
        <w:rPr>
          <w:rFonts w:cs="Tahoma"/>
        </w:rPr>
        <w:t xml:space="preserve"> (including </w:t>
      </w:r>
      <w:r w:rsidR="0056449A">
        <w:rPr>
          <w:rFonts w:cs="Tahoma"/>
        </w:rPr>
        <w:t>e</w:t>
      </w:r>
      <w:r w:rsidR="002A7F25" w:rsidRPr="002A7F25">
        <w:rPr>
          <w:rFonts w:cs="Tahoma"/>
        </w:rPr>
        <w:t xml:space="preserve">lectric </w:t>
      </w:r>
      <w:r w:rsidR="0056449A">
        <w:rPr>
          <w:rFonts w:cs="Tahoma"/>
        </w:rPr>
        <w:t>v</w:t>
      </w:r>
      <w:r w:rsidR="002A7F25" w:rsidRPr="002A7F25">
        <w:rPr>
          <w:rFonts w:cs="Tahoma"/>
        </w:rPr>
        <w:t xml:space="preserve">ehicle </w:t>
      </w:r>
      <w:r w:rsidR="0056449A">
        <w:rPr>
          <w:rFonts w:cs="Tahoma"/>
        </w:rPr>
        <w:t>s</w:t>
      </w:r>
      <w:r w:rsidR="002A7F25" w:rsidRPr="002A7F25">
        <w:rPr>
          <w:rFonts w:cs="Tahoma"/>
        </w:rPr>
        <w:t xml:space="preserve">upply </w:t>
      </w:r>
      <w:r w:rsidR="0056449A">
        <w:rPr>
          <w:rFonts w:cs="Tahoma"/>
        </w:rPr>
        <w:t>e</w:t>
      </w:r>
      <w:r w:rsidR="002A7F25" w:rsidRPr="002A7F25">
        <w:rPr>
          <w:rFonts w:cs="Tahoma"/>
        </w:rPr>
        <w:t xml:space="preserve">quipment </w:t>
      </w:r>
      <w:r w:rsidR="0056449A">
        <w:rPr>
          <w:rFonts w:cs="Tahoma"/>
        </w:rPr>
        <w:t>m</w:t>
      </w:r>
      <w:r w:rsidR="002A7F25" w:rsidRPr="002A7F25">
        <w:rPr>
          <w:rFonts w:cs="Tahoma"/>
        </w:rPr>
        <w:t>anufacturers</w:t>
      </w:r>
      <w:r w:rsidR="0056449A">
        <w:rPr>
          <w:rFonts w:cs="Tahoma"/>
        </w:rPr>
        <w:t>, c</w:t>
      </w:r>
      <w:r w:rsidR="002A7F25" w:rsidRPr="002A7F25">
        <w:rPr>
          <w:rFonts w:cs="Tahoma"/>
        </w:rPr>
        <w:t xml:space="preserve">harging </w:t>
      </w:r>
      <w:r w:rsidR="0056449A">
        <w:rPr>
          <w:rFonts w:cs="Tahoma"/>
        </w:rPr>
        <w:t>n</w:t>
      </w:r>
      <w:r w:rsidR="002A7F25" w:rsidRPr="002A7F25">
        <w:rPr>
          <w:rFonts w:cs="Tahoma"/>
        </w:rPr>
        <w:t xml:space="preserve">etwork </w:t>
      </w:r>
      <w:r w:rsidR="0056449A">
        <w:rPr>
          <w:rFonts w:cs="Tahoma"/>
        </w:rPr>
        <w:t>p</w:t>
      </w:r>
      <w:r w:rsidR="002A7F25" w:rsidRPr="002A7F25">
        <w:rPr>
          <w:rFonts w:cs="Tahoma"/>
        </w:rPr>
        <w:t>roviders</w:t>
      </w:r>
      <w:r w:rsidR="0056449A">
        <w:rPr>
          <w:rFonts w:cs="Tahoma"/>
        </w:rPr>
        <w:t>,</w:t>
      </w:r>
      <w:r w:rsidR="00AF7C35">
        <w:rPr>
          <w:rFonts w:cs="Tahoma"/>
        </w:rPr>
        <w:t xml:space="preserve"> and c</w:t>
      </w:r>
      <w:r w:rsidR="002A7F25" w:rsidRPr="002A7F25">
        <w:rPr>
          <w:rFonts w:cs="Tahoma"/>
        </w:rPr>
        <w:t xml:space="preserve">harge </w:t>
      </w:r>
      <w:r w:rsidR="00AF7C35">
        <w:rPr>
          <w:rFonts w:cs="Tahoma"/>
        </w:rPr>
        <w:t>p</w:t>
      </w:r>
      <w:r w:rsidR="002A7F25" w:rsidRPr="002A7F25">
        <w:rPr>
          <w:rFonts w:cs="Tahoma"/>
        </w:rPr>
        <w:t xml:space="preserve">oint </w:t>
      </w:r>
      <w:r w:rsidR="00AF7C35">
        <w:rPr>
          <w:rFonts w:cs="Tahoma"/>
        </w:rPr>
        <w:t>o</w:t>
      </w:r>
      <w:r w:rsidR="002A7F25" w:rsidRPr="002A7F25">
        <w:rPr>
          <w:rFonts w:cs="Tahoma"/>
        </w:rPr>
        <w:t>perators</w:t>
      </w:r>
      <w:r>
        <w:rPr>
          <w:rFonts w:cs="Tahoma"/>
        </w:rPr>
        <w:t xml:space="preserve">), </w:t>
      </w:r>
      <w:r w:rsidRPr="724696E9">
        <w:rPr>
          <w:rFonts w:cs="Tahoma"/>
        </w:rPr>
        <w:t>installation</w:t>
      </w:r>
      <w:r w:rsidR="00775387">
        <w:rPr>
          <w:rFonts w:cs="Tahoma"/>
        </w:rPr>
        <w:t xml:space="preserve"> </w:t>
      </w:r>
      <w:r w:rsidRPr="003F59CF">
        <w:rPr>
          <w:rFonts w:cs="Tahoma"/>
          <w:szCs w:val="24"/>
        </w:rPr>
        <w:t xml:space="preserve">and maintenance contractors, and public entities that own ports on the </w:t>
      </w:r>
      <w:r w:rsidR="00DE5291">
        <w:rPr>
          <w:rFonts w:cs="Tahoma"/>
          <w:szCs w:val="24"/>
        </w:rPr>
        <w:t>Federal Highway Administration’s</w:t>
      </w:r>
      <w:r w:rsidRPr="003F59CF">
        <w:rPr>
          <w:rFonts w:cs="Tahoma"/>
          <w:szCs w:val="24"/>
        </w:rPr>
        <w:t xml:space="preserve"> Final List and Final List Addendum of Non-Operational Chargers (Section II.A.1. of the </w:t>
      </w:r>
      <w:r>
        <w:rPr>
          <w:rFonts w:cs="Tahoma"/>
          <w:szCs w:val="24"/>
        </w:rPr>
        <w:t>Solicitation Manual</w:t>
      </w:r>
      <w:r w:rsidRPr="003F59CF">
        <w:rPr>
          <w:rFonts w:cs="Tahoma"/>
          <w:szCs w:val="24"/>
        </w:rPr>
        <w:t>).</w:t>
      </w:r>
      <w:r w:rsidR="00472D2F" w:rsidRPr="003F59CF">
        <w:rPr>
          <w:rFonts w:cs="Tahoma"/>
          <w:b/>
          <w:szCs w:val="24"/>
        </w:rPr>
        <w:tab/>
      </w:r>
    </w:p>
    <w:p w14:paraId="7F880175" w14:textId="77777777" w:rsidR="00715AF8" w:rsidRDefault="00715AF8" w:rsidP="00B4351B">
      <w:pPr>
        <w:spacing w:after="0" w:line="240" w:lineRule="auto"/>
        <w:ind w:left="720" w:hanging="720"/>
        <w:rPr>
          <w:rFonts w:cs="Tahoma"/>
          <w:b/>
          <w:szCs w:val="24"/>
        </w:rPr>
      </w:pPr>
    </w:p>
    <w:p w14:paraId="3F23C7B1" w14:textId="5B21670F" w:rsidR="00472D2F" w:rsidRPr="003F59CF" w:rsidRDefault="00715AF8" w:rsidP="00B4351B">
      <w:pPr>
        <w:spacing w:after="0" w:line="240" w:lineRule="auto"/>
        <w:ind w:left="720" w:hanging="720"/>
        <w:rPr>
          <w:rFonts w:cs="Tahoma"/>
          <w:b/>
          <w:szCs w:val="24"/>
        </w:rPr>
      </w:pPr>
      <w:r>
        <w:rPr>
          <w:rFonts w:cs="Tahoma"/>
          <w:b/>
          <w:szCs w:val="24"/>
        </w:rPr>
        <w:t xml:space="preserve">Q2. </w:t>
      </w:r>
      <w:r w:rsidR="00394C16">
        <w:rPr>
          <w:rFonts w:cs="Tahoma"/>
          <w:b/>
          <w:szCs w:val="24"/>
        </w:rPr>
        <w:tab/>
      </w:r>
      <w:r w:rsidR="00872F31" w:rsidRPr="003F59CF">
        <w:rPr>
          <w:rFonts w:cs="Tahoma"/>
          <w:b/>
          <w:szCs w:val="24"/>
        </w:rPr>
        <w:t xml:space="preserve">If a site already has </w:t>
      </w:r>
      <w:r w:rsidR="004F2EC6">
        <w:rPr>
          <w:rFonts w:cs="Tahoma"/>
          <w:b/>
          <w:szCs w:val="24"/>
        </w:rPr>
        <w:t>Direct Current Fast Charging (</w:t>
      </w:r>
      <w:r w:rsidR="004F2EC6" w:rsidRPr="003F59CF">
        <w:rPr>
          <w:rFonts w:cs="Tahoma"/>
          <w:b/>
          <w:szCs w:val="24"/>
        </w:rPr>
        <w:t>DCFC</w:t>
      </w:r>
      <w:r w:rsidR="004F2EC6">
        <w:rPr>
          <w:rFonts w:cs="Tahoma"/>
          <w:b/>
          <w:szCs w:val="24"/>
        </w:rPr>
        <w:t>)</w:t>
      </w:r>
      <w:r w:rsidR="004F2EC6" w:rsidRPr="003F59CF">
        <w:rPr>
          <w:rFonts w:cs="Tahoma"/>
          <w:b/>
          <w:szCs w:val="24"/>
        </w:rPr>
        <w:t xml:space="preserve"> </w:t>
      </w:r>
      <w:r w:rsidR="00872F31" w:rsidRPr="003F59CF">
        <w:rPr>
          <w:rFonts w:cs="Tahoma"/>
          <w:b/>
          <w:szCs w:val="24"/>
        </w:rPr>
        <w:t xml:space="preserve">chargers, but those chargers require repair, can a party qualify for </w:t>
      </w:r>
      <w:r w:rsidR="00BD01E5">
        <w:rPr>
          <w:rFonts w:cs="Tahoma"/>
          <w:b/>
          <w:szCs w:val="24"/>
        </w:rPr>
        <w:t xml:space="preserve">a </w:t>
      </w:r>
      <w:r w:rsidR="00872F31" w:rsidRPr="003F59CF">
        <w:rPr>
          <w:rFonts w:cs="Tahoma"/>
          <w:b/>
          <w:szCs w:val="24"/>
        </w:rPr>
        <w:t>grant under this program?</w:t>
      </w:r>
    </w:p>
    <w:p w14:paraId="5AB0B062" w14:textId="77777777" w:rsidR="00B4351B" w:rsidRPr="003F59CF" w:rsidRDefault="00B4351B" w:rsidP="00B4351B">
      <w:pPr>
        <w:spacing w:after="0" w:line="240" w:lineRule="auto"/>
        <w:ind w:left="720" w:hanging="720"/>
        <w:rPr>
          <w:rFonts w:cs="Tahoma"/>
          <w:szCs w:val="24"/>
        </w:rPr>
      </w:pPr>
    </w:p>
    <w:p w14:paraId="34A3FBB1" w14:textId="0610C07C" w:rsidR="00747A42" w:rsidRPr="003F59CF" w:rsidRDefault="00715AF8" w:rsidP="00747A42">
      <w:pPr>
        <w:spacing w:after="0" w:line="240" w:lineRule="auto"/>
        <w:ind w:left="720" w:hanging="720"/>
        <w:rPr>
          <w:rFonts w:cs="Tahoma"/>
          <w:szCs w:val="24"/>
        </w:rPr>
      </w:pPr>
      <w:r w:rsidRPr="003F59CF">
        <w:rPr>
          <w:rFonts w:cs="Tahoma"/>
          <w:szCs w:val="24"/>
        </w:rPr>
        <w:t>A</w:t>
      </w:r>
      <w:r>
        <w:rPr>
          <w:rFonts w:cs="Tahoma"/>
          <w:szCs w:val="24"/>
        </w:rPr>
        <w:t>2</w:t>
      </w:r>
      <w:r w:rsidR="00A62F65" w:rsidRPr="003F59CF">
        <w:rPr>
          <w:rFonts w:cs="Tahoma"/>
          <w:szCs w:val="24"/>
        </w:rPr>
        <w:t>.</w:t>
      </w:r>
      <w:r w:rsidR="00472D2F" w:rsidRPr="003F59CF">
        <w:rPr>
          <w:rFonts w:cs="Tahoma"/>
          <w:szCs w:val="24"/>
        </w:rPr>
        <w:tab/>
      </w:r>
      <w:r w:rsidR="00FB7F05" w:rsidRPr="003F59CF">
        <w:rPr>
          <w:rFonts w:cs="Tahoma"/>
          <w:szCs w:val="24"/>
        </w:rPr>
        <w:t xml:space="preserve">Per Section II.B. of the </w:t>
      </w:r>
      <w:r w:rsidR="002E22E1">
        <w:rPr>
          <w:rFonts w:cs="Tahoma"/>
          <w:szCs w:val="24"/>
        </w:rPr>
        <w:t>Solicitation Manual</w:t>
      </w:r>
      <w:r w:rsidR="00FB7F05" w:rsidRPr="003F59CF">
        <w:rPr>
          <w:rFonts w:cs="Tahoma"/>
          <w:szCs w:val="24"/>
        </w:rPr>
        <w:t>, t</w:t>
      </w:r>
      <w:r w:rsidR="00747A42" w:rsidRPr="003F59CF">
        <w:rPr>
          <w:rFonts w:cs="Tahoma"/>
          <w:szCs w:val="24"/>
        </w:rPr>
        <w:t xml:space="preserve">he ports are eligible for funding under this program if they </w:t>
      </w:r>
      <w:r w:rsidR="008F41F9">
        <w:rPr>
          <w:rFonts w:cs="Tahoma"/>
          <w:szCs w:val="24"/>
        </w:rPr>
        <w:t>satisfy the following</w:t>
      </w:r>
      <w:r w:rsidR="00747A42" w:rsidRPr="003F59CF">
        <w:rPr>
          <w:rFonts w:cs="Tahoma"/>
          <w:szCs w:val="24"/>
        </w:rPr>
        <w:t>:</w:t>
      </w:r>
    </w:p>
    <w:p w14:paraId="0F807074" w14:textId="635B95B6" w:rsidR="00747A42" w:rsidRPr="003F59CF" w:rsidRDefault="00747A42" w:rsidP="00FB7F05">
      <w:pPr>
        <w:pStyle w:val="ListParagraph"/>
        <w:numPr>
          <w:ilvl w:val="0"/>
          <w:numId w:val="4"/>
        </w:numPr>
        <w:spacing w:after="120" w:line="240" w:lineRule="auto"/>
        <w:contextualSpacing w:val="0"/>
        <w:rPr>
          <w:rFonts w:cs="Tahoma"/>
          <w:szCs w:val="24"/>
        </w:rPr>
      </w:pPr>
      <w:r w:rsidRPr="003F59CF">
        <w:rPr>
          <w:rFonts w:cs="Tahoma"/>
          <w:szCs w:val="24"/>
        </w:rPr>
        <w:t>Listed</w:t>
      </w:r>
      <w:r w:rsidR="00983C55" w:rsidRPr="003F59CF">
        <w:rPr>
          <w:rFonts w:cs="Tahoma"/>
          <w:szCs w:val="24"/>
        </w:rPr>
        <w:t xml:space="preserve"> on the </w:t>
      </w:r>
      <w:r w:rsidR="00703F84">
        <w:rPr>
          <w:rFonts w:cs="Tahoma"/>
          <w:szCs w:val="24"/>
        </w:rPr>
        <w:t>Federal Highway Administration</w:t>
      </w:r>
      <w:r w:rsidR="00507E4E">
        <w:rPr>
          <w:rFonts w:cs="Tahoma"/>
          <w:szCs w:val="24"/>
        </w:rPr>
        <w:t xml:space="preserve">’s </w:t>
      </w:r>
      <w:r w:rsidR="00983C55" w:rsidRPr="003F59CF">
        <w:rPr>
          <w:rFonts w:cs="Tahoma"/>
          <w:szCs w:val="24"/>
        </w:rPr>
        <w:t>Final List or Final List Addendum</w:t>
      </w:r>
      <w:r w:rsidR="00A8722A" w:rsidRPr="003F59CF">
        <w:rPr>
          <w:rFonts w:cs="Tahoma"/>
          <w:szCs w:val="24"/>
        </w:rPr>
        <w:t xml:space="preserve"> of Non-Operational Chargers</w:t>
      </w:r>
      <w:r w:rsidR="00507E4E">
        <w:rPr>
          <w:rFonts w:cs="Tahoma"/>
          <w:szCs w:val="24"/>
        </w:rPr>
        <w:t>;</w:t>
      </w:r>
      <w:r w:rsidR="005B3AD6" w:rsidRPr="003F59CF">
        <w:rPr>
          <w:rFonts w:cs="Tahoma"/>
          <w:szCs w:val="24"/>
        </w:rPr>
        <w:t xml:space="preserve"> AND</w:t>
      </w:r>
    </w:p>
    <w:p w14:paraId="28901CE7" w14:textId="0F0E8560" w:rsidR="00747A42" w:rsidRPr="003F59CF" w:rsidRDefault="00747A42" w:rsidP="00FB7F05">
      <w:pPr>
        <w:pStyle w:val="ListParagraph"/>
        <w:numPr>
          <w:ilvl w:val="0"/>
          <w:numId w:val="4"/>
        </w:numPr>
        <w:spacing w:after="120" w:line="240" w:lineRule="auto"/>
        <w:contextualSpacing w:val="0"/>
        <w:rPr>
          <w:rFonts w:cs="Tahoma"/>
          <w:szCs w:val="24"/>
        </w:rPr>
      </w:pPr>
      <w:r w:rsidRPr="003F59CF">
        <w:rPr>
          <w:rFonts w:cs="Tahoma"/>
          <w:szCs w:val="24"/>
        </w:rPr>
        <w:t xml:space="preserve">Not </w:t>
      </w:r>
      <w:r w:rsidR="00D64C54" w:rsidRPr="003F59CF">
        <w:rPr>
          <w:rFonts w:cs="Tahoma"/>
          <w:szCs w:val="24"/>
        </w:rPr>
        <w:t>compliant with 23 CFR 680</w:t>
      </w:r>
      <w:r w:rsidR="00507E4E">
        <w:rPr>
          <w:rFonts w:cs="Tahoma"/>
          <w:szCs w:val="24"/>
        </w:rPr>
        <w:t>;</w:t>
      </w:r>
      <w:r w:rsidR="005B3AD6" w:rsidRPr="003F59CF">
        <w:rPr>
          <w:rFonts w:cs="Tahoma"/>
          <w:szCs w:val="24"/>
        </w:rPr>
        <w:t xml:space="preserve"> AND</w:t>
      </w:r>
    </w:p>
    <w:p w14:paraId="476B8CB2" w14:textId="537CCE2D" w:rsidR="00472D2F" w:rsidRPr="003F59CF" w:rsidRDefault="00747A42" w:rsidP="00FB7F05">
      <w:pPr>
        <w:pStyle w:val="ListParagraph"/>
        <w:numPr>
          <w:ilvl w:val="0"/>
          <w:numId w:val="4"/>
        </w:numPr>
        <w:spacing w:after="120" w:line="240" w:lineRule="auto"/>
        <w:contextualSpacing w:val="0"/>
        <w:rPr>
          <w:rFonts w:cs="Tahoma"/>
          <w:szCs w:val="24"/>
        </w:rPr>
      </w:pPr>
      <w:r w:rsidRPr="003F59CF">
        <w:rPr>
          <w:rFonts w:cs="Tahoma"/>
          <w:szCs w:val="24"/>
        </w:rPr>
        <w:t xml:space="preserve">Not </w:t>
      </w:r>
      <w:r w:rsidR="00D64C54" w:rsidRPr="003F59CF">
        <w:rPr>
          <w:rFonts w:cs="Tahoma"/>
          <w:szCs w:val="24"/>
        </w:rPr>
        <w:t>covered by a warranty that covers the cost of needed repair/replacement work</w:t>
      </w:r>
      <w:r w:rsidRPr="003F59CF">
        <w:rPr>
          <w:rFonts w:cs="Tahoma"/>
          <w:szCs w:val="24"/>
        </w:rPr>
        <w:t>.</w:t>
      </w:r>
    </w:p>
    <w:p w14:paraId="32E5DFF2" w14:textId="77777777" w:rsidR="00511B00" w:rsidRPr="003F59CF" w:rsidRDefault="00511B00" w:rsidP="00FB7F05">
      <w:pPr>
        <w:spacing w:after="0" w:line="240" w:lineRule="auto"/>
        <w:rPr>
          <w:rFonts w:cs="Tahoma"/>
          <w:szCs w:val="24"/>
        </w:rPr>
      </w:pPr>
    </w:p>
    <w:p w14:paraId="01BA38F2" w14:textId="0FAA5EF5" w:rsidR="00FB7F05" w:rsidRPr="003F59CF" w:rsidRDefault="00FB7F05" w:rsidP="00377D17">
      <w:pPr>
        <w:spacing w:after="0" w:line="240" w:lineRule="auto"/>
        <w:ind w:left="720"/>
        <w:rPr>
          <w:rFonts w:cs="Tahoma"/>
          <w:szCs w:val="24"/>
        </w:rPr>
      </w:pPr>
      <w:r w:rsidRPr="003F59CF">
        <w:rPr>
          <w:rFonts w:cs="Tahoma"/>
          <w:szCs w:val="24"/>
        </w:rPr>
        <w:t>Additionally, the Applicant must be an eligible Applicant.</w:t>
      </w:r>
      <w:r w:rsidR="00D824BA" w:rsidRPr="003F59CF">
        <w:rPr>
          <w:rFonts w:cs="Tahoma"/>
          <w:szCs w:val="24"/>
        </w:rPr>
        <w:t xml:space="preserve"> </w:t>
      </w:r>
      <w:r w:rsidR="00012EC5">
        <w:rPr>
          <w:rFonts w:cs="Tahoma"/>
          <w:szCs w:val="24"/>
        </w:rPr>
        <w:t xml:space="preserve">(See </w:t>
      </w:r>
      <w:r w:rsidR="002F5582">
        <w:rPr>
          <w:rFonts w:cs="Tahoma"/>
          <w:szCs w:val="24"/>
        </w:rPr>
        <w:t>Section</w:t>
      </w:r>
      <w:r w:rsidR="00B71A4A">
        <w:rPr>
          <w:rFonts w:cs="Tahoma"/>
          <w:szCs w:val="24"/>
        </w:rPr>
        <w:t xml:space="preserve"> II.A.1 of the Solicitation Manual</w:t>
      </w:r>
      <w:r w:rsidR="00012EC5">
        <w:rPr>
          <w:rFonts w:cs="Tahoma"/>
          <w:szCs w:val="24"/>
        </w:rPr>
        <w:t>)</w:t>
      </w:r>
      <w:r w:rsidR="00C67A7B" w:rsidRPr="003F59CF">
        <w:rPr>
          <w:rFonts w:cs="Tahoma"/>
          <w:szCs w:val="24"/>
        </w:rPr>
        <w:t>.</w:t>
      </w:r>
    </w:p>
    <w:p w14:paraId="4195455D" w14:textId="77777777" w:rsidR="00404C0B" w:rsidRPr="003F59CF" w:rsidRDefault="00404C0B" w:rsidP="00377D17">
      <w:pPr>
        <w:spacing w:after="0" w:line="240" w:lineRule="auto"/>
        <w:ind w:left="720"/>
        <w:rPr>
          <w:rFonts w:cs="Tahoma"/>
          <w:szCs w:val="24"/>
        </w:rPr>
      </w:pPr>
    </w:p>
    <w:p w14:paraId="4EF58F36" w14:textId="26B3A4C4" w:rsidR="00404C0B" w:rsidRPr="003F59CF" w:rsidRDefault="00404C0B" w:rsidP="00404C0B">
      <w:pPr>
        <w:spacing w:after="0" w:line="240" w:lineRule="auto"/>
        <w:ind w:left="720" w:hanging="720"/>
        <w:rPr>
          <w:rFonts w:eastAsia="Tahoma" w:cs="Tahoma"/>
          <w:b/>
          <w:bCs/>
          <w:color w:val="0D0D0D"/>
          <w:szCs w:val="24"/>
        </w:rPr>
      </w:pPr>
      <w:r w:rsidRPr="003F59CF">
        <w:rPr>
          <w:rFonts w:eastAsia="Tahoma" w:cs="Tahoma"/>
          <w:b/>
          <w:bCs/>
          <w:color w:val="0D0D0D"/>
          <w:szCs w:val="24"/>
        </w:rPr>
        <w:lastRenderedPageBreak/>
        <w:t>Q</w:t>
      </w:r>
      <w:r w:rsidR="009C673C">
        <w:rPr>
          <w:rFonts w:eastAsia="Tahoma" w:cs="Tahoma"/>
          <w:b/>
          <w:bCs/>
          <w:color w:val="0D0D0D"/>
          <w:szCs w:val="24"/>
        </w:rPr>
        <w:t>3</w:t>
      </w:r>
      <w:r w:rsidRPr="003F59CF">
        <w:rPr>
          <w:rFonts w:eastAsia="Tahoma" w:cs="Tahoma"/>
          <w:b/>
          <w:bCs/>
          <w:color w:val="0D0D0D"/>
          <w:szCs w:val="24"/>
        </w:rPr>
        <w:t xml:space="preserve">. </w:t>
      </w:r>
      <w:r w:rsidRPr="003F59CF">
        <w:rPr>
          <w:rFonts w:eastAsia="Tahoma" w:cs="Tahoma"/>
          <w:b/>
          <w:bCs/>
          <w:color w:val="0D0D0D"/>
          <w:szCs w:val="24"/>
        </w:rPr>
        <w:tab/>
        <w:t xml:space="preserve">Are Community Choice Aggregators (“CCAs”) eligible to apply for funding under this solicitation?  </w:t>
      </w:r>
    </w:p>
    <w:p w14:paraId="3D83F23E" w14:textId="77777777" w:rsidR="00404C0B" w:rsidRPr="003F59CF" w:rsidRDefault="00404C0B" w:rsidP="00404C0B">
      <w:pPr>
        <w:spacing w:after="0" w:line="240" w:lineRule="auto"/>
        <w:ind w:left="720" w:hanging="720"/>
        <w:rPr>
          <w:rFonts w:eastAsia="Tahoma" w:cs="Tahoma"/>
          <w:color w:val="0D0D0D"/>
          <w:szCs w:val="24"/>
        </w:rPr>
      </w:pPr>
    </w:p>
    <w:p w14:paraId="06C85871" w14:textId="381373D1" w:rsidR="00404C0B" w:rsidRDefault="00404C0B" w:rsidP="003F59CF">
      <w:pPr>
        <w:spacing w:after="0" w:line="240" w:lineRule="auto"/>
        <w:ind w:left="720" w:hanging="720"/>
        <w:rPr>
          <w:rFonts w:eastAsia="Tahoma" w:cs="Tahoma"/>
          <w:color w:val="0D0D0D"/>
          <w:szCs w:val="24"/>
        </w:rPr>
      </w:pPr>
      <w:r w:rsidRPr="003F59CF">
        <w:rPr>
          <w:rFonts w:eastAsia="Tahoma" w:cs="Tahoma"/>
          <w:color w:val="0D0D0D"/>
        </w:rPr>
        <w:t>A</w:t>
      </w:r>
      <w:r w:rsidR="009C673C">
        <w:rPr>
          <w:rFonts w:eastAsia="Tahoma" w:cs="Tahoma"/>
          <w:color w:val="0D0D0D"/>
        </w:rPr>
        <w:t>3</w:t>
      </w:r>
      <w:r w:rsidRPr="003F59CF">
        <w:rPr>
          <w:rFonts w:eastAsia="Tahoma" w:cs="Tahoma"/>
          <w:color w:val="0D0D0D"/>
        </w:rPr>
        <w:t xml:space="preserve">.  </w:t>
      </w:r>
      <w:r w:rsidRPr="003F59CF">
        <w:tab/>
      </w:r>
      <w:r w:rsidRPr="003F59CF">
        <w:rPr>
          <w:rFonts w:eastAsia="Tahoma" w:cs="Tahoma"/>
          <w:color w:val="0D0D0D"/>
          <w:szCs w:val="24"/>
        </w:rPr>
        <w:t xml:space="preserve">Section II.A.1. of the </w:t>
      </w:r>
      <w:r w:rsidR="002E22E1">
        <w:rPr>
          <w:rFonts w:eastAsia="Tahoma" w:cs="Tahoma"/>
          <w:color w:val="0D0D0D"/>
          <w:szCs w:val="24"/>
        </w:rPr>
        <w:t>Solicitation Manual</w:t>
      </w:r>
      <w:r w:rsidRPr="003F59CF">
        <w:rPr>
          <w:rFonts w:eastAsia="Tahoma" w:cs="Tahoma"/>
          <w:color w:val="0D0D0D"/>
          <w:szCs w:val="24"/>
        </w:rPr>
        <w:t xml:space="preserve"> defines public entities that own ports on the </w:t>
      </w:r>
      <w:r w:rsidR="00DE5291">
        <w:rPr>
          <w:rFonts w:cs="Tahoma"/>
          <w:szCs w:val="24"/>
        </w:rPr>
        <w:t>Federal Highway Administration’s</w:t>
      </w:r>
      <w:r w:rsidR="00DE5291" w:rsidRPr="003F59CF" w:rsidDel="00DE5291">
        <w:rPr>
          <w:rFonts w:eastAsia="Tahoma" w:cs="Tahoma"/>
          <w:color w:val="0D0D0D"/>
          <w:szCs w:val="24"/>
        </w:rPr>
        <w:t xml:space="preserve"> </w:t>
      </w:r>
      <w:r w:rsidRPr="003F59CF">
        <w:rPr>
          <w:rFonts w:eastAsia="Tahoma" w:cs="Tahoma"/>
          <w:color w:val="0D0D0D"/>
          <w:szCs w:val="24"/>
        </w:rPr>
        <w:t>Final List and Final List Addendum of Non-Operational Chargers as eligible applicants.</w:t>
      </w:r>
      <w:r w:rsidRPr="003F59CF">
        <w:rPr>
          <w:rFonts w:eastAsia="Tahoma" w:cs="Tahoma"/>
          <w:b/>
          <w:bCs/>
          <w:color w:val="000000"/>
          <w:szCs w:val="24"/>
        </w:rPr>
        <w:t xml:space="preserve"> </w:t>
      </w:r>
      <w:r w:rsidRPr="003F59CF">
        <w:rPr>
          <w:rFonts w:eastAsia="Tahoma" w:cs="Tahoma"/>
          <w:color w:val="0D0D0D"/>
          <w:szCs w:val="24"/>
        </w:rPr>
        <w:t xml:space="preserve">As public entities, CCAs are eligible to apply for funding under this solicitation if they own ports on the </w:t>
      </w:r>
      <w:r w:rsidR="00DE5291">
        <w:rPr>
          <w:rFonts w:cs="Tahoma"/>
          <w:szCs w:val="24"/>
        </w:rPr>
        <w:t>Federal Highway Administration’s</w:t>
      </w:r>
      <w:r w:rsidR="00DE5291" w:rsidRPr="003F59CF" w:rsidDel="00DE5291">
        <w:rPr>
          <w:rFonts w:eastAsia="Tahoma" w:cs="Tahoma"/>
          <w:color w:val="0D0D0D"/>
          <w:szCs w:val="24"/>
        </w:rPr>
        <w:t xml:space="preserve"> </w:t>
      </w:r>
      <w:r w:rsidRPr="003F59CF">
        <w:rPr>
          <w:rFonts w:eastAsia="Tahoma" w:cs="Tahoma"/>
          <w:color w:val="0D0D0D"/>
          <w:szCs w:val="24"/>
        </w:rPr>
        <w:t>Final List and Final List Addendum of Non-Operational Chargers.</w:t>
      </w:r>
      <w:r w:rsidRPr="00404C0B">
        <w:rPr>
          <w:rFonts w:eastAsia="Tahoma" w:cs="Tahoma"/>
          <w:color w:val="0D0D0D"/>
          <w:szCs w:val="24"/>
        </w:rPr>
        <w:t xml:space="preserve"> </w:t>
      </w:r>
    </w:p>
    <w:p w14:paraId="549937DF" w14:textId="3F31E05B" w:rsidR="00A35DE3" w:rsidRDefault="00A35DE3" w:rsidP="00981EC1">
      <w:pPr>
        <w:spacing w:after="0" w:line="240" w:lineRule="auto"/>
        <w:rPr>
          <w:rStyle w:val="normaltextrun"/>
          <w:rFonts w:eastAsia="Tahoma" w:cs="Tahoma"/>
          <w:color w:val="0D0D0D"/>
          <w:szCs w:val="24"/>
        </w:rPr>
      </w:pPr>
    </w:p>
    <w:p w14:paraId="16CCB4F9" w14:textId="1715B6AF" w:rsidR="00A35DE3" w:rsidRPr="00545B8B" w:rsidRDefault="00A35DE3" w:rsidP="00A35DE3">
      <w:pPr>
        <w:spacing w:after="0" w:line="240" w:lineRule="auto"/>
        <w:ind w:left="720" w:hanging="720"/>
        <w:rPr>
          <w:rFonts w:eastAsia="Tahoma" w:cs="Tahoma"/>
          <w:b/>
          <w:bCs/>
          <w:color w:val="0D0D0D"/>
          <w:szCs w:val="24"/>
        </w:rPr>
      </w:pPr>
      <w:r w:rsidRPr="00545B8B">
        <w:rPr>
          <w:rFonts w:eastAsia="Tahoma" w:cs="Tahoma"/>
          <w:b/>
          <w:bCs/>
          <w:color w:val="0D0D0D"/>
          <w:szCs w:val="24"/>
        </w:rPr>
        <w:t>Q</w:t>
      </w:r>
      <w:r w:rsidR="009C673C">
        <w:rPr>
          <w:rFonts w:eastAsia="Tahoma" w:cs="Tahoma"/>
          <w:b/>
          <w:bCs/>
          <w:color w:val="0D0D0D"/>
          <w:szCs w:val="24"/>
        </w:rPr>
        <w:t>4</w:t>
      </w:r>
      <w:r w:rsidRPr="00545B8B">
        <w:rPr>
          <w:rFonts w:eastAsia="Tahoma" w:cs="Tahoma"/>
          <w:b/>
          <w:bCs/>
          <w:color w:val="0D0D0D"/>
          <w:szCs w:val="24"/>
        </w:rPr>
        <w:t xml:space="preserve">. </w:t>
      </w:r>
      <w:r w:rsidRPr="00545B8B">
        <w:rPr>
          <w:rFonts w:eastAsia="Tahoma" w:cs="Tahoma"/>
          <w:b/>
          <w:bCs/>
          <w:color w:val="0D0D0D"/>
          <w:szCs w:val="24"/>
        </w:rPr>
        <w:tab/>
      </w:r>
      <w:r w:rsidR="000B0751">
        <w:rPr>
          <w:rFonts w:eastAsia="Tahoma" w:cs="Tahoma"/>
          <w:b/>
          <w:bCs/>
          <w:color w:val="0D0D0D"/>
          <w:szCs w:val="24"/>
        </w:rPr>
        <w:t xml:space="preserve">If certain charging equipment has </w:t>
      </w:r>
      <w:r w:rsidR="000332A7">
        <w:rPr>
          <w:rFonts w:eastAsia="Tahoma" w:cs="Tahoma"/>
          <w:b/>
          <w:bCs/>
          <w:color w:val="0D0D0D"/>
          <w:szCs w:val="24"/>
        </w:rPr>
        <w:t xml:space="preserve">qualified </w:t>
      </w:r>
      <w:r w:rsidR="004840EB">
        <w:rPr>
          <w:rFonts w:eastAsia="Tahoma" w:cs="Tahoma"/>
          <w:b/>
          <w:bCs/>
          <w:color w:val="0D0D0D"/>
          <w:szCs w:val="24"/>
        </w:rPr>
        <w:t xml:space="preserve">for funding </w:t>
      </w:r>
      <w:r w:rsidR="000B0751">
        <w:rPr>
          <w:rFonts w:eastAsia="Tahoma" w:cs="Tahoma"/>
          <w:b/>
          <w:bCs/>
          <w:color w:val="0D0D0D"/>
          <w:szCs w:val="24"/>
        </w:rPr>
        <w:t xml:space="preserve">under the National Electric Vehicle Infrastructure program, </w:t>
      </w:r>
      <w:r w:rsidR="000332A7">
        <w:rPr>
          <w:rFonts w:eastAsia="Tahoma" w:cs="Tahoma"/>
          <w:b/>
          <w:bCs/>
          <w:color w:val="0D0D0D"/>
          <w:szCs w:val="24"/>
        </w:rPr>
        <w:t xml:space="preserve">would </w:t>
      </w:r>
      <w:r w:rsidR="00FC7DC1">
        <w:rPr>
          <w:rFonts w:eastAsia="Tahoma" w:cs="Tahoma"/>
          <w:b/>
          <w:bCs/>
          <w:color w:val="0D0D0D"/>
          <w:szCs w:val="24"/>
        </w:rPr>
        <w:t>this equipment be eligible for this grant solicitation?</w:t>
      </w:r>
    </w:p>
    <w:p w14:paraId="4647610A" w14:textId="77777777" w:rsidR="00A35DE3" w:rsidRPr="00545B8B" w:rsidRDefault="00A35DE3" w:rsidP="00A35DE3">
      <w:pPr>
        <w:spacing w:after="0" w:line="240" w:lineRule="auto"/>
        <w:ind w:left="720" w:hanging="720"/>
        <w:rPr>
          <w:rFonts w:eastAsia="Tahoma" w:cs="Tahoma"/>
          <w:color w:val="0D0D0D"/>
          <w:szCs w:val="24"/>
        </w:rPr>
      </w:pPr>
    </w:p>
    <w:p w14:paraId="3B629965" w14:textId="78E07A25" w:rsidR="00A35DE3" w:rsidRPr="003F59CF" w:rsidRDefault="00A35DE3" w:rsidP="00A35DE3">
      <w:pPr>
        <w:spacing w:after="0" w:line="240" w:lineRule="auto"/>
        <w:ind w:left="720" w:hanging="720"/>
        <w:rPr>
          <w:rFonts w:eastAsia="Tahoma" w:cs="Tahoma"/>
          <w:color w:val="0D0D0D"/>
          <w:szCs w:val="24"/>
        </w:rPr>
      </w:pPr>
      <w:r w:rsidRPr="00545B8B">
        <w:rPr>
          <w:rFonts w:eastAsia="Tahoma" w:cs="Tahoma"/>
          <w:color w:val="0D0D0D"/>
          <w:szCs w:val="24"/>
        </w:rPr>
        <w:t>A</w:t>
      </w:r>
      <w:r w:rsidR="009C673C">
        <w:rPr>
          <w:rFonts w:eastAsia="Tahoma" w:cs="Tahoma"/>
          <w:color w:val="0D0D0D"/>
          <w:szCs w:val="24"/>
        </w:rPr>
        <w:t>4</w:t>
      </w:r>
      <w:r w:rsidRPr="00545B8B">
        <w:rPr>
          <w:rFonts w:eastAsia="Tahoma" w:cs="Tahoma"/>
          <w:color w:val="0D0D0D"/>
          <w:szCs w:val="24"/>
        </w:rPr>
        <w:t xml:space="preserve">.  </w:t>
      </w:r>
      <w:r w:rsidRPr="00545B8B">
        <w:rPr>
          <w:rFonts w:eastAsia="Tahoma" w:cs="Tahoma"/>
          <w:color w:val="0D0D0D"/>
          <w:szCs w:val="24"/>
        </w:rPr>
        <w:tab/>
      </w:r>
      <w:r w:rsidR="000332A7">
        <w:rPr>
          <w:rFonts w:eastAsia="Tahoma" w:cs="Tahoma"/>
          <w:color w:val="0D0D0D"/>
          <w:szCs w:val="24"/>
        </w:rPr>
        <w:t>I</w:t>
      </w:r>
      <w:r w:rsidRPr="00545B8B">
        <w:rPr>
          <w:rFonts w:eastAsia="Tahoma" w:cs="Tahoma"/>
          <w:color w:val="0D0D0D"/>
          <w:szCs w:val="24"/>
        </w:rPr>
        <w:t>t is the Applicant’s responsibility to ensure that</w:t>
      </w:r>
      <w:r w:rsidRPr="00545B8B">
        <w:rPr>
          <w:rStyle w:val="normaltextrun"/>
          <w:rFonts w:eastAsia="Tahoma" w:cs="Tahoma"/>
          <w:color w:val="0D0D0D"/>
          <w:szCs w:val="24"/>
        </w:rPr>
        <w:t xml:space="preserve"> the charging equipment and network they select comply with the requirements outlined in Section II.B. of the </w:t>
      </w:r>
      <w:r>
        <w:rPr>
          <w:rStyle w:val="normaltextrun"/>
          <w:rFonts w:eastAsia="Tahoma" w:cs="Tahoma"/>
          <w:color w:val="0D0D0D"/>
          <w:szCs w:val="24"/>
        </w:rPr>
        <w:t>Solicitation Manual</w:t>
      </w:r>
      <w:r w:rsidRPr="00545B8B">
        <w:rPr>
          <w:rStyle w:val="normaltextrun"/>
          <w:rFonts w:eastAsia="Tahoma" w:cs="Tahoma"/>
          <w:color w:val="0D0D0D"/>
          <w:szCs w:val="24"/>
        </w:rPr>
        <w:t>.</w:t>
      </w:r>
      <w:r>
        <w:rPr>
          <w:rStyle w:val="normaltextrun"/>
          <w:rFonts w:eastAsia="Tahoma" w:cs="Tahoma"/>
          <w:color w:val="0D0D0D"/>
          <w:szCs w:val="24"/>
        </w:rPr>
        <w:t xml:space="preserve">  </w:t>
      </w:r>
    </w:p>
    <w:p w14:paraId="5FC3AF0E" w14:textId="77777777" w:rsidR="00A35DE3" w:rsidRPr="003F59CF" w:rsidRDefault="00A35DE3" w:rsidP="005545E5">
      <w:pPr>
        <w:spacing w:after="0" w:line="240" w:lineRule="auto"/>
        <w:ind w:left="720" w:hanging="720"/>
        <w:rPr>
          <w:rFonts w:eastAsia="Tahoma" w:cs="Tahoma"/>
          <w:color w:val="0D0D0D"/>
          <w:szCs w:val="24"/>
        </w:rPr>
      </w:pPr>
    </w:p>
    <w:p w14:paraId="1E4ACD16" w14:textId="77777777" w:rsidR="001B41E7" w:rsidRDefault="001B41E7" w:rsidP="00545B8B">
      <w:pPr>
        <w:spacing w:after="0" w:line="240" w:lineRule="auto"/>
        <w:rPr>
          <w:rFonts w:cs="Tahoma"/>
          <w:b/>
          <w:szCs w:val="24"/>
        </w:rPr>
      </w:pPr>
    </w:p>
    <w:p w14:paraId="31436C1B" w14:textId="2B0181D1" w:rsidR="00404C0B" w:rsidRDefault="00404C0B" w:rsidP="00B4351B">
      <w:pPr>
        <w:spacing w:after="0" w:line="240" w:lineRule="auto"/>
        <w:ind w:left="720" w:hanging="720"/>
        <w:rPr>
          <w:rFonts w:eastAsia="Tahoma" w:cs="Tahoma"/>
          <w:b/>
          <w:bCs/>
          <w:color w:val="000000"/>
          <w:szCs w:val="24"/>
          <w:u w:val="single"/>
        </w:rPr>
      </w:pPr>
      <w:r>
        <w:rPr>
          <w:rFonts w:eastAsia="Tahoma" w:cs="Tahoma"/>
          <w:b/>
          <w:bCs/>
          <w:color w:val="000000"/>
          <w:szCs w:val="24"/>
          <w:u w:val="single"/>
        </w:rPr>
        <w:t>Project Requirements</w:t>
      </w:r>
    </w:p>
    <w:p w14:paraId="236E4DA4" w14:textId="77777777" w:rsidR="00404C0B" w:rsidRPr="00A62F65" w:rsidRDefault="00404C0B" w:rsidP="00B4351B">
      <w:pPr>
        <w:spacing w:after="0" w:line="240" w:lineRule="auto"/>
        <w:ind w:left="720" w:hanging="720"/>
        <w:rPr>
          <w:rFonts w:cs="Tahoma"/>
          <w:b/>
          <w:szCs w:val="24"/>
        </w:rPr>
      </w:pPr>
    </w:p>
    <w:p w14:paraId="6FF96F4E" w14:textId="52711425" w:rsidR="00472D2F" w:rsidRPr="00E11E42" w:rsidRDefault="00472D2F" w:rsidP="006A46CA">
      <w:pPr>
        <w:spacing w:after="0" w:line="240" w:lineRule="auto"/>
        <w:rPr>
          <w:rFonts w:cs="Tahoma"/>
          <w:b/>
          <w:bCs/>
        </w:rPr>
      </w:pPr>
      <w:r w:rsidRPr="00E11E42">
        <w:rPr>
          <w:rFonts w:cs="Tahoma"/>
          <w:b/>
          <w:bCs/>
        </w:rPr>
        <w:t>Q</w:t>
      </w:r>
      <w:r w:rsidR="009B6BD0">
        <w:rPr>
          <w:rFonts w:cs="Tahoma"/>
          <w:b/>
          <w:bCs/>
        </w:rPr>
        <w:t>5</w:t>
      </w:r>
      <w:r w:rsidR="00A62F65" w:rsidRPr="00E11E42">
        <w:rPr>
          <w:rFonts w:cs="Tahoma"/>
          <w:b/>
          <w:bCs/>
        </w:rPr>
        <w:t>.</w:t>
      </w:r>
      <w:r w:rsidRPr="00E11E42">
        <w:tab/>
      </w:r>
      <w:r w:rsidR="3E14D538" w:rsidRPr="00E11E42">
        <w:rPr>
          <w:rFonts w:cs="Tahoma"/>
          <w:b/>
        </w:rPr>
        <w:t xml:space="preserve">Are </w:t>
      </w:r>
      <w:r w:rsidR="00DE7B65">
        <w:rPr>
          <w:rFonts w:cs="Tahoma"/>
          <w:b/>
        </w:rPr>
        <w:t>A</w:t>
      </w:r>
      <w:r w:rsidR="00A450F1">
        <w:rPr>
          <w:rFonts w:cs="Tahoma"/>
          <w:b/>
        </w:rPr>
        <w:t>pplicants</w:t>
      </w:r>
      <w:r w:rsidR="00A450F1" w:rsidRPr="00E11E42">
        <w:rPr>
          <w:rFonts w:cs="Tahoma"/>
          <w:b/>
        </w:rPr>
        <w:t xml:space="preserve"> </w:t>
      </w:r>
      <w:r w:rsidR="3E14D538" w:rsidRPr="00E11E42">
        <w:rPr>
          <w:rFonts w:cs="Tahoma"/>
          <w:b/>
        </w:rPr>
        <w:t xml:space="preserve">expected to inspect each charging station listed in the </w:t>
      </w:r>
      <w:r w:rsidR="00666B3C">
        <w:tab/>
      </w:r>
      <w:r w:rsidR="3E14D538" w:rsidRPr="00E11E42">
        <w:rPr>
          <w:rFonts w:cs="Tahoma"/>
          <w:b/>
        </w:rPr>
        <w:t>solicitation to determine whether repairs or replacements are needed,</w:t>
      </w:r>
      <w:r w:rsidR="032C0D53" w:rsidRPr="00E11E42">
        <w:rPr>
          <w:rFonts w:cs="Tahoma"/>
          <w:b/>
        </w:rPr>
        <w:t xml:space="preserve"> </w:t>
      </w:r>
      <w:r w:rsidR="00666B3C">
        <w:tab/>
      </w:r>
      <w:r w:rsidR="3E14D538" w:rsidRPr="00E11E42">
        <w:rPr>
          <w:rFonts w:cs="Tahoma"/>
          <w:b/>
        </w:rPr>
        <w:t>and then submit a proposal for funding approval for these actions?</w:t>
      </w:r>
    </w:p>
    <w:p w14:paraId="52F6FF08" w14:textId="7F4FE382" w:rsidR="00B4351B" w:rsidRPr="00E11E42" w:rsidRDefault="00B4351B" w:rsidP="1AB9115E">
      <w:pPr>
        <w:spacing w:after="0" w:line="240" w:lineRule="auto"/>
        <w:rPr>
          <w:rFonts w:cs="Tahoma"/>
        </w:rPr>
      </w:pPr>
    </w:p>
    <w:p w14:paraId="3820C1AE" w14:textId="07B56158" w:rsidR="008A1EEE" w:rsidRPr="00E11E42" w:rsidRDefault="008A1EEE" w:rsidP="005B3AD6">
      <w:pPr>
        <w:spacing w:after="0" w:line="240" w:lineRule="auto"/>
        <w:ind w:left="720" w:hanging="720"/>
        <w:rPr>
          <w:rFonts w:cs="Tahoma"/>
          <w:szCs w:val="24"/>
        </w:rPr>
      </w:pPr>
      <w:r w:rsidRPr="00E11E42">
        <w:rPr>
          <w:rFonts w:cs="Tahoma"/>
          <w:szCs w:val="24"/>
        </w:rPr>
        <w:t>A</w:t>
      </w:r>
      <w:r w:rsidR="009B6BD0">
        <w:rPr>
          <w:rFonts w:cs="Tahoma"/>
          <w:szCs w:val="24"/>
        </w:rPr>
        <w:t>5</w:t>
      </w:r>
      <w:r w:rsidRPr="00E11E42">
        <w:rPr>
          <w:rFonts w:cs="Tahoma"/>
          <w:szCs w:val="24"/>
        </w:rPr>
        <w:t xml:space="preserve">. </w:t>
      </w:r>
      <w:r w:rsidRPr="00E11E42">
        <w:rPr>
          <w:rFonts w:cs="Tahoma"/>
          <w:szCs w:val="24"/>
        </w:rPr>
        <w:tab/>
      </w:r>
      <w:r w:rsidR="00ED4D3E" w:rsidRPr="00E11E42">
        <w:rPr>
          <w:rFonts w:cs="Tahoma"/>
          <w:szCs w:val="24"/>
        </w:rPr>
        <w:t xml:space="preserve">Per </w:t>
      </w:r>
      <w:r w:rsidR="00741986" w:rsidRPr="00E11E42">
        <w:rPr>
          <w:rFonts w:cs="Tahoma"/>
          <w:szCs w:val="24"/>
        </w:rPr>
        <w:t>S</w:t>
      </w:r>
      <w:r w:rsidR="00F12067" w:rsidRPr="00E11E42">
        <w:rPr>
          <w:rFonts w:cs="Tahoma"/>
          <w:szCs w:val="24"/>
        </w:rPr>
        <w:t xml:space="preserve">ection II.B. of the </w:t>
      </w:r>
      <w:r w:rsidR="002E22E1">
        <w:rPr>
          <w:rFonts w:cs="Tahoma"/>
          <w:szCs w:val="24"/>
        </w:rPr>
        <w:t>Solicitation Manual</w:t>
      </w:r>
      <w:r w:rsidR="00F12067" w:rsidRPr="00E11E42">
        <w:rPr>
          <w:rFonts w:cs="Tahoma"/>
          <w:szCs w:val="24"/>
        </w:rPr>
        <w:t>, t</w:t>
      </w:r>
      <w:r w:rsidRPr="00E11E42">
        <w:rPr>
          <w:rFonts w:cs="Tahoma"/>
          <w:szCs w:val="24"/>
        </w:rPr>
        <w:t xml:space="preserve">o be eligible for funding under this solicitation, ports on </w:t>
      </w:r>
      <w:r w:rsidR="00D8158C">
        <w:rPr>
          <w:rFonts w:cs="Tahoma"/>
          <w:szCs w:val="24"/>
        </w:rPr>
        <w:t>Federal Highway Administration’s</w:t>
      </w:r>
      <w:r w:rsidRPr="00E11E42">
        <w:rPr>
          <w:rFonts w:cs="Tahoma"/>
          <w:szCs w:val="24"/>
        </w:rPr>
        <w:t xml:space="preserve"> Final List and Final List Addendum of Non-Operational Chargers must:</w:t>
      </w:r>
    </w:p>
    <w:p w14:paraId="5BB2F2AC" w14:textId="22BA1B13" w:rsidR="008A1EEE" w:rsidRPr="00E11E42" w:rsidRDefault="008A1EEE" w:rsidP="005B3AD6">
      <w:pPr>
        <w:pStyle w:val="ListParagraph"/>
        <w:numPr>
          <w:ilvl w:val="1"/>
          <w:numId w:val="12"/>
        </w:numPr>
        <w:tabs>
          <w:tab w:val="left" w:pos="1440"/>
        </w:tabs>
        <w:spacing w:after="120" w:line="240" w:lineRule="auto"/>
        <w:ind w:left="1440"/>
        <w:contextualSpacing w:val="0"/>
        <w:rPr>
          <w:rFonts w:cs="Tahoma"/>
          <w:szCs w:val="24"/>
        </w:rPr>
      </w:pPr>
      <w:r w:rsidRPr="00E11E42">
        <w:rPr>
          <w:rFonts w:cs="Tahoma"/>
          <w:szCs w:val="24"/>
        </w:rPr>
        <w:t>Not be compliant with 23 CFR 680</w:t>
      </w:r>
      <w:r w:rsidR="00D8158C">
        <w:rPr>
          <w:rFonts w:cs="Tahoma"/>
          <w:szCs w:val="24"/>
        </w:rPr>
        <w:t>;</w:t>
      </w:r>
      <w:r w:rsidRPr="00E11E42">
        <w:rPr>
          <w:rFonts w:cs="Tahoma"/>
          <w:szCs w:val="24"/>
        </w:rPr>
        <w:t xml:space="preserve"> AND</w:t>
      </w:r>
    </w:p>
    <w:p w14:paraId="7B148EBE" w14:textId="75B8E353" w:rsidR="008A1EEE" w:rsidRPr="00E11E42" w:rsidRDefault="008A1EEE" w:rsidP="005B3AD6">
      <w:pPr>
        <w:pStyle w:val="ListParagraph"/>
        <w:numPr>
          <w:ilvl w:val="1"/>
          <w:numId w:val="12"/>
        </w:numPr>
        <w:tabs>
          <w:tab w:val="left" w:pos="1440"/>
        </w:tabs>
        <w:spacing w:after="120" w:line="240" w:lineRule="auto"/>
        <w:ind w:left="1440"/>
        <w:contextualSpacing w:val="0"/>
        <w:rPr>
          <w:rFonts w:cs="Tahoma"/>
          <w:szCs w:val="24"/>
        </w:rPr>
      </w:pPr>
      <w:r w:rsidRPr="00E11E42">
        <w:rPr>
          <w:rFonts w:cs="Tahoma"/>
          <w:szCs w:val="24"/>
        </w:rPr>
        <w:t>Not be covered by a warranty that covers the cost of the needed repair/ replacement work.</w:t>
      </w:r>
    </w:p>
    <w:p w14:paraId="6133A91A" w14:textId="54DE68E6" w:rsidR="000D1526" w:rsidRPr="00E11E42" w:rsidRDefault="0080609A" w:rsidP="005B3AD6">
      <w:pPr>
        <w:spacing w:after="0" w:line="240" w:lineRule="auto"/>
        <w:ind w:left="720"/>
        <w:rPr>
          <w:rFonts w:cs="Tahoma"/>
          <w:szCs w:val="24"/>
        </w:rPr>
      </w:pPr>
      <w:r w:rsidRPr="00E11E42">
        <w:rPr>
          <w:rFonts w:cs="Tahoma"/>
          <w:szCs w:val="24"/>
        </w:rPr>
        <w:t xml:space="preserve">Applicants are expected to inspect the </w:t>
      </w:r>
      <w:r w:rsidR="00BD28CA" w:rsidRPr="00E11E42">
        <w:rPr>
          <w:rFonts w:cs="Tahoma"/>
          <w:szCs w:val="24"/>
        </w:rPr>
        <w:t>ports</w:t>
      </w:r>
      <w:r w:rsidRPr="00E11E42">
        <w:rPr>
          <w:rFonts w:cs="Tahoma"/>
          <w:szCs w:val="24"/>
        </w:rPr>
        <w:t xml:space="preserve"> </w:t>
      </w:r>
      <w:r w:rsidR="007339DF">
        <w:rPr>
          <w:rFonts w:cs="Tahoma"/>
          <w:szCs w:val="24"/>
        </w:rPr>
        <w:t xml:space="preserve">for which </w:t>
      </w:r>
      <w:r w:rsidRPr="00E11E42">
        <w:rPr>
          <w:rFonts w:cs="Tahoma"/>
          <w:szCs w:val="24"/>
        </w:rPr>
        <w:t xml:space="preserve">they intend to apply for funding </w:t>
      </w:r>
      <w:r w:rsidR="00BD28CA" w:rsidRPr="00E11E42">
        <w:rPr>
          <w:rFonts w:cs="Tahoma"/>
          <w:szCs w:val="24"/>
        </w:rPr>
        <w:t xml:space="preserve">under this solicitation to </w:t>
      </w:r>
      <w:r w:rsidR="00A91747" w:rsidRPr="00E11E42">
        <w:rPr>
          <w:rFonts w:cs="Tahoma"/>
          <w:szCs w:val="24"/>
        </w:rPr>
        <w:t>ensure</w:t>
      </w:r>
      <w:r w:rsidR="00BD28CA" w:rsidRPr="00E11E42">
        <w:rPr>
          <w:rFonts w:cs="Tahoma"/>
          <w:szCs w:val="24"/>
        </w:rPr>
        <w:t xml:space="preserve"> they meet th</w:t>
      </w:r>
      <w:r w:rsidR="00B93107" w:rsidRPr="00E11E42">
        <w:rPr>
          <w:rFonts w:cs="Tahoma"/>
          <w:szCs w:val="24"/>
        </w:rPr>
        <w:t xml:space="preserve">ese requirements. </w:t>
      </w:r>
      <w:r w:rsidR="00B75565" w:rsidRPr="00E11E42">
        <w:rPr>
          <w:rFonts w:cs="Tahoma"/>
          <w:szCs w:val="24"/>
        </w:rPr>
        <w:t xml:space="preserve">Additionally, </w:t>
      </w:r>
      <w:r w:rsidR="00A91747" w:rsidRPr="00E11E42">
        <w:rPr>
          <w:rFonts w:cs="Tahoma"/>
          <w:szCs w:val="24"/>
        </w:rPr>
        <w:t xml:space="preserve">Applicants must </w:t>
      </w:r>
      <w:r w:rsidR="00F60C97" w:rsidRPr="00E11E42">
        <w:rPr>
          <w:rFonts w:cs="Tahoma"/>
          <w:szCs w:val="24"/>
        </w:rPr>
        <w:t xml:space="preserve">have an estimate </w:t>
      </w:r>
      <w:r w:rsidR="008273A3" w:rsidRPr="00E11E42">
        <w:rPr>
          <w:rFonts w:cs="Tahoma"/>
          <w:szCs w:val="24"/>
        </w:rPr>
        <w:t>of</w:t>
      </w:r>
      <w:r w:rsidR="009F4280" w:rsidRPr="00E11E42">
        <w:rPr>
          <w:rFonts w:cs="Tahoma"/>
          <w:szCs w:val="24"/>
        </w:rPr>
        <w:t xml:space="preserve"> </w:t>
      </w:r>
      <w:r w:rsidR="00A91747" w:rsidRPr="00E11E42">
        <w:rPr>
          <w:rFonts w:cs="Tahoma"/>
          <w:szCs w:val="24"/>
        </w:rPr>
        <w:t>the cost</w:t>
      </w:r>
      <w:r w:rsidR="00895B5C" w:rsidRPr="00E11E42">
        <w:rPr>
          <w:rFonts w:cs="Tahoma"/>
          <w:szCs w:val="24"/>
        </w:rPr>
        <w:t xml:space="preserve">s for </w:t>
      </w:r>
      <w:r w:rsidR="00A91747" w:rsidRPr="00E11E42">
        <w:rPr>
          <w:rFonts w:cs="Tahoma"/>
          <w:szCs w:val="24"/>
        </w:rPr>
        <w:t xml:space="preserve">both repairing (if </w:t>
      </w:r>
      <w:r w:rsidR="00B75565" w:rsidRPr="00E11E42">
        <w:rPr>
          <w:rFonts w:cs="Tahoma"/>
          <w:szCs w:val="24"/>
        </w:rPr>
        <w:t>feasible</w:t>
      </w:r>
      <w:r w:rsidR="00A91747" w:rsidRPr="00E11E42">
        <w:rPr>
          <w:rFonts w:cs="Tahoma"/>
          <w:szCs w:val="24"/>
        </w:rPr>
        <w:t xml:space="preserve">) and replacing </w:t>
      </w:r>
      <w:r w:rsidR="00000C78" w:rsidRPr="00E11E42">
        <w:rPr>
          <w:rFonts w:cs="Tahoma"/>
          <w:szCs w:val="24"/>
        </w:rPr>
        <w:t>each port</w:t>
      </w:r>
      <w:r w:rsidR="00F60C97" w:rsidRPr="00E11E42">
        <w:rPr>
          <w:rFonts w:cs="Tahoma"/>
          <w:szCs w:val="24"/>
        </w:rPr>
        <w:t xml:space="preserve"> </w:t>
      </w:r>
      <w:r w:rsidR="008273A3" w:rsidRPr="00E11E42">
        <w:rPr>
          <w:rFonts w:cs="Tahoma"/>
          <w:szCs w:val="24"/>
        </w:rPr>
        <w:t>for which funding is requested</w:t>
      </w:r>
      <w:r w:rsidR="00000C78" w:rsidRPr="00E11E42">
        <w:rPr>
          <w:rFonts w:cs="Tahoma"/>
          <w:szCs w:val="24"/>
        </w:rPr>
        <w:t xml:space="preserve"> </w:t>
      </w:r>
      <w:r w:rsidR="00F60C97" w:rsidRPr="00E11E42">
        <w:rPr>
          <w:rFonts w:cs="Tahoma"/>
          <w:szCs w:val="24"/>
        </w:rPr>
        <w:t>as this</w:t>
      </w:r>
      <w:r w:rsidR="00B06DAC" w:rsidRPr="00E11E42">
        <w:rPr>
          <w:rFonts w:cs="Tahoma"/>
          <w:szCs w:val="24"/>
        </w:rPr>
        <w:t xml:space="preserve"> information is required to </w:t>
      </w:r>
      <w:r w:rsidR="00F60C97" w:rsidRPr="00E11E42">
        <w:rPr>
          <w:rFonts w:cs="Tahoma"/>
          <w:szCs w:val="24"/>
        </w:rPr>
        <w:t xml:space="preserve">be included in the </w:t>
      </w:r>
      <w:r w:rsidR="00B06DAC" w:rsidRPr="00E11E42">
        <w:rPr>
          <w:rFonts w:cs="Tahoma"/>
          <w:szCs w:val="24"/>
        </w:rPr>
        <w:t>Charging Station Application Template (Attachment 5)</w:t>
      </w:r>
      <w:r w:rsidR="00000C78" w:rsidRPr="00E11E42">
        <w:rPr>
          <w:rFonts w:cs="Tahoma"/>
          <w:szCs w:val="24"/>
        </w:rPr>
        <w:t>.</w:t>
      </w:r>
    </w:p>
    <w:p w14:paraId="6F4A7480" w14:textId="77777777" w:rsidR="00404C0B" w:rsidRPr="00E11E42" w:rsidRDefault="00404C0B" w:rsidP="005B3AD6">
      <w:pPr>
        <w:spacing w:after="0" w:line="240" w:lineRule="auto"/>
        <w:ind w:left="720"/>
        <w:rPr>
          <w:rFonts w:cs="Tahoma"/>
          <w:szCs w:val="24"/>
        </w:rPr>
      </w:pPr>
    </w:p>
    <w:p w14:paraId="407B7E4A" w14:textId="14E670B7" w:rsidR="00404C0B" w:rsidRPr="00E11E42" w:rsidRDefault="00404C0B" w:rsidP="00404C0B">
      <w:pPr>
        <w:spacing w:after="0" w:line="240" w:lineRule="auto"/>
        <w:ind w:left="720" w:hanging="720"/>
        <w:rPr>
          <w:rFonts w:eastAsia="Arial" w:cs="Tahoma"/>
          <w:b/>
          <w:bCs/>
          <w:color w:val="0D0D0D"/>
          <w:szCs w:val="24"/>
        </w:rPr>
      </w:pPr>
      <w:r w:rsidRPr="00E11E42">
        <w:rPr>
          <w:rFonts w:eastAsia="Arial" w:cs="Tahoma"/>
          <w:b/>
          <w:bCs/>
          <w:color w:val="0D0D0D"/>
          <w:szCs w:val="24"/>
        </w:rPr>
        <w:t>Q</w:t>
      </w:r>
      <w:r w:rsidR="00026483">
        <w:rPr>
          <w:rFonts w:eastAsia="Arial" w:cs="Tahoma"/>
          <w:b/>
          <w:bCs/>
          <w:color w:val="0D0D0D"/>
          <w:szCs w:val="24"/>
        </w:rPr>
        <w:t>6</w:t>
      </w:r>
      <w:r w:rsidRPr="00E11E42">
        <w:rPr>
          <w:rFonts w:eastAsia="Arial" w:cs="Tahoma"/>
          <w:b/>
          <w:bCs/>
          <w:color w:val="0D0D0D"/>
          <w:szCs w:val="24"/>
        </w:rPr>
        <w:t xml:space="preserve">. </w:t>
      </w:r>
      <w:r w:rsidRPr="00E11E42">
        <w:rPr>
          <w:rFonts w:eastAsia="Arial" w:cs="Tahoma"/>
          <w:b/>
          <w:bCs/>
          <w:color w:val="0D0D0D"/>
          <w:szCs w:val="24"/>
        </w:rPr>
        <w:tab/>
      </w:r>
      <w:r w:rsidR="00DE7B65">
        <w:rPr>
          <w:rFonts w:eastAsia="Arial" w:cs="Tahoma"/>
          <w:b/>
          <w:bCs/>
          <w:color w:val="0D0D0D"/>
          <w:szCs w:val="24"/>
        </w:rPr>
        <w:t>Are</w:t>
      </w:r>
      <w:r w:rsidR="00654806">
        <w:rPr>
          <w:rFonts w:eastAsia="Arial" w:cs="Tahoma"/>
          <w:b/>
          <w:bCs/>
          <w:color w:val="0D0D0D"/>
          <w:szCs w:val="24"/>
        </w:rPr>
        <w:t xml:space="preserve"> </w:t>
      </w:r>
      <w:r w:rsidR="00DE7B65">
        <w:rPr>
          <w:rFonts w:eastAsia="Arial" w:cs="Tahoma"/>
          <w:b/>
          <w:bCs/>
          <w:color w:val="0D0D0D"/>
          <w:szCs w:val="24"/>
        </w:rPr>
        <w:t>A</w:t>
      </w:r>
      <w:r w:rsidR="00654806">
        <w:rPr>
          <w:rFonts w:eastAsia="Arial" w:cs="Tahoma"/>
          <w:b/>
          <w:bCs/>
          <w:color w:val="0D0D0D"/>
          <w:szCs w:val="24"/>
        </w:rPr>
        <w:t>pplicant</w:t>
      </w:r>
      <w:r w:rsidR="00DE7B65">
        <w:rPr>
          <w:rFonts w:eastAsia="Arial" w:cs="Tahoma"/>
          <w:b/>
          <w:bCs/>
          <w:color w:val="0D0D0D"/>
          <w:szCs w:val="24"/>
        </w:rPr>
        <w:t>s</w:t>
      </w:r>
      <w:r w:rsidRPr="00E11E42">
        <w:rPr>
          <w:rFonts w:eastAsia="Arial" w:cs="Tahoma"/>
          <w:b/>
          <w:bCs/>
          <w:color w:val="0D0D0D"/>
          <w:szCs w:val="24"/>
        </w:rPr>
        <w:t xml:space="preserve"> </w:t>
      </w:r>
      <w:r w:rsidR="00654806" w:rsidRPr="00E11E42">
        <w:rPr>
          <w:rFonts w:eastAsia="Arial" w:cs="Tahoma"/>
          <w:b/>
          <w:bCs/>
          <w:color w:val="0D0D0D"/>
          <w:szCs w:val="24"/>
        </w:rPr>
        <w:t>require</w:t>
      </w:r>
      <w:r w:rsidR="00654806">
        <w:rPr>
          <w:rFonts w:eastAsia="Arial" w:cs="Tahoma"/>
          <w:b/>
          <w:bCs/>
          <w:color w:val="0D0D0D"/>
          <w:szCs w:val="24"/>
        </w:rPr>
        <w:t>d to</w:t>
      </w:r>
      <w:r w:rsidR="00654806" w:rsidRPr="00E11E42">
        <w:rPr>
          <w:rFonts w:eastAsia="Arial" w:cs="Tahoma"/>
          <w:b/>
          <w:bCs/>
          <w:color w:val="0D0D0D"/>
          <w:szCs w:val="24"/>
        </w:rPr>
        <w:t xml:space="preserve"> collaborat</w:t>
      </w:r>
      <w:r w:rsidR="00654806">
        <w:rPr>
          <w:rFonts w:eastAsia="Arial" w:cs="Tahoma"/>
          <w:b/>
          <w:bCs/>
          <w:color w:val="0D0D0D"/>
          <w:szCs w:val="24"/>
        </w:rPr>
        <w:t xml:space="preserve">e </w:t>
      </w:r>
      <w:r w:rsidRPr="00E11E42">
        <w:rPr>
          <w:rFonts w:eastAsia="Arial" w:cs="Tahoma"/>
          <w:b/>
          <w:bCs/>
          <w:color w:val="0D0D0D"/>
          <w:szCs w:val="24"/>
        </w:rPr>
        <w:t>exclusively with the original installation provider at a listed site for equipment replacement? And, if so, does it stipulate that the replacement must be new equipment from the same manufacturer?</w:t>
      </w:r>
    </w:p>
    <w:p w14:paraId="5CA8B213" w14:textId="77777777" w:rsidR="00404C0B" w:rsidRPr="00E11E42" w:rsidRDefault="00404C0B" w:rsidP="00404C0B">
      <w:pPr>
        <w:spacing w:after="0" w:line="240" w:lineRule="auto"/>
        <w:ind w:left="720" w:hanging="720"/>
        <w:rPr>
          <w:rFonts w:eastAsia="Arial" w:cs="Tahoma"/>
          <w:b/>
          <w:bCs/>
          <w:color w:val="0D0D0D"/>
          <w:szCs w:val="24"/>
        </w:rPr>
      </w:pPr>
    </w:p>
    <w:p w14:paraId="4EC470E6" w14:textId="0D19C0B1" w:rsidR="00404C0B" w:rsidRPr="00E11E42" w:rsidRDefault="00404C0B" w:rsidP="00404C0B">
      <w:pPr>
        <w:spacing w:after="0" w:line="240" w:lineRule="auto"/>
        <w:ind w:left="720" w:hanging="720"/>
        <w:rPr>
          <w:rFonts w:eastAsia="Arial" w:cs="Tahoma"/>
          <w:color w:val="0D0D0D"/>
          <w:szCs w:val="24"/>
        </w:rPr>
      </w:pPr>
      <w:r w:rsidRPr="00E11E42">
        <w:rPr>
          <w:rFonts w:eastAsia="Arial" w:cs="Tahoma"/>
          <w:color w:val="0D0D0D"/>
          <w:szCs w:val="24"/>
        </w:rPr>
        <w:lastRenderedPageBreak/>
        <w:t>A</w:t>
      </w:r>
      <w:r w:rsidR="00026483">
        <w:rPr>
          <w:rFonts w:eastAsia="Arial" w:cs="Tahoma"/>
          <w:color w:val="0D0D0D"/>
          <w:szCs w:val="24"/>
        </w:rPr>
        <w:t>6</w:t>
      </w:r>
      <w:r w:rsidRPr="00E11E42">
        <w:rPr>
          <w:rFonts w:eastAsia="Arial" w:cs="Tahoma"/>
          <w:color w:val="0D0D0D"/>
          <w:szCs w:val="24"/>
        </w:rPr>
        <w:t xml:space="preserve">. </w:t>
      </w:r>
      <w:r w:rsidRPr="00E11E42">
        <w:rPr>
          <w:rFonts w:eastAsia="Arial" w:cs="Tahoma"/>
          <w:color w:val="0D0D0D"/>
          <w:szCs w:val="24"/>
        </w:rPr>
        <w:tab/>
        <w:t xml:space="preserve">Applicants are not required to collaborate with the original installation provider. The </w:t>
      </w:r>
      <w:r w:rsidR="006628F3">
        <w:rPr>
          <w:rFonts w:eastAsia="Arial" w:cs="Tahoma"/>
          <w:color w:val="0D0D0D"/>
          <w:szCs w:val="24"/>
        </w:rPr>
        <w:t>A</w:t>
      </w:r>
      <w:r w:rsidRPr="00E11E42">
        <w:rPr>
          <w:rFonts w:eastAsia="Arial" w:cs="Tahoma"/>
          <w:color w:val="0D0D0D"/>
          <w:szCs w:val="24"/>
        </w:rPr>
        <w:t xml:space="preserve">pplicant does not have to use the same manufacturer for the replacement charging equipment. As specified in Section II.B.10. of the </w:t>
      </w:r>
      <w:r w:rsidR="002E22E1">
        <w:rPr>
          <w:rFonts w:eastAsia="Arial" w:cs="Tahoma"/>
          <w:color w:val="0D0D0D"/>
          <w:szCs w:val="24"/>
        </w:rPr>
        <w:t>Solicitation Manual</w:t>
      </w:r>
      <w:r w:rsidRPr="00E11E42">
        <w:rPr>
          <w:rFonts w:eastAsia="Arial" w:cs="Tahoma"/>
          <w:color w:val="0D0D0D"/>
          <w:szCs w:val="24"/>
        </w:rPr>
        <w:t xml:space="preserve">, </w:t>
      </w:r>
      <w:r w:rsidR="006628F3">
        <w:rPr>
          <w:rFonts w:eastAsia="Arial" w:cs="Tahoma"/>
          <w:color w:val="0D0D0D"/>
          <w:szCs w:val="24"/>
        </w:rPr>
        <w:t>A</w:t>
      </w:r>
      <w:r w:rsidRPr="00E11E42">
        <w:rPr>
          <w:rFonts w:eastAsia="Arial" w:cs="Tahoma"/>
          <w:color w:val="0D0D0D"/>
          <w:szCs w:val="24"/>
        </w:rPr>
        <w:t xml:space="preserve">pplicants may use any </w:t>
      </w:r>
      <w:r w:rsidR="00DA1E5F">
        <w:rPr>
          <w:rFonts w:eastAsia="Arial" w:cs="Tahoma"/>
          <w:color w:val="0D0D0D"/>
          <w:szCs w:val="24"/>
        </w:rPr>
        <w:t>Electric Vehicle Service Provider</w:t>
      </w:r>
      <w:r w:rsidRPr="00E11E42">
        <w:rPr>
          <w:rFonts w:eastAsia="Arial" w:cs="Tahoma"/>
          <w:color w:val="0D0D0D"/>
          <w:szCs w:val="24"/>
        </w:rPr>
        <w:t xml:space="preserve"> and charging equipment that complies with the requirements in Section II.B. in entirety, so long as they have consent from the s</w:t>
      </w:r>
      <w:r w:rsidR="004A6F27">
        <w:rPr>
          <w:rFonts w:eastAsia="Arial" w:cs="Tahoma"/>
          <w:color w:val="0D0D0D"/>
          <w:szCs w:val="24"/>
        </w:rPr>
        <w:t>tation host</w:t>
      </w:r>
      <w:r w:rsidRPr="00E11E42">
        <w:rPr>
          <w:rFonts w:eastAsia="Arial" w:cs="Tahoma"/>
          <w:color w:val="0D0D0D"/>
          <w:szCs w:val="24"/>
        </w:rPr>
        <w:t xml:space="preserve"> to complete the work at the charging station. See Section III.D.10.a. of the </w:t>
      </w:r>
      <w:r w:rsidR="002E22E1">
        <w:rPr>
          <w:rFonts w:eastAsia="Arial" w:cs="Tahoma"/>
          <w:color w:val="0D0D0D"/>
          <w:szCs w:val="24"/>
        </w:rPr>
        <w:t>Solicitation Manual</w:t>
      </w:r>
      <w:r w:rsidRPr="00E11E42">
        <w:rPr>
          <w:rFonts w:eastAsia="Arial" w:cs="Tahoma"/>
          <w:color w:val="0D0D0D"/>
          <w:szCs w:val="24"/>
        </w:rPr>
        <w:t xml:space="preserve"> for more information about the s</w:t>
      </w:r>
      <w:r w:rsidR="004A6F27">
        <w:rPr>
          <w:rFonts w:eastAsia="Arial" w:cs="Tahoma"/>
          <w:color w:val="0D0D0D"/>
          <w:szCs w:val="24"/>
        </w:rPr>
        <w:t>tation host</w:t>
      </w:r>
      <w:r w:rsidRPr="00E11E42">
        <w:rPr>
          <w:rFonts w:eastAsia="Arial" w:cs="Tahoma"/>
          <w:color w:val="0D0D0D"/>
          <w:szCs w:val="24"/>
        </w:rPr>
        <w:t xml:space="preserve"> consent requirements. </w:t>
      </w:r>
    </w:p>
    <w:p w14:paraId="612BF3E8" w14:textId="77777777" w:rsidR="00404C0B" w:rsidRPr="00E11E42" w:rsidRDefault="00404C0B" w:rsidP="00404C0B">
      <w:pPr>
        <w:spacing w:after="0" w:line="240" w:lineRule="auto"/>
        <w:ind w:left="720" w:hanging="720"/>
        <w:rPr>
          <w:rFonts w:eastAsia="Arial" w:cs="Tahoma"/>
          <w:color w:val="0D0D0D"/>
          <w:szCs w:val="24"/>
        </w:rPr>
      </w:pPr>
    </w:p>
    <w:p w14:paraId="1841C1DC" w14:textId="6A4832E9" w:rsidR="00404C0B" w:rsidRDefault="00404C0B" w:rsidP="002B30AB">
      <w:pPr>
        <w:spacing w:after="0" w:line="240" w:lineRule="auto"/>
        <w:ind w:left="630" w:hanging="630"/>
        <w:rPr>
          <w:rFonts w:eastAsia="Tahoma" w:cs="Tahoma"/>
          <w:b/>
          <w:bCs/>
          <w:color w:val="000000"/>
          <w:szCs w:val="24"/>
        </w:rPr>
      </w:pPr>
      <w:r w:rsidRPr="00E11E42">
        <w:rPr>
          <w:rFonts w:eastAsia="Tahoma" w:cs="Tahoma"/>
          <w:b/>
          <w:bCs/>
          <w:color w:val="000000"/>
          <w:szCs w:val="24"/>
        </w:rPr>
        <w:t>Q</w:t>
      </w:r>
      <w:r w:rsidR="00266093">
        <w:rPr>
          <w:rFonts w:eastAsia="Tahoma" w:cs="Tahoma"/>
          <w:b/>
          <w:bCs/>
          <w:color w:val="000000"/>
          <w:szCs w:val="24"/>
        </w:rPr>
        <w:t>7</w:t>
      </w:r>
      <w:r w:rsidRPr="00E11E42">
        <w:rPr>
          <w:rFonts w:eastAsia="Tahoma" w:cs="Tahoma"/>
          <w:b/>
          <w:bCs/>
          <w:color w:val="000000"/>
          <w:szCs w:val="24"/>
        </w:rPr>
        <w:t>.  What specific documentation is required for site host agreements?</w:t>
      </w:r>
    </w:p>
    <w:p w14:paraId="782FA4C1" w14:textId="77777777" w:rsidR="002B30AB" w:rsidRPr="00E11E42" w:rsidRDefault="002B30AB" w:rsidP="002B30AB">
      <w:pPr>
        <w:spacing w:after="0" w:line="240" w:lineRule="auto"/>
        <w:ind w:left="630" w:hanging="630"/>
        <w:rPr>
          <w:rFonts w:eastAsia="Tahoma" w:cs="Tahoma"/>
          <w:b/>
          <w:bCs/>
          <w:color w:val="000000"/>
          <w:szCs w:val="24"/>
        </w:rPr>
      </w:pPr>
    </w:p>
    <w:p w14:paraId="6C8AFBBE" w14:textId="40BEAC5C" w:rsidR="004A6F27" w:rsidRDefault="00404C0B" w:rsidP="002B30AB">
      <w:pPr>
        <w:widowControl w:val="0"/>
        <w:spacing w:after="120" w:line="240" w:lineRule="auto"/>
        <w:ind w:left="720" w:hanging="720"/>
      </w:pPr>
      <w:r w:rsidRPr="00597BF2">
        <w:rPr>
          <w:rFonts w:eastAsia="Tahoma" w:cs="Tahoma"/>
          <w:color w:val="000000"/>
        </w:rPr>
        <w:t>A</w:t>
      </w:r>
      <w:r w:rsidR="00266093" w:rsidRPr="00597BF2">
        <w:rPr>
          <w:rFonts w:eastAsia="Tahoma" w:cs="Tahoma"/>
          <w:color w:val="000000"/>
        </w:rPr>
        <w:t>7</w:t>
      </w:r>
      <w:r w:rsidRPr="00597BF2">
        <w:rPr>
          <w:rFonts w:eastAsia="Tahoma" w:cs="Tahoma"/>
          <w:color w:val="000000"/>
        </w:rPr>
        <w:t xml:space="preserve">. </w:t>
      </w:r>
      <w:r>
        <w:rPr>
          <w:rFonts w:eastAsia="Tahoma"/>
        </w:rPr>
        <w:tab/>
      </w:r>
      <w:r>
        <w:t xml:space="preserve">Station host agreements are not required at the time of application; however, </w:t>
      </w:r>
      <w:r w:rsidR="00D33A4A">
        <w:t xml:space="preserve">as described in Task 2 of the Scope of Work (Attachment 2), </w:t>
      </w:r>
      <w:r>
        <w:t>they will be required for stations proposed for award. Station host agreements</w:t>
      </w:r>
      <w:r w:rsidRPr="65E498B4">
        <w:rPr>
          <w:rFonts w:cs="Arial"/>
        </w:rPr>
        <w:t xml:space="preserve"> may include</w:t>
      </w:r>
      <w:r w:rsidR="00DB33F6" w:rsidRPr="65E498B4">
        <w:rPr>
          <w:rFonts w:cs="Arial"/>
        </w:rPr>
        <w:t>,</w:t>
      </w:r>
      <w:r w:rsidRPr="65E498B4">
        <w:rPr>
          <w:rFonts w:cs="Arial"/>
        </w:rPr>
        <w:t xml:space="preserve"> but are not limited to</w:t>
      </w:r>
      <w:r w:rsidR="00DB33F6" w:rsidRPr="65E498B4">
        <w:rPr>
          <w:rFonts w:cs="Arial"/>
        </w:rPr>
        <w:t>,</w:t>
      </w:r>
      <w:r w:rsidRPr="65E498B4">
        <w:rPr>
          <w:rFonts w:cs="Arial"/>
        </w:rPr>
        <w:t xml:space="preserve"> requirements for restroom availability and cleanliness, 24/7/365 public access to the charging station for </w:t>
      </w:r>
      <w:r w:rsidR="00224BD6" w:rsidRPr="65E498B4">
        <w:rPr>
          <w:rFonts w:cs="Arial"/>
        </w:rPr>
        <w:t xml:space="preserve">charging stations located along </w:t>
      </w:r>
      <w:r w:rsidR="00735397" w:rsidRPr="65E498B4">
        <w:rPr>
          <w:rFonts w:cs="Arial"/>
        </w:rPr>
        <w:t xml:space="preserve">an </w:t>
      </w:r>
      <w:r w:rsidR="00564841" w:rsidRPr="65E498B4">
        <w:rPr>
          <w:rFonts w:cs="Arial"/>
        </w:rPr>
        <w:t>Alternative Fuel Corridor</w:t>
      </w:r>
      <w:r w:rsidRPr="65E498B4">
        <w:rPr>
          <w:rFonts w:cs="Arial"/>
        </w:rPr>
        <w:t xml:space="preserve">, access to the charging station at least during business hours for charging </w:t>
      </w:r>
      <w:r w:rsidR="002B30AB" w:rsidRPr="65E498B4">
        <w:rPr>
          <w:rFonts w:cs="Arial"/>
        </w:rPr>
        <w:t>stations</w:t>
      </w:r>
      <w:r w:rsidR="00735397" w:rsidRPr="65E498B4">
        <w:rPr>
          <w:rFonts w:cs="Arial"/>
        </w:rPr>
        <w:t xml:space="preserve"> not located along an Alternative Fuel </w:t>
      </w:r>
      <w:proofErr w:type="gramStart"/>
      <w:r w:rsidR="00735397" w:rsidRPr="65E498B4">
        <w:rPr>
          <w:rFonts w:cs="Arial"/>
        </w:rPr>
        <w:t>Corridor</w:t>
      </w:r>
      <w:r w:rsidR="002B30AB" w:rsidRPr="65E498B4">
        <w:rPr>
          <w:rFonts w:cs="Arial"/>
        </w:rPr>
        <w:t>, and</w:t>
      </w:r>
      <w:proofErr w:type="gramEnd"/>
      <w:r w:rsidRPr="65E498B4">
        <w:rPr>
          <w:rFonts w:cs="Arial"/>
        </w:rPr>
        <w:t xml:space="preserve"> keeping the charging station well-lit and clean.</w:t>
      </w:r>
      <w:r w:rsidR="004A6F27">
        <w:t xml:space="preserve"> </w:t>
      </w:r>
    </w:p>
    <w:p w14:paraId="1DA0E4F0" w14:textId="49A9CE0D" w:rsidR="00404C0B" w:rsidRDefault="00404C0B" w:rsidP="002B30AB">
      <w:pPr>
        <w:widowControl w:val="0"/>
        <w:spacing w:before="240" w:after="120" w:line="240" w:lineRule="auto"/>
        <w:ind w:left="720"/>
        <w:rPr>
          <w:szCs w:val="24"/>
        </w:rPr>
      </w:pPr>
      <w:r w:rsidRPr="00E11E42">
        <w:rPr>
          <w:rFonts w:eastAsia="Tahoma" w:cs="Tahoma"/>
          <w:color w:val="000000"/>
          <w:szCs w:val="24"/>
        </w:rPr>
        <w:t xml:space="preserve">At the time of application, per Section </w:t>
      </w:r>
      <w:r w:rsidRPr="00E11E42">
        <w:rPr>
          <w:rStyle w:val="eop"/>
          <w:szCs w:val="24"/>
        </w:rPr>
        <w:t>III.D.10.a</w:t>
      </w:r>
      <w:r w:rsidRPr="00E11E42">
        <w:rPr>
          <w:rFonts w:eastAsia="Tahoma" w:cs="Tahoma"/>
          <w:color w:val="000000"/>
          <w:szCs w:val="24"/>
        </w:rPr>
        <w:t xml:space="preserve">. of the </w:t>
      </w:r>
      <w:r w:rsidR="002E22E1">
        <w:rPr>
          <w:rFonts w:eastAsia="Tahoma" w:cs="Tahoma"/>
          <w:color w:val="000000"/>
          <w:szCs w:val="24"/>
        </w:rPr>
        <w:t>Solicitation Manual</w:t>
      </w:r>
      <w:r w:rsidRPr="00E11E42">
        <w:rPr>
          <w:rFonts w:eastAsia="Tahoma" w:cs="Tahoma"/>
          <w:color w:val="000000"/>
          <w:szCs w:val="24"/>
        </w:rPr>
        <w:t xml:space="preserve">, </w:t>
      </w:r>
      <w:r w:rsidRPr="00E11E42">
        <w:rPr>
          <w:szCs w:val="24"/>
        </w:rPr>
        <w:t xml:space="preserve">for each proposed charging station, Applicants must submit a letter signed by the station host demonstrating consent for the requested repair and/or replacement work, and additional port installations as necessary to comply with 23 CFR 680. The letter must include language demonstrating that the </w:t>
      </w:r>
      <w:r w:rsidRPr="00E11E42">
        <w:rPr>
          <w:noProof/>
          <w:szCs w:val="24"/>
        </w:rPr>
        <w:t>station</w:t>
      </w:r>
      <w:r w:rsidRPr="00E11E42">
        <w:rPr>
          <w:szCs w:val="24"/>
        </w:rPr>
        <w:t xml:space="preserve"> host consents to the selected </w:t>
      </w:r>
      <w:r w:rsidR="00FB0A70">
        <w:rPr>
          <w:szCs w:val="24"/>
        </w:rPr>
        <w:t>Electric Vehicle Service Provider</w:t>
      </w:r>
      <w:r w:rsidR="00FB0A70" w:rsidRPr="00E11E42">
        <w:rPr>
          <w:szCs w:val="24"/>
        </w:rPr>
        <w:t xml:space="preserve"> </w:t>
      </w:r>
      <w:r w:rsidRPr="00E11E42">
        <w:rPr>
          <w:szCs w:val="24"/>
        </w:rPr>
        <w:t>and charging equipment.</w:t>
      </w:r>
      <w:r>
        <w:rPr>
          <w:szCs w:val="24"/>
        </w:rPr>
        <w:t xml:space="preserve"> </w:t>
      </w:r>
    </w:p>
    <w:p w14:paraId="270F8659" w14:textId="77777777" w:rsidR="00880743" w:rsidRPr="00880743" w:rsidRDefault="00880743" w:rsidP="00880743">
      <w:pPr>
        <w:tabs>
          <w:tab w:val="left" w:pos="0"/>
        </w:tabs>
        <w:spacing w:after="0" w:line="240" w:lineRule="auto"/>
        <w:rPr>
          <w:rFonts w:eastAsia="Tahoma" w:cs="Tahoma"/>
          <w:b/>
          <w:bCs/>
          <w:color w:val="000000"/>
          <w:szCs w:val="24"/>
        </w:rPr>
      </w:pPr>
    </w:p>
    <w:p w14:paraId="19A1D9AE" w14:textId="1B723DF7" w:rsidR="00880743" w:rsidRPr="00853A33" w:rsidRDefault="00880743" w:rsidP="00880743">
      <w:pPr>
        <w:tabs>
          <w:tab w:val="left" w:pos="720"/>
        </w:tabs>
        <w:spacing w:after="0" w:line="240" w:lineRule="auto"/>
        <w:ind w:left="720" w:hanging="720"/>
        <w:rPr>
          <w:rFonts w:eastAsia="Tahoma" w:cs="Tahoma"/>
          <w:b/>
          <w:bCs/>
          <w:color w:val="000000"/>
          <w:szCs w:val="24"/>
        </w:rPr>
      </w:pPr>
      <w:r w:rsidRPr="00853A33">
        <w:rPr>
          <w:rFonts w:eastAsia="Tahoma" w:cs="Tahoma"/>
          <w:b/>
          <w:bCs/>
          <w:color w:val="000000"/>
          <w:szCs w:val="24"/>
        </w:rPr>
        <w:t>Q</w:t>
      </w:r>
      <w:r w:rsidR="00D92563">
        <w:rPr>
          <w:rFonts w:eastAsia="Tahoma" w:cs="Tahoma"/>
          <w:b/>
          <w:bCs/>
          <w:color w:val="000000"/>
          <w:szCs w:val="24"/>
        </w:rPr>
        <w:t>8</w:t>
      </w:r>
      <w:r w:rsidRPr="00853A33">
        <w:rPr>
          <w:rFonts w:eastAsia="Tahoma" w:cs="Tahoma"/>
          <w:b/>
          <w:bCs/>
          <w:color w:val="000000"/>
          <w:szCs w:val="24"/>
        </w:rPr>
        <w:t xml:space="preserve">. </w:t>
      </w:r>
      <w:r w:rsidRPr="00853A33">
        <w:rPr>
          <w:rFonts w:eastAsia="Tahoma" w:cs="Tahoma"/>
          <w:b/>
          <w:bCs/>
          <w:color w:val="000000"/>
          <w:szCs w:val="24"/>
        </w:rPr>
        <w:tab/>
      </w:r>
      <w:r w:rsidR="006B2336">
        <w:rPr>
          <w:rFonts w:eastAsia="Tahoma" w:cs="Tahoma"/>
          <w:b/>
          <w:bCs/>
          <w:color w:val="000000"/>
          <w:szCs w:val="24"/>
        </w:rPr>
        <w:t>Are</w:t>
      </w:r>
      <w:r w:rsidRPr="00853A33">
        <w:rPr>
          <w:rFonts w:eastAsia="Tahoma" w:cs="Tahoma"/>
          <w:b/>
          <w:bCs/>
          <w:color w:val="000000"/>
          <w:szCs w:val="24"/>
        </w:rPr>
        <w:t xml:space="preserve"> other ports at eligible site</w:t>
      </w:r>
      <w:r w:rsidR="006B2336">
        <w:rPr>
          <w:rFonts w:eastAsia="Tahoma" w:cs="Tahoma"/>
          <w:b/>
          <w:bCs/>
          <w:color w:val="000000"/>
          <w:szCs w:val="24"/>
        </w:rPr>
        <w:t xml:space="preserve">s—ports </w:t>
      </w:r>
      <w:r w:rsidRPr="00853A33">
        <w:rPr>
          <w:rFonts w:eastAsia="Tahoma" w:cs="Tahoma"/>
          <w:b/>
          <w:bCs/>
          <w:color w:val="000000"/>
          <w:szCs w:val="24"/>
        </w:rPr>
        <w:t xml:space="preserve">not included on </w:t>
      </w:r>
      <w:r w:rsidR="00DD655B">
        <w:rPr>
          <w:rFonts w:eastAsia="Tahoma" w:cs="Tahoma"/>
          <w:b/>
          <w:bCs/>
          <w:color w:val="000000"/>
          <w:szCs w:val="24"/>
        </w:rPr>
        <w:t xml:space="preserve">the </w:t>
      </w:r>
      <w:r w:rsidR="00DD655B" w:rsidRPr="00DE7B65">
        <w:rPr>
          <w:rFonts w:cs="Tahoma"/>
          <w:b/>
          <w:bCs/>
          <w:szCs w:val="24"/>
        </w:rPr>
        <w:t xml:space="preserve">Federal Highway Administration’s Final List </w:t>
      </w:r>
      <w:r w:rsidR="006512E1">
        <w:rPr>
          <w:rFonts w:cs="Tahoma"/>
          <w:b/>
          <w:bCs/>
          <w:szCs w:val="24"/>
        </w:rPr>
        <w:t>or</w:t>
      </w:r>
      <w:r w:rsidR="00DD655B" w:rsidRPr="00DE7B65">
        <w:rPr>
          <w:rFonts w:cs="Tahoma"/>
          <w:b/>
          <w:bCs/>
          <w:szCs w:val="24"/>
        </w:rPr>
        <w:t xml:space="preserve"> Final List Addendum of Non-Operational Chargers</w:t>
      </w:r>
      <w:r w:rsidR="00DD655B" w:rsidRPr="00DD655B" w:rsidDel="00DD655B">
        <w:rPr>
          <w:rFonts w:eastAsia="Tahoma" w:cs="Tahoma"/>
          <w:b/>
          <w:bCs/>
          <w:color w:val="000000"/>
          <w:szCs w:val="24"/>
        </w:rPr>
        <w:t xml:space="preserve"> </w:t>
      </w:r>
      <w:r w:rsidR="00DD655B">
        <w:rPr>
          <w:rFonts w:eastAsia="Tahoma" w:cs="Tahoma"/>
          <w:b/>
          <w:bCs/>
          <w:color w:val="000000"/>
          <w:szCs w:val="24"/>
        </w:rPr>
        <w:t>—able</w:t>
      </w:r>
      <w:r w:rsidRPr="00853A33">
        <w:rPr>
          <w:rFonts w:eastAsia="Tahoma" w:cs="Tahoma"/>
          <w:b/>
          <w:bCs/>
          <w:color w:val="000000"/>
          <w:szCs w:val="24"/>
        </w:rPr>
        <w:t xml:space="preserve"> to be claimed as eligible replacement costs where existing infrastructure is replaced with 23 CFR 680-compliant infrastructure</w:t>
      </w:r>
      <w:r w:rsidR="00EF358C">
        <w:rPr>
          <w:rFonts w:eastAsia="Tahoma" w:cs="Tahoma"/>
          <w:b/>
          <w:bCs/>
          <w:color w:val="000000"/>
          <w:szCs w:val="24"/>
        </w:rPr>
        <w:t>?</w:t>
      </w:r>
      <w:r w:rsidR="00EF358C" w:rsidRPr="00853A33">
        <w:rPr>
          <w:rFonts w:eastAsia="Tahoma" w:cs="Tahoma"/>
          <w:b/>
          <w:bCs/>
          <w:color w:val="000000"/>
          <w:szCs w:val="24"/>
        </w:rPr>
        <w:t xml:space="preserve"> </w:t>
      </w:r>
      <w:r w:rsidR="00EF358C">
        <w:rPr>
          <w:rFonts w:eastAsia="Tahoma" w:cs="Tahoma"/>
          <w:b/>
          <w:bCs/>
          <w:color w:val="000000"/>
          <w:szCs w:val="24"/>
        </w:rPr>
        <w:t>For example, i</w:t>
      </w:r>
      <w:r w:rsidRPr="00853A33">
        <w:rPr>
          <w:rFonts w:eastAsia="Tahoma" w:cs="Tahoma"/>
          <w:b/>
          <w:bCs/>
          <w:color w:val="000000"/>
          <w:szCs w:val="24"/>
        </w:rPr>
        <w:t xml:space="preserve">f a site includes two ports marked as inoperable in the </w:t>
      </w:r>
      <w:r w:rsidR="008D5D3A">
        <w:rPr>
          <w:rFonts w:eastAsia="Tahoma" w:cs="Tahoma"/>
          <w:b/>
          <w:bCs/>
          <w:color w:val="000000"/>
          <w:szCs w:val="24"/>
        </w:rPr>
        <w:t xml:space="preserve">Final List </w:t>
      </w:r>
      <w:r w:rsidR="006512E1">
        <w:rPr>
          <w:rFonts w:eastAsia="Tahoma" w:cs="Tahoma"/>
          <w:b/>
          <w:bCs/>
          <w:color w:val="000000"/>
          <w:szCs w:val="24"/>
        </w:rPr>
        <w:t>or</w:t>
      </w:r>
      <w:r w:rsidR="008D5D3A">
        <w:rPr>
          <w:rFonts w:eastAsia="Tahoma" w:cs="Tahoma"/>
          <w:b/>
          <w:bCs/>
          <w:color w:val="000000"/>
          <w:szCs w:val="24"/>
        </w:rPr>
        <w:t xml:space="preserve"> Final List Addendum of Non-Operational Chargers</w:t>
      </w:r>
      <w:r w:rsidRPr="00853A33">
        <w:rPr>
          <w:rFonts w:eastAsia="Tahoma" w:cs="Tahoma"/>
          <w:b/>
          <w:bCs/>
          <w:color w:val="000000"/>
          <w:szCs w:val="24"/>
        </w:rPr>
        <w:t xml:space="preserve"> and two additional ports not marked as inoperable </w:t>
      </w:r>
      <w:r w:rsidR="00DB7D4A">
        <w:rPr>
          <w:rFonts w:eastAsia="Tahoma" w:cs="Tahoma"/>
          <w:b/>
          <w:bCs/>
          <w:color w:val="000000"/>
          <w:szCs w:val="24"/>
        </w:rPr>
        <w:t xml:space="preserve">on the Final List </w:t>
      </w:r>
      <w:r w:rsidR="006512E1">
        <w:rPr>
          <w:rFonts w:eastAsia="Tahoma" w:cs="Tahoma"/>
          <w:b/>
          <w:bCs/>
          <w:color w:val="000000"/>
          <w:szCs w:val="24"/>
        </w:rPr>
        <w:t>or</w:t>
      </w:r>
      <w:r w:rsidR="00DB7D4A">
        <w:rPr>
          <w:rFonts w:eastAsia="Tahoma" w:cs="Tahoma"/>
          <w:b/>
          <w:bCs/>
          <w:color w:val="000000"/>
          <w:szCs w:val="24"/>
        </w:rPr>
        <w:t xml:space="preserve"> Final List Addendum</w:t>
      </w:r>
      <w:r w:rsidRPr="00853A33">
        <w:rPr>
          <w:rFonts w:eastAsia="Tahoma" w:cs="Tahoma"/>
          <w:b/>
          <w:bCs/>
          <w:color w:val="000000"/>
          <w:szCs w:val="24"/>
        </w:rPr>
        <w:t xml:space="preserve"> but </w:t>
      </w:r>
      <w:r w:rsidR="0097234F">
        <w:rPr>
          <w:rFonts w:eastAsia="Tahoma" w:cs="Tahoma"/>
          <w:b/>
          <w:bCs/>
          <w:color w:val="000000"/>
          <w:szCs w:val="24"/>
        </w:rPr>
        <w:t xml:space="preserve">do </w:t>
      </w:r>
      <w:r w:rsidRPr="00853A33">
        <w:rPr>
          <w:rFonts w:eastAsia="Tahoma" w:cs="Tahoma"/>
          <w:b/>
          <w:bCs/>
          <w:color w:val="000000"/>
          <w:szCs w:val="24"/>
        </w:rPr>
        <w:t xml:space="preserve">not meet all requirements of 23 CFR 680, are </w:t>
      </w:r>
      <w:r w:rsidR="00D558D7">
        <w:rPr>
          <w:rFonts w:eastAsia="Tahoma" w:cs="Tahoma"/>
          <w:b/>
          <w:bCs/>
          <w:color w:val="000000"/>
          <w:szCs w:val="24"/>
        </w:rPr>
        <w:t>all four port</w:t>
      </w:r>
      <w:r w:rsidR="00412918">
        <w:rPr>
          <w:rFonts w:eastAsia="Tahoma" w:cs="Tahoma"/>
          <w:b/>
          <w:bCs/>
          <w:color w:val="000000"/>
          <w:szCs w:val="24"/>
        </w:rPr>
        <w:t>s</w:t>
      </w:r>
      <w:r w:rsidR="00D558D7">
        <w:rPr>
          <w:rFonts w:eastAsia="Tahoma" w:cs="Tahoma"/>
          <w:b/>
          <w:bCs/>
          <w:color w:val="000000"/>
          <w:szCs w:val="24"/>
        </w:rPr>
        <w:t xml:space="preserve"> </w:t>
      </w:r>
      <w:r w:rsidRPr="00853A33">
        <w:rPr>
          <w:rFonts w:eastAsia="Tahoma" w:cs="Tahoma"/>
          <w:b/>
          <w:bCs/>
          <w:color w:val="000000"/>
          <w:szCs w:val="24"/>
        </w:rPr>
        <w:t xml:space="preserve">eligible or </w:t>
      </w:r>
      <w:r w:rsidR="00412918">
        <w:rPr>
          <w:rFonts w:eastAsia="Tahoma" w:cs="Tahoma"/>
          <w:b/>
          <w:bCs/>
          <w:color w:val="000000"/>
          <w:szCs w:val="24"/>
        </w:rPr>
        <w:t xml:space="preserve">just the two </w:t>
      </w:r>
      <w:r w:rsidR="00806969">
        <w:rPr>
          <w:rFonts w:eastAsia="Tahoma" w:cs="Tahoma"/>
          <w:b/>
          <w:bCs/>
          <w:color w:val="000000"/>
          <w:szCs w:val="24"/>
        </w:rPr>
        <w:t xml:space="preserve">marked as inoperable </w:t>
      </w:r>
      <w:r w:rsidR="00412918">
        <w:rPr>
          <w:rFonts w:eastAsia="Tahoma" w:cs="Tahoma"/>
          <w:b/>
          <w:bCs/>
          <w:color w:val="000000"/>
          <w:szCs w:val="24"/>
        </w:rPr>
        <w:t>on the Final List and Final List Addendum</w:t>
      </w:r>
      <w:r w:rsidRPr="00853A33">
        <w:rPr>
          <w:rFonts w:eastAsia="Tahoma" w:cs="Tahoma"/>
          <w:b/>
          <w:bCs/>
          <w:color w:val="000000"/>
          <w:szCs w:val="24"/>
        </w:rPr>
        <w:t>?</w:t>
      </w:r>
    </w:p>
    <w:p w14:paraId="7F212AA7" w14:textId="77777777" w:rsidR="00880743" w:rsidRPr="00853A33" w:rsidRDefault="00880743" w:rsidP="00404C0B">
      <w:pPr>
        <w:spacing w:after="0" w:line="240" w:lineRule="auto"/>
        <w:ind w:left="720"/>
        <w:rPr>
          <w:szCs w:val="24"/>
        </w:rPr>
      </w:pPr>
    </w:p>
    <w:p w14:paraId="13480BDA" w14:textId="68883C0E" w:rsidR="00FC637D" w:rsidRDefault="00880743" w:rsidP="00FC637D">
      <w:pPr>
        <w:spacing w:after="0" w:line="240" w:lineRule="auto"/>
        <w:ind w:left="720" w:hanging="720"/>
        <w:rPr>
          <w:rFonts w:cs="Tahoma"/>
          <w:szCs w:val="24"/>
        </w:rPr>
      </w:pPr>
      <w:r w:rsidRPr="00853A33">
        <w:rPr>
          <w:rFonts w:cs="Tahoma"/>
          <w:szCs w:val="24"/>
        </w:rPr>
        <w:t>A</w:t>
      </w:r>
      <w:r w:rsidR="00D92563">
        <w:rPr>
          <w:rFonts w:cs="Tahoma"/>
          <w:szCs w:val="24"/>
        </w:rPr>
        <w:t>8</w:t>
      </w:r>
      <w:r w:rsidRPr="00853A33">
        <w:rPr>
          <w:rFonts w:cs="Tahoma"/>
          <w:szCs w:val="24"/>
        </w:rPr>
        <w:t>.</w:t>
      </w:r>
      <w:r w:rsidRPr="00404C0B">
        <w:rPr>
          <w:rFonts w:cs="Tahoma"/>
          <w:szCs w:val="24"/>
        </w:rPr>
        <w:t xml:space="preserve"> </w:t>
      </w:r>
      <w:r w:rsidRPr="00404C0B">
        <w:rPr>
          <w:rFonts w:cs="Tahoma"/>
          <w:szCs w:val="24"/>
        </w:rPr>
        <w:tab/>
      </w:r>
      <w:r w:rsidR="00F1398F">
        <w:rPr>
          <w:rFonts w:cs="Tahoma"/>
          <w:szCs w:val="24"/>
        </w:rPr>
        <w:t>In th</w:t>
      </w:r>
      <w:r w:rsidR="00242A8B">
        <w:rPr>
          <w:rFonts w:cs="Tahoma"/>
          <w:szCs w:val="24"/>
        </w:rPr>
        <w:t xml:space="preserve">e </w:t>
      </w:r>
      <w:r w:rsidR="00F1398F">
        <w:rPr>
          <w:rFonts w:cs="Tahoma"/>
          <w:szCs w:val="24"/>
        </w:rPr>
        <w:t>example</w:t>
      </w:r>
      <w:r w:rsidR="00242A8B">
        <w:rPr>
          <w:rFonts w:cs="Tahoma"/>
          <w:szCs w:val="24"/>
        </w:rPr>
        <w:t xml:space="preserve"> described</w:t>
      </w:r>
      <w:r w:rsidR="00F1398F">
        <w:rPr>
          <w:rFonts w:cs="Tahoma"/>
          <w:szCs w:val="24"/>
        </w:rPr>
        <w:t>,</w:t>
      </w:r>
      <w:r w:rsidR="00EB331E">
        <w:rPr>
          <w:rFonts w:cs="Tahoma"/>
          <w:szCs w:val="24"/>
        </w:rPr>
        <w:t xml:space="preserve"> </w:t>
      </w:r>
      <w:r w:rsidR="00645B60">
        <w:rPr>
          <w:rFonts w:cs="Tahoma"/>
          <w:szCs w:val="24"/>
        </w:rPr>
        <w:t>t</w:t>
      </w:r>
      <w:r w:rsidR="00EB331E">
        <w:rPr>
          <w:rFonts w:cs="Tahoma"/>
          <w:szCs w:val="24"/>
        </w:rPr>
        <w:t xml:space="preserve">he </w:t>
      </w:r>
      <w:r w:rsidR="003A30E2">
        <w:rPr>
          <w:rFonts w:cs="Tahoma"/>
          <w:szCs w:val="24"/>
        </w:rPr>
        <w:t xml:space="preserve">two </w:t>
      </w:r>
      <w:r w:rsidR="00EB331E">
        <w:rPr>
          <w:rFonts w:cs="Tahoma"/>
          <w:szCs w:val="24"/>
        </w:rPr>
        <w:t>non-operational ports</w:t>
      </w:r>
      <w:r w:rsidR="003A30E2">
        <w:rPr>
          <w:rFonts w:cs="Tahoma"/>
          <w:szCs w:val="24"/>
        </w:rPr>
        <w:t xml:space="preserve"> at the charging</w:t>
      </w:r>
      <w:r w:rsidR="002B30AB">
        <w:rPr>
          <w:rFonts w:cs="Tahoma"/>
          <w:szCs w:val="24"/>
        </w:rPr>
        <w:t xml:space="preserve"> station</w:t>
      </w:r>
      <w:r w:rsidR="00956627">
        <w:rPr>
          <w:rFonts w:cs="Tahoma"/>
          <w:szCs w:val="24"/>
        </w:rPr>
        <w:t xml:space="preserve"> that are listed on the Federal Highway Administration’s</w:t>
      </w:r>
      <w:r w:rsidR="00956627" w:rsidRPr="00E11E42">
        <w:rPr>
          <w:rFonts w:cs="Tahoma"/>
          <w:szCs w:val="24"/>
        </w:rPr>
        <w:t xml:space="preserve"> Final List </w:t>
      </w:r>
      <w:r w:rsidR="006512E1">
        <w:rPr>
          <w:rFonts w:cs="Tahoma"/>
          <w:szCs w:val="24"/>
        </w:rPr>
        <w:t>or</w:t>
      </w:r>
      <w:r w:rsidR="00956627" w:rsidRPr="00E11E42">
        <w:rPr>
          <w:rFonts w:cs="Tahoma"/>
          <w:szCs w:val="24"/>
        </w:rPr>
        <w:t xml:space="preserve"> Final List Addendum of Non-Operational Chargers</w:t>
      </w:r>
      <w:r w:rsidR="00EB331E">
        <w:rPr>
          <w:rFonts w:cs="Tahoma"/>
          <w:szCs w:val="24"/>
        </w:rPr>
        <w:t xml:space="preserve"> may be rep</w:t>
      </w:r>
      <w:r w:rsidR="00C37D76">
        <w:rPr>
          <w:rFonts w:cs="Tahoma"/>
          <w:szCs w:val="24"/>
        </w:rPr>
        <w:t>aired</w:t>
      </w:r>
      <w:r w:rsidR="00E6541C">
        <w:rPr>
          <w:rFonts w:cs="Tahoma"/>
          <w:szCs w:val="24"/>
        </w:rPr>
        <w:t xml:space="preserve"> </w:t>
      </w:r>
      <w:r w:rsidR="00C37D76">
        <w:rPr>
          <w:rFonts w:cs="Tahoma"/>
          <w:szCs w:val="24"/>
        </w:rPr>
        <w:t>if feasible, and</w:t>
      </w:r>
      <w:r w:rsidR="00E6541C">
        <w:rPr>
          <w:rFonts w:cs="Tahoma"/>
          <w:szCs w:val="24"/>
        </w:rPr>
        <w:t xml:space="preserve"> if</w:t>
      </w:r>
      <w:r w:rsidR="00C37D76">
        <w:rPr>
          <w:rFonts w:cs="Tahoma"/>
          <w:szCs w:val="24"/>
        </w:rPr>
        <w:t xml:space="preserve"> the </w:t>
      </w:r>
      <w:r w:rsidR="00E6541C">
        <w:rPr>
          <w:rFonts w:cs="Tahoma"/>
          <w:szCs w:val="24"/>
        </w:rPr>
        <w:t>repair costs are lower than the cost of</w:t>
      </w:r>
      <w:r w:rsidR="00C37D76">
        <w:rPr>
          <w:rFonts w:cs="Tahoma"/>
          <w:szCs w:val="24"/>
        </w:rPr>
        <w:t xml:space="preserve"> </w:t>
      </w:r>
      <w:r w:rsidR="00D56655">
        <w:rPr>
          <w:rFonts w:cs="Tahoma"/>
          <w:szCs w:val="24"/>
        </w:rPr>
        <w:t>replac</w:t>
      </w:r>
      <w:r w:rsidR="00E6541C">
        <w:rPr>
          <w:rFonts w:cs="Tahoma"/>
          <w:szCs w:val="24"/>
        </w:rPr>
        <w:t>ing</w:t>
      </w:r>
      <w:r w:rsidR="00D56655">
        <w:rPr>
          <w:rFonts w:cs="Tahoma"/>
          <w:szCs w:val="24"/>
        </w:rPr>
        <w:t xml:space="preserve"> the </w:t>
      </w:r>
      <w:r w:rsidR="00560B04">
        <w:rPr>
          <w:rFonts w:cs="Tahoma"/>
          <w:szCs w:val="24"/>
        </w:rPr>
        <w:t>ports</w:t>
      </w:r>
      <w:r w:rsidR="00E6541C">
        <w:rPr>
          <w:rFonts w:cs="Tahoma"/>
          <w:szCs w:val="24"/>
        </w:rPr>
        <w:t>.</w:t>
      </w:r>
      <w:r w:rsidR="003E71A2">
        <w:rPr>
          <w:rFonts w:cs="Tahoma"/>
          <w:szCs w:val="24"/>
        </w:rPr>
        <w:t xml:space="preserve"> They may also</w:t>
      </w:r>
      <w:r w:rsidR="00560B04">
        <w:rPr>
          <w:rFonts w:cs="Tahoma"/>
          <w:szCs w:val="24"/>
        </w:rPr>
        <w:t xml:space="preserve"> be replaced if the costs </w:t>
      </w:r>
      <w:r w:rsidR="00E6541C">
        <w:rPr>
          <w:rFonts w:cs="Tahoma"/>
          <w:szCs w:val="24"/>
        </w:rPr>
        <w:t>are lower than the cost of repairing them,</w:t>
      </w:r>
      <w:r w:rsidR="003A30E2">
        <w:rPr>
          <w:rFonts w:cs="Tahoma"/>
          <w:szCs w:val="24"/>
        </w:rPr>
        <w:t xml:space="preserve"> or if it is not feasible to repair the</w:t>
      </w:r>
      <w:r w:rsidR="009D1F6F">
        <w:rPr>
          <w:rFonts w:cs="Tahoma"/>
          <w:szCs w:val="24"/>
        </w:rPr>
        <w:t xml:space="preserve">m </w:t>
      </w:r>
      <w:r w:rsidR="003A30E2">
        <w:rPr>
          <w:rFonts w:cs="Tahoma"/>
          <w:szCs w:val="24"/>
        </w:rPr>
        <w:t>and still meet 23 CFR 680</w:t>
      </w:r>
      <w:r w:rsidR="003E71A2">
        <w:rPr>
          <w:rFonts w:cs="Tahoma"/>
          <w:szCs w:val="24"/>
        </w:rPr>
        <w:t xml:space="preserve">. </w:t>
      </w:r>
      <w:r w:rsidR="00773568">
        <w:rPr>
          <w:rFonts w:cs="Tahoma"/>
          <w:szCs w:val="24"/>
        </w:rPr>
        <w:t>Additionally, t</w:t>
      </w:r>
      <w:r w:rsidR="003E71A2">
        <w:rPr>
          <w:rFonts w:cs="Tahoma"/>
          <w:szCs w:val="24"/>
        </w:rPr>
        <w:t xml:space="preserve">o meet the </w:t>
      </w:r>
      <w:r w:rsidR="00853A33">
        <w:rPr>
          <w:rFonts w:cs="Tahoma"/>
          <w:szCs w:val="24"/>
        </w:rPr>
        <w:t>four-</w:t>
      </w:r>
      <w:r w:rsidR="00853A33">
        <w:rPr>
          <w:rFonts w:cs="Tahoma"/>
          <w:szCs w:val="24"/>
        </w:rPr>
        <w:lastRenderedPageBreak/>
        <w:t>port</w:t>
      </w:r>
      <w:r w:rsidR="003E71A2">
        <w:rPr>
          <w:rFonts w:cs="Tahoma"/>
          <w:szCs w:val="24"/>
        </w:rPr>
        <w:t xml:space="preserve"> minimum</w:t>
      </w:r>
      <w:r w:rsidR="00773568">
        <w:rPr>
          <w:rFonts w:cs="Tahoma"/>
          <w:szCs w:val="24"/>
        </w:rPr>
        <w:t xml:space="preserve"> required by 23 CFR 680</w:t>
      </w:r>
      <w:r w:rsidR="003E71A2">
        <w:rPr>
          <w:rFonts w:cs="Tahoma"/>
          <w:szCs w:val="24"/>
        </w:rPr>
        <w:t xml:space="preserve">, the </w:t>
      </w:r>
      <w:r w:rsidR="00773568">
        <w:rPr>
          <w:rFonts w:cs="Tahoma"/>
          <w:szCs w:val="24"/>
        </w:rPr>
        <w:t xml:space="preserve">other two ports at the charging station </w:t>
      </w:r>
      <w:r w:rsidR="007C3FDD">
        <w:rPr>
          <w:rFonts w:cs="Tahoma"/>
          <w:szCs w:val="24"/>
        </w:rPr>
        <w:t>that are not listed as inoperable on the Federal Highway Administration’s</w:t>
      </w:r>
      <w:r w:rsidR="007C3FDD" w:rsidRPr="00E11E42">
        <w:rPr>
          <w:rFonts w:cs="Tahoma"/>
          <w:szCs w:val="24"/>
        </w:rPr>
        <w:t xml:space="preserve"> Final List </w:t>
      </w:r>
      <w:r w:rsidR="00DD2FB5">
        <w:rPr>
          <w:rFonts w:cs="Tahoma"/>
          <w:szCs w:val="24"/>
        </w:rPr>
        <w:t>or</w:t>
      </w:r>
      <w:r w:rsidR="007C3FDD" w:rsidRPr="00E11E42">
        <w:rPr>
          <w:rFonts w:cs="Tahoma"/>
          <w:szCs w:val="24"/>
        </w:rPr>
        <w:t xml:space="preserve"> Final List Addendum of Non-Operational Chargers</w:t>
      </w:r>
      <w:r w:rsidR="007C3FDD">
        <w:rPr>
          <w:rFonts w:cs="Tahoma"/>
          <w:szCs w:val="24"/>
        </w:rPr>
        <w:t xml:space="preserve"> </w:t>
      </w:r>
      <w:r w:rsidR="00773568">
        <w:rPr>
          <w:rFonts w:cs="Tahoma"/>
          <w:szCs w:val="24"/>
        </w:rPr>
        <w:t>may be upgraded or replaced to meet 23 CFR 680</w:t>
      </w:r>
      <w:r w:rsidR="00231EE0">
        <w:rPr>
          <w:rFonts w:cs="Tahoma"/>
          <w:szCs w:val="24"/>
        </w:rPr>
        <w:t xml:space="preserve"> requirements</w:t>
      </w:r>
      <w:r w:rsidR="00773568">
        <w:rPr>
          <w:rFonts w:cs="Tahoma"/>
          <w:szCs w:val="24"/>
        </w:rPr>
        <w:t xml:space="preserve">. </w:t>
      </w:r>
    </w:p>
    <w:p w14:paraId="2F3524C1" w14:textId="77777777" w:rsidR="00FC637D" w:rsidRDefault="00FC637D" w:rsidP="00FC637D">
      <w:pPr>
        <w:spacing w:after="0" w:line="240" w:lineRule="auto"/>
        <w:ind w:left="720" w:hanging="720"/>
        <w:rPr>
          <w:rFonts w:cs="Tahoma"/>
          <w:szCs w:val="24"/>
        </w:rPr>
      </w:pPr>
    </w:p>
    <w:p w14:paraId="35CBE263" w14:textId="571EAE4D" w:rsidR="0060346D" w:rsidRPr="0000514E" w:rsidRDefault="00564F89" w:rsidP="0060346D">
      <w:pPr>
        <w:spacing w:after="0" w:line="240" w:lineRule="auto"/>
        <w:ind w:left="720"/>
        <w:rPr>
          <w:rFonts w:cs="Tahoma"/>
        </w:rPr>
      </w:pPr>
      <w:r w:rsidRPr="65E498B4">
        <w:rPr>
          <w:rFonts w:cs="Tahoma"/>
        </w:rPr>
        <w:t xml:space="preserve">Existing operational ports that are upgraded or replaced to comply with 23 CFR 680 at a charging station where non-operational ports from the Final List or Final List Addendum of Non-Operational Ports are repaired or replaced are considered </w:t>
      </w:r>
      <w:r w:rsidR="00D63E00" w:rsidRPr="65E498B4">
        <w:rPr>
          <w:rFonts w:cs="Tahoma"/>
        </w:rPr>
        <w:t>additional ports.</w:t>
      </w:r>
      <w:r w:rsidRPr="65E498B4">
        <w:rPr>
          <w:rFonts w:cs="Tahoma"/>
        </w:rPr>
        <w:t xml:space="preserve"> As additional ports, they must be included on the “Additional Ports” tab of the Charging Station Application Template (Attachment 5).</w:t>
      </w:r>
      <w:r w:rsidR="15C68F0B" w:rsidRPr="65E498B4">
        <w:rPr>
          <w:rFonts w:cs="Tahoma"/>
        </w:rPr>
        <w:t xml:space="preserve"> </w:t>
      </w:r>
      <w:r w:rsidR="15C68F0B" w:rsidRPr="006A46CA">
        <w:rPr>
          <w:rFonts w:cs="Tahoma"/>
        </w:rPr>
        <w:t xml:space="preserve">This is clarified in Section </w:t>
      </w:r>
      <w:r w:rsidR="5BCBF123" w:rsidRPr="65E498B4">
        <w:rPr>
          <w:rFonts w:cs="Tahoma"/>
        </w:rPr>
        <w:t>II.B.5</w:t>
      </w:r>
      <w:r w:rsidR="15C68F0B" w:rsidRPr="006A46CA">
        <w:rPr>
          <w:rFonts w:cs="Tahoma"/>
        </w:rPr>
        <w:t xml:space="preserve"> of the Solicitation Manual </w:t>
      </w:r>
      <w:r w:rsidR="1D218C4D" w:rsidRPr="65E498B4">
        <w:rPr>
          <w:rFonts w:cs="Tahoma"/>
        </w:rPr>
        <w:t xml:space="preserve">and the Charging Station Application Template (Attachment 5) </w:t>
      </w:r>
      <w:r w:rsidR="15C68F0B" w:rsidRPr="006A46CA">
        <w:rPr>
          <w:rFonts w:cs="Tahoma"/>
        </w:rPr>
        <w:t xml:space="preserve">in Addendum </w:t>
      </w:r>
      <w:r w:rsidR="6CA6BFAD" w:rsidRPr="65E498B4">
        <w:rPr>
          <w:rFonts w:cs="Tahoma"/>
        </w:rPr>
        <w:t>2</w:t>
      </w:r>
      <w:r w:rsidR="15C68F0B" w:rsidRPr="006A46CA">
        <w:rPr>
          <w:rFonts w:cs="Tahoma"/>
        </w:rPr>
        <w:t>.</w:t>
      </w:r>
    </w:p>
    <w:p w14:paraId="15546260" w14:textId="77777777" w:rsidR="00880743" w:rsidRDefault="00880743" w:rsidP="00404C0B">
      <w:pPr>
        <w:spacing w:after="0" w:line="240" w:lineRule="auto"/>
        <w:rPr>
          <w:rFonts w:eastAsia="Tahoma" w:cs="Tahoma"/>
          <w:b/>
          <w:bCs/>
          <w:color w:val="000000"/>
          <w:szCs w:val="24"/>
          <w:u w:val="single"/>
        </w:rPr>
      </w:pPr>
    </w:p>
    <w:p w14:paraId="07DB7A06" w14:textId="7278B536" w:rsidR="00EC4FFA" w:rsidRDefault="00404C0B" w:rsidP="00404C0B">
      <w:pPr>
        <w:spacing w:after="0" w:line="240" w:lineRule="auto"/>
        <w:rPr>
          <w:rFonts w:eastAsia="Tahoma" w:cs="Tahoma"/>
          <w:b/>
          <w:bCs/>
          <w:color w:val="000000"/>
          <w:szCs w:val="24"/>
          <w:u w:val="single"/>
        </w:rPr>
      </w:pPr>
      <w:r>
        <w:rPr>
          <w:rFonts w:eastAsia="Tahoma" w:cs="Tahoma"/>
          <w:b/>
          <w:bCs/>
          <w:color w:val="000000"/>
          <w:szCs w:val="24"/>
          <w:u w:val="single"/>
        </w:rPr>
        <w:t>Applicant Resources</w:t>
      </w:r>
    </w:p>
    <w:p w14:paraId="57D1EDCF" w14:textId="77777777" w:rsidR="00404C0B" w:rsidRDefault="00404C0B" w:rsidP="00404C0B">
      <w:pPr>
        <w:spacing w:after="0" w:line="240" w:lineRule="auto"/>
        <w:rPr>
          <w:rFonts w:cs="Tahoma"/>
          <w:szCs w:val="24"/>
        </w:rPr>
      </w:pPr>
    </w:p>
    <w:p w14:paraId="3316D3A7" w14:textId="03E0CCA3" w:rsidR="00EC4FFA" w:rsidRPr="00404C0B" w:rsidRDefault="00EC4FFA" w:rsidP="00EC4FFA">
      <w:pPr>
        <w:tabs>
          <w:tab w:val="left" w:pos="720"/>
        </w:tabs>
        <w:spacing w:after="0" w:line="240" w:lineRule="auto"/>
        <w:ind w:left="720" w:hanging="720"/>
        <w:rPr>
          <w:rFonts w:eastAsia="Tahoma" w:cs="Tahoma"/>
          <w:b/>
          <w:bCs/>
          <w:color w:val="000000"/>
          <w:szCs w:val="24"/>
        </w:rPr>
      </w:pPr>
      <w:r w:rsidRPr="00404C0B">
        <w:rPr>
          <w:rFonts w:eastAsia="Tahoma" w:cs="Tahoma"/>
          <w:b/>
          <w:bCs/>
          <w:color w:val="000000"/>
          <w:szCs w:val="24"/>
        </w:rPr>
        <w:t>Q</w:t>
      </w:r>
      <w:r w:rsidR="0058394E">
        <w:rPr>
          <w:rFonts w:eastAsia="Tahoma" w:cs="Tahoma"/>
          <w:b/>
          <w:bCs/>
          <w:color w:val="000000"/>
          <w:szCs w:val="24"/>
        </w:rPr>
        <w:t>9</w:t>
      </w:r>
      <w:r w:rsidRPr="00404C0B">
        <w:rPr>
          <w:rFonts w:eastAsia="Tahoma" w:cs="Tahoma"/>
          <w:b/>
          <w:bCs/>
          <w:color w:val="000000"/>
          <w:szCs w:val="24"/>
        </w:rPr>
        <w:t xml:space="preserve">. </w:t>
      </w:r>
      <w:r w:rsidRPr="00404C0B">
        <w:rPr>
          <w:rFonts w:eastAsia="Tahoma" w:cs="Tahoma"/>
          <w:b/>
          <w:bCs/>
          <w:color w:val="000000"/>
          <w:szCs w:val="24"/>
        </w:rPr>
        <w:tab/>
        <w:t>Given the complexity of the application process and the cash match requirement, are there any additional resources or support available for small businesses to help them navigate the process and successfully apply for this program?</w:t>
      </w:r>
    </w:p>
    <w:p w14:paraId="5C42B3FD" w14:textId="77777777" w:rsidR="00EC4FFA" w:rsidRPr="00404C0B" w:rsidRDefault="00EC4FFA" w:rsidP="005B3AD6">
      <w:pPr>
        <w:spacing w:after="0" w:line="240" w:lineRule="auto"/>
        <w:ind w:left="720"/>
        <w:rPr>
          <w:rFonts w:cs="Tahoma"/>
          <w:szCs w:val="24"/>
        </w:rPr>
      </w:pPr>
    </w:p>
    <w:p w14:paraId="2631CA23" w14:textId="4A17DA5D" w:rsidR="00B30B13" w:rsidRPr="00597BF2" w:rsidRDefault="76290113" w:rsidP="65E498B4">
      <w:pPr>
        <w:tabs>
          <w:tab w:val="left" w:pos="810"/>
        </w:tabs>
        <w:spacing w:after="0" w:line="240" w:lineRule="auto"/>
        <w:ind w:left="720" w:hanging="720"/>
        <w:rPr>
          <w:rFonts w:eastAsia="Tahoma" w:cs="Tahoma"/>
          <w:color w:val="000000"/>
        </w:rPr>
      </w:pPr>
      <w:r w:rsidRPr="65E498B4">
        <w:rPr>
          <w:rFonts w:cs="Tahoma"/>
        </w:rPr>
        <w:t>A</w:t>
      </w:r>
      <w:r w:rsidR="0900CB63" w:rsidRPr="65E498B4">
        <w:rPr>
          <w:rFonts w:cs="Tahoma"/>
        </w:rPr>
        <w:t>9</w:t>
      </w:r>
      <w:r w:rsidRPr="65E498B4">
        <w:rPr>
          <w:rFonts w:cs="Tahoma"/>
        </w:rPr>
        <w:t xml:space="preserve">. </w:t>
      </w:r>
      <w:r w:rsidR="00B30B13">
        <w:tab/>
      </w:r>
      <w:r w:rsidR="009C6521">
        <w:t>S</w:t>
      </w:r>
      <w:r w:rsidR="7073FE72" w:rsidRPr="00597BF2">
        <w:rPr>
          <w:rFonts w:eastAsia="Tahoma" w:cs="Tahoma"/>
          <w:color w:val="000000"/>
        </w:rPr>
        <w:t xml:space="preserve">mall businesses </w:t>
      </w:r>
      <w:r w:rsidR="6CD7550B" w:rsidRPr="00597BF2">
        <w:rPr>
          <w:rFonts w:eastAsia="Tahoma" w:cs="Tahoma"/>
          <w:color w:val="000000"/>
        </w:rPr>
        <w:t>may reach out to the Commission Agreement Officer</w:t>
      </w:r>
      <w:r w:rsidR="36855EA3" w:rsidRPr="00597BF2">
        <w:rPr>
          <w:rFonts w:eastAsia="Tahoma" w:cs="Tahoma"/>
          <w:color w:val="000000"/>
        </w:rPr>
        <w:t xml:space="preserve"> (</w:t>
      </w:r>
      <w:r w:rsidR="105A36E8" w:rsidRPr="00597BF2">
        <w:rPr>
          <w:rFonts w:eastAsia="Tahoma" w:cs="Tahoma"/>
          <w:color w:val="000000"/>
        </w:rPr>
        <w:t xml:space="preserve">Eunice </w:t>
      </w:r>
      <w:r w:rsidR="5DBC102B" w:rsidRPr="00597BF2">
        <w:rPr>
          <w:rFonts w:eastAsia="Tahoma" w:cs="Tahoma"/>
          <w:color w:val="000000"/>
        </w:rPr>
        <w:t>Lemos-Adair</w:t>
      </w:r>
      <w:r w:rsidR="516BDB23" w:rsidRPr="00597BF2">
        <w:rPr>
          <w:rFonts w:eastAsia="Tahoma" w:cs="Tahoma"/>
          <w:color w:val="000000"/>
        </w:rPr>
        <w:t>)</w:t>
      </w:r>
      <w:r w:rsidR="5DBC102B" w:rsidRPr="00597BF2">
        <w:rPr>
          <w:rFonts w:eastAsia="Tahoma" w:cs="Tahoma"/>
          <w:color w:val="000000"/>
        </w:rPr>
        <w:t xml:space="preserve"> </w:t>
      </w:r>
      <w:r w:rsidR="6CD7550B" w:rsidRPr="00597BF2">
        <w:rPr>
          <w:rFonts w:eastAsia="Tahoma" w:cs="Tahoma"/>
          <w:color w:val="000000"/>
        </w:rPr>
        <w:t xml:space="preserve">for </w:t>
      </w:r>
      <w:r w:rsidR="6625D52F" w:rsidRPr="00597BF2">
        <w:rPr>
          <w:rFonts w:eastAsia="Tahoma" w:cs="Tahoma"/>
          <w:color w:val="000000"/>
        </w:rPr>
        <w:t>assistance with questions related to the solicitation.</w:t>
      </w:r>
      <w:r w:rsidR="17974184" w:rsidRPr="00597BF2">
        <w:rPr>
          <w:rFonts w:eastAsia="Tahoma" w:cs="Tahoma"/>
          <w:color w:val="000000"/>
        </w:rPr>
        <w:t xml:space="preserve"> </w:t>
      </w:r>
    </w:p>
    <w:p w14:paraId="225588E4" w14:textId="1776F6C7" w:rsidR="00B30B13" w:rsidRPr="00597BF2" w:rsidRDefault="00B30B13" w:rsidP="65E498B4">
      <w:pPr>
        <w:tabs>
          <w:tab w:val="left" w:pos="810"/>
        </w:tabs>
        <w:spacing w:after="0" w:line="240" w:lineRule="auto"/>
        <w:ind w:left="720" w:hanging="720"/>
        <w:rPr>
          <w:rFonts w:eastAsia="Tahoma" w:cs="Tahoma"/>
          <w:color w:val="000000"/>
        </w:rPr>
      </w:pPr>
    </w:p>
    <w:p w14:paraId="53B5B6B5" w14:textId="7DAC268C" w:rsidR="00B30B13" w:rsidRDefault="1A8F0F34" w:rsidP="006A46CA">
      <w:pPr>
        <w:tabs>
          <w:tab w:val="left" w:pos="810"/>
        </w:tabs>
        <w:spacing w:after="0" w:line="240" w:lineRule="auto"/>
        <w:ind w:left="720" w:hanging="720"/>
        <w:jc w:val="center"/>
        <w:rPr>
          <w:rFonts w:eastAsia="Tahoma" w:cs="Tahoma"/>
          <w:color w:val="000000"/>
        </w:rPr>
      </w:pPr>
      <w:r w:rsidRPr="00597BF2">
        <w:rPr>
          <w:rFonts w:eastAsia="Tahoma" w:cs="Tahoma"/>
          <w:color w:val="000000"/>
        </w:rPr>
        <w:t>Contact Information for Commission Agreement Officer:</w:t>
      </w:r>
    </w:p>
    <w:p w14:paraId="0F6CF90E" w14:textId="61C5CA7A" w:rsidR="65E498B4" w:rsidRPr="00597BF2" w:rsidRDefault="65E498B4" w:rsidP="65E498B4">
      <w:pPr>
        <w:tabs>
          <w:tab w:val="left" w:pos="810"/>
        </w:tabs>
        <w:spacing w:after="0" w:line="240" w:lineRule="auto"/>
        <w:ind w:left="720" w:hanging="720"/>
        <w:rPr>
          <w:rFonts w:eastAsia="Tahoma" w:cs="Tahoma"/>
          <w:b/>
          <w:bCs/>
          <w:color w:val="000000"/>
        </w:rPr>
      </w:pPr>
    </w:p>
    <w:p w14:paraId="3F6ACD6B" w14:textId="01C3D622" w:rsidR="59A9707C" w:rsidRPr="00597BF2" w:rsidRDefault="59A9707C" w:rsidP="006A46CA">
      <w:pPr>
        <w:spacing w:after="0"/>
        <w:jc w:val="center"/>
        <w:rPr>
          <w:rFonts w:ascii="Arial" w:eastAsia="Arial" w:hAnsi="Arial" w:cs="Arial"/>
          <w:color w:val="000000"/>
          <w:szCs w:val="24"/>
        </w:rPr>
      </w:pPr>
      <w:r w:rsidRPr="00597BF2">
        <w:rPr>
          <w:rFonts w:ascii="Arial" w:eastAsia="Arial" w:hAnsi="Arial" w:cs="Arial"/>
          <w:color w:val="000000"/>
          <w:szCs w:val="24"/>
        </w:rPr>
        <w:t xml:space="preserve">Telephone: 1(279) 226-1065 </w:t>
      </w:r>
    </w:p>
    <w:p w14:paraId="5F28A64A" w14:textId="7D1A3442" w:rsidR="59A9707C" w:rsidRPr="00597BF2" w:rsidRDefault="59A9707C" w:rsidP="006A46CA">
      <w:pPr>
        <w:spacing w:after="0"/>
        <w:jc w:val="center"/>
        <w:rPr>
          <w:rFonts w:ascii="Arial" w:eastAsia="Arial" w:hAnsi="Arial" w:cs="Arial"/>
          <w:color w:val="000000"/>
          <w:szCs w:val="24"/>
        </w:rPr>
      </w:pPr>
      <w:r w:rsidRPr="00597BF2">
        <w:rPr>
          <w:rFonts w:ascii="Arial" w:eastAsia="Arial" w:hAnsi="Arial" w:cs="Arial"/>
          <w:color w:val="000000"/>
          <w:szCs w:val="24"/>
          <w:lang w:val="de-DE"/>
        </w:rPr>
        <w:t xml:space="preserve">E-mail: </w:t>
      </w:r>
      <w:hyperlink r:id="rId10" w:history="1">
        <w:r w:rsidRPr="65E498B4">
          <w:rPr>
            <w:rStyle w:val="Hyperlink"/>
            <w:rFonts w:ascii="Arial" w:eastAsia="Arial" w:hAnsi="Arial" w:cs="Arial"/>
            <w:szCs w:val="24"/>
            <w:lang w:val="de-DE"/>
          </w:rPr>
          <w:t>eunice.lemos-adair@energy.ca.gov</w:t>
        </w:r>
      </w:hyperlink>
    </w:p>
    <w:p w14:paraId="6555838C" w14:textId="78F91279" w:rsidR="65E498B4" w:rsidRPr="00597BF2" w:rsidRDefault="65E498B4" w:rsidP="65E498B4">
      <w:pPr>
        <w:tabs>
          <w:tab w:val="left" w:pos="810"/>
        </w:tabs>
        <w:spacing w:after="0" w:line="240" w:lineRule="auto"/>
        <w:ind w:left="720" w:hanging="720"/>
        <w:rPr>
          <w:rFonts w:eastAsia="Tahoma" w:cs="Tahoma"/>
          <w:b/>
          <w:bCs/>
          <w:color w:val="000000"/>
        </w:rPr>
      </w:pPr>
    </w:p>
    <w:p w14:paraId="6A0D7E09" w14:textId="1FA118B6" w:rsidR="00B30B13" w:rsidRDefault="0088189B" w:rsidP="006A46CA">
      <w:pPr>
        <w:spacing w:after="0" w:line="240" w:lineRule="auto"/>
        <w:ind w:left="720"/>
        <w:rPr>
          <w:rFonts w:eastAsia="Tahoma" w:cs="Tahoma"/>
          <w:szCs w:val="24"/>
        </w:rPr>
      </w:pPr>
      <w:r>
        <w:rPr>
          <w:rFonts w:eastAsia="Tahoma" w:cs="Tahoma"/>
          <w:color w:val="0D0D0D"/>
          <w:szCs w:val="24"/>
        </w:rPr>
        <w:t>Additionally, s</w:t>
      </w:r>
      <w:r w:rsidR="00B30B13">
        <w:rPr>
          <w:rFonts w:eastAsia="Tahoma" w:cs="Tahoma"/>
          <w:color w:val="0D0D0D"/>
          <w:szCs w:val="24"/>
        </w:rPr>
        <w:t xml:space="preserve">mall businesses are encouraged to register for </w:t>
      </w:r>
      <w:hyperlink r:id="rId11" w:history="1">
        <w:r w:rsidR="00B30B13" w:rsidRPr="00404C0B">
          <w:rPr>
            <w:rStyle w:val="Hyperlink"/>
            <w:rFonts w:eastAsia="Tahoma" w:cs="Tahoma"/>
            <w:szCs w:val="24"/>
          </w:rPr>
          <w:t>Empower Innovation</w:t>
        </w:r>
      </w:hyperlink>
      <w:r w:rsidR="00B30B13">
        <w:rPr>
          <w:rFonts w:eastAsia="Tahoma" w:cs="Tahoma"/>
          <w:color w:val="0D0D0D"/>
          <w:szCs w:val="24"/>
        </w:rPr>
        <w:t xml:space="preserve">, which can be accessed at </w:t>
      </w:r>
      <w:r w:rsidR="00B30B13" w:rsidRPr="00404C0B">
        <w:t>www.</w:t>
      </w:r>
      <w:r w:rsidR="00B30B13">
        <w:rPr>
          <w:rFonts w:eastAsia="Tahoma" w:cs="Tahoma"/>
          <w:color w:val="0D0D0D"/>
          <w:szCs w:val="24"/>
        </w:rPr>
        <w:t>empowerinnovation.net. Empower Innovation is a free online networking platform the CEC developed in partnership with leading California technology accelerators, fellowship programs, nonprofits, and private partners. It offers individuals and organizations an opportunity to con</w:t>
      </w:r>
      <w:r w:rsidR="00B30B13" w:rsidRPr="00404C0B">
        <w:rPr>
          <w:rFonts w:eastAsia="Tahoma" w:cs="Tahoma"/>
          <w:szCs w:val="24"/>
        </w:rPr>
        <w:t>nect and explore potential partnership opportunities.</w:t>
      </w:r>
    </w:p>
    <w:p w14:paraId="487B17EF" w14:textId="77777777" w:rsidR="00B30B13" w:rsidRPr="00404C0B" w:rsidRDefault="00B30B13" w:rsidP="00EC4FFA">
      <w:pPr>
        <w:tabs>
          <w:tab w:val="left" w:pos="810"/>
        </w:tabs>
        <w:spacing w:after="0" w:line="240" w:lineRule="auto"/>
        <w:ind w:left="720" w:hanging="720"/>
        <w:rPr>
          <w:rFonts w:eastAsia="Tahoma" w:cs="Tahoma"/>
          <w:b/>
          <w:bCs/>
          <w:color w:val="000000"/>
          <w:szCs w:val="24"/>
        </w:rPr>
      </w:pPr>
    </w:p>
    <w:p w14:paraId="6DAA9DE9" w14:textId="4A824305" w:rsidR="0F96CF7A" w:rsidRDefault="0F96CF7A" w:rsidP="65CB3450">
      <w:pPr>
        <w:spacing w:after="0" w:line="240" w:lineRule="auto"/>
        <w:rPr>
          <w:rFonts w:ascii="Arial" w:eastAsia="Arial" w:hAnsi="Arial" w:cs="Arial"/>
          <w:color w:val="0D0D0D"/>
          <w:szCs w:val="24"/>
        </w:rPr>
      </w:pPr>
    </w:p>
    <w:p w14:paraId="6244F8F1" w14:textId="0468A917" w:rsidR="0F96CF7A" w:rsidRDefault="00A73522" w:rsidP="3B69F0E4">
      <w:pPr>
        <w:spacing w:after="0" w:line="240" w:lineRule="auto"/>
        <w:ind w:left="720" w:hanging="720"/>
        <w:rPr>
          <w:rFonts w:eastAsia="Tahoma" w:cs="Tahoma"/>
          <w:b/>
          <w:bCs/>
          <w:color w:val="0D0D0D"/>
          <w:szCs w:val="24"/>
        </w:rPr>
      </w:pPr>
      <w:r>
        <w:rPr>
          <w:rFonts w:eastAsia="Tahoma" w:cs="Tahoma"/>
          <w:b/>
          <w:bCs/>
          <w:color w:val="0D0D0D"/>
          <w:szCs w:val="24"/>
        </w:rPr>
        <w:t>Q</w:t>
      </w:r>
      <w:r w:rsidR="00A60B8B">
        <w:rPr>
          <w:rFonts w:eastAsia="Tahoma" w:cs="Tahoma"/>
          <w:b/>
          <w:bCs/>
          <w:color w:val="0D0D0D"/>
          <w:szCs w:val="24"/>
        </w:rPr>
        <w:t>10</w:t>
      </w:r>
      <w:r>
        <w:rPr>
          <w:rFonts w:eastAsia="Tahoma" w:cs="Tahoma"/>
          <w:b/>
          <w:bCs/>
          <w:color w:val="0D0D0D"/>
          <w:szCs w:val="24"/>
        </w:rPr>
        <w:t xml:space="preserve">. </w:t>
      </w:r>
      <w:r>
        <w:rPr>
          <w:rFonts w:eastAsia="Tahoma" w:cs="Tahoma"/>
          <w:b/>
          <w:bCs/>
          <w:color w:val="0D0D0D"/>
          <w:szCs w:val="24"/>
        </w:rPr>
        <w:tab/>
        <w:t>Can the CEC provide introductions to companies eligible to participate in this funding opportunity?</w:t>
      </w:r>
    </w:p>
    <w:p w14:paraId="0E27B866" w14:textId="77777777" w:rsidR="00A73522" w:rsidRDefault="00A73522" w:rsidP="3B69F0E4">
      <w:pPr>
        <w:spacing w:after="0" w:line="240" w:lineRule="auto"/>
        <w:ind w:left="720" w:hanging="720"/>
        <w:rPr>
          <w:rFonts w:eastAsia="Tahoma" w:cs="Tahoma"/>
          <w:b/>
          <w:bCs/>
          <w:color w:val="0D0D0D"/>
          <w:szCs w:val="24"/>
        </w:rPr>
      </w:pPr>
    </w:p>
    <w:p w14:paraId="553939B0" w14:textId="0AFDEB5B" w:rsidR="00A73522" w:rsidRDefault="00A73522" w:rsidP="00062485">
      <w:pPr>
        <w:spacing w:after="0" w:line="240" w:lineRule="auto"/>
        <w:ind w:left="720" w:hanging="720"/>
        <w:rPr>
          <w:rFonts w:eastAsia="Tahoma" w:cs="Tahoma"/>
          <w:szCs w:val="24"/>
        </w:rPr>
      </w:pPr>
      <w:r>
        <w:rPr>
          <w:rFonts w:eastAsia="Tahoma" w:cs="Tahoma"/>
          <w:color w:val="0D0D0D"/>
        </w:rPr>
        <w:t>A</w:t>
      </w:r>
      <w:r w:rsidR="00A60B8B">
        <w:rPr>
          <w:rFonts w:eastAsia="Tahoma" w:cs="Tahoma"/>
          <w:color w:val="0D0D0D"/>
        </w:rPr>
        <w:t>10</w:t>
      </w:r>
      <w:r>
        <w:rPr>
          <w:rFonts w:eastAsia="Tahoma" w:cs="Tahoma"/>
          <w:color w:val="0D0D0D"/>
        </w:rPr>
        <w:t xml:space="preserve">. </w:t>
      </w:r>
      <w:r w:rsidRPr="00404C0B">
        <w:tab/>
      </w:r>
      <w:r w:rsidR="2F8B9DF0">
        <w:rPr>
          <w:rFonts w:eastAsia="Tahoma" w:cs="Tahoma"/>
          <w:color w:val="0D0D0D"/>
          <w:szCs w:val="24"/>
        </w:rPr>
        <w:t xml:space="preserve">The CEC cannot facilitate introductions to eligible companies. Entities are encouraged to register for </w:t>
      </w:r>
      <w:hyperlink r:id="rId12" w:history="1">
        <w:r w:rsidR="2F8B9DF0" w:rsidRPr="00404C0B">
          <w:rPr>
            <w:rStyle w:val="Hyperlink"/>
            <w:rFonts w:eastAsia="Tahoma" w:cs="Tahoma"/>
            <w:szCs w:val="24"/>
          </w:rPr>
          <w:t>Empower Innovation</w:t>
        </w:r>
      </w:hyperlink>
      <w:r w:rsidR="2F8B9DF0">
        <w:rPr>
          <w:rFonts w:eastAsia="Tahoma" w:cs="Tahoma"/>
          <w:color w:val="0D0D0D"/>
          <w:szCs w:val="24"/>
        </w:rPr>
        <w:t xml:space="preserve">, which can be accessed at </w:t>
      </w:r>
      <w:r w:rsidR="0054055F" w:rsidRPr="00404C0B">
        <w:t>www.</w:t>
      </w:r>
      <w:r w:rsidR="2F8B9DF0">
        <w:rPr>
          <w:rFonts w:eastAsia="Tahoma" w:cs="Tahoma"/>
          <w:color w:val="0D0D0D"/>
          <w:szCs w:val="24"/>
        </w:rPr>
        <w:t xml:space="preserve">empowerinnovation.net. Empower Innovation is a free online networking platform the CEC developed in partnership with leading California technology accelerators, fellowship programs, nonprofits, and private partners. It offers </w:t>
      </w:r>
      <w:r w:rsidR="2F8B9DF0">
        <w:rPr>
          <w:rFonts w:eastAsia="Tahoma" w:cs="Tahoma"/>
          <w:color w:val="0D0D0D"/>
          <w:szCs w:val="24"/>
        </w:rPr>
        <w:lastRenderedPageBreak/>
        <w:t>individuals and organizations an opportunity to con</w:t>
      </w:r>
      <w:r w:rsidR="2F8B9DF0" w:rsidRPr="00404C0B">
        <w:rPr>
          <w:rFonts w:eastAsia="Tahoma" w:cs="Tahoma"/>
          <w:szCs w:val="24"/>
        </w:rPr>
        <w:t>nect and explore potential partnership opportunities.</w:t>
      </w:r>
    </w:p>
    <w:p w14:paraId="1D538F9D" w14:textId="77777777" w:rsidR="001D69E4" w:rsidRDefault="001D69E4" w:rsidP="001D69E4">
      <w:pPr>
        <w:spacing w:after="0" w:line="240" w:lineRule="auto"/>
        <w:ind w:left="720"/>
        <w:rPr>
          <w:szCs w:val="24"/>
        </w:rPr>
      </w:pPr>
    </w:p>
    <w:p w14:paraId="5800E3CE" w14:textId="6D2F2A1C" w:rsidR="001D69E4" w:rsidRPr="00F14F8E" w:rsidRDefault="00BF6B76" w:rsidP="00920C42">
      <w:pPr>
        <w:tabs>
          <w:tab w:val="left" w:pos="0"/>
          <w:tab w:val="left" w:pos="360"/>
        </w:tabs>
        <w:spacing w:after="0" w:line="240" w:lineRule="auto"/>
        <w:rPr>
          <w:rFonts w:eastAsia="Tahoma" w:cs="Tahoma"/>
          <w:b/>
          <w:bCs/>
          <w:color w:val="000000"/>
          <w:szCs w:val="24"/>
          <w:u w:val="single"/>
        </w:rPr>
      </w:pPr>
      <w:r>
        <w:rPr>
          <w:rFonts w:eastAsia="Tahoma" w:cs="Tahoma"/>
          <w:b/>
          <w:bCs/>
          <w:color w:val="000000"/>
          <w:szCs w:val="24"/>
          <w:u w:val="single"/>
        </w:rPr>
        <w:t>The Federal Highway Administration’</w:t>
      </w:r>
      <w:r w:rsidRPr="00F14F8E">
        <w:rPr>
          <w:rFonts w:eastAsia="Tahoma" w:cs="Tahoma"/>
          <w:b/>
          <w:bCs/>
          <w:color w:val="000000"/>
          <w:szCs w:val="24"/>
          <w:u w:val="single"/>
        </w:rPr>
        <w:t xml:space="preserve">s </w:t>
      </w:r>
      <w:r w:rsidR="001D69E4" w:rsidRPr="00F14F8E">
        <w:rPr>
          <w:rFonts w:eastAsia="Tahoma" w:cs="Tahoma"/>
          <w:b/>
          <w:bCs/>
          <w:color w:val="000000"/>
          <w:szCs w:val="24"/>
          <w:u w:val="single"/>
        </w:rPr>
        <w:t>Final List and Final List Addendum of</w:t>
      </w:r>
      <w:r>
        <w:rPr>
          <w:rFonts w:eastAsia="Tahoma" w:cs="Tahoma"/>
          <w:b/>
          <w:bCs/>
          <w:color w:val="000000"/>
          <w:szCs w:val="24"/>
          <w:u w:val="single"/>
        </w:rPr>
        <w:t xml:space="preserve"> </w:t>
      </w:r>
      <w:r w:rsidR="001D69E4" w:rsidRPr="00F14F8E">
        <w:rPr>
          <w:rFonts w:eastAsia="Tahoma" w:cs="Tahoma"/>
          <w:b/>
          <w:bCs/>
          <w:color w:val="000000"/>
          <w:szCs w:val="24"/>
          <w:u w:val="single"/>
        </w:rPr>
        <w:t>Non-Operational Chargers</w:t>
      </w:r>
    </w:p>
    <w:p w14:paraId="2A510052" w14:textId="77777777" w:rsidR="00A73522" w:rsidRDefault="00A73522" w:rsidP="3B69F0E4">
      <w:pPr>
        <w:spacing w:after="0" w:line="240" w:lineRule="auto"/>
        <w:ind w:left="720" w:hanging="720"/>
        <w:rPr>
          <w:rFonts w:eastAsia="Tahoma" w:cs="Tahoma"/>
          <w:color w:val="0D0D0D"/>
          <w:szCs w:val="24"/>
        </w:rPr>
      </w:pPr>
    </w:p>
    <w:p w14:paraId="0231592E" w14:textId="0CE88506" w:rsidR="00A73522" w:rsidRDefault="00A73522" w:rsidP="3B69F0E4">
      <w:pPr>
        <w:spacing w:after="0" w:line="240" w:lineRule="auto"/>
        <w:ind w:left="720" w:hanging="720"/>
        <w:rPr>
          <w:rFonts w:eastAsia="Arial" w:cs="Tahoma"/>
          <w:b/>
          <w:bCs/>
          <w:color w:val="0D0D0D"/>
          <w:szCs w:val="24"/>
        </w:rPr>
      </w:pPr>
      <w:r>
        <w:rPr>
          <w:rFonts w:eastAsia="Arial" w:cs="Tahoma"/>
          <w:b/>
          <w:bCs/>
          <w:color w:val="0D0D0D"/>
          <w:szCs w:val="24"/>
        </w:rPr>
        <w:t>Q</w:t>
      </w:r>
      <w:r w:rsidR="00880743">
        <w:rPr>
          <w:rFonts w:eastAsia="Arial" w:cs="Tahoma"/>
          <w:b/>
          <w:bCs/>
          <w:color w:val="0D0D0D"/>
          <w:szCs w:val="24"/>
        </w:rPr>
        <w:t>1</w:t>
      </w:r>
      <w:r w:rsidR="00C87D79">
        <w:rPr>
          <w:rFonts w:eastAsia="Arial" w:cs="Tahoma"/>
          <w:b/>
          <w:bCs/>
          <w:color w:val="0D0D0D"/>
          <w:szCs w:val="24"/>
        </w:rPr>
        <w:t>1</w:t>
      </w:r>
      <w:r>
        <w:rPr>
          <w:rFonts w:eastAsia="Arial" w:cs="Tahoma"/>
          <w:b/>
          <w:bCs/>
          <w:color w:val="0D0D0D"/>
          <w:szCs w:val="24"/>
        </w:rPr>
        <w:t xml:space="preserve">. </w:t>
      </w:r>
      <w:r>
        <w:rPr>
          <w:rFonts w:eastAsia="Arial" w:cs="Tahoma"/>
          <w:b/>
          <w:bCs/>
          <w:color w:val="0D0D0D"/>
          <w:szCs w:val="24"/>
        </w:rPr>
        <w:tab/>
      </w:r>
      <w:r w:rsidR="00057717">
        <w:rPr>
          <w:rFonts w:eastAsia="Arial" w:cs="Tahoma"/>
          <w:b/>
          <w:bCs/>
          <w:color w:val="0D0D0D"/>
          <w:szCs w:val="24"/>
        </w:rPr>
        <w:t>How do EV</w:t>
      </w:r>
      <w:r>
        <w:rPr>
          <w:rFonts w:eastAsia="Arial" w:cs="Tahoma"/>
          <w:b/>
          <w:bCs/>
          <w:color w:val="0D0D0D"/>
          <w:szCs w:val="24"/>
        </w:rPr>
        <w:t xml:space="preserve"> chargers get onto the </w:t>
      </w:r>
      <w:r w:rsidR="005F1A91">
        <w:rPr>
          <w:rFonts w:eastAsia="Arial" w:cs="Tahoma"/>
          <w:b/>
          <w:bCs/>
          <w:color w:val="0D0D0D"/>
          <w:szCs w:val="24"/>
        </w:rPr>
        <w:t xml:space="preserve">Federal Highway Administration’s </w:t>
      </w:r>
      <w:r w:rsidR="00B75366">
        <w:rPr>
          <w:rFonts w:eastAsia="Arial" w:cs="Tahoma"/>
          <w:b/>
          <w:bCs/>
          <w:color w:val="0D0D0D"/>
          <w:szCs w:val="24"/>
        </w:rPr>
        <w:t>Final List and Final List Addendum of Non-Operational Chargers</w:t>
      </w:r>
      <w:r>
        <w:rPr>
          <w:rFonts w:eastAsia="Arial" w:cs="Tahoma"/>
          <w:b/>
          <w:bCs/>
          <w:color w:val="0D0D0D"/>
          <w:szCs w:val="24"/>
        </w:rPr>
        <w:t xml:space="preserve">? </w:t>
      </w:r>
    </w:p>
    <w:p w14:paraId="020DB647" w14:textId="77777777" w:rsidR="00A73522" w:rsidRDefault="00A73522" w:rsidP="00A73522">
      <w:pPr>
        <w:spacing w:after="0" w:line="240" w:lineRule="auto"/>
        <w:rPr>
          <w:rFonts w:eastAsia="Arial" w:cs="Tahoma"/>
          <w:b/>
          <w:bCs/>
          <w:color w:val="0D0D0D"/>
          <w:szCs w:val="24"/>
        </w:rPr>
      </w:pPr>
    </w:p>
    <w:p w14:paraId="4C3AC46C" w14:textId="20D76F68" w:rsidR="00A73522" w:rsidRDefault="00196339" w:rsidP="00366255">
      <w:pPr>
        <w:spacing w:after="0" w:line="240" w:lineRule="auto"/>
        <w:ind w:left="720" w:hanging="720"/>
        <w:rPr>
          <w:rFonts w:eastAsia="Tahoma" w:cs="Tahoma"/>
          <w:color w:val="0D0D0D"/>
          <w:szCs w:val="24"/>
        </w:rPr>
      </w:pPr>
      <w:r>
        <w:rPr>
          <w:rFonts w:eastAsia="Arial" w:cs="Tahoma"/>
          <w:color w:val="0D0D0D"/>
        </w:rPr>
        <w:t>A</w:t>
      </w:r>
      <w:r w:rsidR="00880743">
        <w:rPr>
          <w:rFonts w:eastAsia="Arial" w:cs="Tahoma"/>
          <w:color w:val="0D0D0D"/>
        </w:rPr>
        <w:t>1</w:t>
      </w:r>
      <w:r w:rsidR="00C87D79">
        <w:rPr>
          <w:rFonts w:eastAsia="Arial" w:cs="Tahoma"/>
          <w:color w:val="0D0D0D"/>
        </w:rPr>
        <w:t>1</w:t>
      </w:r>
      <w:r>
        <w:rPr>
          <w:rFonts w:eastAsia="Arial" w:cs="Tahoma"/>
          <w:color w:val="0D0D0D"/>
        </w:rPr>
        <w:t xml:space="preserve">. </w:t>
      </w:r>
      <w:r>
        <w:rPr>
          <w:rFonts w:eastAsia="Arial" w:cs="Tahoma"/>
          <w:color w:val="0D0D0D"/>
        </w:rPr>
        <w:tab/>
      </w:r>
      <w:r w:rsidR="4AE26C12">
        <w:rPr>
          <w:rFonts w:eastAsia="Tahoma" w:cs="Tahoma"/>
          <w:color w:val="0D0D0D"/>
          <w:szCs w:val="24"/>
        </w:rPr>
        <w:t xml:space="preserve">The </w:t>
      </w:r>
      <w:r w:rsidR="005F1A91">
        <w:rPr>
          <w:rFonts w:eastAsia="Tahoma" w:cs="Tahoma"/>
          <w:color w:val="0D0D0D"/>
          <w:szCs w:val="24"/>
        </w:rPr>
        <w:t xml:space="preserve">Federal Highway Administration </w:t>
      </w:r>
      <w:r w:rsidR="4AE26C12">
        <w:rPr>
          <w:rFonts w:eastAsia="Tahoma" w:cs="Tahoma"/>
          <w:color w:val="0D0D0D"/>
          <w:szCs w:val="24"/>
        </w:rPr>
        <w:t>published the Final List and Final List Addendum of Non-Operational Chargers in October 2023 using data from the</w:t>
      </w:r>
      <w:r w:rsidR="2BDD7944">
        <w:rPr>
          <w:rFonts w:eastAsia="Tahoma" w:cs="Tahoma"/>
          <w:color w:val="0D0D0D"/>
          <w:szCs w:val="24"/>
        </w:rPr>
        <w:t xml:space="preserve"> Alternative Fuels Data Center</w:t>
      </w:r>
      <w:r w:rsidR="4AE26C12">
        <w:rPr>
          <w:rFonts w:eastAsia="Tahoma" w:cs="Tahoma"/>
          <w:color w:val="0D0D0D"/>
          <w:szCs w:val="24"/>
        </w:rPr>
        <w:t xml:space="preserve"> </w:t>
      </w:r>
      <w:r w:rsidR="1B46C7D6">
        <w:rPr>
          <w:rFonts w:eastAsia="Tahoma" w:cs="Tahoma"/>
          <w:color w:val="0D0D0D"/>
          <w:szCs w:val="24"/>
        </w:rPr>
        <w:t>which is available at</w:t>
      </w:r>
      <w:r w:rsidR="001D69E4">
        <w:rPr>
          <w:rFonts w:eastAsia="Tahoma" w:cs="Tahoma"/>
          <w:color w:val="0D0D0D"/>
          <w:szCs w:val="24"/>
        </w:rPr>
        <w:t xml:space="preserve"> </w:t>
      </w:r>
      <w:r w:rsidR="1B46C7D6">
        <w:rPr>
          <w:rFonts w:eastAsia="Tahoma" w:cs="Tahoma"/>
          <w:color w:val="0D0D0D"/>
          <w:szCs w:val="24"/>
        </w:rPr>
        <w:t>https://afdc.energy.gov/stations#/corridors?show_corridor_routes=false&amp;state=CA</w:t>
      </w:r>
      <w:r w:rsidR="4AE26C12">
        <w:rPr>
          <w:rFonts w:eastAsia="Tahoma" w:cs="Tahoma"/>
          <w:color w:val="0D0D0D"/>
          <w:szCs w:val="24"/>
        </w:rPr>
        <w:t xml:space="preserve">. </w:t>
      </w:r>
      <w:r w:rsidR="2109E20D">
        <w:rPr>
          <w:rFonts w:eastAsia="Tahoma" w:cs="Tahoma"/>
          <w:color w:val="0D0D0D"/>
          <w:szCs w:val="24"/>
        </w:rPr>
        <w:t xml:space="preserve">Per the </w:t>
      </w:r>
      <w:r w:rsidR="002B2ED6">
        <w:rPr>
          <w:rFonts w:eastAsia="Tahoma" w:cs="Tahoma"/>
          <w:color w:val="0D0D0D"/>
          <w:szCs w:val="24"/>
        </w:rPr>
        <w:t xml:space="preserve">Federal Highway Administration’s </w:t>
      </w:r>
      <w:r w:rsidR="002C10EE">
        <w:rPr>
          <w:rFonts w:eastAsia="Tahoma" w:cs="Tahoma"/>
          <w:color w:val="0D0D0D"/>
          <w:szCs w:val="24"/>
        </w:rPr>
        <w:t xml:space="preserve">EVC RAA </w:t>
      </w:r>
      <w:r w:rsidR="2109E20D">
        <w:rPr>
          <w:rFonts w:eastAsia="Tahoma" w:cs="Tahoma"/>
          <w:color w:val="0D0D0D"/>
          <w:szCs w:val="24"/>
        </w:rPr>
        <w:t>N</w:t>
      </w:r>
      <w:r w:rsidR="002C10EE">
        <w:rPr>
          <w:rFonts w:eastAsia="Tahoma" w:cs="Tahoma"/>
          <w:color w:val="0D0D0D"/>
          <w:szCs w:val="24"/>
        </w:rPr>
        <w:t>otice of Funding Opportunity</w:t>
      </w:r>
      <w:r w:rsidR="2109E20D">
        <w:rPr>
          <w:rFonts w:eastAsia="Tahoma" w:cs="Tahoma"/>
          <w:color w:val="0D0D0D"/>
          <w:szCs w:val="24"/>
        </w:rPr>
        <w:t>, only char</w:t>
      </w:r>
      <w:r w:rsidR="564D5CD7">
        <w:rPr>
          <w:rFonts w:eastAsia="Tahoma" w:cs="Tahoma"/>
          <w:color w:val="0D0D0D"/>
          <w:szCs w:val="24"/>
        </w:rPr>
        <w:t>ge</w:t>
      </w:r>
      <w:r w:rsidR="2109E20D">
        <w:rPr>
          <w:rFonts w:eastAsia="Tahoma" w:cs="Tahoma"/>
          <w:color w:val="0D0D0D"/>
          <w:szCs w:val="24"/>
        </w:rPr>
        <w:t xml:space="preserve">rs listed on the Final List </w:t>
      </w:r>
      <w:r w:rsidR="00B75366">
        <w:rPr>
          <w:rFonts w:eastAsia="Tahoma" w:cs="Tahoma"/>
          <w:color w:val="0D0D0D"/>
          <w:szCs w:val="24"/>
        </w:rPr>
        <w:t xml:space="preserve">or </w:t>
      </w:r>
      <w:r w:rsidR="2109E20D">
        <w:rPr>
          <w:rFonts w:eastAsia="Tahoma" w:cs="Tahoma"/>
          <w:color w:val="0D0D0D"/>
          <w:szCs w:val="24"/>
        </w:rPr>
        <w:t xml:space="preserve">Final List Addendum of Non-Operational Chargers are eligible for EVC RAA funding. </w:t>
      </w:r>
      <w:r w:rsidR="3F808852">
        <w:rPr>
          <w:rFonts w:eastAsia="Tahoma" w:cs="Tahoma"/>
          <w:color w:val="0D0D0D"/>
          <w:szCs w:val="24"/>
        </w:rPr>
        <w:t>The CEC</w:t>
      </w:r>
      <w:r w:rsidR="524A1CD1">
        <w:rPr>
          <w:rFonts w:eastAsia="Tahoma" w:cs="Tahoma"/>
          <w:color w:val="0D0D0D"/>
          <w:szCs w:val="24"/>
        </w:rPr>
        <w:t xml:space="preserve"> does not control the list or any decisions regarding whether </w:t>
      </w:r>
      <w:r w:rsidR="7E90F4CC">
        <w:rPr>
          <w:rFonts w:eastAsia="Tahoma" w:cs="Tahoma"/>
          <w:color w:val="0D0D0D"/>
          <w:szCs w:val="24"/>
        </w:rPr>
        <w:t>updates are published.</w:t>
      </w:r>
      <w:r w:rsidR="00B75366">
        <w:rPr>
          <w:rFonts w:eastAsia="Tahoma" w:cs="Tahoma"/>
          <w:color w:val="0D0D0D"/>
          <w:szCs w:val="24"/>
        </w:rPr>
        <w:t xml:space="preserve"> The CEC cannot add </w:t>
      </w:r>
      <w:r w:rsidR="002008EE">
        <w:rPr>
          <w:rFonts w:eastAsia="Tahoma" w:cs="Tahoma"/>
          <w:color w:val="0D0D0D"/>
          <w:szCs w:val="24"/>
        </w:rPr>
        <w:t xml:space="preserve">or </w:t>
      </w:r>
      <w:r w:rsidR="00B30611">
        <w:rPr>
          <w:rFonts w:eastAsia="Tahoma" w:cs="Tahoma"/>
          <w:color w:val="0D0D0D"/>
          <w:szCs w:val="24"/>
        </w:rPr>
        <w:t xml:space="preserve">remove </w:t>
      </w:r>
      <w:r w:rsidR="00B75366">
        <w:rPr>
          <w:rFonts w:eastAsia="Tahoma" w:cs="Tahoma"/>
          <w:color w:val="0D0D0D"/>
          <w:szCs w:val="24"/>
        </w:rPr>
        <w:t xml:space="preserve">sites or chargers </w:t>
      </w:r>
      <w:r w:rsidR="00B30611">
        <w:rPr>
          <w:rFonts w:eastAsia="Tahoma" w:cs="Tahoma"/>
          <w:color w:val="0D0D0D"/>
          <w:szCs w:val="24"/>
        </w:rPr>
        <w:t>from</w:t>
      </w:r>
      <w:r w:rsidR="00B75366">
        <w:rPr>
          <w:rFonts w:eastAsia="Tahoma" w:cs="Tahoma"/>
          <w:color w:val="0D0D0D"/>
          <w:szCs w:val="24"/>
        </w:rPr>
        <w:t xml:space="preserve"> the list</w:t>
      </w:r>
      <w:r w:rsidR="00B30611">
        <w:rPr>
          <w:rFonts w:eastAsia="Tahoma" w:cs="Tahoma"/>
          <w:color w:val="0D0D0D"/>
          <w:szCs w:val="24"/>
        </w:rPr>
        <w:t>s</w:t>
      </w:r>
      <w:r w:rsidR="00B75366">
        <w:rPr>
          <w:rFonts w:eastAsia="Tahoma" w:cs="Tahoma"/>
          <w:color w:val="0D0D0D"/>
          <w:szCs w:val="24"/>
        </w:rPr>
        <w:t>.</w:t>
      </w:r>
    </w:p>
    <w:p w14:paraId="608466CB" w14:textId="77777777" w:rsidR="00FA4F37" w:rsidRDefault="00FA4F37" w:rsidP="00A73522">
      <w:pPr>
        <w:spacing w:after="0" w:line="240" w:lineRule="auto"/>
        <w:rPr>
          <w:rFonts w:eastAsia="Tahoma" w:cs="Tahoma"/>
          <w:color w:val="000000"/>
          <w:szCs w:val="24"/>
        </w:rPr>
      </w:pPr>
    </w:p>
    <w:p w14:paraId="64FB6DA1" w14:textId="10DEF841" w:rsidR="00A73522" w:rsidRDefault="00A73522" w:rsidP="00EE11D6">
      <w:pPr>
        <w:spacing w:after="0" w:line="240" w:lineRule="auto"/>
        <w:ind w:left="720" w:hanging="720"/>
        <w:rPr>
          <w:rFonts w:eastAsia="Tahoma" w:cs="Tahoma"/>
          <w:b/>
          <w:color w:val="000000"/>
        </w:rPr>
      </w:pPr>
      <w:r>
        <w:rPr>
          <w:rFonts w:eastAsia="Tahoma" w:cs="Tahoma"/>
          <w:b/>
          <w:color w:val="000000"/>
        </w:rPr>
        <w:t>Q</w:t>
      </w:r>
      <w:r w:rsidR="00880743">
        <w:rPr>
          <w:rFonts w:eastAsia="Tahoma" w:cs="Tahoma"/>
          <w:b/>
          <w:color w:val="000000"/>
        </w:rPr>
        <w:t>1</w:t>
      </w:r>
      <w:r w:rsidR="00113DD4">
        <w:rPr>
          <w:rFonts w:eastAsia="Tahoma" w:cs="Tahoma"/>
          <w:b/>
          <w:color w:val="000000"/>
        </w:rPr>
        <w:t>2</w:t>
      </w:r>
      <w:r>
        <w:rPr>
          <w:rFonts w:eastAsia="Tahoma" w:cs="Tahoma"/>
          <w:b/>
          <w:color w:val="000000"/>
        </w:rPr>
        <w:t xml:space="preserve">. </w:t>
      </w:r>
      <w:r w:rsidR="00EE11D6">
        <w:rPr>
          <w:rFonts w:eastAsia="Tahoma"/>
        </w:rPr>
        <w:tab/>
      </w:r>
      <w:r w:rsidR="009F4721">
        <w:rPr>
          <w:rFonts w:eastAsia="Tahoma" w:cs="Tahoma"/>
          <w:b/>
          <w:color w:val="000000"/>
        </w:rPr>
        <w:t>Are updates to the</w:t>
      </w:r>
      <w:r w:rsidR="00FC1954">
        <w:rPr>
          <w:rFonts w:eastAsia="Tahoma" w:cs="Tahoma"/>
          <w:b/>
          <w:color w:val="000000"/>
        </w:rPr>
        <w:t xml:space="preserve"> </w:t>
      </w:r>
      <w:r w:rsidR="008944A0">
        <w:rPr>
          <w:rFonts w:eastAsia="Tahoma" w:cs="Tahoma"/>
          <w:b/>
          <w:color w:val="000000"/>
        </w:rPr>
        <w:t xml:space="preserve">Federal Highway </w:t>
      </w:r>
      <w:r w:rsidR="008944A0">
        <w:rPr>
          <w:rFonts w:eastAsia="Tahoma" w:cs="Tahoma"/>
          <w:b/>
          <w:bCs/>
          <w:color w:val="000000"/>
        </w:rPr>
        <w:t>Admin</w:t>
      </w:r>
      <w:r w:rsidR="64505FFB">
        <w:rPr>
          <w:rFonts w:eastAsia="Tahoma" w:cs="Tahoma"/>
          <w:b/>
          <w:bCs/>
          <w:color w:val="000000"/>
        </w:rPr>
        <w:t>i</w:t>
      </w:r>
      <w:r w:rsidR="008944A0">
        <w:rPr>
          <w:rFonts w:eastAsia="Tahoma" w:cs="Tahoma"/>
          <w:b/>
          <w:bCs/>
          <w:color w:val="000000"/>
        </w:rPr>
        <w:t>stration’s</w:t>
      </w:r>
      <w:r w:rsidR="008944A0">
        <w:rPr>
          <w:rFonts w:eastAsia="Tahoma" w:cs="Tahoma"/>
          <w:b/>
          <w:color w:val="000000"/>
        </w:rPr>
        <w:t xml:space="preserve"> </w:t>
      </w:r>
      <w:r w:rsidR="009F4721">
        <w:rPr>
          <w:rFonts w:eastAsia="Tahoma" w:cs="Tahoma"/>
          <w:b/>
          <w:color w:val="000000"/>
        </w:rPr>
        <w:t>Final List and Final List Addendum</w:t>
      </w:r>
      <w:r w:rsidR="00FC1954">
        <w:rPr>
          <w:rFonts w:eastAsia="Tahoma" w:cs="Tahoma"/>
          <w:b/>
          <w:color w:val="000000"/>
        </w:rPr>
        <w:t xml:space="preserve"> of Non-Operational Chargers</w:t>
      </w:r>
      <w:r w:rsidR="009F4721">
        <w:rPr>
          <w:rFonts w:eastAsia="Tahoma" w:cs="Tahoma"/>
          <w:b/>
          <w:color w:val="000000"/>
        </w:rPr>
        <w:t xml:space="preserve"> publ</w:t>
      </w:r>
      <w:r w:rsidR="007229CA">
        <w:rPr>
          <w:rFonts w:eastAsia="Tahoma" w:cs="Tahoma"/>
          <w:b/>
          <w:color w:val="000000"/>
        </w:rPr>
        <w:t>ished annually</w:t>
      </w:r>
      <w:r w:rsidR="009F4721">
        <w:rPr>
          <w:rFonts w:eastAsia="Tahoma" w:cs="Tahoma"/>
          <w:b/>
          <w:color w:val="000000"/>
        </w:rPr>
        <w:t>?</w:t>
      </w:r>
      <w:r w:rsidR="00565970">
        <w:rPr>
          <w:rFonts w:eastAsia="Tahoma" w:cs="Tahoma"/>
          <w:b/>
          <w:color w:val="000000"/>
        </w:rPr>
        <w:t xml:space="preserve"> How </w:t>
      </w:r>
      <w:r w:rsidR="008944A0">
        <w:rPr>
          <w:rFonts w:eastAsia="Tahoma" w:cs="Tahoma"/>
          <w:b/>
          <w:color w:val="000000"/>
        </w:rPr>
        <w:t>does one</w:t>
      </w:r>
      <w:r w:rsidR="00565970">
        <w:rPr>
          <w:rFonts w:eastAsia="Tahoma" w:cs="Tahoma"/>
          <w:b/>
          <w:color w:val="000000"/>
        </w:rPr>
        <w:t xml:space="preserve"> have </w:t>
      </w:r>
      <w:r w:rsidR="008944A0">
        <w:rPr>
          <w:rFonts w:eastAsia="Tahoma" w:cs="Tahoma"/>
          <w:b/>
          <w:color w:val="000000"/>
        </w:rPr>
        <w:t>its</w:t>
      </w:r>
      <w:r w:rsidR="00565970">
        <w:rPr>
          <w:rFonts w:eastAsia="Tahoma" w:cs="Tahoma"/>
          <w:b/>
          <w:color w:val="000000"/>
        </w:rPr>
        <w:t xml:space="preserve"> site or charger</w:t>
      </w:r>
      <w:r w:rsidR="006C1441">
        <w:rPr>
          <w:rFonts w:eastAsia="Tahoma" w:cs="Tahoma"/>
          <w:b/>
          <w:color w:val="000000"/>
        </w:rPr>
        <w:t>(</w:t>
      </w:r>
      <w:r w:rsidR="00565970">
        <w:rPr>
          <w:rFonts w:eastAsia="Tahoma" w:cs="Tahoma"/>
          <w:b/>
          <w:color w:val="000000"/>
        </w:rPr>
        <w:t>s</w:t>
      </w:r>
      <w:r w:rsidR="006C1441">
        <w:rPr>
          <w:rFonts w:eastAsia="Tahoma" w:cs="Tahoma"/>
          <w:b/>
          <w:color w:val="000000"/>
        </w:rPr>
        <w:t>)</w:t>
      </w:r>
      <w:r w:rsidR="00565970">
        <w:rPr>
          <w:rFonts w:eastAsia="Tahoma" w:cs="Tahoma"/>
          <w:b/>
          <w:color w:val="000000"/>
        </w:rPr>
        <w:t xml:space="preserve"> added to the list?</w:t>
      </w:r>
    </w:p>
    <w:p w14:paraId="0DB8F4C0" w14:textId="77777777" w:rsidR="002E6F6D" w:rsidRDefault="002E6F6D" w:rsidP="002E6F6D">
      <w:pPr>
        <w:spacing w:after="0" w:line="240" w:lineRule="auto"/>
        <w:ind w:left="450" w:hanging="450"/>
        <w:rPr>
          <w:rFonts w:eastAsia="Tahoma" w:cs="Tahoma"/>
          <w:b/>
          <w:bCs/>
          <w:color w:val="000000"/>
          <w:szCs w:val="24"/>
        </w:rPr>
      </w:pPr>
    </w:p>
    <w:p w14:paraId="0072207F" w14:textId="1501667B" w:rsidR="002E6F6D" w:rsidRPr="00F14F8E" w:rsidRDefault="002E6F6D" w:rsidP="00CA7FA4">
      <w:pPr>
        <w:spacing w:after="0" w:line="240" w:lineRule="auto"/>
        <w:ind w:left="720" w:hanging="720"/>
        <w:rPr>
          <w:rFonts w:eastAsia="Tahoma" w:cs="Tahoma"/>
          <w:color w:val="0D0D0D"/>
          <w:szCs w:val="24"/>
        </w:rPr>
      </w:pPr>
      <w:r w:rsidRPr="00F14F8E">
        <w:rPr>
          <w:rFonts w:eastAsia="Arial" w:cs="Tahoma"/>
          <w:color w:val="0D0D0D"/>
        </w:rPr>
        <w:t>A</w:t>
      </w:r>
      <w:r w:rsidR="00880743">
        <w:rPr>
          <w:rFonts w:eastAsia="Arial" w:cs="Tahoma"/>
          <w:color w:val="0D0D0D"/>
        </w:rPr>
        <w:t>1</w:t>
      </w:r>
      <w:r w:rsidR="00113DD4">
        <w:rPr>
          <w:rFonts w:eastAsia="Arial" w:cs="Tahoma"/>
          <w:color w:val="0D0D0D"/>
        </w:rPr>
        <w:t>2</w:t>
      </w:r>
      <w:r w:rsidRPr="00F14F8E">
        <w:rPr>
          <w:rFonts w:eastAsia="Arial" w:cs="Tahoma"/>
          <w:color w:val="0D0D0D"/>
        </w:rPr>
        <w:t xml:space="preserve">. </w:t>
      </w:r>
      <w:r w:rsidR="00CA7FA4" w:rsidRPr="00F14F8E">
        <w:rPr>
          <w:rFonts w:eastAsia="Arial" w:cs="Tahoma"/>
          <w:color w:val="0D0D0D"/>
        </w:rPr>
        <w:tab/>
      </w:r>
      <w:r w:rsidR="0063762E" w:rsidRPr="00F14F8E">
        <w:rPr>
          <w:rFonts w:eastAsia="Arial" w:cs="Tahoma"/>
          <w:color w:val="0D0D0D"/>
        </w:rPr>
        <w:t xml:space="preserve">The </w:t>
      </w:r>
      <w:r w:rsidR="006C1441">
        <w:rPr>
          <w:rFonts w:eastAsia="Arial" w:cs="Tahoma"/>
          <w:color w:val="0D0D0D"/>
        </w:rPr>
        <w:t>Federal Highway Administration</w:t>
      </w:r>
      <w:r w:rsidR="006C1441" w:rsidRPr="00F14F8E">
        <w:rPr>
          <w:rFonts w:eastAsia="Arial" w:cs="Tahoma"/>
          <w:color w:val="0D0D0D"/>
        </w:rPr>
        <w:t xml:space="preserve"> </w:t>
      </w:r>
      <w:r w:rsidR="0063762E" w:rsidRPr="00F14F8E">
        <w:rPr>
          <w:rFonts w:eastAsia="Arial" w:cs="Tahoma"/>
          <w:color w:val="0D0D0D"/>
        </w:rPr>
        <w:t xml:space="preserve">has not </w:t>
      </w:r>
      <w:r w:rsidR="00187DDF" w:rsidRPr="00F14F8E">
        <w:rPr>
          <w:rFonts w:eastAsia="Arial" w:cs="Tahoma"/>
          <w:color w:val="0D0D0D"/>
        </w:rPr>
        <w:t xml:space="preserve">announced </w:t>
      </w:r>
      <w:r w:rsidR="001C3434" w:rsidRPr="00F14F8E">
        <w:rPr>
          <w:rFonts w:eastAsia="Arial" w:cs="Tahoma"/>
          <w:color w:val="0D0D0D"/>
        </w:rPr>
        <w:t>any</w:t>
      </w:r>
      <w:r w:rsidR="0063762E" w:rsidRPr="00F14F8E">
        <w:rPr>
          <w:rFonts w:eastAsia="Arial" w:cs="Tahoma"/>
          <w:color w:val="0D0D0D"/>
        </w:rPr>
        <w:t xml:space="preserve"> plans to update the list</w:t>
      </w:r>
      <w:r w:rsidR="00662DE6" w:rsidRPr="00F14F8E">
        <w:rPr>
          <w:rFonts w:eastAsia="Arial" w:cs="Tahoma"/>
          <w:color w:val="0D0D0D"/>
        </w:rPr>
        <w:t>s</w:t>
      </w:r>
      <w:r w:rsidR="003E182D">
        <w:rPr>
          <w:rFonts w:eastAsia="Arial" w:cs="Tahoma"/>
          <w:color w:val="0D0D0D"/>
        </w:rPr>
        <w:t>, and</w:t>
      </w:r>
      <w:r w:rsidR="0063762E" w:rsidRPr="00F14F8E">
        <w:rPr>
          <w:rFonts w:eastAsia="Arial" w:cs="Tahoma"/>
          <w:color w:val="0D0D0D"/>
        </w:rPr>
        <w:t xml:space="preserve"> </w:t>
      </w:r>
      <w:r w:rsidR="003E182D" w:rsidRPr="00F14F8E">
        <w:rPr>
          <w:rFonts w:eastAsia="Tahoma" w:cs="Tahoma"/>
          <w:color w:val="0D0D0D"/>
          <w:szCs w:val="24"/>
        </w:rPr>
        <w:t>the</w:t>
      </w:r>
      <w:r w:rsidR="00FC1954" w:rsidRPr="00F14F8E">
        <w:rPr>
          <w:rFonts w:eastAsia="Tahoma" w:cs="Tahoma"/>
          <w:color w:val="0D0D0D"/>
          <w:szCs w:val="24"/>
        </w:rPr>
        <w:t xml:space="preserve"> CEC does not control the list</w:t>
      </w:r>
      <w:r w:rsidR="00662DE6" w:rsidRPr="00F14F8E">
        <w:rPr>
          <w:rFonts w:eastAsia="Tahoma" w:cs="Tahoma"/>
          <w:color w:val="0D0D0D"/>
          <w:szCs w:val="24"/>
        </w:rPr>
        <w:t>s</w:t>
      </w:r>
      <w:r w:rsidR="00FC1954" w:rsidRPr="00F14F8E">
        <w:rPr>
          <w:rFonts w:eastAsia="Tahoma" w:cs="Tahoma"/>
          <w:color w:val="0D0D0D"/>
          <w:szCs w:val="24"/>
        </w:rPr>
        <w:t xml:space="preserve"> or any decisions regarding whether updates are published. The CEC cannot add </w:t>
      </w:r>
      <w:r w:rsidR="003E182D">
        <w:rPr>
          <w:rFonts w:eastAsia="Tahoma" w:cs="Tahoma"/>
          <w:color w:val="0D0D0D"/>
          <w:szCs w:val="24"/>
        </w:rPr>
        <w:t xml:space="preserve">or </w:t>
      </w:r>
      <w:r w:rsidR="00B30611">
        <w:rPr>
          <w:rFonts w:eastAsia="Tahoma" w:cs="Tahoma"/>
          <w:color w:val="0D0D0D"/>
          <w:szCs w:val="24"/>
        </w:rPr>
        <w:t xml:space="preserve">remove </w:t>
      </w:r>
      <w:r w:rsidR="00FC1954" w:rsidRPr="00F14F8E">
        <w:rPr>
          <w:rFonts w:eastAsia="Tahoma" w:cs="Tahoma"/>
          <w:color w:val="0D0D0D"/>
          <w:szCs w:val="24"/>
        </w:rPr>
        <w:t xml:space="preserve">sites or chargers </w:t>
      </w:r>
      <w:r w:rsidR="00B30611">
        <w:rPr>
          <w:rFonts w:eastAsia="Tahoma" w:cs="Tahoma"/>
          <w:color w:val="0D0D0D"/>
          <w:szCs w:val="24"/>
        </w:rPr>
        <w:t>from</w:t>
      </w:r>
      <w:r w:rsidR="00FC1954" w:rsidRPr="00F14F8E">
        <w:rPr>
          <w:rFonts w:eastAsia="Tahoma" w:cs="Tahoma"/>
          <w:color w:val="0D0D0D"/>
          <w:szCs w:val="24"/>
        </w:rPr>
        <w:t xml:space="preserve"> the list</w:t>
      </w:r>
      <w:r w:rsidR="00662DE6" w:rsidRPr="00F14F8E">
        <w:rPr>
          <w:rFonts w:eastAsia="Tahoma" w:cs="Tahoma"/>
          <w:color w:val="0D0D0D"/>
          <w:szCs w:val="24"/>
        </w:rPr>
        <w:t>s</w:t>
      </w:r>
      <w:r w:rsidR="00FC1954" w:rsidRPr="00F14F8E">
        <w:rPr>
          <w:rFonts w:eastAsia="Tahoma" w:cs="Tahoma"/>
          <w:color w:val="0D0D0D"/>
          <w:szCs w:val="24"/>
        </w:rPr>
        <w:t>.</w:t>
      </w:r>
      <w:r w:rsidR="007229CA" w:rsidRPr="00F14F8E">
        <w:rPr>
          <w:rFonts w:eastAsia="Tahoma" w:cs="Tahoma"/>
          <w:color w:val="0D0D0D"/>
          <w:szCs w:val="24"/>
        </w:rPr>
        <w:t xml:space="preserve"> </w:t>
      </w:r>
    </w:p>
    <w:p w14:paraId="47022EA4" w14:textId="77777777" w:rsidR="009D7651" w:rsidRPr="00F14F8E" w:rsidRDefault="009D7651" w:rsidP="002E6F6D">
      <w:pPr>
        <w:spacing w:after="0" w:line="240" w:lineRule="auto"/>
        <w:ind w:left="450" w:hanging="450"/>
        <w:rPr>
          <w:rFonts w:eastAsia="Tahoma" w:cs="Tahoma"/>
          <w:szCs w:val="24"/>
        </w:rPr>
      </w:pPr>
    </w:p>
    <w:p w14:paraId="53800B4C" w14:textId="1D320A07" w:rsidR="005B7C36" w:rsidRDefault="000A1E4A" w:rsidP="005B7C36">
      <w:pPr>
        <w:spacing w:after="0" w:line="240" w:lineRule="auto"/>
        <w:rPr>
          <w:rFonts w:eastAsia="Tahoma" w:cs="Tahoma"/>
          <w:b/>
          <w:bCs/>
          <w:color w:val="000000"/>
          <w:szCs w:val="24"/>
        </w:rPr>
      </w:pPr>
      <w:r>
        <w:rPr>
          <w:rFonts w:eastAsia="Tahoma" w:cs="Tahoma"/>
          <w:b/>
          <w:bCs/>
          <w:color w:val="000000"/>
          <w:szCs w:val="24"/>
        </w:rPr>
        <w:t>Q</w:t>
      </w:r>
      <w:r w:rsidR="008F56C4">
        <w:rPr>
          <w:rFonts w:eastAsia="Tahoma" w:cs="Tahoma"/>
          <w:b/>
          <w:bCs/>
          <w:color w:val="000000"/>
          <w:szCs w:val="24"/>
        </w:rPr>
        <w:t>1</w:t>
      </w:r>
      <w:r w:rsidR="00A52FB6">
        <w:rPr>
          <w:rFonts w:eastAsia="Tahoma" w:cs="Tahoma"/>
          <w:b/>
          <w:bCs/>
          <w:color w:val="000000"/>
          <w:szCs w:val="24"/>
        </w:rPr>
        <w:t>3</w:t>
      </w:r>
      <w:r>
        <w:rPr>
          <w:rFonts w:eastAsia="Tahoma" w:cs="Tahoma"/>
          <w:b/>
          <w:bCs/>
          <w:color w:val="000000"/>
          <w:szCs w:val="24"/>
        </w:rPr>
        <w:t xml:space="preserve">. </w:t>
      </w:r>
      <w:r w:rsidR="005B7C36">
        <w:rPr>
          <w:rFonts w:eastAsia="Tahoma" w:cs="Tahoma"/>
          <w:b/>
          <w:bCs/>
          <w:color w:val="000000"/>
          <w:szCs w:val="24"/>
        </w:rPr>
        <w:t xml:space="preserve"> </w:t>
      </w:r>
      <w:r w:rsidR="00EE11D6">
        <w:rPr>
          <w:rFonts w:eastAsia="Tahoma" w:cs="Tahoma"/>
          <w:b/>
          <w:bCs/>
          <w:color w:val="000000"/>
          <w:szCs w:val="24"/>
        </w:rPr>
        <w:tab/>
      </w:r>
      <w:r w:rsidR="009D7651">
        <w:rPr>
          <w:rFonts w:eastAsia="Tahoma" w:cs="Tahoma"/>
          <w:b/>
          <w:bCs/>
          <w:color w:val="000000"/>
          <w:szCs w:val="24"/>
        </w:rPr>
        <w:t xml:space="preserve">Will the </w:t>
      </w:r>
      <w:r w:rsidR="003E182D">
        <w:rPr>
          <w:rFonts w:eastAsia="Tahoma" w:cs="Tahoma"/>
          <w:b/>
          <w:bCs/>
          <w:color w:val="000000"/>
          <w:szCs w:val="24"/>
        </w:rPr>
        <w:t xml:space="preserve">CEC </w:t>
      </w:r>
      <w:r w:rsidR="009D7651">
        <w:rPr>
          <w:rFonts w:eastAsia="Tahoma" w:cs="Tahoma"/>
          <w:b/>
          <w:bCs/>
          <w:color w:val="000000"/>
          <w:szCs w:val="24"/>
        </w:rPr>
        <w:t>directly contact all eligible site hosts about this</w:t>
      </w:r>
    </w:p>
    <w:p w14:paraId="690B0607" w14:textId="7A84CB81" w:rsidR="009D7651" w:rsidRDefault="005B7C36" w:rsidP="005B7C36">
      <w:pPr>
        <w:spacing w:after="0" w:line="240" w:lineRule="auto"/>
        <w:ind w:left="720"/>
        <w:rPr>
          <w:rFonts w:eastAsia="Tahoma" w:cs="Tahoma"/>
          <w:b/>
          <w:bCs/>
          <w:color w:val="000000"/>
          <w:szCs w:val="24"/>
        </w:rPr>
      </w:pPr>
      <w:r>
        <w:rPr>
          <w:rFonts w:eastAsia="Tahoma" w:cs="Tahoma"/>
          <w:b/>
          <w:bCs/>
          <w:color w:val="000000"/>
          <w:szCs w:val="24"/>
        </w:rPr>
        <w:t xml:space="preserve">funding opportunity? Has this </w:t>
      </w:r>
      <w:r w:rsidR="009D7651">
        <w:rPr>
          <w:rFonts w:eastAsia="Tahoma" w:cs="Tahoma"/>
          <w:b/>
          <w:bCs/>
          <w:color w:val="000000"/>
          <w:szCs w:val="24"/>
        </w:rPr>
        <w:t xml:space="preserve">already happened earlier in the solicitation development process? </w:t>
      </w:r>
    </w:p>
    <w:p w14:paraId="220E7B47" w14:textId="77777777" w:rsidR="000A1E4A" w:rsidRDefault="000A1E4A" w:rsidP="009D7651">
      <w:pPr>
        <w:spacing w:after="0" w:line="240" w:lineRule="auto"/>
        <w:rPr>
          <w:rFonts w:eastAsia="Tahoma" w:cs="Tahoma"/>
          <w:b/>
          <w:bCs/>
          <w:color w:val="000000"/>
          <w:szCs w:val="24"/>
        </w:rPr>
      </w:pPr>
    </w:p>
    <w:p w14:paraId="579C6D14" w14:textId="76623613" w:rsidR="00187F07" w:rsidRDefault="000A1E4A" w:rsidP="00F55260">
      <w:pPr>
        <w:spacing w:after="0" w:line="240" w:lineRule="auto"/>
        <w:ind w:left="720" w:hanging="720"/>
        <w:rPr>
          <w:rFonts w:eastAsia="Arial" w:cs="Tahoma"/>
          <w:color w:val="0D0D0D"/>
        </w:rPr>
      </w:pPr>
      <w:r w:rsidRPr="00F14F8E">
        <w:rPr>
          <w:rFonts w:eastAsia="Arial" w:cs="Tahoma"/>
          <w:color w:val="0D0D0D"/>
        </w:rPr>
        <w:t>A</w:t>
      </w:r>
      <w:r w:rsidR="008F56C4">
        <w:rPr>
          <w:rFonts w:eastAsia="Arial" w:cs="Tahoma"/>
          <w:color w:val="0D0D0D"/>
        </w:rPr>
        <w:t>1</w:t>
      </w:r>
      <w:r w:rsidR="00A52FB6">
        <w:rPr>
          <w:rFonts w:eastAsia="Arial" w:cs="Tahoma"/>
          <w:color w:val="0D0D0D"/>
        </w:rPr>
        <w:t>3</w:t>
      </w:r>
      <w:r w:rsidRPr="00F14F8E">
        <w:rPr>
          <w:rFonts w:eastAsia="Arial" w:cs="Tahoma"/>
          <w:color w:val="0D0D0D"/>
        </w:rPr>
        <w:t xml:space="preserve">. </w:t>
      </w:r>
      <w:r w:rsidR="00131B61" w:rsidRPr="00F14F8E">
        <w:rPr>
          <w:rFonts w:eastAsia="Arial" w:cs="Tahoma"/>
          <w:color w:val="0D0D0D"/>
        </w:rPr>
        <w:t xml:space="preserve">  </w:t>
      </w:r>
      <w:r w:rsidR="002A6834" w:rsidRPr="00F14F8E">
        <w:rPr>
          <w:rFonts w:eastAsia="Arial" w:cs="Tahoma"/>
          <w:color w:val="0D0D0D"/>
        </w:rPr>
        <w:t xml:space="preserve">In </w:t>
      </w:r>
      <w:r w:rsidR="00126FFB" w:rsidRPr="00F14F8E">
        <w:rPr>
          <w:rFonts w:eastAsia="Arial" w:cs="Tahoma"/>
          <w:color w:val="0D0D0D"/>
        </w:rPr>
        <w:t>February</w:t>
      </w:r>
      <w:r w:rsidR="002A6834" w:rsidRPr="00F14F8E">
        <w:rPr>
          <w:rFonts w:eastAsia="Arial" w:cs="Tahoma"/>
          <w:color w:val="0D0D0D"/>
        </w:rPr>
        <w:t xml:space="preserve"> 2024, </w:t>
      </w:r>
      <w:r w:rsidR="00700153" w:rsidRPr="00F14F8E">
        <w:rPr>
          <w:rFonts w:eastAsia="Arial" w:cs="Tahoma"/>
          <w:color w:val="0D0D0D"/>
        </w:rPr>
        <w:t>Caltrans and the CEC sent out a mailer to each address on th</w:t>
      </w:r>
      <w:r w:rsidR="00F02AED" w:rsidRPr="00F14F8E">
        <w:rPr>
          <w:rFonts w:eastAsia="Arial" w:cs="Tahoma"/>
          <w:color w:val="0D0D0D"/>
        </w:rPr>
        <w:t xml:space="preserve">e </w:t>
      </w:r>
      <w:r w:rsidR="00720CE6">
        <w:rPr>
          <w:rFonts w:eastAsia="Arial" w:cs="Tahoma"/>
          <w:color w:val="0D0D0D"/>
        </w:rPr>
        <w:t>Federal Highway Administration</w:t>
      </w:r>
      <w:r w:rsidR="00720CE6" w:rsidRPr="00F14F8E">
        <w:rPr>
          <w:rFonts w:eastAsia="Arial" w:cs="Tahoma"/>
          <w:color w:val="0D0D0D"/>
        </w:rPr>
        <w:t xml:space="preserve">'s </w:t>
      </w:r>
      <w:r w:rsidR="00700153" w:rsidRPr="00F14F8E">
        <w:rPr>
          <w:rFonts w:eastAsia="Arial" w:cs="Tahoma"/>
          <w:color w:val="0D0D0D"/>
        </w:rPr>
        <w:t>List and Final List Addendum of Non-Operational Chargers</w:t>
      </w:r>
      <w:r w:rsidR="00837531" w:rsidRPr="00F14F8E">
        <w:rPr>
          <w:rFonts w:eastAsia="Arial" w:cs="Tahoma"/>
          <w:color w:val="0D0D0D"/>
        </w:rPr>
        <w:t xml:space="preserve"> notifying them about </w:t>
      </w:r>
      <w:r w:rsidR="00D70592" w:rsidRPr="00F14F8E">
        <w:rPr>
          <w:rFonts w:eastAsia="Arial" w:cs="Tahoma"/>
          <w:color w:val="0D0D0D"/>
        </w:rPr>
        <w:t xml:space="preserve">the </w:t>
      </w:r>
      <w:r w:rsidR="00837531" w:rsidRPr="00F14F8E">
        <w:rPr>
          <w:rFonts w:eastAsia="Arial" w:cs="Tahoma"/>
          <w:color w:val="0D0D0D"/>
        </w:rPr>
        <w:t>upcoming funding opportunity.</w:t>
      </w:r>
      <w:r w:rsidR="00D70592" w:rsidRPr="00F14F8E">
        <w:rPr>
          <w:rFonts w:eastAsia="Arial" w:cs="Tahoma"/>
          <w:color w:val="0D0D0D"/>
        </w:rPr>
        <w:t xml:space="preserve"> The mailer included a QR code </w:t>
      </w:r>
      <w:r w:rsidR="00561D65" w:rsidRPr="00F14F8E">
        <w:rPr>
          <w:rFonts w:eastAsia="Arial" w:cs="Tahoma"/>
          <w:color w:val="0D0D0D"/>
        </w:rPr>
        <w:t>that directed to a</w:t>
      </w:r>
      <w:r w:rsidR="00444EDA" w:rsidRPr="00F14F8E">
        <w:rPr>
          <w:rFonts w:eastAsia="Arial" w:cs="Tahoma"/>
          <w:color w:val="0D0D0D"/>
        </w:rPr>
        <w:t xml:space="preserve"> web page </w:t>
      </w:r>
      <w:r w:rsidR="007C264B" w:rsidRPr="00F14F8E">
        <w:rPr>
          <w:rFonts w:eastAsia="Arial" w:cs="Tahoma"/>
          <w:color w:val="0D0D0D"/>
        </w:rPr>
        <w:t xml:space="preserve">with more information about the program and </w:t>
      </w:r>
      <w:r w:rsidR="00187F07" w:rsidRPr="00F14F8E">
        <w:rPr>
          <w:rFonts w:eastAsia="Arial" w:cs="Tahoma"/>
          <w:color w:val="0D0D0D"/>
        </w:rPr>
        <w:t>an option to sign up for email updates about the program.</w:t>
      </w:r>
      <w:r w:rsidR="00561D65">
        <w:rPr>
          <w:rFonts w:eastAsia="Arial" w:cs="Tahoma"/>
          <w:color w:val="0D0D0D"/>
        </w:rPr>
        <w:t xml:space="preserve"> </w:t>
      </w:r>
    </w:p>
    <w:p w14:paraId="37933C45" w14:textId="77777777" w:rsidR="006E0BF0" w:rsidRDefault="006E0BF0" w:rsidP="001D69E4">
      <w:pPr>
        <w:spacing w:after="0" w:line="240" w:lineRule="auto"/>
        <w:rPr>
          <w:rFonts w:eastAsia="Arial" w:cs="Tahoma"/>
          <w:color w:val="0D0D0D"/>
        </w:rPr>
      </w:pPr>
    </w:p>
    <w:p w14:paraId="455A8BE5" w14:textId="34FB48C5" w:rsidR="006E0BF0" w:rsidRPr="006E0BF0" w:rsidRDefault="006E0BF0" w:rsidP="006E0BF0">
      <w:pPr>
        <w:tabs>
          <w:tab w:val="left" w:pos="720"/>
        </w:tabs>
        <w:spacing w:after="0" w:line="240" w:lineRule="auto"/>
        <w:ind w:left="720" w:hanging="720"/>
        <w:rPr>
          <w:rFonts w:eastAsia="Tahoma" w:cs="Tahoma"/>
          <w:b/>
          <w:bCs/>
          <w:color w:val="000000"/>
          <w:szCs w:val="24"/>
          <w:u w:val="single"/>
        </w:rPr>
      </w:pPr>
      <w:r>
        <w:rPr>
          <w:rFonts w:eastAsia="Tahoma" w:cs="Tahoma"/>
          <w:b/>
          <w:bCs/>
          <w:color w:val="000000"/>
          <w:szCs w:val="24"/>
          <w:u w:val="single"/>
        </w:rPr>
        <w:t>Application Evaluation</w:t>
      </w:r>
      <w:r w:rsidRPr="00055783">
        <w:rPr>
          <w:rFonts w:eastAsia="Tahoma" w:cs="Tahoma"/>
          <w:b/>
          <w:bCs/>
          <w:color w:val="000000"/>
          <w:szCs w:val="24"/>
          <w:u w:val="single"/>
        </w:rPr>
        <w:t xml:space="preserve"> </w:t>
      </w:r>
    </w:p>
    <w:p w14:paraId="3BB1269C" w14:textId="77777777" w:rsidR="005968BF" w:rsidRDefault="005968BF" w:rsidP="00187F07">
      <w:pPr>
        <w:spacing w:after="0" w:line="240" w:lineRule="auto"/>
        <w:rPr>
          <w:rFonts w:eastAsia="Arial" w:cs="Tahoma"/>
          <w:color w:val="0D0D0D"/>
        </w:rPr>
      </w:pPr>
    </w:p>
    <w:p w14:paraId="3162A8E2" w14:textId="3D928C06" w:rsidR="005968BF" w:rsidRDefault="00F02AED" w:rsidP="00F02AED">
      <w:pPr>
        <w:spacing w:after="0" w:line="240" w:lineRule="auto"/>
        <w:ind w:left="630" w:hanging="630"/>
        <w:rPr>
          <w:rFonts w:eastAsia="Tahoma" w:cs="Tahoma"/>
          <w:b/>
          <w:bCs/>
          <w:color w:val="000000"/>
          <w:szCs w:val="24"/>
        </w:rPr>
      </w:pPr>
      <w:r>
        <w:rPr>
          <w:rFonts w:eastAsia="Tahoma" w:cs="Tahoma"/>
          <w:b/>
          <w:bCs/>
          <w:color w:val="000000"/>
          <w:szCs w:val="24"/>
        </w:rPr>
        <w:t>Q1</w:t>
      </w:r>
      <w:r w:rsidR="002C7CFB">
        <w:rPr>
          <w:rFonts w:eastAsia="Tahoma" w:cs="Tahoma"/>
          <w:b/>
          <w:bCs/>
          <w:color w:val="000000"/>
          <w:szCs w:val="24"/>
        </w:rPr>
        <w:t>4</w:t>
      </w:r>
      <w:r>
        <w:rPr>
          <w:rFonts w:eastAsia="Tahoma" w:cs="Tahoma"/>
          <w:b/>
          <w:bCs/>
          <w:color w:val="000000"/>
          <w:szCs w:val="24"/>
        </w:rPr>
        <w:t>. If multiple applicants apply to the same location, how will the awarded project be determined?</w:t>
      </w:r>
    </w:p>
    <w:p w14:paraId="7FE61658" w14:textId="77777777" w:rsidR="00F02AED" w:rsidRDefault="00F02AED" w:rsidP="00F02AED">
      <w:pPr>
        <w:spacing w:after="0" w:line="240" w:lineRule="auto"/>
        <w:ind w:left="630" w:hanging="630"/>
        <w:rPr>
          <w:rFonts w:eastAsia="Tahoma" w:cs="Tahoma"/>
          <w:color w:val="000000"/>
          <w:szCs w:val="24"/>
        </w:rPr>
      </w:pPr>
    </w:p>
    <w:p w14:paraId="3726F885" w14:textId="1020F688" w:rsidR="003841AB" w:rsidRPr="003841AB" w:rsidRDefault="00F02AED" w:rsidP="003841AB">
      <w:pPr>
        <w:tabs>
          <w:tab w:val="left" w:pos="720"/>
        </w:tabs>
        <w:spacing w:after="0" w:line="240" w:lineRule="auto"/>
        <w:ind w:left="720" w:hanging="720"/>
      </w:pPr>
      <w:r w:rsidRPr="00597BF2">
        <w:rPr>
          <w:rFonts w:eastAsia="Tahoma" w:cs="Tahoma"/>
          <w:color w:val="000000"/>
        </w:rPr>
        <w:lastRenderedPageBreak/>
        <w:t>A1</w:t>
      </w:r>
      <w:r w:rsidR="002C7CFB" w:rsidRPr="00597BF2">
        <w:rPr>
          <w:rFonts w:eastAsia="Tahoma" w:cs="Tahoma"/>
          <w:color w:val="000000"/>
        </w:rPr>
        <w:t>4</w:t>
      </w:r>
      <w:r w:rsidRPr="00597BF2">
        <w:rPr>
          <w:rFonts w:eastAsia="Tahoma" w:cs="Tahoma"/>
          <w:color w:val="000000"/>
        </w:rPr>
        <w:t>.</w:t>
      </w:r>
      <w:r w:rsidRPr="00597BF2">
        <w:rPr>
          <w:rFonts w:eastAsia="Tahoma" w:cs="Tahoma"/>
          <w:b/>
          <w:color w:val="000000"/>
        </w:rPr>
        <w:t xml:space="preserve"> </w:t>
      </w:r>
      <w:r w:rsidR="00E70C6C" w:rsidRPr="00597BF2">
        <w:rPr>
          <w:rFonts w:eastAsia="Tahoma" w:cs="Tahoma"/>
          <w:b/>
          <w:color w:val="000000"/>
        </w:rPr>
        <w:t xml:space="preserve"> </w:t>
      </w:r>
      <w:r w:rsidR="00131B61" w:rsidRPr="00597BF2">
        <w:rPr>
          <w:rFonts w:eastAsia="Tahoma" w:cs="Tahoma"/>
          <w:b/>
          <w:color w:val="000000"/>
        </w:rPr>
        <w:t xml:space="preserve"> </w:t>
      </w:r>
      <w:r w:rsidR="00611347">
        <w:t>As described in Section</w:t>
      </w:r>
      <w:r w:rsidR="00827DF4">
        <w:t xml:space="preserve"> </w:t>
      </w:r>
      <w:r w:rsidR="00955A33">
        <w:t>IV</w:t>
      </w:r>
      <w:r w:rsidR="00611347">
        <w:t>.</w:t>
      </w:r>
      <w:r w:rsidR="00955A33">
        <w:t>A.6</w:t>
      </w:r>
      <w:r w:rsidR="00A12112">
        <w:t>.</w:t>
      </w:r>
      <w:r w:rsidR="00611347">
        <w:t xml:space="preserve"> of the </w:t>
      </w:r>
      <w:r w:rsidR="002E22E1">
        <w:t>Solicitation Manual</w:t>
      </w:r>
      <w:r w:rsidR="00611347">
        <w:t>,</w:t>
      </w:r>
      <w:r w:rsidR="00B72A76">
        <w:t xml:space="preserve"> </w:t>
      </w:r>
      <w:r w:rsidR="0024632A">
        <w:t>the CEC will only fund one applicant at each charging station. I</w:t>
      </w:r>
      <w:r w:rsidR="00611347">
        <w:t xml:space="preserve">f multiple applicants apply </w:t>
      </w:r>
      <w:r w:rsidR="00611347" w:rsidRPr="65E498B4">
        <w:t>for the same charging station, the</w:t>
      </w:r>
      <w:r w:rsidR="00611347" w:rsidRPr="00D53291">
        <w:rPr>
          <w:szCs w:val="24"/>
        </w:rPr>
        <w:t xml:space="preserve"> </w:t>
      </w:r>
      <w:r w:rsidR="00B72A76">
        <w:t xml:space="preserve">CEC </w:t>
      </w:r>
      <w:r w:rsidR="003841AB">
        <w:t>reserves the right to only fund the highest scoring applicant. As noted in Section I.E.</w:t>
      </w:r>
      <w:r w:rsidR="003841AB" w:rsidRPr="65E498B4">
        <w:t xml:space="preserve"> of the Solicitation Manual, the CEC reserves the right to choose charging stations with lower passing scores that might not otherwise be selected, if required, to fund at least 1,302 ports and meet Justice40 objectives.</w:t>
      </w:r>
    </w:p>
    <w:p w14:paraId="044FE991" w14:textId="65A9C639" w:rsidR="00D83313" w:rsidRDefault="00D83313" w:rsidP="00895EE4">
      <w:pPr>
        <w:tabs>
          <w:tab w:val="left" w:pos="720"/>
        </w:tabs>
        <w:spacing w:after="0" w:line="240" w:lineRule="auto"/>
        <w:ind w:left="720" w:hanging="720"/>
      </w:pPr>
    </w:p>
    <w:p w14:paraId="4CF34219" w14:textId="095D1743" w:rsidR="00D83313" w:rsidRPr="00055783" w:rsidRDefault="00D83313" w:rsidP="00D83313">
      <w:pPr>
        <w:tabs>
          <w:tab w:val="left" w:pos="720"/>
        </w:tabs>
        <w:spacing w:after="0" w:line="240" w:lineRule="auto"/>
        <w:ind w:left="720" w:hanging="720"/>
        <w:rPr>
          <w:rFonts w:eastAsia="Tahoma" w:cs="Tahoma"/>
          <w:b/>
          <w:bCs/>
          <w:color w:val="000000"/>
          <w:szCs w:val="24"/>
          <w:u w:val="single"/>
        </w:rPr>
      </w:pPr>
      <w:r w:rsidRPr="00055783">
        <w:rPr>
          <w:rFonts w:eastAsia="Tahoma" w:cs="Tahoma"/>
          <w:b/>
          <w:bCs/>
          <w:color w:val="000000"/>
          <w:szCs w:val="24"/>
          <w:u w:val="single"/>
        </w:rPr>
        <w:t>Reimbursable and Match Share Requirements</w:t>
      </w:r>
    </w:p>
    <w:p w14:paraId="6A55EFCB" w14:textId="77777777" w:rsidR="00055783" w:rsidRPr="00055783" w:rsidRDefault="00055783" w:rsidP="00D83313">
      <w:pPr>
        <w:tabs>
          <w:tab w:val="left" w:pos="720"/>
        </w:tabs>
        <w:spacing w:after="0" w:line="240" w:lineRule="auto"/>
        <w:ind w:left="720" w:hanging="720"/>
        <w:rPr>
          <w:rFonts w:eastAsia="Tahoma" w:cs="Tahoma"/>
          <w:b/>
          <w:bCs/>
          <w:color w:val="000000"/>
          <w:szCs w:val="24"/>
          <w:u w:val="single"/>
        </w:rPr>
      </w:pPr>
    </w:p>
    <w:p w14:paraId="67913DC2" w14:textId="295604B6" w:rsidR="00055783" w:rsidRPr="00055783" w:rsidRDefault="00055783" w:rsidP="00055783">
      <w:pPr>
        <w:tabs>
          <w:tab w:val="left" w:pos="0"/>
        </w:tabs>
        <w:spacing w:after="0" w:line="240" w:lineRule="auto"/>
        <w:ind w:left="720" w:hanging="720"/>
        <w:rPr>
          <w:rFonts w:eastAsia="Tahoma" w:cs="Tahoma"/>
          <w:b/>
          <w:bCs/>
          <w:color w:val="000000"/>
          <w:szCs w:val="24"/>
        </w:rPr>
      </w:pPr>
      <w:r w:rsidRPr="00055783">
        <w:rPr>
          <w:rFonts w:eastAsia="Tahoma" w:cs="Tahoma"/>
          <w:b/>
          <w:bCs/>
          <w:color w:val="000000"/>
          <w:szCs w:val="24"/>
        </w:rPr>
        <w:t>Q1</w:t>
      </w:r>
      <w:r w:rsidR="00140643">
        <w:rPr>
          <w:rFonts w:eastAsia="Tahoma" w:cs="Tahoma"/>
          <w:b/>
          <w:bCs/>
          <w:color w:val="000000"/>
          <w:szCs w:val="24"/>
        </w:rPr>
        <w:t>5</w:t>
      </w:r>
      <w:r w:rsidRPr="00055783">
        <w:rPr>
          <w:rFonts w:eastAsia="Tahoma" w:cs="Tahoma"/>
          <w:b/>
          <w:bCs/>
          <w:color w:val="000000"/>
          <w:szCs w:val="24"/>
        </w:rPr>
        <w:t xml:space="preserve">. </w:t>
      </w:r>
      <w:r w:rsidR="00E0289A">
        <w:rPr>
          <w:rFonts w:eastAsia="Tahoma" w:cs="Tahoma"/>
          <w:b/>
          <w:bCs/>
          <w:color w:val="000000"/>
          <w:szCs w:val="24"/>
        </w:rPr>
        <w:tab/>
      </w:r>
      <w:r w:rsidRPr="00055783">
        <w:rPr>
          <w:rFonts w:eastAsia="Tahoma" w:cs="Tahoma"/>
          <w:b/>
          <w:bCs/>
          <w:color w:val="000000"/>
          <w:szCs w:val="24"/>
        </w:rPr>
        <w:t>After completing the installations or repairs, is the process to then apply for reimbursement of the associated costs?</w:t>
      </w:r>
    </w:p>
    <w:p w14:paraId="49FB2C51" w14:textId="77777777" w:rsidR="00055783" w:rsidRPr="00055783" w:rsidRDefault="00055783" w:rsidP="00055783">
      <w:pPr>
        <w:tabs>
          <w:tab w:val="left" w:pos="0"/>
        </w:tabs>
        <w:spacing w:after="0" w:line="240" w:lineRule="auto"/>
        <w:ind w:left="720" w:hanging="720"/>
        <w:rPr>
          <w:rFonts w:eastAsia="Tahoma" w:cs="Tahoma"/>
          <w:b/>
          <w:bCs/>
          <w:color w:val="000000"/>
          <w:szCs w:val="24"/>
        </w:rPr>
      </w:pPr>
    </w:p>
    <w:p w14:paraId="43E00E65" w14:textId="0E7D435B" w:rsidR="00055783" w:rsidRPr="00055783" w:rsidRDefault="00055783" w:rsidP="00055783">
      <w:pPr>
        <w:tabs>
          <w:tab w:val="left" w:pos="720"/>
        </w:tabs>
        <w:spacing w:after="0" w:line="240" w:lineRule="auto"/>
        <w:ind w:left="720" w:hanging="720"/>
        <w:rPr>
          <w:rFonts w:cs="Arial"/>
          <w:spacing w:val="-3"/>
        </w:rPr>
      </w:pPr>
      <w:r w:rsidRPr="00055783">
        <w:rPr>
          <w:rFonts w:eastAsia="Tahoma" w:cs="Tahoma"/>
          <w:color w:val="000000"/>
          <w:szCs w:val="24"/>
        </w:rPr>
        <w:t>A1</w:t>
      </w:r>
      <w:r w:rsidR="00140643">
        <w:rPr>
          <w:rFonts w:eastAsia="Tahoma" w:cs="Tahoma"/>
          <w:color w:val="000000"/>
          <w:szCs w:val="24"/>
        </w:rPr>
        <w:t>5</w:t>
      </w:r>
      <w:r w:rsidRPr="00055783">
        <w:rPr>
          <w:rFonts w:eastAsia="Tahoma" w:cs="Tahoma"/>
          <w:color w:val="000000"/>
          <w:szCs w:val="24"/>
        </w:rPr>
        <w:t>.</w:t>
      </w:r>
      <w:r w:rsidRPr="00055783">
        <w:rPr>
          <w:rFonts w:eastAsia="Tahoma" w:cs="Tahoma"/>
          <w:b/>
          <w:bCs/>
          <w:color w:val="000000"/>
          <w:szCs w:val="24"/>
        </w:rPr>
        <w:tab/>
      </w:r>
      <w:r w:rsidRPr="00055783">
        <w:rPr>
          <w:szCs w:val="24"/>
        </w:rPr>
        <w:t>Applicants must first apply for funding to conduct repair or replacement work at an eligible charging station under this solicitation. If awarded, the Applicant will enter into an agreement with the CEC to conduct the proposed project according to the terms and conditions for the solicitation (Attachment</w:t>
      </w:r>
      <w:r w:rsidR="00D31F19">
        <w:rPr>
          <w:szCs w:val="24"/>
        </w:rPr>
        <w:t>s</w:t>
      </w:r>
      <w:r w:rsidRPr="00055783">
        <w:rPr>
          <w:szCs w:val="24"/>
        </w:rPr>
        <w:t xml:space="preserve"> 13 and 14). After the agreement is fully executed with the CEC and after </w:t>
      </w:r>
      <w:r w:rsidR="00D31F19">
        <w:rPr>
          <w:szCs w:val="24"/>
        </w:rPr>
        <w:t>Federal Highway Administration’</w:t>
      </w:r>
      <w:r w:rsidR="00D31F19" w:rsidRPr="00055783">
        <w:rPr>
          <w:szCs w:val="24"/>
        </w:rPr>
        <w:t xml:space="preserve">s </w:t>
      </w:r>
      <w:r w:rsidRPr="00055783">
        <w:rPr>
          <w:szCs w:val="24"/>
        </w:rPr>
        <w:t xml:space="preserve">authorization of the project, the Recipient may begin incurring reimbursable and match expenditures. Per Section 17 of the EVC RAA Program Terms and Conditions (Attachment 13), </w:t>
      </w:r>
      <w:r w:rsidRPr="00055783">
        <w:rPr>
          <w:rFonts w:cs="Arial"/>
          <w:spacing w:val="-3"/>
        </w:rPr>
        <w:t>the Recipient may request payment from the CEC at any time during the term of the Agreement. Payments will generally be made on a reimbursement basis, i.e., after the Recipient has incurred the cost for a service, product, or other approved budget item. Additionally, the CEC will retain 10% of any payment request or 10% of the total award. At the end of the project, if the terms of the Agreement have been fulfilled, the CEC will release the 10% retention.</w:t>
      </w:r>
    </w:p>
    <w:p w14:paraId="43FCCFDE" w14:textId="77777777" w:rsidR="00DF3CE7" w:rsidRPr="00055783" w:rsidRDefault="00DF3CE7" w:rsidP="00C424FA">
      <w:pPr>
        <w:tabs>
          <w:tab w:val="left" w:pos="720"/>
        </w:tabs>
        <w:spacing w:after="0" w:line="240" w:lineRule="auto"/>
        <w:rPr>
          <w:rFonts w:cs="Arial"/>
          <w:spacing w:val="-3"/>
        </w:rPr>
      </w:pPr>
    </w:p>
    <w:p w14:paraId="523AAE0F" w14:textId="15D5DC95" w:rsidR="00DF3CE7" w:rsidRDefault="00DF3CE7" w:rsidP="00DF3CE7">
      <w:pPr>
        <w:spacing w:after="0" w:line="240" w:lineRule="auto"/>
        <w:ind w:left="720" w:hanging="720"/>
        <w:rPr>
          <w:rFonts w:eastAsia="Tahoma" w:cs="Tahoma"/>
          <w:b/>
          <w:bCs/>
          <w:color w:val="000000"/>
          <w:szCs w:val="24"/>
        </w:rPr>
      </w:pPr>
      <w:r w:rsidRPr="00055783">
        <w:rPr>
          <w:rFonts w:eastAsia="Tahoma" w:cs="Tahoma"/>
          <w:b/>
          <w:bCs/>
          <w:color w:val="000000"/>
          <w:szCs w:val="24"/>
        </w:rPr>
        <w:t>Q1</w:t>
      </w:r>
      <w:r w:rsidR="001A1DCF">
        <w:rPr>
          <w:rFonts w:eastAsia="Tahoma" w:cs="Tahoma"/>
          <w:b/>
          <w:bCs/>
          <w:color w:val="000000"/>
          <w:szCs w:val="24"/>
        </w:rPr>
        <w:t>6</w:t>
      </w:r>
      <w:r w:rsidRPr="00055783">
        <w:rPr>
          <w:rFonts w:eastAsia="Tahoma" w:cs="Tahoma"/>
          <w:b/>
          <w:bCs/>
          <w:color w:val="000000"/>
          <w:szCs w:val="24"/>
        </w:rPr>
        <w:t xml:space="preserve">. </w:t>
      </w:r>
      <w:r w:rsidRPr="00055783">
        <w:rPr>
          <w:rFonts w:eastAsia="Tahoma" w:cs="Tahoma"/>
          <w:b/>
          <w:bCs/>
          <w:color w:val="000000"/>
          <w:szCs w:val="24"/>
        </w:rPr>
        <w:tab/>
        <w:t xml:space="preserve">How is the match funding calculated for different types of charging stations, especially for </w:t>
      </w:r>
      <w:r w:rsidR="00E94C75">
        <w:rPr>
          <w:rFonts w:eastAsia="Tahoma" w:cs="Tahoma"/>
          <w:b/>
          <w:bCs/>
          <w:color w:val="000000"/>
          <w:szCs w:val="24"/>
        </w:rPr>
        <w:t>Alternative Fuel Corridor</w:t>
      </w:r>
      <w:r w:rsidR="00E94C75" w:rsidRPr="00055783">
        <w:rPr>
          <w:rFonts w:eastAsia="Tahoma" w:cs="Tahoma"/>
          <w:b/>
          <w:bCs/>
          <w:color w:val="000000"/>
          <w:szCs w:val="24"/>
        </w:rPr>
        <w:t xml:space="preserve"> </w:t>
      </w:r>
      <w:r w:rsidRPr="00055783">
        <w:rPr>
          <w:rFonts w:eastAsia="Tahoma" w:cs="Tahoma"/>
          <w:b/>
          <w:bCs/>
          <w:color w:val="000000"/>
          <w:szCs w:val="24"/>
        </w:rPr>
        <w:t>and non-</w:t>
      </w:r>
      <w:r w:rsidR="00E94C75">
        <w:rPr>
          <w:rFonts w:eastAsia="Tahoma" w:cs="Tahoma"/>
          <w:b/>
          <w:bCs/>
          <w:color w:val="000000"/>
          <w:szCs w:val="24"/>
        </w:rPr>
        <w:t xml:space="preserve">Alternative Fuel Corridor </w:t>
      </w:r>
      <w:r w:rsidRPr="00055783">
        <w:rPr>
          <w:rFonts w:eastAsia="Tahoma" w:cs="Tahoma"/>
          <w:b/>
          <w:bCs/>
          <w:color w:val="000000"/>
          <w:szCs w:val="24"/>
        </w:rPr>
        <w:t>stations? Could you provide an example of how the match funding should be structured for both categories?</w:t>
      </w:r>
    </w:p>
    <w:p w14:paraId="5B9D19F0" w14:textId="77777777" w:rsidR="00C424FA" w:rsidRPr="00055783" w:rsidRDefault="00C424FA" w:rsidP="00DF3CE7">
      <w:pPr>
        <w:spacing w:after="0" w:line="240" w:lineRule="auto"/>
        <w:ind w:left="720" w:hanging="720"/>
        <w:rPr>
          <w:rFonts w:eastAsia="Tahoma" w:cs="Tahoma"/>
          <w:b/>
          <w:bCs/>
          <w:color w:val="000000"/>
          <w:szCs w:val="24"/>
        </w:rPr>
      </w:pPr>
    </w:p>
    <w:p w14:paraId="23B62620" w14:textId="21B0B6CB" w:rsidR="00141D81" w:rsidRPr="00055783" w:rsidRDefault="00DF3CE7" w:rsidP="005F2A6E">
      <w:pPr>
        <w:spacing w:after="160" w:line="240" w:lineRule="auto"/>
        <w:ind w:left="720" w:hanging="720"/>
        <w:contextualSpacing/>
        <w:rPr>
          <w:szCs w:val="24"/>
        </w:rPr>
      </w:pPr>
      <w:r w:rsidRPr="00055783">
        <w:rPr>
          <w:rFonts w:eastAsia="Tahoma" w:cs="Tahoma"/>
          <w:color w:val="000000"/>
          <w:szCs w:val="24"/>
        </w:rPr>
        <w:t>A1</w:t>
      </w:r>
      <w:r w:rsidR="001A1DCF">
        <w:rPr>
          <w:rFonts w:eastAsia="Tahoma" w:cs="Tahoma"/>
          <w:color w:val="000000"/>
          <w:szCs w:val="24"/>
        </w:rPr>
        <w:t>6</w:t>
      </w:r>
      <w:r w:rsidRPr="00055783">
        <w:rPr>
          <w:rFonts w:eastAsia="Tahoma" w:cs="Tahoma"/>
          <w:color w:val="000000"/>
          <w:szCs w:val="24"/>
        </w:rPr>
        <w:t xml:space="preserve">. </w:t>
      </w:r>
      <w:r w:rsidR="00141D81" w:rsidRPr="00055783">
        <w:rPr>
          <w:rFonts w:eastAsia="Tahoma" w:cs="Tahoma"/>
          <w:color w:val="000000"/>
          <w:szCs w:val="24"/>
        </w:rPr>
        <w:tab/>
      </w:r>
      <w:r w:rsidR="00141D81" w:rsidRPr="00055783">
        <w:rPr>
          <w:szCs w:val="24"/>
        </w:rPr>
        <w:t>For non-</w:t>
      </w:r>
      <w:r w:rsidR="00817AA9">
        <w:rPr>
          <w:szCs w:val="24"/>
        </w:rPr>
        <w:t>Alternative Fuel Corridor</w:t>
      </w:r>
      <w:r w:rsidR="00817AA9" w:rsidRPr="00055783">
        <w:rPr>
          <w:szCs w:val="24"/>
        </w:rPr>
        <w:t xml:space="preserve"> </w:t>
      </w:r>
      <w:r w:rsidR="00141D81" w:rsidRPr="00055783">
        <w:rPr>
          <w:szCs w:val="24"/>
        </w:rPr>
        <w:t xml:space="preserve">charging stations OR </w:t>
      </w:r>
      <w:r w:rsidR="00817AA9">
        <w:rPr>
          <w:szCs w:val="24"/>
        </w:rPr>
        <w:t>Alternative Fuel Corridor</w:t>
      </w:r>
      <w:r w:rsidR="00817AA9" w:rsidRPr="00055783">
        <w:rPr>
          <w:szCs w:val="24"/>
        </w:rPr>
        <w:t xml:space="preserve"> </w:t>
      </w:r>
      <w:r w:rsidR="00141D81" w:rsidRPr="00055783">
        <w:rPr>
          <w:szCs w:val="24"/>
        </w:rPr>
        <w:t xml:space="preserve">charging stations that do not include upgrading Level 1 or Level 2 ports to </w:t>
      </w:r>
      <w:r w:rsidR="00817AA9">
        <w:rPr>
          <w:szCs w:val="24"/>
        </w:rPr>
        <w:t>D</w:t>
      </w:r>
      <w:r w:rsidR="00BC5913">
        <w:rPr>
          <w:szCs w:val="24"/>
        </w:rPr>
        <w:t>CFC</w:t>
      </w:r>
      <w:r w:rsidR="00817AA9" w:rsidRPr="00055783">
        <w:rPr>
          <w:szCs w:val="24"/>
        </w:rPr>
        <w:t xml:space="preserve"> </w:t>
      </w:r>
      <w:r w:rsidR="00141D81" w:rsidRPr="00055783">
        <w:rPr>
          <w:szCs w:val="24"/>
        </w:rPr>
        <w:t xml:space="preserve">ports, Applicants must provide match share equivalent to at least 50% of the total allowable cost for the charging station. For </w:t>
      </w:r>
      <w:r w:rsidR="00BC5913">
        <w:rPr>
          <w:szCs w:val="24"/>
        </w:rPr>
        <w:t>Alternative Fuel Corridor</w:t>
      </w:r>
      <w:r w:rsidR="00BC5913" w:rsidRPr="00055783">
        <w:rPr>
          <w:szCs w:val="24"/>
        </w:rPr>
        <w:t xml:space="preserve"> </w:t>
      </w:r>
      <w:r w:rsidR="00141D81" w:rsidRPr="00055783">
        <w:rPr>
          <w:szCs w:val="24"/>
        </w:rPr>
        <w:t>charging stations that include upgrading Level 1 or Level 2 ports to DCFC ports, Applicants must provide match share equivalent to at least 30% of the total allowable cost for the charging station.</w:t>
      </w:r>
    </w:p>
    <w:p w14:paraId="1DE168D4" w14:textId="77777777" w:rsidR="00141D81" w:rsidRPr="00055783" w:rsidRDefault="00141D81" w:rsidP="00141D81">
      <w:pPr>
        <w:tabs>
          <w:tab w:val="left" w:pos="0"/>
        </w:tabs>
        <w:spacing w:after="0" w:line="240" w:lineRule="auto"/>
        <w:ind w:left="720" w:hanging="720"/>
        <w:rPr>
          <w:szCs w:val="24"/>
        </w:rPr>
      </w:pPr>
    </w:p>
    <w:p w14:paraId="6B7F4044" w14:textId="505DD7CE" w:rsidR="00141D81" w:rsidRPr="00055783" w:rsidRDefault="00141D81" w:rsidP="65E498B4">
      <w:pPr>
        <w:spacing w:after="0" w:line="240" w:lineRule="auto"/>
        <w:ind w:left="720"/>
      </w:pPr>
      <w:r w:rsidRPr="65E498B4">
        <w:t xml:space="preserve">Please see examples </w:t>
      </w:r>
      <w:r w:rsidR="002A1804" w:rsidRPr="65E498B4">
        <w:t>of</w:t>
      </w:r>
      <w:r w:rsidR="002A1804" w:rsidRPr="00055783">
        <w:rPr>
          <w:szCs w:val="24"/>
        </w:rPr>
        <w:t xml:space="preserve"> </w:t>
      </w:r>
      <w:r w:rsidRPr="65E498B4">
        <w:t>how to calculate the match share for each charging station type in Section II.</w:t>
      </w:r>
      <w:r w:rsidR="00FE56EB" w:rsidRPr="65E498B4">
        <w:t>C</w:t>
      </w:r>
      <w:r w:rsidRPr="00055783">
        <w:rPr>
          <w:szCs w:val="24"/>
        </w:rPr>
        <w:t>.</w:t>
      </w:r>
      <w:r w:rsidR="00FE56EB" w:rsidRPr="65E498B4">
        <w:t>1.</w:t>
      </w:r>
      <w:r w:rsidRPr="65E498B4">
        <w:t xml:space="preserve"> of the </w:t>
      </w:r>
      <w:r w:rsidR="002E22E1" w:rsidRPr="65E498B4">
        <w:t>Solicitation Manual</w:t>
      </w:r>
      <w:r w:rsidRPr="00055783">
        <w:rPr>
          <w:szCs w:val="24"/>
        </w:rPr>
        <w:t>.</w:t>
      </w:r>
    </w:p>
    <w:p w14:paraId="3F17B9DF" w14:textId="78460935" w:rsidR="00EA1C82" w:rsidRPr="00055783" w:rsidRDefault="00EA1C82" w:rsidP="00141D81">
      <w:pPr>
        <w:tabs>
          <w:tab w:val="left" w:pos="0"/>
        </w:tabs>
        <w:spacing w:after="0" w:line="240" w:lineRule="auto"/>
        <w:rPr>
          <w:rFonts w:eastAsia="Tahoma" w:cs="Tahoma"/>
          <w:b/>
          <w:bCs/>
          <w:color w:val="000000"/>
          <w:szCs w:val="24"/>
        </w:rPr>
      </w:pPr>
    </w:p>
    <w:p w14:paraId="5414CB16" w14:textId="7630D16C" w:rsidR="00A312A0" w:rsidRPr="00055783" w:rsidRDefault="00A312A0" w:rsidP="006C263B">
      <w:pPr>
        <w:tabs>
          <w:tab w:val="left" w:pos="720"/>
        </w:tabs>
        <w:spacing w:after="0" w:line="240" w:lineRule="auto"/>
        <w:ind w:left="720" w:hanging="720"/>
        <w:rPr>
          <w:rFonts w:eastAsia="Tahoma" w:cs="Tahoma"/>
          <w:b/>
          <w:bCs/>
          <w:color w:val="000000"/>
          <w:szCs w:val="24"/>
        </w:rPr>
      </w:pPr>
      <w:r w:rsidRPr="00055783">
        <w:rPr>
          <w:rFonts w:eastAsia="Tahoma" w:cs="Tahoma"/>
          <w:b/>
          <w:bCs/>
          <w:color w:val="000000"/>
          <w:szCs w:val="24"/>
        </w:rPr>
        <w:lastRenderedPageBreak/>
        <w:t>Q1</w:t>
      </w:r>
      <w:r w:rsidR="004F59BF">
        <w:rPr>
          <w:rFonts w:eastAsia="Tahoma" w:cs="Tahoma"/>
          <w:b/>
          <w:bCs/>
          <w:color w:val="000000"/>
          <w:szCs w:val="24"/>
        </w:rPr>
        <w:t>7</w:t>
      </w:r>
      <w:r w:rsidRPr="00055783">
        <w:rPr>
          <w:rFonts w:eastAsia="Tahoma" w:cs="Tahoma"/>
          <w:b/>
          <w:bCs/>
          <w:color w:val="000000"/>
          <w:szCs w:val="24"/>
        </w:rPr>
        <w:t xml:space="preserve">. </w:t>
      </w:r>
      <w:r w:rsidR="006C263B">
        <w:rPr>
          <w:rFonts w:eastAsia="Tahoma" w:cs="Tahoma"/>
          <w:b/>
          <w:bCs/>
          <w:color w:val="000000"/>
          <w:szCs w:val="24"/>
        </w:rPr>
        <w:t xml:space="preserve"> </w:t>
      </w:r>
      <w:r w:rsidRPr="00055783">
        <w:rPr>
          <w:rFonts w:eastAsia="Tahoma" w:cs="Tahoma"/>
          <w:b/>
          <w:bCs/>
          <w:color w:val="000000"/>
          <w:szCs w:val="24"/>
        </w:rPr>
        <w:t xml:space="preserve">Regarding the match funding requirements, does this mean </w:t>
      </w:r>
      <w:r w:rsidR="00606E38">
        <w:rPr>
          <w:rFonts w:eastAsia="Tahoma" w:cs="Tahoma"/>
          <w:b/>
          <w:bCs/>
          <w:color w:val="000000"/>
          <w:szCs w:val="24"/>
        </w:rPr>
        <w:t xml:space="preserve">an </w:t>
      </w:r>
      <w:r w:rsidR="006C263B">
        <w:rPr>
          <w:rFonts w:eastAsia="Tahoma" w:cs="Tahoma"/>
          <w:b/>
          <w:bCs/>
          <w:color w:val="000000"/>
          <w:szCs w:val="24"/>
        </w:rPr>
        <w:t>A</w:t>
      </w:r>
      <w:r w:rsidR="00606E38">
        <w:rPr>
          <w:rFonts w:eastAsia="Tahoma" w:cs="Tahoma"/>
          <w:b/>
          <w:bCs/>
          <w:color w:val="000000"/>
          <w:szCs w:val="24"/>
        </w:rPr>
        <w:t>pplicant is</w:t>
      </w:r>
      <w:r w:rsidRPr="00055783">
        <w:rPr>
          <w:rFonts w:eastAsia="Tahoma" w:cs="Tahoma"/>
          <w:b/>
          <w:bCs/>
          <w:color w:val="000000"/>
          <w:szCs w:val="24"/>
        </w:rPr>
        <w:t xml:space="preserve"> required to provide the match upfront to qualify for funding approval?</w:t>
      </w:r>
      <w:r w:rsidR="006C263B">
        <w:rPr>
          <w:rFonts w:eastAsia="Tahoma" w:cs="Tahoma"/>
          <w:b/>
          <w:bCs/>
          <w:color w:val="000000"/>
          <w:szCs w:val="24"/>
        </w:rPr>
        <w:t xml:space="preserve"> </w:t>
      </w:r>
      <w:r w:rsidR="00787FD2">
        <w:rPr>
          <w:rFonts w:eastAsia="Tahoma" w:cs="Tahoma"/>
          <w:b/>
          <w:bCs/>
          <w:color w:val="000000"/>
          <w:szCs w:val="24"/>
        </w:rPr>
        <w:t>Will</w:t>
      </w:r>
      <w:r w:rsidR="00787FD2" w:rsidRPr="00055783">
        <w:rPr>
          <w:rFonts w:eastAsia="Tahoma" w:cs="Tahoma"/>
          <w:b/>
          <w:bCs/>
          <w:color w:val="000000"/>
          <w:szCs w:val="24"/>
        </w:rPr>
        <w:t xml:space="preserve"> </w:t>
      </w:r>
      <w:r w:rsidR="00606E38">
        <w:rPr>
          <w:rFonts w:eastAsia="Tahoma" w:cs="Tahoma"/>
          <w:b/>
          <w:bCs/>
          <w:color w:val="000000"/>
          <w:szCs w:val="24"/>
        </w:rPr>
        <w:t xml:space="preserve">a recipient </w:t>
      </w:r>
      <w:r w:rsidRPr="00055783">
        <w:rPr>
          <w:rFonts w:eastAsia="Tahoma" w:cs="Tahoma"/>
          <w:b/>
          <w:bCs/>
          <w:color w:val="000000"/>
          <w:szCs w:val="24"/>
        </w:rPr>
        <w:t>send the money in cash and then get sent the full amount or how does the process work?</w:t>
      </w:r>
    </w:p>
    <w:p w14:paraId="73989F32" w14:textId="77777777" w:rsidR="00A312A0" w:rsidRPr="00055783" w:rsidRDefault="00A312A0" w:rsidP="00A312A0">
      <w:pPr>
        <w:tabs>
          <w:tab w:val="left" w:pos="0"/>
        </w:tabs>
        <w:spacing w:after="0" w:line="240" w:lineRule="auto"/>
        <w:ind w:left="720"/>
        <w:rPr>
          <w:rFonts w:eastAsia="Tahoma" w:cs="Tahoma"/>
          <w:b/>
          <w:bCs/>
          <w:color w:val="000000"/>
          <w:szCs w:val="24"/>
        </w:rPr>
      </w:pPr>
    </w:p>
    <w:p w14:paraId="0E2D9CD3" w14:textId="4D8159A2" w:rsidR="00A312A0" w:rsidRPr="00055783" w:rsidRDefault="00A312A0" w:rsidP="00A312A0">
      <w:pPr>
        <w:tabs>
          <w:tab w:val="left" w:pos="0"/>
        </w:tabs>
        <w:spacing w:after="0" w:line="240" w:lineRule="auto"/>
        <w:ind w:left="720" w:hanging="720"/>
        <w:rPr>
          <w:rFonts w:eastAsia="Tahoma" w:cs="Tahoma"/>
          <w:b/>
          <w:bCs/>
          <w:color w:val="000000"/>
          <w:szCs w:val="24"/>
        </w:rPr>
      </w:pPr>
      <w:r w:rsidRPr="00055783">
        <w:rPr>
          <w:rFonts w:eastAsia="Tahoma" w:cs="Tahoma"/>
          <w:color w:val="000000"/>
          <w:szCs w:val="24"/>
        </w:rPr>
        <w:t>A1</w:t>
      </w:r>
      <w:r w:rsidR="004F59BF">
        <w:rPr>
          <w:rFonts w:eastAsia="Tahoma" w:cs="Tahoma"/>
          <w:color w:val="000000"/>
          <w:szCs w:val="24"/>
        </w:rPr>
        <w:t>7</w:t>
      </w:r>
      <w:r w:rsidRPr="00055783">
        <w:rPr>
          <w:rFonts w:eastAsia="Tahoma" w:cs="Tahoma"/>
          <w:color w:val="000000"/>
          <w:szCs w:val="24"/>
        </w:rPr>
        <w:t>.</w:t>
      </w:r>
      <w:r w:rsidRPr="00055783">
        <w:rPr>
          <w:szCs w:val="24"/>
        </w:rPr>
        <w:t xml:space="preserve"> </w:t>
      </w:r>
      <w:r w:rsidRPr="00055783">
        <w:rPr>
          <w:szCs w:val="24"/>
        </w:rPr>
        <w:tab/>
      </w:r>
      <w:r w:rsidR="00EC7E17">
        <w:rPr>
          <w:szCs w:val="24"/>
        </w:rPr>
        <w:t xml:space="preserve">Match is </w:t>
      </w:r>
      <w:r w:rsidR="00286F79">
        <w:rPr>
          <w:szCs w:val="24"/>
        </w:rPr>
        <w:t xml:space="preserve">not provided to the CEC in advance. Match is </w:t>
      </w:r>
      <w:r w:rsidR="00EC7E17">
        <w:rPr>
          <w:szCs w:val="24"/>
        </w:rPr>
        <w:t xml:space="preserve">claimed on </w:t>
      </w:r>
      <w:r w:rsidR="00286F79">
        <w:rPr>
          <w:szCs w:val="24"/>
        </w:rPr>
        <w:t>invoices to the CEC</w:t>
      </w:r>
      <w:r w:rsidR="00363C07">
        <w:rPr>
          <w:szCs w:val="24"/>
        </w:rPr>
        <w:t xml:space="preserve">. </w:t>
      </w:r>
      <w:r w:rsidR="004F59BF">
        <w:rPr>
          <w:szCs w:val="24"/>
        </w:rPr>
        <w:t>A</w:t>
      </w:r>
      <w:r w:rsidRPr="00055783">
        <w:rPr>
          <w:szCs w:val="24"/>
        </w:rPr>
        <w:t xml:space="preserve">fter the agreement is fully executed with the CEC and after </w:t>
      </w:r>
      <w:r w:rsidR="00312E68">
        <w:rPr>
          <w:szCs w:val="24"/>
        </w:rPr>
        <w:t>Federal Highway Administration’</w:t>
      </w:r>
      <w:r w:rsidR="00312E68" w:rsidRPr="00055783">
        <w:rPr>
          <w:szCs w:val="24"/>
        </w:rPr>
        <w:t xml:space="preserve">s </w:t>
      </w:r>
      <w:r w:rsidRPr="00055783">
        <w:rPr>
          <w:szCs w:val="24"/>
        </w:rPr>
        <w:t xml:space="preserve">authorization of the project, the Recipient may begin incurring reimbursable and match expenditures. </w:t>
      </w:r>
      <w:r w:rsidR="00605C67">
        <w:rPr>
          <w:szCs w:val="24"/>
        </w:rPr>
        <w:t xml:space="preserve">Match </w:t>
      </w:r>
      <w:r w:rsidR="002C4EEB">
        <w:rPr>
          <w:szCs w:val="24"/>
        </w:rPr>
        <w:t xml:space="preserve">consists of </w:t>
      </w:r>
      <w:r w:rsidR="00B20644">
        <w:rPr>
          <w:szCs w:val="24"/>
        </w:rPr>
        <w:t>"</w:t>
      </w:r>
      <w:proofErr w:type="gramStart"/>
      <w:r w:rsidR="002C4EEB">
        <w:rPr>
          <w:szCs w:val="24"/>
        </w:rPr>
        <w:t>cash</w:t>
      </w:r>
      <w:proofErr w:type="gramEnd"/>
      <w:r w:rsidR="002C4EEB">
        <w:rPr>
          <w:szCs w:val="24"/>
        </w:rPr>
        <w:t xml:space="preserve"> or in-kind (non-cash) contributions provided by the Applicant/Recipient, Subrecipients, or other parties that will be used in performance of the proposed project.</w:t>
      </w:r>
      <w:r w:rsidR="00B20644">
        <w:rPr>
          <w:szCs w:val="24"/>
        </w:rPr>
        <w:t>"</w:t>
      </w:r>
      <w:r w:rsidR="002C4EEB">
        <w:rPr>
          <w:szCs w:val="24"/>
        </w:rPr>
        <w:t xml:space="preserve"> See Section II</w:t>
      </w:r>
      <w:r w:rsidR="004F59BF">
        <w:rPr>
          <w:szCs w:val="24"/>
        </w:rPr>
        <w:t>.</w:t>
      </w:r>
      <w:r w:rsidR="002C4EEB">
        <w:rPr>
          <w:szCs w:val="24"/>
        </w:rPr>
        <w:t>C</w:t>
      </w:r>
      <w:r w:rsidR="002C4EEB" w:rsidDel="004F59BF">
        <w:rPr>
          <w:szCs w:val="24"/>
        </w:rPr>
        <w:t>.</w:t>
      </w:r>
      <w:r w:rsidR="002C4EEB">
        <w:rPr>
          <w:szCs w:val="24"/>
        </w:rPr>
        <w:t xml:space="preserve"> </w:t>
      </w:r>
      <w:r w:rsidR="00B20644">
        <w:rPr>
          <w:szCs w:val="24"/>
        </w:rPr>
        <w:t>o</w:t>
      </w:r>
      <w:r w:rsidR="002C4EEB">
        <w:rPr>
          <w:szCs w:val="24"/>
        </w:rPr>
        <w:t xml:space="preserve">f the Solicitation Manual for </w:t>
      </w:r>
      <w:r w:rsidR="002349C2">
        <w:rPr>
          <w:szCs w:val="24"/>
        </w:rPr>
        <w:t xml:space="preserve">more details regarding match requirements. </w:t>
      </w:r>
    </w:p>
    <w:p w14:paraId="1AE3864B" w14:textId="77777777" w:rsidR="00EA1C82" w:rsidRPr="00055783" w:rsidRDefault="00EA1C82" w:rsidP="00DD097B">
      <w:pPr>
        <w:spacing w:after="0" w:line="240" w:lineRule="auto"/>
        <w:rPr>
          <w:szCs w:val="24"/>
        </w:rPr>
      </w:pPr>
    </w:p>
    <w:p w14:paraId="76F51C07" w14:textId="74DA7FC2" w:rsidR="00977EF1" w:rsidRDefault="00621D64" w:rsidP="00621D64">
      <w:pPr>
        <w:spacing w:after="0" w:line="240" w:lineRule="auto"/>
        <w:ind w:left="720" w:hanging="720"/>
        <w:rPr>
          <w:rFonts w:eastAsia="Tahoma" w:cs="Tahoma"/>
          <w:b/>
          <w:bCs/>
          <w:color w:val="000000"/>
          <w:szCs w:val="24"/>
        </w:rPr>
      </w:pPr>
      <w:r>
        <w:rPr>
          <w:rFonts w:eastAsia="Tahoma" w:cs="Tahoma"/>
          <w:b/>
          <w:bCs/>
          <w:color w:val="000000"/>
          <w:szCs w:val="24"/>
        </w:rPr>
        <w:t>Q1</w:t>
      </w:r>
      <w:r w:rsidR="004F59BF">
        <w:rPr>
          <w:rFonts w:eastAsia="Tahoma" w:cs="Tahoma"/>
          <w:b/>
          <w:bCs/>
          <w:color w:val="000000"/>
          <w:szCs w:val="24"/>
        </w:rPr>
        <w:t>8</w:t>
      </w:r>
      <w:r>
        <w:rPr>
          <w:rFonts w:eastAsia="Tahoma" w:cs="Tahoma"/>
          <w:b/>
          <w:bCs/>
          <w:color w:val="000000"/>
          <w:szCs w:val="24"/>
        </w:rPr>
        <w:t xml:space="preserve">.  </w:t>
      </w:r>
      <w:r w:rsidR="00977EF1">
        <w:rPr>
          <w:rFonts w:eastAsia="Tahoma" w:cs="Tahoma"/>
          <w:b/>
          <w:bCs/>
          <w:color w:val="000000"/>
          <w:szCs w:val="24"/>
        </w:rPr>
        <w:t>Who is responsible for securing the match funding? Is it the Applicant, or can the Applicant partner with other organizations to fulfill this requirement?</w:t>
      </w:r>
    </w:p>
    <w:p w14:paraId="19A20EAF" w14:textId="77777777" w:rsidR="00977EF1" w:rsidRPr="00055783" w:rsidRDefault="00977EF1" w:rsidP="00DD097B">
      <w:pPr>
        <w:spacing w:after="0" w:line="240" w:lineRule="auto"/>
        <w:rPr>
          <w:szCs w:val="24"/>
        </w:rPr>
      </w:pPr>
    </w:p>
    <w:p w14:paraId="713D2AB9" w14:textId="57307691" w:rsidR="008C6682" w:rsidRPr="00055783" w:rsidRDefault="00621D64" w:rsidP="003C2AEF">
      <w:pPr>
        <w:spacing w:after="0" w:line="240" w:lineRule="auto"/>
        <w:ind w:left="720" w:hanging="720"/>
        <w:rPr>
          <w:szCs w:val="24"/>
        </w:rPr>
      </w:pPr>
      <w:r w:rsidRPr="00055783">
        <w:rPr>
          <w:szCs w:val="24"/>
        </w:rPr>
        <w:t>A1</w:t>
      </w:r>
      <w:r w:rsidR="004F59BF">
        <w:rPr>
          <w:szCs w:val="24"/>
        </w:rPr>
        <w:t>8</w:t>
      </w:r>
      <w:r w:rsidRPr="00055783">
        <w:rPr>
          <w:szCs w:val="24"/>
        </w:rPr>
        <w:t>.</w:t>
      </w:r>
      <w:r w:rsidR="00AD29A8" w:rsidRPr="00055783">
        <w:rPr>
          <w:szCs w:val="24"/>
        </w:rPr>
        <w:t xml:space="preserve"> </w:t>
      </w:r>
      <w:r w:rsidR="003C2AEF" w:rsidRPr="00055783">
        <w:rPr>
          <w:szCs w:val="24"/>
        </w:rPr>
        <w:t xml:space="preserve">  </w:t>
      </w:r>
      <w:r w:rsidR="00AD29A8" w:rsidRPr="00055783">
        <w:rPr>
          <w:szCs w:val="24"/>
        </w:rPr>
        <w:t xml:space="preserve">The Applicant is </w:t>
      </w:r>
      <w:r w:rsidR="003078F5" w:rsidRPr="00055783">
        <w:rPr>
          <w:szCs w:val="24"/>
        </w:rPr>
        <w:t>responsible for identifying and obtaining the match funding. However, the match funding may be provided by the Applicant or a third party.</w:t>
      </w:r>
      <w:r w:rsidR="008C6682" w:rsidRPr="00055783">
        <w:rPr>
          <w:szCs w:val="24"/>
        </w:rPr>
        <w:t xml:space="preserve"> </w:t>
      </w:r>
      <w:r w:rsidR="000E7255" w:rsidRPr="00055783">
        <w:rPr>
          <w:szCs w:val="24"/>
        </w:rPr>
        <w:t xml:space="preserve">Per Section III.D.10.c. of the </w:t>
      </w:r>
      <w:r w:rsidR="002E22E1">
        <w:rPr>
          <w:szCs w:val="24"/>
        </w:rPr>
        <w:t>Solicitation Manual</w:t>
      </w:r>
      <w:r w:rsidR="000E7255" w:rsidRPr="00055783">
        <w:rPr>
          <w:szCs w:val="24"/>
        </w:rPr>
        <w:t xml:space="preserve">, </w:t>
      </w:r>
      <w:r w:rsidR="008C6682" w:rsidRPr="00055783">
        <w:rPr>
          <w:szCs w:val="24"/>
        </w:rPr>
        <w:t>Applicants must submit a match funding commitment letter from each entity that is committing to providing match funding. Any match share contributors (including the Applicant and/or a third-party) must identify the intended amount of match that will be committed to the project, the funding source(s), and state that the match share contributor will provide the identified match funding.</w:t>
      </w:r>
    </w:p>
    <w:p w14:paraId="5688B746" w14:textId="77777777" w:rsidR="00621D64" w:rsidRPr="00055783" w:rsidRDefault="00621D64" w:rsidP="00DD097B">
      <w:pPr>
        <w:spacing w:after="0" w:line="240" w:lineRule="auto"/>
        <w:rPr>
          <w:szCs w:val="24"/>
        </w:rPr>
      </w:pPr>
    </w:p>
    <w:p w14:paraId="194F7A59" w14:textId="2E792DF1" w:rsidR="000B6BDC" w:rsidRPr="00055783" w:rsidRDefault="000B6BDC" w:rsidP="009C6790">
      <w:pPr>
        <w:spacing w:after="0" w:line="240" w:lineRule="auto"/>
        <w:ind w:left="720" w:hanging="720"/>
        <w:rPr>
          <w:rFonts w:eastAsia="Tahoma" w:cs="Tahoma"/>
          <w:b/>
          <w:bCs/>
          <w:color w:val="000000"/>
          <w:szCs w:val="24"/>
        </w:rPr>
      </w:pPr>
      <w:r>
        <w:rPr>
          <w:rFonts w:eastAsia="Tahoma" w:cs="Tahoma"/>
          <w:b/>
          <w:bCs/>
          <w:color w:val="000000"/>
          <w:szCs w:val="24"/>
        </w:rPr>
        <w:t>Q1</w:t>
      </w:r>
      <w:r w:rsidR="002B72B2">
        <w:rPr>
          <w:rFonts w:eastAsia="Tahoma" w:cs="Tahoma"/>
          <w:b/>
          <w:bCs/>
          <w:color w:val="000000"/>
          <w:szCs w:val="24"/>
        </w:rPr>
        <w:t>9</w:t>
      </w:r>
      <w:r>
        <w:rPr>
          <w:rFonts w:eastAsia="Tahoma" w:cs="Tahoma"/>
          <w:b/>
          <w:bCs/>
          <w:color w:val="000000"/>
          <w:szCs w:val="24"/>
        </w:rPr>
        <w:t xml:space="preserve">. </w:t>
      </w:r>
      <w:r w:rsidR="009C6790">
        <w:rPr>
          <w:rFonts w:eastAsia="Tahoma" w:cs="Tahoma"/>
          <w:b/>
          <w:bCs/>
          <w:color w:val="000000"/>
          <w:szCs w:val="24"/>
        </w:rPr>
        <w:t xml:space="preserve"> </w:t>
      </w:r>
      <w:r w:rsidR="00447E3B">
        <w:rPr>
          <w:rFonts w:eastAsia="Tahoma" w:cs="Tahoma"/>
          <w:b/>
          <w:bCs/>
          <w:color w:val="000000"/>
          <w:szCs w:val="24"/>
        </w:rPr>
        <w:t>Since</w:t>
      </w:r>
      <w:r>
        <w:rPr>
          <w:rFonts w:eastAsia="Tahoma" w:cs="Tahoma"/>
          <w:b/>
          <w:bCs/>
          <w:color w:val="000000"/>
          <w:szCs w:val="24"/>
        </w:rPr>
        <w:t xml:space="preserve"> at least 50% of the match must be in cash, </w:t>
      </w:r>
      <w:r w:rsidR="00F41B17" w:rsidRPr="00055783">
        <w:rPr>
          <w:rFonts w:eastAsia="Tahoma" w:cs="Tahoma"/>
          <w:b/>
          <w:bCs/>
          <w:color w:val="000000"/>
          <w:szCs w:val="24"/>
        </w:rPr>
        <w:t xml:space="preserve">can </w:t>
      </w:r>
      <w:r w:rsidR="00EA7C4B" w:rsidRPr="00055783">
        <w:rPr>
          <w:rFonts w:eastAsia="Tahoma" w:cs="Tahoma"/>
          <w:b/>
          <w:bCs/>
          <w:color w:val="000000"/>
          <w:szCs w:val="24"/>
        </w:rPr>
        <w:t>in-kind contributions</w:t>
      </w:r>
      <w:r w:rsidR="00696608" w:rsidRPr="00055783">
        <w:rPr>
          <w:rFonts w:eastAsia="Tahoma" w:cs="Tahoma"/>
          <w:b/>
          <w:bCs/>
          <w:color w:val="000000"/>
          <w:szCs w:val="24"/>
        </w:rPr>
        <w:t>, such as</w:t>
      </w:r>
      <w:r w:rsidR="00EA7C4B" w:rsidRPr="00055783">
        <w:rPr>
          <w:rFonts w:eastAsia="Tahoma" w:cs="Tahoma"/>
          <w:b/>
          <w:bCs/>
          <w:color w:val="000000"/>
          <w:szCs w:val="24"/>
        </w:rPr>
        <w:t xml:space="preserve"> labor, equipment, or materials </w:t>
      </w:r>
      <w:r w:rsidR="00B70A08" w:rsidRPr="00055783">
        <w:rPr>
          <w:rFonts w:eastAsia="Tahoma" w:cs="Tahoma"/>
          <w:b/>
          <w:bCs/>
          <w:color w:val="000000"/>
          <w:szCs w:val="24"/>
        </w:rPr>
        <w:t>count towards meeting the remaining</w:t>
      </w:r>
      <w:r w:rsidR="003D729F" w:rsidRPr="00055783">
        <w:rPr>
          <w:rFonts w:eastAsia="Tahoma" w:cs="Tahoma"/>
          <w:b/>
          <w:bCs/>
          <w:color w:val="000000"/>
          <w:szCs w:val="24"/>
        </w:rPr>
        <w:t xml:space="preserve"> 50%</w:t>
      </w:r>
      <w:r w:rsidR="00221C87" w:rsidRPr="00055783">
        <w:rPr>
          <w:rFonts w:eastAsia="Tahoma" w:cs="Tahoma"/>
          <w:b/>
          <w:bCs/>
          <w:color w:val="000000"/>
          <w:szCs w:val="24"/>
        </w:rPr>
        <w:t xml:space="preserve"> match</w:t>
      </w:r>
      <w:r w:rsidR="00070D70" w:rsidRPr="00055783">
        <w:rPr>
          <w:rFonts w:eastAsia="Tahoma" w:cs="Tahoma"/>
          <w:b/>
          <w:bCs/>
          <w:color w:val="000000"/>
          <w:szCs w:val="24"/>
        </w:rPr>
        <w:t xml:space="preserve"> requirement</w:t>
      </w:r>
      <w:r w:rsidR="00B70A08" w:rsidRPr="00055783">
        <w:rPr>
          <w:rFonts w:eastAsia="Tahoma" w:cs="Tahoma"/>
          <w:b/>
          <w:bCs/>
          <w:color w:val="000000"/>
          <w:szCs w:val="24"/>
        </w:rPr>
        <w:t>?</w:t>
      </w:r>
    </w:p>
    <w:p w14:paraId="580E2A48" w14:textId="191572D0" w:rsidR="00D449B6" w:rsidRPr="00055783" w:rsidRDefault="00D449B6" w:rsidP="00DD097B">
      <w:pPr>
        <w:spacing w:after="0" w:line="240" w:lineRule="auto"/>
        <w:rPr>
          <w:rFonts w:eastAsia="Tahoma" w:cs="Tahoma"/>
          <w:color w:val="000000"/>
          <w:szCs w:val="24"/>
        </w:rPr>
      </w:pPr>
    </w:p>
    <w:p w14:paraId="0839172C" w14:textId="6B2B1CEE" w:rsidR="002F37AA" w:rsidRPr="00055783" w:rsidRDefault="000B6BDC" w:rsidP="001B2127">
      <w:pPr>
        <w:widowControl w:val="0"/>
        <w:spacing w:after="120" w:line="240" w:lineRule="auto"/>
        <w:ind w:left="720" w:hanging="720"/>
      </w:pPr>
      <w:r w:rsidRPr="00597BF2">
        <w:rPr>
          <w:rFonts w:eastAsia="Tahoma" w:cs="Tahoma"/>
          <w:color w:val="000000"/>
        </w:rPr>
        <w:t>A1</w:t>
      </w:r>
      <w:r w:rsidR="002B72B2" w:rsidRPr="00597BF2">
        <w:rPr>
          <w:rFonts w:eastAsia="Tahoma" w:cs="Tahoma"/>
          <w:color w:val="000000"/>
        </w:rPr>
        <w:t>9</w:t>
      </w:r>
      <w:r w:rsidRPr="00597BF2">
        <w:rPr>
          <w:rFonts w:eastAsia="Tahoma" w:cs="Tahoma"/>
          <w:color w:val="000000"/>
        </w:rPr>
        <w:t>.</w:t>
      </w:r>
      <w:r w:rsidR="008E0663" w:rsidRPr="00597BF2">
        <w:rPr>
          <w:rFonts w:eastAsia="Tahoma" w:cs="Tahoma"/>
          <w:color w:val="000000"/>
        </w:rPr>
        <w:t xml:space="preserve"> </w:t>
      </w:r>
      <w:r w:rsidR="00E6269C">
        <w:rPr>
          <w:rFonts w:eastAsia="Tahoma"/>
        </w:rPr>
        <w:tab/>
      </w:r>
      <w:r w:rsidR="008E0663" w:rsidRPr="00597BF2">
        <w:rPr>
          <w:rFonts w:eastAsia="Tahoma" w:cs="Tahoma"/>
          <w:color w:val="000000"/>
        </w:rPr>
        <w:t xml:space="preserve">Yes, per Section </w:t>
      </w:r>
      <w:r w:rsidR="00A918A5" w:rsidRPr="00597BF2">
        <w:rPr>
          <w:rFonts w:eastAsia="Tahoma" w:cs="Tahoma"/>
          <w:color w:val="000000"/>
        </w:rPr>
        <w:t>II.</w:t>
      </w:r>
      <w:r w:rsidR="001C592F" w:rsidRPr="00597BF2">
        <w:rPr>
          <w:rFonts w:eastAsia="Tahoma" w:cs="Tahoma"/>
          <w:color w:val="000000"/>
        </w:rPr>
        <w:t>C.</w:t>
      </w:r>
      <w:r w:rsidR="00C827BC" w:rsidRPr="00597BF2">
        <w:rPr>
          <w:rFonts w:eastAsia="Tahoma" w:cs="Tahoma"/>
          <w:color w:val="000000"/>
        </w:rPr>
        <w:t>3.</w:t>
      </w:r>
      <w:r w:rsidR="00E52D4A" w:rsidRPr="00597BF2">
        <w:rPr>
          <w:rFonts w:eastAsia="Tahoma" w:cs="Tahoma"/>
          <w:color w:val="000000"/>
        </w:rPr>
        <w:t xml:space="preserve"> of the </w:t>
      </w:r>
      <w:r w:rsidR="002E22E1" w:rsidRPr="00597BF2">
        <w:rPr>
          <w:rFonts w:eastAsia="Tahoma" w:cs="Tahoma"/>
          <w:color w:val="000000"/>
        </w:rPr>
        <w:t>Solicitation Manual</w:t>
      </w:r>
      <w:r w:rsidR="001433B3" w:rsidRPr="00597BF2">
        <w:rPr>
          <w:rFonts w:eastAsia="Tahoma" w:cs="Tahoma"/>
          <w:color w:val="000000"/>
        </w:rPr>
        <w:t xml:space="preserve">, </w:t>
      </w:r>
      <w:r w:rsidR="001433B3">
        <w:t>the balance of the total match</w:t>
      </w:r>
      <w:r w:rsidR="00E6269C">
        <w:t xml:space="preserve"> </w:t>
      </w:r>
      <w:r w:rsidR="001433B3">
        <w:t>share requirement beyond the cash match share requirement may be met through in-kind match share contributions</w:t>
      </w:r>
      <w:r w:rsidR="0044242E" w:rsidRPr="65E498B4">
        <w:rPr>
          <w:rFonts w:cs="Arial"/>
        </w:rPr>
        <w:t>.</w:t>
      </w:r>
      <w:r w:rsidR="00E41540" w:rsidRPr="65E498B4">
        <w:rPr>
          <w:rFonts w:cs="Arial"/>
        </w:rPr>
        <w:t xml:space="preserve"> </w:t>
      </w:r>
      <w:r w:rsidR="00210E72">
        <w:t xml:space="preserve">In-kind match share contributions are: 1) non-cash contributions provided by the Applicant; 2) cash or non-cash contributions provided by a subrecipient; and 3) cash or non-cash contributions provided by other third parties. Applicant in-kind match share can be in the form of volunteer labor, existing equipment, existing supplies, </w:t>
      </w:r>
      <w:r w:rsidR="494B98E4">
        <w:t>and</w:t>
      </w:r>
      <w:r w:rsidR="531FD2FE">
        <w:t xml:space="preserve"> </w:t>
      </w:r>
      <w:r w:rsidR="00210E72">
        <w:t>services provided by a third-party or subcontract.</w:t>
      </w:r>
      <w:r w:rsidR="00E230A4">
        <w:t xml:space="preserve"> Applicants should carefully review </w:t>
      </w:r>
      <w:r w:rsidR="00507AC7">
        <w:t>the Match Share Restrictions (Section II.C.4. of the</w:t>
      </w:r>
      <w:r w:rsidR="00C67A7B">
        <w:t xml:space="preserve"> </w:t>
      </w:r>
      <w:r w:rsidR="002E22E1">
        <w:t>Solicitation Manual</w:t>
      </w:r>
      <w:r w:rsidR="00507AC7">
        <w:t>)</w:t>
      </w:r>
      <w:r w:rsidR="00DB6C72">
        <w:t xml:space="preserve"> and Unallowable Costs</w:t>
      </w:r>
      <w:r w:rsidR="00546A9D">
        <w:t xml:space="preserve"> (Reimbursable or Match Share)</w:t>
      </w:r>
      <w:r w:rsidR="00DB6C72">
        <w:t xml:space="preserve"> (Section II</w:t>
      </w:r>
      <w:r w:rsidR="00E27C6F">
        <w:t>.D.</w:t>
      </w:r>
      <w:r w:rsidR="00D47BA9">
        <w:t xml:space="preserve"> of the Solicitation Manual</w:t>
      </w:r>
      <w:r w:rsidR="00E27C6F">
        <w:t>)</w:t>
      </w:r>
      <w:r w:rsidR="00507AC7">
        <w:t xml:space="preserve"> to ensure </w:t>
      </w:r>
      <w:r w:rsidR="009C6790">
        <w:t>the</w:t>
      </w:r>
      <w:r w:rsidR="005F2A6E">
        <w:t>ir</w:t>
      </w:r>
      <w:r w:rsidR="009C6790">
        <w:t xml:space="preserve"> </w:t>
      </w:r>
      <w:r w:rsidR="00215FDE">
        <w:t xml:space="preserve">match funding </w:t>
      </w:r>
      <w:r w:rsidR="005E0C6B">
        <w:t xml:space="preserve">sources </w:t>
      </w:r>
      <w:r w:rsidR="009C6790">
        <w:t xml:space="preserve">proposed </w:t>
      </w:r>
      <w:r w:rsidR="005E0C6B">
        <w:t>are allowed.</w:t>
      </w:r>
    </w:p>
    <w:p w14:paraId="61D87F28" w14:textId="4D5D4D07" w:rsidR="000B6BDC" w:rsidRPr="00055783" w:rsidRDefault="000B6BDC" w:rsidP="00DD097B">
      <w:pPr>
        <w:spacing w:after="0" w:line="240" w:lineRule="auto"/>
        <w:rPr>
          <w:szCs w:val="24"/>
        </w:rPr>
      </w:pPr>
    </w:p>
    <w:p w14:paraId="75BC890C" w14:textId="32396035" w:rsidR="00B70A08" w:rsidRPr="00055783" w:rsidRDefault="00AC1318" w:rsidP="00B70A08">
      <w:pPr>
        <w:spacing w:after="0" w:line="240" w:lineRule="auto"/>
        <w:rPr>
          <w:rFonts w:eastAsia="Tahoma" w:cs="Tahoma"/>
          <w:b/>
          <w:bCs/>
          <w:color w:val="000000"/>
          <w:szCs w:val="24"/>
        </w:rPr>
      </w:pPr>
      <w:r>
        <w:rPr>
          <w:rFonts w:eastAsia="Tahoma" w:cs="Tahoma"/>
          <w:b/>
          <w:bCs/>
          <w:color w:val="000000"/>
          <w:szCs w:val="24"/>
        </w:rPr>
        <w:t>Q</w:t>
      </w:r>
      <w:r w:rsidR="00DB327F">
        <w:rPr>
          <w:rFonts w:eastAsia="Tahoma" w:cs="Tahoma"/>
          <w:b/>
          <w:bCs/>
          <w:color w:val="000000"/>
          <w:szCs w:val="24"/>
        </w:rPr>
        <w:t>20</w:t>
      </w:r>
      <w:r>
        <w:rPr>
          <w:rFonts w:eastAsia="Tahoma" w:cs="Tahoma"/>
          <w:b/>
          <w:bCs/>
          <w:color w:val="000000"/>
          <w:szCs w:val="24"/>
        </w:rPr>
        <w:t xml:space="preserve">. </w:t>
      </w:r>
      <w:r w:rsidR="00B70A08" w:rsidRPr="00055783">
        <w:rPr>
          <w:rFonts w:eastAsia="Tahoma" w:cs="Tahoma"/>
          <w:b/>
          <w:bCs/>
          <w:color w:val="000000"/>
          <w:szCs w:val="24"/>
        </w:rPr>
        <w:t>How are in-kind contributions valued and verified in the application?</w:t>
      </w:r>
    </w:p>
    <w:p w14:paraId="02322A6A" w14:textId="5CE27D8E" w:rsidR="00E6269C" w:rsidRDefault="00E6269C" w:rsidP="00DD097B">
      <w:pPr>
        <w:spacing w:after="0" w:line="240" w:lineRule="auto"/>
        <w:rPr>
          <w:rFonts w:eastAsia="Tahoma" w:cs="Tahoma"/>
          <w:b/>
          <w:bCs/>
          <w:color w:val="000000"/>
          <w:szCs w:val="24"/>
        </w:rPr>
      </w:pPr>
    </w:p>
    <w:p w14:paraId="0B92577E" w14:textId="43A74513" w:rsidR="002F37AA" w:rsidRPr="00055783" w:rsidRDefault="00E6269C" w:rsidP="002F37AA">
      <w:pPr>
        <w:spacing w:after="0" w:line="240" w:lineRule="auto"/>
        <w:ind w:left="720" w:hanging="720"/>
        <w:rPr>
          <w:szCs w:val="24"/>
        </w:rPr>
      </w:pPr>
      <w:r>
        <w:rPr>
          <w:rFonts w:eastAsia="Tahoma" w:cs="Tahoma"/>
          <w:color w:val="000000"/>
          <w:szCs w:val="24"/>
        </w:rPr>
        <w:t>A</w:t>
      </w:r>
      <w:r w:rsidR="00DB327F">
        <w:rPr>
          <w:rFonts w:eastAsia="Tahoma" w:cs="Tahoma"/>
          <w:color w:val="000000"/>
          <w:szCs w:val="24"/>
        </w:rPr>
        <w:t>20</w:t>
      </w:r>
      <w:r>
        <w:rPr>
          <w:rFonts w:eastAsia="Tahoma" w:cs="Tahoma"/>
          <w:color w:val="000000"/>
          <w:szCs w:val="24"/>
        </w:rPr>
        <w:t xml:space="preserve">. </w:t>
      </w:r>
      <w:r w:rsidR="009C6790">
        <w:rPr>
          <w:rFonts w:eastAsia="Tahoma" w:cs="Tahoma"/>
          <w:color w:val="000000"/>
          <w:szCs w:val="24"/>
        </w:rPr>
        <w:tab/>
      </w:r>
      <w:r w:rsidR="00B70A08" w:rsidRPr="00055783">
        <w:rPr>
          <w:szCs w:val="24"/>
        </w:rPr>
        <w:t>The value of in-kind match is based on the fair market value of the goods and services provided at the time it is claimed as match</w:t>
      </w:r>
      <w:r w:rsidR="00A71022" w:rsidRPr="00055783">
        <w:rPr>
          <w:szCs w:val="24"/>
        </w:rPr>
        <w:t xml:space="preserve"> </w:t>
      </w:r>
      <w:r w:rsidR="00B63D4D" w:rsidRPr="00055783">
        <w:rPr>
          <w:szCs w:val="24"/>
        </w:rPr>
        <w:t>(</w:t>
      </w:r>
      <w:r w:rsidR="008F6A56" w:rsidRPr="00055783">
        <w:rPr>
          <w:szCs w:val="24"/>
        </w:rPr>
        <w:t>S</w:t>
      </w:r>
      <w:r w:rsidR="00A71022" w:rsidRPr="00055783">
        <w:rPr>
          <w:szCs w:val="24"/>
        </w:rPr>
        <w:t>ection II.</w:t>
      </w:r>
      <w:r w:rsidR="0016258C" w:rsidRPr="00055783">
        <w:rPr>
          <w:szCs w:val="24"/>
        </w:rPr>
        <w:t>C</w:t>
      </w:r>
      <w:r w:rsidR="00A71022" w:rsidRPr="00055783">
        <w:rPr>
          <w:szCs w:val="24"/>
        </w:rPr>
        <w:t>.</w:t>
      </w:r>
      <w:r w:rsidR="00073E28" w:rsidRPr="00055783">
        <w:rPr>
          <w:szCs w:val="24"/>
        </w:rPr>
        <w:t>3</w:t>
      </w:r>
      <w:r w:rsidR="00A71022" w:rsidRPr="00055783">
        <w:rPr>
          <w:szCs w:val="24"/>
        </w:rPr>
        <w:t>.</w:t>
      </w:r>
      <w:r w:rsidR="003504B4">
        <w:rPr>
          <w:szCs w:val="24"/>
        </w:rPr>
        <w:t xml:space="preserve"> of the Solicitation Manual</w:t>
      </w:r>
      <w:r w:rsidR="00A71022" w:rsidRPr="00055783">
        <w:rPr>
          <w:szCs w:val="24"/>
        </w:rPr>
        <w:t xml:space="preserve">). </w:t>
      </w:r>
      <w:r w:rsidR="009F19DD" w:rsidRPr="00055783">
        <w:rPr>
          <w:szCs w:val="24"/>
        </w:rPr>
        <w:t xml:space="preserve">Applicants must submit a match funding commitment letter from each entity that is committing to providing match funding. </w:t>
      </w:r>
      <w:r w:rsidR="00FA64FB" w:rsidRPr="00055783">
        <w:rPr>
          <w:szCs w:val="24"/>
        </w:rPr>
        <w:t>Match</w:t>
      </w:r>
      <w:r w:rsidR="009F19DD" w:rsidRPr="00055783">
        <w:rPr>
          <w:szCs w:val="24"/>
        </w:rPr>
        <w:t xml:space="preserve"> share contributors (including the Applicant and/or a third-party) must identify the intended amount of match that will be committed to the project, the funding source(s), and state that the match share contributor will provide the identified match funding. </w:t>
      </w:r>
      <w:r w:rsidR="0032656F" w:rsidRPr="00055783">
        <w:rPr>
          <w:szCs w:val="24"/>
        </w:rPr>
        <w:t>Please see Section II</w:t>
      </w:r>
      <w:r w:rsidR="002F71B6" w:rsidRPr="00055783">
        <w:rPr>
          <w:szCs w:val="24"/>
        </w:rPr>
        <w:t>I</w:t>
      </w:r>
      <w:r w:rsidR="00F3011E" w:rsidRPr="00055783">
        <w:rPr>
          <w:szCs w:val="24"/>
        </w:rPr>
        <w:t>.</w:t>
      </w:r>
      <w:r w:rsidR="00427BBD" w:rsidRPr="00055783">
        <w:rPr>
          <w:szCs w:val="24"/>
        </w:rPr>
        <w:t>D.</w:t>
      </w:r>
      <w:r w:rsidR="001C79E0" w:rsidRPr="00055783">
        <w:rPr>
          <w:szCs w:val="24"/>
        </w:rPr>
        <w:t>10.</w:t>
      </w:r>
      <w:r w:rsidR="00F3011E" w:rsidRPr="00055783">
        <w:rPr>
          <w:szCs w:val="24"/>
        </w:rPr>
        <w:t>c.</w:t>
      </w:r>
      <w:r w:rsidR="0068634A" w:rsidRPr="00055783">
        <w:rPr>
          <w:szCs w:val="24"/>
        </w:rPr>
        <w:t xml:space="preserve"> of the </w:t>
      </w:r>
      <w:r w:rsidR="002E22E1">
        <w:rPr>
          <w:szCs w:val="24"/>
        </w:rPr>
        <w:t>Solicitation Manual</w:t>
      </w:r>
      <w:r w:rsidR="002F71B6" w:rsidRPr="00055783">
        <w:rPr>
          <w:szCs w:val="24"/>
        </w:rPr>
        <w:t xml:space="preserve"> for more information about the </w:t>
      </w:r>
      <w:r w:rsidR="00E90B81" w:rsidRPr="00055783">
        <w:rPr>
          <w:szCs w:val="24"/>
        </w:rPr>
        <w:t xml:space="preserve">requirements for the </w:t>
      </w:r>
      <w:r w:rsidR="00A91F07" w:rsidRPr="00055783">
        <w:rPr>
          <w:szCs w:val="24"/>
        </w:rPr>
        <w:t>match funding commitment letters.</w:t>
      </w:r>
    </w:p>
    <w:p w14:paraId="20DD8C25" w14:textId="77777777" w:rsidR="002F37AA" w:rsidRPr="00055783" w:rsidRDefault="002F37AA" w:rsidP="002F37AA">
      <w:pPr>
        <w:spacing w:after="0" w:line="240" w:lineRule="auto"/>
        <w:ind w:left="720" w:hanging="720"/>
        <w:rPr>
          <w:szCs w:val="24"/>
        </w:rPr>
      </w:pPr>
    </w:p>
    <w:p w14:paraId="763A492B" w14:textId="39BE6176" w:rsidR="002F37AA" w:rsidRDefault="002F37AA" w:rsidP="007A33EA">
      <w:pPr>
        <w:spacing w:after="0" w:line="240" w:lineRule="auto"/>
        <w:ind w:left="720" w:hanging="720"/>
        <w:rPr>
          <w:rFonts w:eastAsia="Tahoma" w:cs="Tahoma"/>
          <w:b/>
          <w:bCs/>
          <w:color w:val="000000"/>
          <w:szCs w:val="24"/>
        </w:rPr>
      </w:pPr>
      <w:r>
        <w:rPr>
          <w:rFonts w:eastAsia="Tahoma" w:cs="Tahoma"/>
          <w:b/>
          <w:bCs/>
          <w:color w:val="000000"/>
          <w:szCs w:val="24"/>
        </w:rPr>
        <w:t>Q</w:t>
      </w:r>
      <w:r w:rsidR="00880743">
        <w:rPr>
          <w:rFonts w:eastAsia="Tahoma" w:cs="Tahoma"/>
          <w:b/>
          <w:bCs/>
          <w:color w:val="000000"/>
          <w:szCs w:val="24"/>
        </w:rPr>
        <w:t>2</w:t>
      </w:r>
      <w:r w:rsidR="00114822">
        <w:rPr>
          <w:rFonts w:eastAsia="Tahoma" w:cs="Tahoma"/>
          <w:b/>
          <w:bCs/>
          <w:color w:val="000000"/>
          <w:szCs w:val="24"/>
        </w:rPr>
        <w:t>1</w:t>
      </w:r>
      <w:r>
        <w:rPr>
          <w:rFonts w:eastAsia="Tahoma" w:cs="Tahoma"/>
          <w:b/>
          <w:bCs/>
          <w:color w:val="000000"/>
          <w:szCs w:val="24"/>
        </w:rPr>
        <w:t xml:space="preserve">. </w:t>
      </w:r>
      <w:r w:rsidR="007A33EA">
        <w:rPr>
          <w:rFonts w:eastAsia="Tahoma" w:cs="Tahoma"/>
          <w:b/>
          <w:bCs/>
          <w:color w:val="000000"/>
          <w:szCs w:val="24"/>
        </w:rPr>
        <w:t xml:space="preserve"> </w:t>
      </w:r>
      <w:r>
        <w:rPr>
          <w:rFonts w:eastAsia="Tahoma" w:cs="Tahoma"/>
          <w:b/>
          <w:bCs/>
          <w:color w:val="000000"/>
          <w:szCs w:val="24"/>
        </w:rPr>
        <w:t>Can other grants or government funds be used to cover the match funding requirement, especially the cash portion? Are there any restrictions on the types of funds that can be applied for this purpose?</w:t>
      </w:r>
    </w:p>
    <w:p w14:paraId="7A715C26" w14:textId="77777777" w:rsidR="007A33EA" w:rsidRDefault="007A33EA" w:rsidP="007A33EA">
      <w:pPr>
        <w:spacing w:after="0" w:line="240" w:lineRule="auto"/>
        <w:ind w:left="720" w:hanging="720"/>
        <w:rPr>
          <w:rFonts w:eastAsia="Tahoma" w:cs="Tahoma"/>
          <w:b/>
          <w:bCs/>
          <w:color w:val="000000"/>
          <w:szCs w:val="24"/>
        </w:rPr>
      </w:pPr>
    </w:p>
    <w:p w14:paraId="7AB7BF7E" w14:textId="4EC5BC6E" w:rsidR="002F37AA" w:rsidRPr="00055783" w:rsidRDefault="007A33EA" w:rsidP="000B7012">
      <w:pPr>
        <w:spacing w:after="0" w:line="240" w:lineRule="auto"/>
        <w:ind w:left="720" w:hanging="720"/>
        <w:rPr>
          <w:szCs w:val="24"/>
        </w:rPr>
      </w:pPr>
      <w:r>
        <w:rPr>
          <w:rFonts w:eastAsia="Tahoma" w:cs="Tahoma"/>
          <w:color w:val="000000"/>
        </w:rPr>
        <w:t>A</w:t>
      </w:r>
      <w:r w:rsidR="00880743">
        <w:rPr>
          <w:rFonts w:eastAsia="Tahoma" w:cs="Tahoma"/>
          <w:color w:val="000000"/>
        </w:rPr>
        <w:t>2</w:t>
      </w:r>
      <w:r w:rsidR="00114822">
        <w:rPr>
          <w:rFonts w:eastAsia="Tahoma" w:cs="Tahoma"/>
          <w:color w:val="000000"/>
        </w:rPr>
        <w:t>1</w:t>
      </w:r>
      <w:r>
        <w:rPr>
          <w:rFonts w:eastAsia="Tahoma" w:cs="Tahoma"/>
          <w:color w:val="000000"/>
        </w:rPr>
        <w:t>.</w:t>
      </w:r>
      <w:r w:rsidR="009113F4">
        <w:rPr>
          <w:rFonts w:eastAsia="Tahoma" w:cs="Tahoma"/>
          <w:color w:val="000000"/>
        </w:rPr>
        <w:t xml:space="preserve">   </w:t>
      </w:r>
      <w:r w:rsidR="000B7012" w:rsidRPr="00055783">
        <w:rPr>
          <w:szCs w:val="24"/>
        </w:rPr>
        <w:t>Other sources of CEC funding may not be claimed as match share. This includes block grants funded by the CEC. Other sources of Federal funding may also not be claimed as match share, unless specifically allowed by law to be used as non-Federal match. Additionally, upgrades that are paid for by a utility program, tariff, or other sources of ratepayer funding</w:t>
      </w:r>
      <w:r w:rsidR="00D24BDC" w:rsidRPr="00055783">
        <w:rPr>
          <w:szCs w:val="24"/>
        </w:rPr>
        <w:t xml:space="preserve"> are not an allowable cost and may</w:t>
      </w:r>
      <w:r w:rsidR="00422E4E" w:rsidRPr="00055783">
        <w:rPr>
          <w:szCs w:val="24"/>
        </w:rPr>
        <w:t xml:space="preserve"> not be considered match share</w:t>
      </w:r>
      <w:r w:rsidR="000B7012" w:rsidRPr="00055783">
        <w:rPr>
          <w:szCs w:val="24"/>
        </w:rPr>
        <w:t>.</w:t>
      </w:r>
      <w:r w:rsidR="008D146E" w:rsidRPr="00055783">
        <w:rPr>
          <w:szCs w:val="24"/>
        </w:rPr>
        <w:t xml:space="preserve"> Please see Section I</w:t>
      </w:r>
      <w:r w:rsidR="00C24B3C" w:rsidRPr="00055783">
        <w:rPr>
          <w:szCs w:val="24"/>
        </w:rPr>
        <w:t>I.</w:t>
      </w:r>
      <w:r w:rsidR="00A05EDB" w:rsidRPr="00055783">
        <w:rPr>
          <w:szCs w:val="24"/>
        </w:rPr>
        <w:t>C. and Section II.</w:t>
      </w:r>
      <w:r w:rsidR="00C24B3C" w:rsidRPr="00055783">
        <w:rPr>
          <w:szCs w:val="24"/>
        </w:rPr>
        <w:t>D.</w:t>
      </w:r>
      <w:r w:rsidR="00044E7A">
        <w:rPr>
          <w:szCs w:val="24"/>
        </w:rPr>
        <w:t xml:space="preserve"> of the Solicitation Manual</w:t>
      </w:r>
      <w:r w:rsidR="00860AD2" w:rsidRPr="00055783">
        <w:rPr>
          <w:szCs w:val="24"/>
        </w:rPr>
        <w:t xml:space="preserve"> for more information about</w:t>
      </w:r>
      <w:r w:rsidR="00A51B1F" w:rsidRPr="00055783">
        <w:rPr>
          <w:szCs w:val="24"/>
        </w:rPr>
        <w:t xml:space="preserve"> match share restrictions and</w:t>
      </w:r>
      <w:r w:rsidR="00860AD2" w:rsidRPr="00055783">
        <w:rPr>
          <w:szCs w:val="24"/>
        </w:rPr>
        <w:t xml:space="preserve"> </w:t>
      </w:r>
      <w:r w:rsidR="00422E4E" w:rsidRPr="00055783">
        <w:rPr>
          <w:szCs w:val="24"/>
        </w:rPr>
        <w:t>costs that are not allowable</w:t>
      </w:r>
      <w:r w:rsidR="00A51B1F" w:rsidRPr="00055783">
        <w:rPr>
          <w:szCs w:val="24"/>
        </w:rPr>
        <w:t xml:space="preserve"> as match expenditure.</w:t>
      </w:r>
    </w:p>
    <w:p w14:paraId="4A5718E3" w14:textId="5A49372A" w:rsidR="00E6269C" w:rsidRDefault="00E6269C" w:rsidP="00DD097B">
      <w:pPr>
        <w:spacing w:after="0" w:line="240" w:lineRule="auto"/>
        <w:rPr>
          <w:rFonts w:eastAsia="Tahoma" w:cs="Tahoma"/>
          <w:color w:val="000000"/>
          <w:szCs w:val="24"/>
        </w:rPr>
      </w:pPr>
    </w:p>
    <w:p w14:paraId="24C49F4E" w14:textId="73554D19" w:rsidR="00AB04B3" w:rsidRDefault="00AB04B3" w:rsidP="00AB04B3">
      <w:pPr>
        <w:spacing w:after="0" w:line="240" w:lineRule="auto"/>
        <w:ind w:left="720" w:hanging="720"/>
        <w:rPr>
          <w:rFonts w:eastAsia="Tahoma" w:cs="Tahoma"/>
          <w:b/>
          <w:bCs/>
          <w:color w:val="000000"/>
          <w:szCs w:val="24"/>
        </w:rPr>
      </w:pPr>
      <w:r>
        <w:rPr>
          <w:rFonts w:eastAsia="Tahoma" w:cs="Tahoma"/>
          <w:b/>
          <w:bCs/>
          <w:color w:val="000000"/>
          <w:szCs w:val="24"/>
        </w:rPr>
        <w:t>Q</w:t>
      </w:r>
      <w:r w:rsidR="00880743">
        <w:rPr>
          <w:rFonts w:eastAsia="Tahoma" w:cs="Tahoma"/>
          <w:b/>
          <w:bCs/>
          <w:color w:val="000000"/>
          <w:szCs w:val="24"/>
        </w:rPr>
        <w:t>2</w:t>
      </w:r>
      <w:r w:rsidR="00114822">
        <w:rPr>
          <w:rFonts w:eastAsia="Tahoma" w:cs="Tahoma"/>
          <w:b/>
          <w:bCs/>
          <w:color w:val="000000"/>
          <w:szCs w:val="24"/>
        </w:rPr>
        <w:t>2</w:t>
      </w:r>
      <w:r>
        <w:rPr>
          <w:rFonts w:eastAsia="Tahoma" w:cs="Tahoma"/>
          <w:b/>
          <w:bCs/>
          <w:color w:val="000000"/>
          <w:szCs w:val="24"/>
        </w:rPr>
        <w:t>.  What documentation or proof will be required to confirm that the match funding, particularly the cash portion, has been secured and is available for the project?</w:t>
      </w:r>
    </w:p>
    <w:p w14:paraId="53772CFB" w14:textId="77777777" w:rsidR="00AB04B3" w:rsidRDefault="00AB04B3" w:rsidP="00DD097B">
      <w:pPr>
        <w:spacing w:after="0" w:line="240" w:lineRule="auto"/>
        <w:rPr>
          <w:rFonts w:eastAsia="Tahoma" w:cs="Tahoma"/>
          <w:color w:val="000000"/>
          <w:szCs w:val="24"/>
        </w:rPr>
      </w:pPr>
    </w:p>
    <w:p w14:paraId="773D90A3" w14:textId="3FA32AC1" w:rsidR="00235249" w:rsidRDefault="00AB04B3" w:rsidP="00E70C6C">
      <w:pPr>
        <w:spacing w:after="0" w:line="240" w:lineRule="auto"/>
        <w:ind w:left="720" w:hanging="720"/>
        <w:rPr>
          <w:szCs w:val="24"/>
        </w:rPr>
      </w:pPr>
      <w:r w:rsidRPr="00055783">
        <w:rPr>
          <w:rFonts w:eastAsia="Tahoma" w:cs="Tahoma"/>
          <w:color w:val="000000"/>
          <w:szCs w:val="24"/>
        </w:rPr>
        <w:t>A</w:t>
      </w:r>
      <w:r w:rsidR="00880743">
        <w:rPr>
          <w:rFonts w:eastAsia="Tahoma" w:cs="Tahoma"/>
          <w:color w:val="000000"/>
          <w:szCs w:val="24"/>
        </w:rPr>
        <w:t>2</w:t>
      </w:r>
      <w:r w:rsidR="00114822">
        <w:rPr>
          <w:rFonts w:eastAsia="Tahoma" w:cs="Tahoma"/>
          <w:color w:val="000000"/>
          <w:szCs w:val="24"/>
        </w:rPr>
        <w:t>2</w:t>
      </w:r>
      <w:r w:rsidRPr="00055783">
        <w:rPr>
          <w:rFonts w:eastAsia="Tahoma" w:cs="Tahoma"/>
          <w:color w:val="000000"/>
          <w:szCs w:val="24"/>
        </w:rPr>
        <w:t xml:space="preserve">. </w:t>
      </w:r>
      <w:r w:rsidR="00E70C6C" w:rsidRPr="00055783">
        <w:rPr>
          <w:rFonts w:eastAsia="Tahoma" w:cs="Tahoma"/>
          <w:color w:val="000000"/>
          <w:szCs w:val="24"/>
        </w:rPr>
        <w:t xml:space="preserve">  </w:t>
      </w:r>
      <w:r w:rsidR="00B33214" w:rsidRPr="00055783">
        <w:rPr>
          <w:szCs w:val="24"/>
        </w:rPr>
        <w:t>Applicants must submit a match funding commitment letter from each entity that is committing to providing match funding</w:t>
      </w:r>
      <w:r w:rsidR="00A90D14" w:rsidRPr="00055783">
        <w:rPr>
          <w:szCs w:val="24"/>
        </w:rPr>
        <w:t>, including cash match</w:t>
      </w:r>
      <w:r w:rsidR="00B33214" w:rsidRPr="00055783">
        <w:rPr>
          <w:szCs w:val="24"/>
        </w:rPr>
        <w:t xml:space="preserve">. Any match share contributors (including the Applicant and/or a third-party) must identify the intended amount of match that will be committed to the project, the funding source(s), and state that the match share contributor will provide the identified match funding. Please see Section III.D.10.c. of the </w:t>
      </w:r>
      <w:r w:rsidR="002E22E1">
        <w:rPr>
          <w:szCs w:val="24"/>
        </w:rPr>
        <w:t>Solicitation Manual</w:t>
      </w:r>
      <w:r w:rsidR="00B33214" w:rsidRPr="00055783">
        <w:rPr>
          <w:szCs w:val="24"/>
        </w:rPr>
        <w:t xml:space="preserve"> for more information about the requirements for the match funding commitment letters.</w:t>
      </w:r>
      <w:r w:rsidR="00A90D14" w:rsidRPr="00055783">
        <w:rPr>
          <w:szCs w:val="24"/>
        </w:rPr>
        <w:t xml:space="preserve"> </w:t>
      </w:r>
    </w:p>
    <w:p w14:paraId="7B1AA9FE" w14:textId="77777777" w:rsidR="00235249" w:rsidRDefault="00235249" w:rsidP="00E70C6C">
      <w:pPr>
        <w:spacing w:after="0" w:line="240" w:lineRule="auto"/>
        <w:ind w:left="720" w:hanging="720"/>
        <w:rPr>
          <w:szCs w:val="24"/>
        </w:rPr>
      </w:pPr>
    </w:p>
    <w:p w14:paraId="7C1B03E6" w14:textId="7A968289" w:rsidR="00510A8D" w:rsidRPr="00055783" w:rsidRDefault="00A522E0" w:rsidP="00520356">
      <w:pPr>
        <w:spacing w:after="0" w:line="240" w:lineRule="auto"/>
        <w:ind w:left="720"/>
        <w:rPr>
          <w:szCs w:val="24"/>
        </w:rPr>
      </w:pPr>
      <w:r w:rsidRPr="00055783">
        <w:rPr>
          <w:szCs w:val="24"/>
        </w:rPr>
        <w:t xml:space="preserve">After award, as described in Task 1.7 of the Scope of Work (Attachment 2), </w:t>
      </w:r>
      <w:r w:rsidR="00E416C0" w:rsidRPr="00055783">
        <w:rPr>
          <w:szCs w:val="24"/>
        </w:rPr>
        <w:t>Recipients</w:t>
      </w:r>
      <w:r w:rsidRPr="00055783">
        <w:rPr>
          <w:szCs w:val="24"/>
        </w:rPr>
        <w:t xml:space="preserve"> </w:t>
      </w:r>
      <w:r w:rsidR="00EE4BC3" w:rsidRPr="00055783">
        <w:rPr>
          <w:szCs w:val="24"/>
        </w:rPr>
        <w:t>must</w:t>
      </w:r>
      <w:r w:rsidRPr="00055783">
        <w:rPr>
          <w:szCs w:val="24"/>
        </w:rPr>
        <w:t xml:space="preserve"> submit a letter to the CEC documenting the match funding committed to the Agreement</w:t>
      </w:r>
      <w:r w:rsidR="002F2ADF" w:rsidRPr="00055783">
        <w:rPr>
          <w:szCs w:val="24"/>
        </w:rPr>
        <w:t xml:space="preserve"> in the proposa</w:t>
      </w:r>
      <w:r w:rsidR="008D55DF" w:rsidRPr="00055783">
        <w:rPr>
          <w:szCs w:val="24"/>
        </w:rPr>
        <w:t>l</w:t>
      </w:r>
      <w:r w:rsidRPr="00055783">
        <w:rPr>
          <w:szCs w:val="24"/>
        </w:rPr>
        <w:t>.</w:t>
      </w:r>
      <w:r w:rsidR="008D55DF" w:rsidRPr="00055783">
        <w:rPr>
          <w:szCs w:val="24"/>
        </w:rPr>
        <w:t xml:space="preserve"> This applies to both cash and in-kind match funding.</w:t>
      </w:r>
      <w:r w:rsidRPr="00055783">
        <w:rPr>
          <w:szCs w:val="24"/>
        </w:rPr>
        <w:t xml:space="preserve"> </w:t>
      </w:r>
      <w:r w:rsidR="002F2ADF" w:rsidRPr="00055783">
        <w:rPr>
          <w:szCs w:val="24"/>
        </w:rPr>
        <w:t>For cash match, the</w:t>
      </w:r>
      <w:r w:rsidRPr="00055783">
        <w:rPr>
          <w:szCs w:val="24"/>
        </w:rPr>
        <w:t xml:space="preserve"> letter must include the </w:t>
      </w:r>
      <w:r w:rsidR="002C6995" w:rsidRPr="00055783">
        <w:rPr>
          <w:rFonts w:cs="Arial"/>
          <w:szCs w:val="24"/>
        </w:rPr>
        <w:t>a</w:t>
      </w:r>
      <w:r w:rsidR="002F2ADF" w:rsidRPr="00055783">
        <w:rPr>
          <w:rFonts w:cs="Arial"/>
          <w:szCs w:val="24"/>
        </w:rPr>
        <w:t>mount of each cash match fund, its source, including a contact name, address and telephone number and the task(s) to which the match funds will be applied.</w:t>
      </w:r>
      <w:r w:rsidR="00510A8D" w:rsidRPr="00055783">
        <w:rPr>
          <w:szCs w:val="24"/>
        </w:rPr>
        <w:t xml:space="preserve"> Please see Task 1.7 of the Scope of Work (Attachment 2) for more information</w:t>
      </w:r>
      <w:r w:rsidR="007F11FE" w:rsidRPr="00055783">
        <w:rPr>
          <w:szCs w:val="24"/>
        </w:rPr>
        <w:t xml:space="preserve"> about the </w:t>
      </w:r>
      <w:r w:rsidR="005F078C" w:rsidRPr="00055783">
        <w:rPr>
          <w:szCs w:val="24"/>
        </w:rPr>
        <w:t xml:space="preserve">match fund </w:t>
      </w:r>
      <w:r w:rsidR="00A44ED7" w:rsidRPr="00055783">
        <w:rPr>
          <w:szCs w:val="24"/>
        </w:rPr>
        <w:t>letter Recipients will be required to submi</w:t>
      </w:r>
      <w:r w:rsidR="00C02F7B" w:rsidRPr="00055783">
        <w:rPr>
          <w:szCs w:val="24"/>
        </w:rPr>
        <w:t>t.</w:t>
      </w:r>
    </w:p>
    <w:p w14:paraId="3886B2A6" w14:textId="77777777" w:rsidR="00003CAB" w:rsidRPr="00055783" w:rsidRDefault="00003CAB" w:rsidP="00510A8D">
      <w:pPr>
        <w:spacing w:after="0" w:line="240" w:lineRule="auto"/>
        <w:rPr>
          <w:szCs w:val="24"/>
        </w:rPr>
      </w:pPr>
    </w:p>
    <w:p w14:paraId="18A96895" w14:textId="681B753F" w:rsidR="00003CAB" w:rsidRDefault="00003CAB" w:rsidP="00003CAB">
      <w:pPr>
        <w:spacing w:after="0" w:line="240" w:lineRule="auto"/>
        <w:ind w:left="720" w:hanging="720"/>
        <w:rPr>
          <w:rFonts w:eastAsia="Tahoma" w:cs="Tahoma"/>
          <w:b/>
          <w:bCs/>
          <w:color w:val="000000"/>
          <w:szCs w:val="24"/>
        </w:rPr>
      </w:pPr>
      <w:r>
        <w:rPr>
          <w:rFonts w:eastAsia="Tahoma" w:cs="Tahoma"/>
          <w:b/>
          <w:bCs/>
          <w:color w:val="000000"/>
          <w:szCs w:val="24"/>
        </w:rPr>
        <w:t>Q</w:t>
      </w:r>
      <w:r w:rsidR="00880743">
        <w:rPr>
          <w:rFonts w:eastAsia="Tahoma" w:cs="Tahoma"/>
          <w:b/>
          <w:bCs/>
          <w:color w:val="000000"/>
          <w:szCs w:val="24"/>
        </w:rPr>
        <w:t>2</w:t>
      </w:r>
      <w:r w:rsidR="00EF5600">
        <w:rPr>
          <w:rFonts w:eastAsia="Tahoma" w:cs="Tahoma"/>
          <w:b/>
          <w:bCs/>
          <w:color w:val="000000"/>
          <w:szCs w:val="24"/>
        </w:rPr>
        <w:t>3</w:t>
      </w:r>
      <w:r>
        <w:rPr>
          <w:rFonts w:eastAsia="Tahoma" w:cs="Tahoma"/>
          <w:b/>
          <w:bCs/>
          <w:color w:val="000000"/>
          <w:szCs w:val="24"/>
        </w:rPr>
        <w:t xml:space="preserve">. </w:t>
      </w:r>
      <w:r w:rsidR="000777D4">
        <w:rPr>
          <w:rFonts w:eastAsia="Tahoma" w:cs="Tahoma"/>
          <w:b/>
          <w:bCs/>
          <w:color w:val="000000"/>
          <w:szCs w:val="24"/>
        </w:rPr>
        <w:t xml:space="preserve"> </w:t>
      </w:r>
      <w:r>
        <w:rPr>
          <w:rFonts w:eastAsia="Tahoma" w:cs="Tahoma"/>
          <w:b/>
          <w:bCs/>
          <w:color w:val="000000"/>
          <w:szCs w:val="24"/>
        </w:rPr>
        <w:t>Is there a specific timeline or deadline by which the match funding must be secured and confirmed? How early in the process should match funding be demonstrated?</w:t>
      </w:r>
    </w:p>
    <w:p w14:paraId="2FD4308A" w14:textId="361DE449" w:rsidR="00003CAB" w:rsidRPr="00055783" w:rsidRDefault="00003CAB" w:rsidP="00510A8D">
      <w:pPr>
        <w:spacing w:after="0" w:line="240" w:lineRule="auto"/>
        <w:rPr>
          <w:szCs w:val="24"/>
        </w:rPr>
      </w:pPr>
    </w:p>
    <w:p w14:paraId="7FBD21F9" w14:textId="441E9229" w:rsidR="00254434" w:rsidRDefault="000777D4" w:rsidP="000B7012">
      <w:pPr>
        <w:spacing w:after="0" w:line="240" w:lineRule="auto"/>
        <w:ind w:left="720" w:hanging="720"/>
        <w:rPr>
          <w:szCs w:val="24"/>
        </w:rPr>
      </w:pPr>
      <w:r w:rsidRPr="00055783">
        <w:rPr>
          <w:szCs w:val="24"/>
        </w:rPr>
        <w:t>A</w:t>
      </w:r>
      <w:r w:rsidR="00880743">
        <w:rPr>
          <w:szCs w:val="24"/>
        </w:rPr>
        <w:t>2</w:t>
      </w:r>
      <w:r w:rsidR="00EF5600">
        <w:rPr>
          <w:szCs w:val="24"/>
        </w:rPr>
        <w:t>3</w:t>
      </w:r>
      <w:r w:rsidRPr="00055783">
        <w:rPr>
          <w:szCs w:val="24"/>
        </w:rPr>
        <w:t xml:space="preserve">. </w:t>
      </w:r>
      <w:r w:rsidR="00F602BD" w:rsidRPr="00055783">
        <w:rPr>
          <w:szCs w:val="24"/>
        </w:rPr>
        <w:t xml:space="preserve">  </w:t>
      </w:r>
      <w:r w:rsidR="000579B4" w:rsidRPr="00055783">
        <w:rPr>
          <w:szCs w:val="24"/>
        </w:rPr>
        <w:t>Applicants must submit a match funding commitment letter from each entity that is committing to providing match funding</w:t>
      </w:r>
      <w:r w:rsidR="003E654B" w:rsidRPr="00055783">
        <w:rPr>
          <w:szCs w:val="24"/>
        </w:rPr>
        <w:t xml:space="preserve">. </w:t>
      </w:r>
      <w:r w:rsidR="00254434" w:rsidRPr="00055783">
        <w:rPr>
          <w:szCs w:val="24"/>
        </w:rPr>
        <w:t xml:space="preserve">Any match share contributors (including the Applicant and/or a third-party) must identify the intended amount of match that will be committed to the project, the funding source(s), and state that the match share contributor will provide the identified match funding. Please see Section III.D.10.c. of the </w:t>
      </w:r>
      <w:r w:rsidR="00254434">
        <w:rPr>
          <w:szCs w:val="24"/>
        </w:rPr>
        <w:t>Solicitation Manual</w:t>
      </w:r>
      <w:r w:rsidR="00254434" w:rsidRPr="00055783">
        <w:rPr>
          <w:szCs w:val="24"/>
        </w:rPr>
        <w:t xml:space="preserve"> for more information about the requirements for the match funding commitment letters.</w:t>
      </w:r>
      <w:r w:rsidR="00254434">
        <w:rPr>
          <w:szCs w:val="24"/>
        </w:rPr>
        <w:t xml:space="preserve"> </w:t>
      </w:r>
    </w:p>
    <w:p w14:paraId="5835016D" w14:textId="77777777" w:rsidR="00254434" w:rsidRDefault="00254434" w:rsidP="000B7012">
      <w:pPr>
        <w:spacing w:after="0" w:line="240" w:lineRule="auto"/>
        <w:ind w:left="720" w:hanging="720"/>
        <w:rPr>
          <w:szCs w:val="24"/>
        </w:rPr>
      </w:pPr>
    </w:p>
    <w:p w14:paraId="4C4DDE2A" w14:textId="1E1DA4D0" w:rsidR="000C4C1A" w:rsidRPr="00055783" w:rsidRDefault="003E654B" w:rsidP="00932C2C">
      <w:pPr>
        <w:spacing w:after="0" w:line="240" w:lineRule="auto"/>
        <w:ind w:left="720"/>
        <w:rPr>
          <w:rFonts w:ascii="Arial" w:hAnsi="Arial" w:cs="Arial"/>
          <w:szCs w:val="24"/>
        </w:rPr>
      </w:pPr>
      <w:r w:rsidRPr="00055783">
        <w:rPr>
          <w:szCs w:val="24"/>
        </w:rPr>
        <w:t>Additionally,</w:t>
      </w:r>
      <w:r w:rsidRPr="00BC54DB" w:rsidDel="00EF5600">
        <w:rPr>
          <w:szCs w:val="24"/>
        </w:rPr>
        <w:t xml:space="preserve"> </w:t>
      </w:r>
      <w:r w:rsidRPr="00BC54DB">
        <w:rPr>
          <w:szCs w:val="24"/>
        </w:rPr>
        <w:t>after</w:t>
      </w:r>
      <w:r w:rsidRPr="00055783">
        <w:rPr>
          <w:szCs w:val="24"/>
        </w:rPr>
        <w:t xml:space="preserve"> award, Recipients must submit a letter to the CEC documenting the match funding committed to the Agreement in the proposal.</w:t>
      </w:r>
      <w:r w:rsidR="00A66E66" w:rsidRPr="00055783">
        <w:rPr>
          <w:szCs w:val="24"/>
        </w:rPr>
        <w:t xml:space="preserve"> </w:t>
      </w:r>
      <w:r w:rsidR="00A66E66" w:rsidRPr="00055783">
        <w:rPr>
          <w:rFonts w:ascii="Arial" w:hAnsi="Arial" w:cs="Arial"/>
          <w:szCs w:val="24"/>
        </w:rPr>
        <w:t xml:space="preserve">This letter must be submitted at least </w:t>
      </w:r>
      <w:r w:rsidR="00AD13BC" w:rsidRPr="00055783">
        <w:rPr>
          <w:rFonts w:ascii="Arial" w:hAnsi="Arial" w:cs="Arial"/>
          <w:szCs w:val="24"/>
        </w:rPr>
        <w:t>two</w:t>
      </w:r>
      <w:r w:rsidR="00A66E66" w:rsidRPr="00055783">
        <w:rPr>
          <w:rFonts w:ascii="Arial" w:hAnsi="Arial" w:cs="Arial"/>
          <w:szCs w:val="24"/>
        </w:rPr>
        <w:t xml:space="preserve"> working days prior to the kick-off meeting.</w:t>
      </w:r>
      <w:r w:rsidR="000B33B5">
        <w:rPr>
          <w:rFonts w:ascii="Arial" w:hAnsi="Arial" w:cs="Arial"/>
          <w:szCs w:val="24"/>
        </w:rPr>
        <w:t xml:space="preserve"> </w:t>
      </w:r>
      <w:r w:rsidR="000B33B5" w:rsidRPr="00055783">
        <w:rPr>
          <w:szCs w:val="24"/>
        </w:rPr>
        <w:t>Please see Task 1.7 of the Scope of Work (Attachment 2) for more information about the match fund letter Recipients will be required to submit.</w:t>
      </w:r>
    </w:p>
    <w:p w14:paraId="3121974D" w14:textId="77777777" w:rsidR="003A3881" w:rsidRPr="00055783" w:rsidRDefault="003A3881" w:rsidP="000B7012">
      <w:pPr>
        <w:spacing w:after="0" w:line="240" w:lineRule="auto"/>
        <w:ind w:left="720" w:hanging="720"/>
        <w:rPr>
          <w:szCs w:val="24"/>
        </w:rPr>
      </w:pPr>
    </w:p>
    <w:p w14:paraId="41F119F9" w14:textId="74A2D85A" w:rsidR="00767D88" w:rsidRDefault="00767D88" w:rsidP="00767D88">
      <w:pPr>
        <w:spacing w:after="0" w:line="240" w:lineRule="auto"/>
        <w:ind w:left="720" w:hanging="720"/>
        <w:rPr>
          <w:rFonts w:eastAsia="Tahoma" w:cs="Tahoma"/>
          <w:b/>
          <w:bCs/>
          <w:color w:val="000000"/>
          <w:szCs w:val="24"/>
        </w:rPr>
      </w:pPr>
      <w:r>
        <w:rPr>
          <w:rFonts w:eastAsia="Tahoma" w:cs="Tahoma"/>
          <w:b/>
          <w:bCs/>
          <w:color w:val="000000"/>
          <w:szCs w:val="24"/>
        </w:rPr>
        <w:t>Q</w:t>
      </w:r>
      <w:r w:rsidR="00EA1C82">
        <w:rPr>
          <w:rFonts w:eastAsia="Tahoma" w:cs="Tahoma"/>
          <w:b/>
          <w:bCs/>
          <w:color w:val="000000"/>
          <w:szCs w:val="24"/>
        </w:rPr>
        <w:t>2</w:t>
      </w:r>
      <w:r w:rsidR="00465748">
        <w:rPr>
          <w:rFonts w:eastAsia="Tahoma" w:cs="Tahoma"/>
          <w:b/>
          <w:bCs/>
          <w:color w:val="000000"/>
          <w:szCs w:val="24"/>
        </w:rPr>
        <w:t>4</w:t>
      </w:r>
      <w:r>
        <w:rPr>
          <w:rFonts w:eastAsia="Tahoma" w:cs="Tahoma"/>
          <w:b/>
          <w:bCs/>
          <w:color w:val="000000"/>
          <w:szCs w:val="24"/>
        </w:rPr>
        <w:t>.  What happens if the required match funding is not met or if there is shortfall in the cash portion of the match funding? Are there penalties or disqualification from the funding opportunity?</w:t>
      </w:r>
    </w:p>
    <w:p w14:paraId="5C56B17B" w14:textId="77777777" w:rsidR="00767D88" w:rsidRDefault="00767D88" w:rsidP="00767D88">
      <w:pPr>
        <w:spacing w:after="0" w:line="240" w:lineRule="auto"/>
        <w:rPr>
          <w:rFonts w:eastAsia="Tahoma" w:cs="Tahoma"/>
          <w:b/>
          <w:bCs/>
          <w:color w:val="000000"/>
          <w:szCs w:val="24"/>
        </w:rPr>
      </w:pPr>
    </w:p>
    <w:p w14:paraId="29D22884" w14:textId="18CB228A" w:rsidR="00767D88" w:rsidRPr="00055783" w:rsidRDefault="00767D88" w:rsidP="00767D88">
      <w:pPr>
        <w:spacing w:after="0" w:line="240" w:lineRule="auto"/>
        <w:ind w:left="720" w:hanging="720"/>
        <w:rPr>
          <w:szCs w:val="24"/>
        </w:rPr>
      </w:pPr>
      <w:r>
        <w:rPr>
          <w:rFonts w:eastAsia="Tahoma" w:cs="Tahoma"/>
          <w:color w:val="000000"/>
          <w:szCs w:val="24"/>
        </w:rPr>
        <w:t>A</w:t>
      </w:r>
      <w:r w:rsidR="00EA1C82">
        <w:rPr>
          <w:rFonts w:eastAsia="Tahoma" w:cs="Tahoma"/>
          <w:color w:val="000000"/>
          <w:szCs w:val="24"/>
        </w:rPr>
        <w:t>2</w:t>
      </w:r>
      <w:r w:rsidR="00465748">
        <w:rPr>
          <w:rFonts w:eastAsia="Tahoma" w:cs="Tahoma"/>
          <w:color w:val="000000"/>
          <w:szCs w:val="24"/>
        </w:rPr>
        <w:t>4</w:t>
      </w:r>
      <w:r>
        <w:rPr>
          <w:rFonts w:eastAsia="Tahoma" w:cs="Tahoma"/>
          <w:color w:val="000000"/>
          <w:szCs w:val="24"/>
        </w:rPr>
        <w:t xml:space="preserve">.   </w:t>
      </w:r>
      <w:r w:rsidRPr="00055783">
        <w:rPr>
          <w:szCs w:val="24"/>
        </w:rPr>
        <w:t>Per Section 30 of the EVC RAA Program Terms and Conditions (Attachment 13), the CEC may, for the Recipient’s noncompliance of any Agreement requirement, withhold future payments, demand and be entitled to repayment of past reimbursements, or suspend or terminate the Agreement.</w:t>
      </w:r>
    </w:p>
    <w:p w14:paraId="193A28F0" w14:textId="77777777" w:rsidR="003C136E" w:rsidRDefault="003C136E" w:rsidP="00767D88">
      <w:pPr>
        <w:spacing w:after="0" w:line="240" w:lineRule="auto"/>
        <w:ind w:left="720" w:hanging="720"/>
        <w:rPr>
          <w:rFonts w:eastAsia="Tahoma" w:cs="Tahoma"/>
          <w:b/>
          <w:bCs/>
          <w:color w:val="000000"/>
          <w:szCs w:val="24"/>
        </w:rPr>
      </w:pPr>
    </w:p>
    <w:p w14:paraId="0B949077" w14:textId="4497ADDE" w:rsidR="003C136E" w:rsidRPr="00055783" w:rsidRDefault="003C136E" w:rsidP="003C136E">
      <w:pPr>
        <w:spacing w:after="0" w:line="240" w:lineRule="auto"/>
        <w:ind w:left="720" w:hanging="720"/>
        <w:rPr>
          <w:rFonts w:eastAsia="Tahoma" w:cs="Tahoma"/>
          <w:b/>
          <w:bCs/>
          <w:color w:val="000000"/>
          <w:szCs w:val="24"/>
        </w:rPr>
      </w:pPr>
      <w:r>
        <w:rPr>
          <w:rFonts w:eastAsia="Tahoma" w:cs="Tahoma"/>
          <w:b/>
          <w:bCs/>
          <w:color w:val="000000"/>
          <w:szCs w:val="24"/>
        </w:rPr>
        <w:t>Q2</w:t>
      </w:r>
      <w:r w:rsidR="00BB3AEC">
        <w:rPr>
          <w:rFonts w:eastAsia="Tahoma" w:cs="Tahoma"/>
          <w:b/>
          <w:bCs/>
          <w:color w:val="000000"/>
          <w:szCs w:val="24"/>
        </w:rPr>
        <w:t>5</w:t>
      </w:r>
      <w:r>
        <w:rPr>
          <w:rFonts w:eastAsia="Tahoma" w:cs="Tahoma"/>
          <w:b/>
          <w:bCs/>
          <w:color w:val="000000"/>
          <w:szCs w:val="24"/>
        </w:rPr>
        <w:t xml:space="preserve">.  </w:t>
      </w:r>
      <w:r w:rsidRPr="00055783">
        <w:rPr>
          <w:rFonts w:eastAsia="Tahoma" w:cs="Tahoma"/>
          <w:b/>
          <w:bCs/>
          <w:color w:val="000000"/>
          <w:szCs w:val="24"/>
        </w:rPr>
        <w:t>How are maintenance contracts evaluated for matching fund requirements?</w:t>
      </w:r>
    </w:p>
    <w:p w14:paraId="4A390CD4" w14:textId="5D76EBF6" w:rsidR="003C136E" w:rsidRDefault="003C136E" w:rsidP="00767D88">
      <w:pPr>
        <w:spacing w:after="0" w:line="240" w:lineRule="auto"/>
        <w:ind w:left="720" w:hanging="720"/>
        <w:rPr>
          <w:rFonts w:eastAsia="Tahoma" w:cs="Tahoma"/>
          <w:b/>
          <w:bCs/>
          <w:color w:val="000000"/>
          <w:szCs w:val="24"/>
        </w:rPr>
      </w:pPr>
    </w:p>
    <w:p w14:paraId="2DF8D125" w14:textId="53DD82DC" w:rsidR="00AA5E1B" w:rsidRDefault="003C136E" w:rsidP="00F93522">
      <w:pPr>
        <w:spacing w:after="0" w:line="240" w:lineRule="auto"/>
        <w:ind w:left="720" w:hanging="720"/>
        <w:rPr>
          <w:rFonts w:eastAsia="Tahoma" w:cs="Tahoma"/>
          <w:color w:val="000000"/>
          <w:szCs w:val="24"/>
        </w:rPr>
      </w:pPr>
      <w:r>
        <w:rPr>
          <w:rFonts w:eastAsia="Tahoma" w:cs="Tahoma"/>
          <w:color w:val="000000"/>
          <w:szCs w:val="24"/>
        </w:rPr>
        <w:t>A2</w:t>
      </w:r>
      <w:r w:rsidR="00BB3AEC">
        <w:rPr>
          <w:rFonts w:eastAsia="Tahoma" w:cs="Tahoma"/>
          <w:color w:val="000000"/>
          <w:szCs w:val="24"/>
        </w:rPr>
        <w:t>5</w:t>
      </w:r>
      <w:r>
        <w:rPr>
          <w:rFonts w:eastAsia="Tahoma" w:cs="Tahoma"/>
          <w:color w:val="000000"/>
          <w:szCs w:val="24"/>
        </w:rPr>
        <w:t xml:space="preserve">. </w:t>
      </w:r>
      <w:r w:rsidR="00D72378">
        <w:rPr>
          <w:rFonts w:eastAsia="Tahoma" w:cs="Tahoma"/>
          <w:color w:val="000000"/>
          <w:szCs w:val="24"/>
        </w:rPr>
        <w:t xml:space="preserve"> </w:t>
      </w:r>
      <w:r w:rsidR="002B5820">
        <w:rPr>
          <w:rFonts w:eastAsia="Tahoma" w:cs="Tahoma"/>
          <w:color w:val="000000"/>
          <w:szCs w:val="24"/>
        </w:rPr>
        <w:t xml:space="preserve"> </w:t>
      </w:r>
      <w:r w:rsidR="004000CF">
        <w:rPr>
          <w:rFonts w:eastAsia="Tahoma" w:cs="Tahoma"/>
          <w:color w:val="000000"/>
          <w:szCs w:val="24"/>
        </w:rPr>
        <w:t xml:space="preserve">There are no specific match funding requirements for maintenance subcontracts under this solicitation. </w:t>
      </w:r>
      <w:r w:rsidR="00896A5F">
        <w:rPr>
          <w:rFonts w:eastAsia="Tahoma" w:cs="Tahoma"/>
          <w:color w:val="000000"/>
          <w:szCs w:val="24"/>
        </w:rPr>
        <w:t>If the</w:t>
      </w:r>
      <w:r w:rsidR="004000CF">
        <w:rPr>
          <w:rFonts w:eastAsia="Tahoma" w:cs="Tahoma"/>
          <w:color w:val="000000"/>
          <w:szCs w:val="24"/>
        </w:rPr>
        <w:t xml:space="preserve"> Applicant</w:t>
      </w:r>
      <w:r w:rsidR="00797497">
        <w:rPr>
          <w:rFonts w:eastAsia="Tahoma" w:cs="Tahoma"/>
          <w:color w:val="000000"/>
          <w:szCs w:val="24"/>
        </w:rPr>
        <w:t xml:space="preserve">, or a third-party supported by a letter of commitment, commits </w:t>
      </w:r>
      <w:r w:rsidR="004000CF">
        <w:rPr>
          <w:rFonts w:eastAsia="Tahoma" w:cs="Tahoma"/>
          <w:color w:val="000000"/>
          <w:szCs w:val="24"/>
        </w:rPr>
        <w:t xml:space="preserve">to </w:t>
      </w:r>
      <w:r w:rsidR="0037076B">
        <w:rPr>
          <w:rFonts w:eastAsia="Tahoma" w:cs="Tahoma"/>
          <w:color w:val="000000"/>
          <w:szCs w:val="24"/>
        </w:rPr>
        <w:t>providing the applicable</w:t>
      </w:r>
      <w:r w:rsidR="004000CF">
        <w:rPr>
          <w:rFonts w:eastAsia="Tahoma" w:cs="Tahoma"/>
          <w:color w:val="000000"/>
          <w:szCs w:val="24"/>
        </w:rPr>
        <w:t xml:space="preserve"> minimum match share</w:t>
      </w:r>
      <w:r w:rsidR="00CF1DA3">
        <w:rPr>
          <w:rFonts w:eastAsia="Tahoma" w:cs="Tahoma"/>
          <w:color w:val="000000"/>
          <w:szCs w:val="24"/>
        </w:rPr>
        <w:t xml:space="preserve"> percentage </w:t>
      </w:r>
      <w:r w:rsidR="004000CF">
        <w:rPr>
          <w:rFonts w:eastAsia="Tahoma" w:cs="Tahoma"/>
          <w:color w:val="000000"/>
          <w:szCs w:val="24"/>
        </w:rPr>
        <w:t>required for the charging station</w:t>
      </w:r>
      <w:r w:rsidR="00797497">
        <w:rPr>
          <w:rFonts w:eastAsia="Tahoma" w:cs="Tahoma"/>
          <w:color w:val="000000"/>
          <w:szCs w:val="24"/>
        </w:rPr>
        <w:t xml:space="preserve">, the charging </w:t>
      </w:r>
      <w:r w:rsidR="0023151E">
        <w:rPr>
          <w:rFonts w:eastAsia="Tahoma" w:cs="Tahoma"/>
          <w:color w:val="000000"/>
          <w:szCs w:val="24"/>
        </w:rPr>
        <w:t xml:space="preserve">station will pass </w:t>
      </w:r>
      <w:r w:rsidR="00C77671">
        <w:rPr>
          <w:rFonts w:eastAsia="Tahoma" w:cs="Tahoma"/>
          <w:color w:val="000000"/>
          <w:szCs w:val="24"/>
        </w:rPr>
        <w:t xml:space="preserve">the </w:t>
      </w:r>
      <w:r w:rsidR="009E0880">
        <w:rPr>
          <w:rFonts w:eastAsia="Tahoma" w:cs="Tahoma"/>
          <w:color w:val="000000"/>
          <w:szCs w:val="24"/>
        </w:rPr>
        <w:t>match share evaluation criteri</w:t>
      </w:r>
      <w:r w:rsidR="00CC0B06">
        <w:rPr>
          <w:rFonts w:eastAsia="Tahoma" w:cs="Tahoma"/>
          <w:color w:val="000000"/>
          <w:szCs w:val="24"/>
        </w:rPr>
        <w:t xml:space="preserve">on </w:t>
      </w:r>
      <w:r w:rsidR="009E0880">
        <w:rPr>
          <w:rFonts w:eastAsia="Tahoma" w:cs="Tahoma"/>
          <w:color w:val="000000"/>
          <w:szCs w:val="24"/>
        </w:rPr>
        <w:t>described in Section IV.</w:t>
      </w:r>
      <w:r w:rsidR="00F93522">
        <w:rPr>
          <w:rFonts w:eastAsia="Tahoma" w:cs="Tahoma"/>
          <w:color w:val="000000"/>
          <w:szCs w:val="24"/>
        </w:rPr>
        <w:t>E.2.</w:t>
      </w:r>
      <w:r w:rsidR="009E0880">
        <w:rPr>
          <w:rFonts w:eastAsia="Tahoma" w:cs="Tahoma"/>
          <w:color w:val="000000"/>
          <w:szCs w:val="24"/>
        </w:rPr>
        <w:t xml:space="preserve"> of the </w:t>
      </w:r>
      <w:r w:rsidR="002E22E1">
        <w:rPr>
          <w:rFonts w:eastAsia="Tahoma" w:cs="Tahoma"/>
          <w:color w:val="000000"/>
          <w:szCs w:val="24"/>
        </w:rPr>
        <w:t>Solicitation Manual</w:t>
      </w:r>
      <w:r w:rsidR="009E0880">
        <w:rPr>
          <w:rFonts w:eastAsia="Tahoma" w:cs="Tahoma"/>
          <w:color w:val="000000"/>
          <w:szCs w:val="24"/>
        </w:rPr>
        <w:t>.</w:t>
      </w:r>
    </w:p>
    <w:p w14:paraId="7D483CA0" w14:textId="642BB811" w:rsidR="00EB2992" w:rsidRDefault="00EB2992" w:rsidP="00880743">
      <w:pPr>
        <w:tabs>
          <w:tab w:val="left" w:pos="0"/>
        </w:tabs>
        <w:spacing w:after="0" w:line="240" w:lineRule="auto"/>
        <w:rPr>
          <w:rFonts w:eastAsia="Tahoma" w:cs="Tahoma"/>
          <w:b/>
          <w:bCs/>
          <w:color w:val="000000"/>
          <w:szCs w:val="24"/>
        </w:rPr>
      </w:pPr>
    </w:p>
    <w:sectPr w:rsidR="00EB2992" w:rsidSect="001973A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CD34A" w14:textId="77777777" w:rsidR="00B6375D" w:rsidRDefault="00B6375D" w:rsidP="00B4351B">
      <w:pPr>
        <w:spacing w:after="0" w:line="240" w:lineRule="auto"/>
      </w:pPr>
      <w:r>
        <w:separator/>
      </w:r>
    </w:p>
  </w:endnote>
  <w:endnote w:type="continuationSeparator" w:id="0">
    <w:p w14:paraId="7B0B6E27" w14:textId="77777777" w:rsidR="00B6375D" w:rsidRDefault="00B6375D" w:rsidP="00B4351B">
      <w:pPr>
        <w:spacing w:after="0" w:line="240" w:lineRule="auto"/>
      </w:pPr>
      <w:r>
        <w:continuationSeparator/>
      </w:r>
    </w:p>
  </w:endnote>
  <w:endnote w:type="continuationNotice" w:id="1">
    <w:p w14:paraId="5A69AD4F" w14:textId="77777777" w:rsidR="00B6375D" w:rsidRDefault="00B63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AE27" w14:textId="688D39CF" w:rsidR="00B4351B" w:rsidRPr="00A62F65" w:rsidRDefault="00F574C9" w:rsidP="00F574C9">
    <w:pPr>
      <w:pStyle w:val="Footer"/>
      <w:spacing w:after="0" w:line="240" w:lineRule="auto"/>
      <w:rPr>
        <w:rFonts w:cs="Tahoma"/>
        <w:noProof/>
      </w:rPr>
    </w:pPr>
    <w:r w:rsidRPr="00A62F65">
      <w:rPr>
        <w:rFonts w:cs="Tahoma"/>
      </w:rPr>
      <w:t>Questions and Answers</w:t>
    </w:r>
    <w:r w:rsidRPr="00A62F65">
      <w:rPr>
        <w:rFonts w:cs="Tahoma"/>
      </w:rPr>
      <w:tab/>
    </w:r>
    <w:r w:rsidRPr="00A62F65">
      <w:rPr>
        <w:rFonts w:cs="Tahoma"/>
      </w:rPr>
      <w:fldChar w:fldCharType="begin"/>
    </w:r>
    <w:r w:rsidRPr="00A62F65">
      <w:rPr>
        <w:rFonts w:cs="Tahoma"/>
      </w:rPr>
      <w:instrText xml:space="preserve"> PAGE   \* MERGEFORMAT </w:instrText>
    </w:r>
    <w:r w:rsidRPr="00A62F65">
      <w:rPr>
        <w:rFonts w:cs="Tahoma"/>
      </w:rPr>
      <w:fldChar w:fldCharType="separate"/>
    </w:r>
    <w:r w:rsidR="00626DE4" w:rsidRPr="00A62F65">
      <w:rPr>
        <w:rFonts w:cs="Tahoma"/>
        <w:noProof/>
      </w:rPr>
      <w:t>1</w:t>
    </w:r>
    <w:r w:rsidRPr="00A62F65">
      <w:rPr>
        <w:rFonts w:cs="Tahoma"/>
        <w:noProof/>
      </w:rPr>
      <w:fldChar w:fldCharType="end"/>
    </w:r>
    <w:r w:rsidRPr="00A62F65">
      <w:rPr>
        <w:rFonts w:cs="Tahoma"/>
        <w:noProof/>
      </w:rPr>
      <w:tab/>
    </w:r>
    <w:r w:rsidR="00872F31">
      <w:rPr>
        <w:rFonts w:cs="Tahoma"/>
        <w:noProof/>
      </w:rPr>
      <w:t>California’s EVC RAA Program</w:t>
    </w:r>
  </w:p>
  <w:p w14:paraId="45D0BF06" w14:textId="5AD92D7C" w:rsidR="00F574C9" w:rsidRPr="00A62F65" w:rsidRDefault="00186DEC" w:rsidP="00F574C9">
    <w:pPr>
      <w:pStyle w:val="Footer"/>
      <w:spacing w:after="0" w:line="240" w:lineRule="auto"/>
      <w:rPr>
        <w:rFonts w:cs="Tahoma"/>
      </w:rPr>
    </w:pPr>
    <w:r>
      <w:rPr>
        <w:rFonts w:cs="Tahoma"/>
        <w:noProof/>
      </w:rPr>
      <w:t>December</w:t>
    </w:r>
    <w:r w:rsidRPr="00872F31">
      <w:rPr>
        <w:rFonts w:cs="Tahoma"/>
        <w:noProof/>
      </w:rPr>
      <w:t xml:space="preserve"> </w:t>
    </w:r>
    <w:r w:rsidR="00872F31" w:rsidRPr="00872F31">
      <w:rPr>
        <w:rFonts w:cs="Tahoma"/>
        <w:noProof/>
      </w:rPr>
      <w:t>2024</w:t>
    </w:r>
    <w:r w:rsidR="00F574C9" w:rsidRPr="00A62F65">
      <w:rPr>
        <w:rFonts w:cs="Tahoma"/>
        <w:noProof/>
      </w:rPr>
      <w:tab/>
    </w:r>
    <w:r w:rsidR="00F574C9" w:rsidRPr="00A62F65">
      <w:rPr>
        <w:rFonts w:cs="Tahoma"/>
        <w:noProof/>
      </w:rPr>
      <w:tab/>
    </w:r>
    <w:r w:rsidR="00A62F65">
      <w:rPr>
        <w:rFonts w:cs="Tahoma"/>
        <w:noProof/>
      </w:rPr>
      <w:t>GFO</w:t>
    </w:r>
    <w:r w:rsidR="00F574C9" w:rsidRPr="00A62F65">
      <w:rPr>
        <w:rFonts w:cs="Tahoma"/>
        <w:noProof/>
      </w:rPr>
      <w:t>-</w:t>
    </w:r>
    <w:r w:rsidR="00872F31">
      <w:rPr>
        <w:rFonts w:cs="Tahoma"/>
        <w:noProof/>
      </w:rPr>
      <w:t>24</w:t>
    </w:r>
    <w:r w:rsidR="00F574C9" w:rsidRPr="00A62F65">
      <w:rPr>
        <w:rFonts w:cs="Tahoma"/>
        <w:noProof/>
      </w:rPr>
      <w:t>-</w:t>
    </w:r>
    <w:r w:rsidR="00872F31">
      <w:rPr>
        <w:rFonts w:cs="Tahoma"/>
        <w:noProof/>
      </w:rPr>
      <w:t>603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AF615" w14:textId="77777777" w:rsidR="00B6375D" w:rsidRDefault="00B6375D" w:rsidP="00B4351B">
      <w:pPr>
        <w:spacing w:after="0" w:line="240" w:lineRule="auto"/>
      </w:pPr>
      <w:r>
        <w:separator/>
      </w:r>
    </w:p>
  </w:footnote>
  <w:footnote w:type="continuationSeparator" w:id="0">
    <w:p w14:paraId="4753E321" w14:textId="77777777" w:rsidR="00B6375D" w:rsidRDefault="00B6375D" w:rsidP="00B4351B">
      <w:pPr>
        <w:spacing w:after="0" w:line="240" w:lineRule="auto"/>
      </w:pPr>
      <w:r>
        <w:continuationSeparator/>
      </w:r>
    </w:p>
  </w:footnote>
  <w:footnote w:type="continuationNotice" w:id="1">
    <w:p w14:paraId="5F1A4921" w14:textId="77777777" w:rsidR="00B6375D" w:rsidRDefault="00B637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FF3552"/>
    <w:multiLevelType w:val="hybridMultilevel"/>
    <w:tmpl w:val="B7F029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2803EE"/>
    <w:multiLevelType w:val="hybridMultilevel"/>
    <w:tmpl w:val="E41A3E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5">
      <w:start w:val="1"/>
      <w:numFmt w:val="bullet"/>
      <w:lvlText w:val=""/>
      <w:lvlJc w:val="left"/>
      <w:pPr>
        <w:ind w:left="216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FB5698"/>
    <w:multiLevelType w:val="hybridMultilevel"/>
    <w:tmpl w:val="629A3BC8"/>
    <w:lvl w:ilvl="0" w:tplc="EBA0E072">
      <w:start w:val="1"/>
      <w:numFmt w:val="decimal"/>
      <w:lvlText w:val="%1."/>
      <w:lvlJc w:val="left"/>
      <w:pPr>
        <w:ind w:left="720" w:hanging="360"/>
      </w:pPr>
    </w:lvl>
    <w:lvl w:ilvl="1" w:tplc="FB545B22">
      <w:start w:val="1"/>
      <w:numFmt w:val="lowerLetter"/>
      <w:lvlText w:val="%2."/>
      <w:lvlJc w:val="left"/>
      <w:pPr>
        <w:ind w:left="1440" w:hanging="360"/>
      </w:pPr>
    </w:lvl>
    <w:lvl w:ilvl="2" w:tplc="92DEC93C">
      <w:start w:val="1"/>
      <w:numFmt w:val="lowerRoman"/>
      <w:lvlText w:val="%3."/>
      <w:lvlJc w:val="right"/>
      <w:pPr>
        <w:ind w:left="2160" w:hanging="180"/>
      </w:pPr>
    </w:lvl>
    <w:lvl w:ilvl="3" w:tplc="A78AC2EE">
      <w:start w:val="1"/>
      <w:numFmt w:val="decimal"/>
      <w:lvlText w:val="%4."/>
      <w:lvlJc w:val="left"/>
      <w:pPr>
        <w:ind w:left="2880" w:hanging="360"/>
      </w:pPr>
    </w:lvl>
    <w:lvl w:ilvl="4" w:tplc="D97617BA">
      <w:start w:val="1"/>
      <w:numFmt w:val="lowerLetter"/>
      <w:lvlText w:val="%5."/>
      <w:lvlJc w:val="left"/>
      <w:pPr>
        <w:ind w:left="3600" w:hanging="360"/>
      </w:pPr>
    </w:lvl>
    <w:lvl w:ilvl="5" w:tplc="A3707CE0">
      <w:start w:val="1"/>
      <w:numFmt w:val="lowerRoman"/>
      <w:lvlText w:val="%6."/>
      <w:lvlJc w:val="right"/>
      <w:pPr>
        <w:ind w:left="4320" w:hanging="180"/>
      </w:pPr>
    </w:lvl>
    <w:lvl w:ilvl="6" w:tplc="F9888370">
      <w:start w:val="1"/>
      <w:numFmt w:val="decimal"/>
      <w:lvlText w:val="%7."/>
      <w:lvlJc w:val="left"/>
      <w:pPr>
        <w:ind w:left="5040" w:hanging="360"/>
      </w:pPr>
    </w:lvl>
    <w:lvl w:ilvl="7" w:tplc="FE70CF68">
      <w:start w:val="1"/>
      <w:numFmt w:val="lowerLetter"/>
      <w:lvlText w:val="%8."/>
      <w:lvlJc w:val="left"/>
      <w:pPr>
        <w:ind w:left="5760" w:hanging="360"/>
      </w:pPr>
    </w:lvl>
    <w:lvl w:ilvl="8" w:tplc="61A214A2">
      <w:start w:val="1"/>
      <w:numFmt w:val="lowerRoman"/>
      <w:lvlText w:val="%9."/>
      <w:lvlJc w:val="right"/>
      <w:pPr>
        <w:ind w:left="6480" w:hanging="180"/>
      </w:pPr>
    </w:lvl>
  </w:abstractNum>
  <w:abstractNum w:abstractNumId="4"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5" w15:restartNumberingAfterBreak="0">
    <w:nsid w:val="1728048B"/>
    <w:multiLevelType w:val="hybridMultilevel"/>
    <w:tmpl w:val="765AC2EE"/>
    <w:lvl w:ilvl="0" w:tplc="FFFFFFFF">
      <w:start w:val="1"/>
      <w:numFmt w:val="decimal"/>
      <w:lvlText w:val="%1."/>
      <w:lvlJc w:val="left"/>
      <w:pPr>
        <w:ind w:left="2160" w:hanging="360"/>
      </w:pPr>
      <w:rPr>
        <w:b w:val="0"/>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A916E62"/>
    <w:multiLevelType w:val="hybridMultilevel"/>
    <w:tmpl w:val="6AD840B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4917F7B"/>
    <w:multiLevelType w:val="multilevel"/>
    <w:tmpl w:val="E4344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D6528A"/>
    <w:multiLevelType w:val="hybridMultilevel"/>
    <w:tmpl w:val="668C93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C07BA"/>
    <w:multiLevelType w:val="hybridMultilevel"/>
    <w:tmpl w:val="26D4D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2C562DB"/>
    <w:multiLevelType w:val="hybridMultilevel"/>
    <w:tmpl w:val="89B699A4"/>
    <w:lvl w:ilvl="0" w:tplc="D4925FDC">
      <w:start w:val="1"/>
      <w:numFmt w:val="bullet"/>
      <w:lvlText w:val=""/>
      <w:lvlJc w:val="left"/>
      <w:pPr>
        <w:ind w:left="720" w:hanging="360"/>
      </w:pPr>
      <w:rPr>
        <w:rFonts w:ascii="Symbol" w:hAnsi="Symbol" w:hint="default"/>
      </w:rPr>
    </w:lvl>
    <w:lvl w:ilvl="1" w:tplc="0AFCAD9E">
      <w:start w:val="1"/>
      <w:numFmt w:val="bullet"/>
      <w:lvlText w:val="o"/>
      <w:lvlJc w:val="left"/>
      <w:pPr>
        <w:ind w:left="1440" w:hanging="360"/>
      </w:pPr>
      <w:rPr>
        <w:rFonts w:ascii="Courier New" w:hAnsi="Courier New" w:hint="default"/>
      </w:rPr>
    </w:lvl>
    <w:lvl w:ilvl="2" w:tplc="2F621E3C">
      <w:start w:val="1"/>
      <w:numFmt w:val="bullet"/>
      <w:lvlText w:val=""/>
      <w:lvlJc w:val="left"/>
      <w:pPr>
        <w:ind w:left="2160" w:hanging="360"/>
      </w:pPr>
      <w:rPr>
        <w:rFonts w:ascii="Wingdings" w:hAnsi="Wingdings" w:hint="default"/>
      </w:rPr>
    </w:lvl>
    <w:lvl w:ilvl="3" w:tplc="5D98E5A6">
      <w:start w:val="1"/>
      <w:numFmt w:val="bullet"/>
      <w:lvlText w:val=""/>
      <w:lvlJc w:val="left"/>
      <w:pPr>
        <w:ind w:left="2880" w:hanging="360"/>
      </w:pPr>
      <w:rPr>
        <w:rFonts w:ascii="Symbol" w:hAnsi="Symbol" w:hint="default"/>
      </w:rPr>
    </w:lvl>
    <w:lvl w:ilvl="4" w:tplc="D03C13F6">
      <w:start w:val="1"/>
      <w:numFmt w:val="bullet"/>
      <w:lvlText w:val="o"/>
      <w:lvlJc w:val="left"/>
      <w:pPr>
        <w:ind w:left="3600" w:hanging="360"/>
      </w:pPr>
      <w:rPr>
        <w:rFonts w:ascii="Courier New" w:hAnsi="Courier New" w:hint="default"/>
      </w:rPr>
    </w:lvl>
    <w:lvl w:ilvl="5" w:tplc="0282B2D2">
      <w:start w:val="1"/>
      <w:numFmt w:val="bullet"/>
      <w:lvlText w:val=""/>
      <w:lvlJc w:val="left"/>
      <w:pPr>
        <w:ind w:left="4320" w:hanging="360"/>
      </w:pPr>
      <w:rPr>
        <w:rFonts w:ascii="Wingdings" w:hAnsi="Wingdings" w:hint="default"/>
      </w:rPr>
    </w:lvl>
    <w:lvl w:ilvl="6" w:tplc="AB44F260">
      <w:start w:val="1"/>
      <w:numFmt w:val="bullet"/>
      <w:lvlText w:val=""/>
      <w:lvlJc w:val="left"/>
      <w:pPr>
        <w:ind w:left="5040" w:hanging="360"/>
      </w:pPr>
      <w:rPr>
        <w:rFonts w:ascii="Symbol" w:hAnsi="Symbol" w:hint="default"/>
      </w:rPr>
    </w:lvl>
    <w:lvl w:ilvl="7" w:tplc="07D839CE">
      <w:start w:val="1"/>
      <w:numFmt w:val="bullet"/>
      <w:lvlText w:val="o"/>
      <w:lvlJc w:val="left"/>
      <w:pPr>
        <w:ind w:left="5760" w:hanging="360"/>
      </w:pPr>
      <w:rPr>
        <w:rFonts w:ascii="Courier New" w:hAnsi="Courier New" w:hint="default"/>
      </w:rPr>
    </w:lvl>
    <w:lvl w:ilvl="8" w:tplc="183C0F20">
      <w:start w:val="1"/>
      <w:numFmt w:val="bullet"/>
      <w:lvlText w:val=""/>
      <w:lvlJc w:val="left"/>
      <w:pPr>
        <w:ind w:left="6480" w:hanging="360"/>
      </w:pPr>
      <w:rPr>
        <w:rFonts w:ascii="Wingdings" w:hAnsi="Wingdings" w:hint="default"/>
      </w:rPr>
    </w:lvl>
  </w:abstractNum>
  <w:abstractNum w:abstractNumId="12" w15:restartNumberingAfterBreak="0">
    <w:nsid w:val="42D22E15"/>
    <w:multiLevelType w:val="multilevel"/>
    <w:tmpl w:val="956E00A0"/>
    <w:lvl w:ilvl="0">
      <w:start w:val="1"/>
      <w:numFmt w:val="decimal"/>
      <w:lvlText w:val="%1."/>
      <w:lvlJc w:val="left"/>
      <w:pPr>
        <w:ind w:left="1080" w:hanging="360"/>
      </w:pPr>
      <w:rPr>
        <w:b w:val="0"/>
        <w:i w:val="0"/>
      </w:rPr>
    </w:lvl>
    <w:lvl w:ilvl="1">
      <w:start w:val="1"/>
      <w:numFmt w:val="bullet"/>
      <w:lvlText w:val=""/>
      <w:lvlJc w:val="left"/>
      <w:pPr>
        <w:ind w:left="1440" w:hanging="360"/>
      </w:pPr>
      <w:rPr>
        <w:rFonts w:ascii="Symbol" w:hAnsi="Symbol" w:hint="default"/>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8561BE4"/>
    <w:multiLevelType w:val="multilevel"/>
    <w:tmpl w:val="3B244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936001"/>
    <w:multiLevelType w:val="hybridMultilevel"/>
    <w:tmpl w:val="26D4D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FC38C8"/>
    <w:multiLevelType w:val="hybridMultilevel"/>
    <w:tmpl w:val="E340B5EC"/>
    <w:lvl w:ilvl="0" w:tplc="CE38B0C6">
      <w:start w:val="1"/>
      <w:numFmt w:val="decimal"/>
      <w:lvlText w:val="%1."/>
      <w:lvlJc w:val="left"/>
      <w:pPr>
        <w:ind w:left="720" w:hanging="360"/>
      </w:pPr>
    </w:lvl>
    <w:lvl w:ilvl="1" w:tplc="4ECEAB08">
      <w:start w:val="1"/>
      <w:numFmt w:val="lowerLetter"/>
      <w:lvlText w:val="%2."/>
      <w:lvlJc w:val="left"/>
      <w:pPr>
        <w:ind w:left="1440" w:hanging="360"/>
      </w:pPr>
    </w:lvl>
    <w:lvl w:ilvl="2" w:tplc="EBB86F3A">
      <w:start w:val="1"/>
      <w:numFmt w:val="lowerRoman"/>
      <w:lvlText w:val="%3."/>
      <w:lvlJc w:val="right"/>
      <w:pPr>
        <w:ind w:left="2160" w:hanging="180"/>
      </w:pPr>
    </w:lvl>
    <w:lvl w:ilvl="3" w:tplc="7DC22396">
      <w:start w:val="1"/>
      <w:numFmt w:val="decimal"/>
      <w:lvlText w:val="%4."/>
      <w:lvlJc w:val="left"/>
      <w:pPr>
        <w:ind w:left="2880" w:hanging="360"/>
      </w:pPr>
    </w:lvl>
    <w:lvl w:ilvl="4" w:tplc="B170C89A">
      <w:start w:val="1"/>
      <w:numFmt w:val="lowerLetter"/>
      <w:lvlText w:val="%5."/>
      <w:lvlJc w:val="left"/>
      <w:pPr>
        <w:ind w:left="3600" w:hanging="360"/>
      </w:pPr>
    </w:lvl>
    <w:lvl w:ilvl="5" w:tplc="3ABA42A6">
      <w:start w:val="1"/>
      <w:numFmt w:val="lowerRoman"/>
      <w:lvlText w:val="%6."/>
      <w:lvlJc w:val="right"/>
      <w:pPr>
        <w:ind w:left="4320" w:hanging="180"/>
      </w:pPr>
    </w:lvl>
    <w:lvl w:ilvl="6" w:tplc="629C5930">
      <w:start w:val="1"/>
      <w:numFmt w:val="decimal"/>
      <w:lvlText w:val="%7."/>
      <w:lvlJc w:val="left"/>
      <w:pPr>
        <w:ind w:left="5040" w:hanging="360"/>
      </w:pPr>
    </w:lvl>
    <w:lvl w:ilvl="7" w:tplc="E5440AB6">
      <w:start w:val="1"/>
      <w:numFmt w:val="lowerLetter"/>
      <w:lvlText w:val="%8."/>
      <w:lvlJc w:val="left"/>
      <w:pPr>
        <w:ind w:left="5760" w:hanging="360"/>
      </w:pPr>
    </w:lvl>
    <w:lvl w:ilvl="8" w:tplc="645CB138">
      <w:start w:val="1"/>
      <w:numFmt w:val="lowerRoman"/>
      <w:lvlText w:val="%9."/>
      <w:lvlJc w:val="right"/>
      <w:pPr>
        <w:ind w:left="6480" w:hanging="180"/>
      </w:pPr>
    </w:lvl>
  </w:abstractNum>
  <w:abstractNum w:abstractNumId="16" w15:restartNumberingAfterBreak="0">
    <w:nsid w:val="7564445E"/>
    <w:multiLevelType w:val="hybridMultilevel"/>
    <w:tmpl w:val="4D96E16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C55C9E"/>
    <w:multiLevelType w:val="hybridMultilevel"/>
    <w:tmpl w:val="E808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5435">
    <w:abstractNumId w:val="11"/>
  </w:num>
  <w:num w:numId="2" w16cid:durableId="1840386424">
    <w:abstractNumId w:val="15"/>
  </w:num>
  <w:num w:numId="3" w16cid:durableId="1722288141">
    <w:abstractNumId w:val="3"/>
  </w:num>
  <w:num w:numId="4" w16cid:durableId="1822040250">
    <w:abstractNumId w:val="8"/>
  </w:num>
  <w:num w:numId="5" w16cid:durableId="1528135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816737">
    <w:abstractNumId w:val="2"/>
  </w:num>
  <w:num w:numId="7" w16cid:durableId="16173267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4337568">
    <w:abstractNumId w:val="5"/>
  </w:num>
  <w:num w:numId="10" w16cid:durableId="301693617">
    <w:abstractNumId w:val="0"/>
  </w:num>
  <w:num w:numId="11" w16cid:durableId="1862548156">
    <w:abstractNumId w:val="17"/>
  </w:num>
  <w:num w:numId="12" w16cid:durableId="1763454803">
    <w:abstractNumId w:val="6"/>
  </w:num>
  <w:num w:numId="13" w16cid:durableId="1379158843">
    <w:abstractNumId w:val="10"/>
  </w:num>
  <w:num w:numId="14" w16cid:durableId="1006205520">
    <w:abstractNumId w:val="12"/>
  </w:num>
  <w:num w:numId="15" w16cid:durableId="189997546">
    <w:abstractNumId w:val="4"/>
  </w:num>
  <w:num w:numId="16" w16cid:durableId="2106225098">
    <w:abstractNumId w:val="9"/>
  </w:num>
  <w:num w:numId="17" w16cid:durableId="385421923">
    <w:abstractNumId w:val="16"/>
  </w:num>
  <w:num w:numId="18" w16cid:durableId="1169254604">
    <w:abstractNumId w:val="14"/>
  </w:num>
  <w:num w:numId="19" w16cid:durableId="1551186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2F"/>
    <w:rsid w:val="00000C78"/>
    <w:rsid w:val="00003CAB"/>
    <w:rsid w:val="0000514E"/>
    <w:rsid w:val="00006AF4"/>
    <w:rsid w:val="00007044"/>
    <w:rsid w:val="00012EC5"/>
    <w:rsid w:val="0001332E"/>
    <w:rsid w:val="000136BB"/>
    <w:rsid w:val="000144A2"/>
    <w:rsid w:val="000219DD"/>
    <w:rsid w:val="00026483"/>
    <w:rsid w:val="00027976"/>
    <w:rsid w:val="000332A7"/>
    <w:rsid w:val="00033E02"/>
    <w:rsid w:val="00036DBC"/>
    <w:rsid w:val="00041C7D"/>
    <w:rsid w:val="00044E7A"/>
    <w:rsid w:val="0004541F"/>
    <w:rsid w:val="00051446"/>
    <w:rsid w:val="00055783"/>
    <w:rsid w:val="00057717"/>
    <w:rsid w:val="000579B4"/>
    <w:rsid w:val="00062485"/>
    <w:rsid w:val="00063843"/>
    <w:rsid w:val="00070D70"/>
    <w:rsid w:val="000715CF"/>
    <w:rsid w:val="00072A3F"/>
    <w:rsid w:val="00073507"/>
    <w:rsid w:val="00073E28"/>
    <w:rsid w:val="00074EBF"/>
    <w:rsid w:val="000777D4"/>
    <w:rsid w:val="00080C74"/>
    <w:rsid w:val="000820C1"/>
    <w:rsid w:val="00084CBE"/>
    <w:rsid w:val="00091DBA"/>
    <w:rsid w:val="00094A06"/>
    <w:rsid w:val="000A1E4A"/>
    <w:rsid w:val="000B0751"/>
    <w:rsid w:val="000B1734"/>
    <w:rsid w:val="000B33B5"/>
    <w:rsid w:val="000B6BDC"/>
    <w:rsid w:val="000B7012"/>
    <w:rsid w:val="000C4C1A"/>
    <w:rsid w:val="000D1526"/>
    <w:rsid w:val="000D1D10"/>
    <w:rsid w:val="000D2CF7"/>
    <w:rsid w:val="000D750E"/>
    <w:rsid w:val="000E000D"/>
    <w:rsid w:val="000E7255"/>
    <w:rsid w:val="000F1A4B"/>
    <w:rsid w:val="000F34B7"/>
    <w:rsid w:val="000F57A3"/>
    <w:rsid w:val="001004EE"/>
    <w:rsid w:val="00105873"/>
    <w:rsid w:val="00105EDB"/>
    <w:rsid w:val="00111CD6"/>
    <w:rsid w:val="00113DD4"/>
    <w:rsid w:val="00114822"/>
    <w:rsid w:val="00126FFB"/>
    <w:rsid w:val="00127E2F"/>
    <w:rsid w:val="00130C3F"/>
    <w:rsid w:val="00130DCE"/>
    <w:rsid w:val="00131B61"/>
    <w:rsid w:val="00134C71"/>
    <w:rsid w:val="00140643"/>
    <w:rsid w:val="00141D81"/>
    <w:rsid w:val="001433B3"/>
    <w:rsid w:val="00151B0A"/>
    <w:rsid w:val="00153B52"/>
    <w:rsid w:val="00157728"/>
    <w:rsid w:val="00161DD7"/>
    <w:rsid w:val="0016258C"/>
    <w:rsid w:val="00167FD1"/>
    <w:rsid w:val="00170618"/>
    <w:rsid w:val="001713F6"/>
    <w:rsid w:val="00171EC7"/>
    <w:rsid w:val="00171EE2"/>
    <w:rsid w:val="00171EED"/>
    <w:rsid w:val="00174EBA"/>
    <w:rsid w:val="0017737F"/>
    <w:rsid w:val="0017795B"/>
    <w:rsid w:val="00181AD5"/>
    <w:rsid w:val="001823E7"/>
    <w:rsid w:val="00186DEC"/>
    <w:rsid w:val="00187DDF"/>
    <w:rsid w:val="00187F07"/>
    <w:rsid w:val="00190D4F"/>
    <w:rsid w:val="001958EF"/>
    <w:rsid w:val="00196339"/>
    <w:rsid w:val="001973A2"/>
    <w:rsid w:val="001A1DCF"/>
    <w:rsid w:val="001A640F"/>
    <w:rsid w:val="001A7B3C"/>
    <w:rsid w:val="001B2127"/>
    <w:rsid w:val="001B322F"/>
    <w:rsid w:val="001B41E7"/>
    <w:rsid w:val="001C3434"/>
    <w:rsid w:val="001C592F"/>
    <w:rsid w:val="001C79E0"/>
    <w:rsid w:val="001D585C"/>
    <w:rsid w:val="001D69E4"/>
    <w:rsid w:val="001E1B8F"/>
    <w:rsid w:val="001F07BC"/>
    <w:rsid w:val="001F21EE"/>
    <w:rsid w:val="001F51D0"/>
    <w:rsid w:val="001F685C"/>
    <w:rsid w:val="001F6B93"/>
    <w:rsid w:val="001F7640"/>
    <w:rsid w:val="002008EE"/>
    <w:rsid w:val="00203F33"/>
    <w:rsid w:val="00204970"/>
    <w:rsid w:val="00210E72"/>
    <w:rsid w:val="002112A8"/>
    <w:rsid w:val="00215FDE"/>
    <w:rsid w:val="00221C87"/>
    <w:rsid w:val="00224BD6"/>
    <w:rsid w:val="0023151E"/>
    <w:rsid w:val="00231EE0"/>
    <w:rsid w:val="002349C2"/>
    <w:rsid w:val="00235249"/>
    <w:rsid w:val="002416CB"/>
    <w:rsid w:val="00242A8B"/>
    <w:rsid w:val="0024632A"/>
    <w:rsid w:val="00247FBB"/>
    <w:rsid w:val="00254434"/>
    <w:rsid w:val="0026602B"/>
    <w:rsid w:val="00266093"/>
    <w:rsid w:val="00267317"/>
    <w:rsid w:val="002701DE"/>
    <w:rsid w:val="00272D7A"/>
    <w:rsid w:val="002758D5"/>
    <w:rsid w:val="00276D99"/>
    <w:rsid w:val="00277DF1"/>
    <w:rsid w:val="00286F79"/>
    <w:rsid w:val="002900E3"/>
    <w:rsid w:val="002A1804"/>
    <w:rsid w:val="002A6834"/>
    <w:rsid w:val="002A7F25"/>
    <w:rsid w:val="002B0ECB"/>
    <w:rsid w:val="002B1A23"/>
    <w:rsid w:val="002B1D3B"/>
    <w:rsid w:val="002B2ED6"/>
    <w:rsid w:val="002B30AB"/>
    <w:rsid w:val="002B454B"/>
    <w:rsid w:val="002B5820"/>
    <w:rsid w:val="002B72B2"/>
    <w:rsid w:val="002C10EE"/>
    <w:rsid w:val="002C4EEB"/>
    <w:rsid w:val="002C6376"/>
    <w:rsid w:val="002C6995"/>
    <w:rsid w:val="002C7CFB"/>
    <w:rsid w:val="002D2D16"/>
    <w:rsid w:val="002E17E0"/>
    <w:rsid w:val="002E1E3D"/>
    <w:rsid w:val="002E22E1"/>
    <w:rsid w:val="002E5EDC"/>
    <w:rsid w:val="002E6B2F"/>
    <w:rsid w:val="002E6F6D"/>
    <w:rsid w:val="002F2ADF"/>
    <w:rsid w:val="002F37AA"/>
    <w:rsid w:val="002F3917"/>
    <w:rsid w:val="002F4244"/>
    <w:rsid w:val="002F5582"/>
    <w:rsid w:val="002F64F9"/>
    <w:rsid w:val="002F71B6"/>
    <w:rsid w:val="00305F06"/>
    <w:rsid w:val="003078F5"/>
    <w:rsid w:val="00312E68"/>
    <w:rsid w:val="00312FD5"/>
    <w:rsid w:val="00320494"/>
    <w:rsid w:val="00322A8B"/>
    <w:rsid w:val="0032656F"/>
    <w:rsid w:val="0032783D"/>
    <w:rsid w:val="00340336"/>
    <w:rsid w:val="00341B22"/>
    <w:rsid w:val="003429C6"/>
    <w:rsid w:val="003504B4"/>
    <w:rsid w:val="00354ED3"/>
    <w:rsid w:val="00362FB1"/>
    <w:rsid w:val="00363C07"/>
    <w:rsid w:val="00365C07"/>
    <w:rsid w:val="00366255"/>
    <w:rsid w:val="0037076B"/>
    <w:rsid w:val="00377D17"/>
    <w:rsid w:val="00381A13"/>
    <w:rsid w:val="00382164"/>
    <w:rsid w:val="003841AB"/>
    <w:rsid w:val="00384970"/>
    <w:rsid w:val="00384C9F"/>
    <w:rsid w:val="00394C16"/>
    <w:rsid w:val="003953FB"/>
    <w:rsid w:val="00395493"/>
    <w:rsid w:val="00397A7E"/>
    <w:rsid w:val="003A185D"/>
    <w:rsid w:val="003A30E2"/>
    <w:rsid w:val="003A3539"/>
    <w:rsid w:val="003A3881"/>
    <w:rsid w:val="003A48AB"/>
    <w:rsid w:val="003B2B2C"/>
    <w:rsid w:val="003C0B73"/>
    <w:rsid w:val="003C136E"/>
    <w:rsid w:val="003C29C0"/>
    <w:rsid w:val="003C2AEF"/>
    <w:rsid w:val="003D02D0"/>
    <w:rsid w:val="003D0D51"/>
    <w:rsid w:val="003D16BD"/>
    <w:rsid w:val="003D729F"/>
    <w:rsid w:val="003E0A2E"/>
    <w:rsid w:val="003E182D"/>
    <w:rsid w:val="003E654B"/>
    <w:rsid w:val="003E71A2"/>
    <w:rsid w:val="003F49AE"/>
    <w:rsid w:val="003F5089"/>
    <w:rsid w:val="003F59CF"/>
    <w:rsid w:val="003F7C2A"/>
    <w:rsid w:val="004000CF"/>
    <w:rsid w:val="0040098B"/>
    <w:rsid w:val="00401B74"/>
    <w:rsid w:val="00404C0B"/>
    <w:rsid w:val="00412918"/>
    <w:rsid w:val="004159F5"/>
    <w:rsid w:val="00422E4E"/>
    <w:rsid w:val="00427BBD"/>
    <w:rsid w:val="004314E9"/>
    <w:rsid w:val="00431DFA"/>
    <w:rsid w:val="0043512E"/>
    <w:rsid w:val="0044242E"/>
    <w:rsid w:val="00444EDA"/>
    <w:rsid w:val="00447E3B"/>
    <w:rsid w:val="00452621"/>
    <w:rsid w:val="00453B92"/>
    <w:rsid w:val="00460F38"/>
    <w:rsid w:val="00465748"/>
    <w:rsid w:val="004659B5"/>
    <w:rsid w:val="00465B97"/>
    <w:rsid w:val="004673D7"/>
    <w:rsid w:val="00472D2F"/>
    <w:rsid w:val="00480BDA"/>
    <w:rsid w:val="004840EB"/>
    <w:rsid w:val="00486606"/>
    <w:rsid w:val="0048797C"/>
    <w:rsid w:val="004960E8"/>
    <w:rsid w:val="004A30BF"/>
    <w:rsid w:val="004A6F27"/>
    <w:rsid w:val="004A7834"/>
    <w:rsid w:val="004B0A70"/>
    <w:rsid w:val="004B1045"/>
    <w:rsid w:val="004B3A8E"/>
    <w:rsid w:val="004D134C"/>
    <w:rsid w:val="004E1E2C"/>
    <w:rsid w:val="004E4D99"/>
    <w:rsid w:val="004E556A"/>
    <w:rsid w:val="004F2EC6"/>
    <w:rsid w:val="004F59BF"/>
    <w:rsid w:val="005000EB"/>
    <w:rsid w:val="00506BA5"/>
    <w:rsid w:val="00506C78"/>
    <w:rsid w:val="0050778A"/>
    <w:rsid w:val="00507AC7"/>
    <w:rsid w:val="00507E4E"/>
    <w:rsid w:val="005108DA"/>
    <w:rsid w:val="00510A8D"/>
    <w:rsid w:val="00511B00"/>
    <w:rsid w:val="00512A37"/>
    <w:rsid w:val="00513339"/>
    <w:rsid w:val="00514F82"/>
    <w:rsid w:val="00520356"/>
    <w:rsid w:val="0052445A"/>
    <w:rsid w:val="00532493"/>
    <w:rsid w:val="0053577E"/>
    <w:rsid w:val="0053700D"/>
    <w:rsid w:val="0054055F"/>
    <w:rsid w:val="00541D8A"/>
    <w:rsid w:val="00544DDB"/>
    <w:rsid w:val="00545B8B"/>
    <w:rsid w:val="00546A9D"/>
    <w:rsid w:val="005545E5"/>
    <w:rsid w:val="0055703F"/>
    <w:rsid w:val="00560B04"/>
    <w:rsid w:val="00561D65"/>
    <w:rsid w:val="0056449A"/>
    <w:rsid w:val="00564841"/>
    <w:rsid w:val="00564F89"/>
    <w:rsid w:val="00565970"/>
    <w:rsid w:val="00575C73"/>
    <w:rsid w:val="0058394E"/>
    <w:rsid w:val="005872FB"/>
    <w:rsid w:val="0058780B"/>
    <w:rsid w:val="00590676"/>
    <w:rsid w:val="00590C1A"/>
    <w:rsid w:val="005932FF"/>
    <w:rsid w:val="00593C49"/>
    <w:rsid w:val="005968BF"/>
    <w:rsid w:val="005972F5"/>
    <w:rsid w:val="00597BF2"/>
    <w:rsid w:val="005A66DE"/>
    <w:rsid w:val="005A733A"/>
    <w:rsid w:val="005A7BAA"/>
    <w:rsid w:val="005B0091"/>
    <w:rsid w:val="005B1C25"/>
    <w:rsid w:val="005B2F16"/>
    <w:rsid w:val="005B3138"/>
    <w:rsid w:val="005B3AD6"/>
    <w:rsid w:val="005B5294"/>
    <w:rsid w:val="005B7C36"/>
    <w:rsid w:val="005D0C0A"/>
    <w:rsid w:val="005D2316"/>
    <w:rsid w:val="005D5E93"/>
    <w:rsid w:val="005D612C"/>
    <w:rsid w:val="005D698A"/>
    <w:rsid w:val="005E0671"/>
    <w:rsid w:val="005E0C6B"/>
    <w:rsid w:val="005E1351"/>
    <w:rsid w:val="005F078C"/>
    <w:rsid w:val="005F1A91"/>
    <w:rsid w:val="005F2A6E"/>
    <w:rsid w:val="0060346D"/>
    <w:rsid w:val="0060449D"/>
    <w:rsid w:val="00604D11"/>
    <w:rsid w:val="00605C67"/>
    <w:rsid w:val="00606E38"/>
    <w:rsid w:val="00611347"/>
    <w:rsid w:val="006113B8"/>
    <w:rsid w:val="00614605"/>
    <w:rsid w:val="006150FB"/>
    <w:rsid w:val="00616005"/>
    <w:rsid w:val="00621D64"/>
    <w:rsid w:val="00626DE4"/>
    <w:rsid w:val="0063762E"/>
    <w:rsid w:val="00642660"/>
    <w:rsid w:val="00645B60"/>
    <w:rsid w:val="00646AEB"/>
    <w:rsid w:val="006512E1"/>
    <w:rsid w:val="00654806"/>
    <w:rsid w:val="006618E8"/>
    <w:rsid w:val="006628F3"/>
    <w:rsid w:val="00662DE6"/>
    <w:rsid w:val="00666B3C"/>
    <w:rsid w:val="00676BB5"/>
    <w:rsid w:val="00684954"/>
    <w:rsid w:val="0068634A"/>
    <w:rsid w:val="00691F0A"/>
    <w:rsid w:val="0069306C"/>
    <w:rsid w:val="00696608"/>
    <w:rsid w:val="006A46CA"/>
    <w:rsid w:val="006B200B"/>
    <w:rsid w:val="006B2336"/>
    <w:rsid w:val="006B7A3C"/>
    <w:rsid w:val="006C1441"/>
    <w:rsid w:val="006C263B"/>
    <w:rsid w:val="006C57F5"/>
    <w:rsid w:val="006C6101"/>
    <w:rsid w:val="006E0394"/>
    <w:rsid w:val="006E0BF0"/>
    <w:rsid w:val="006E5F91"/>
    <w:rsid w:val="006E7164"/>
    <w:rsid w:val="006F050C"/>
    <w:rsid w:val="006F4658"/>
    <w:rsid w:val="00700153"/>
    <w:rsid w:val="00703F84"/>
    <w:rsid w:val="00704C70"/>
    <w:rsid w:val="007077EE"/>
    <w:rsid w:val="0071234D"/>
    <w:rsid w:val="0071397D"/>
    <w:rsid w:val="00715AF8"/>
    <w:rsid w:val="007160BC"/>
    <w:rsid w:val="00720CE6"/>
    <w:rsid w:val="007229CA"/>
    <w:rsid w:val="00723E6A"/>
    <w:rsid w:val="00726D8C"/>
    <w:rsid w:val="00732EB9"/>
    <w:rsid w:val="007339DF"/>
    <w:rsid w:val="00735397"/>
    <w:rsid w:val="00740224"/>
    <w:rsid w:val="00741986"/>
    <w:rsid w:val="0074549C"/>
    <w:rsid w:val="00745AD7"/>
    <w:rsid w:val="00747A42"/>
    <w:rsid w:val="00750E5F"/>
    <w:rsid w:val="00752049"/>
    <w:rsid w:val="00752A33"/>
    <w:rsid w:val="0075584E"/>
    <w:rsid w:val="00757AC3"/>
    <w:rsid w:val="007657FB"/>
    <w:rsid w:val="00766B86"/>
    <w:rsid w:val="00767D88"/>
    <w:rsid w:val="00770C08"/>
    <w:rsid w:val="00773568"/>
    <w:rsid w:val="00775387"/>
    <w:rsid w:val="00785D5C"/>
    <w:rsid w:val="00787E5B"/>
    <w:rsid w:val="00787FD2"/>
    <w:rsid w:val="00793A02"/>
    <w:rsid w:val="00795C95"/>
    <w:rsid w:val="00796F13"/>
    <w:rsid w:val="00797497"/>
    <w:rsid w:val="0079A07B"/>
    <w:rsid w:val="007A33EA"/>
    <w:rsid w:val="007A4CD3"/>
    <w:rsid w:val="007A6C28"/>
    <w:rsid w:val="007A7F87"/>
    <w:rsid w:val="007B0BEB"/>
    <w:rsid w:val="007B50EA"/>
    <w:rsid w:val="007C264B"/>
    <w:rsid w:val="007C3FDD"/>
    <w:rsid w:val="007E03B7"/>
    <w:rsid w:val="007F11FE"/>
    <w:rsid w:val="007F600C"/>
    <w:rsid w:val="00800DFD"/>
    <w:rsid w:val="0080262F"/>
    <w:rsid w:val="00803FB9"/>
    <w:rsid w:val="00804820"/>
    <w:rsid w:val="0080609A"/>
    <w:rsid w:val="00806969"/>
    <w:rsid w:val="00812BAE"/>
    <w:rsid w:val="008179E6"/>
    <w:rsid w:val="00817AA9"/>
    <w:rsid w:val="00817F5F"/>
    <w:rsid w:val="00820E18"/>
    <w:rsid w:val="00824273"/>
    <w:rsid w:val="00824B28"/>
    <w:rsid w:val="008273A3"/>
    <w:rsid w:val="00827DF4"/>
    <w:rsid w:val="008334FA"/>
    <w:rsid w:val="00837531"/>
    <w:rsid w:val="008407D6"/>
    <w:rsid w:val="0084721C"/>
    <w:rsid w:val="0085357F"/>
    <w:rsid w:val="00853A33"/>
    <w:rsid w:val="00860AD2"/>
    <w:rsid w:val="00864CFC"/>
    <w:rsid w:val="00865BB3"/>
    <w:rsid w:val="008670B0"/>
    <w:rsid w:val="008724A7"/>
    <w:rsid w:val="00872F31"/>
    <w:rsid w:val="00873481"/>
    <w:rsid w:val="008755E3"/>
    <w:rsid w:val="00880584"/>
    <w:rsid w:val="00880743"/>
    <w:rsid w:val="0088189B"/>
    <w:rsid w:val="008901AE"/>
    <w:rsid w:val="008944A0"/>
    <w:rsid w:val="00895B5C"/>
    <w:rsid w:val="00895EE4"/>
    <w:rsid w:val="00896A5F"/>
    <w:rsid w:val="008A1EEE"/>
    <w:rsid w:val="008A218A"/>
    <w:rsid w:val="008A2348"/>
    <w:rsid w:val="008B1BAB"/>
    <w:rsid w:val="008B200C"/>
    <w:rsid w:val="008B2B81"/>
    <w:rsid w:val="008B3823"/>
    <w:rsid w:val="008C2E45"/>
    <w:rsid w:val="008C45B5"/>
    <w:rsid w:val="008C6682"/>
    <w:rsid w:val="008D146E"/>
    <w:rsid w:val="008D55DF"/>
    <w:rsid w:val="008D5D3A"/>
    <w:rsid w:val="008E0663"/>
    <w:rsid w:val="008E1CB6"/>
    <w:rsid w:val="008F15D6"/>
    <w:rsid w:val="008F1AFE"/>
    <w:rsid w:val="008F3132"/>
    <w:rsid w:val="008F41F9"/>
    <w:rsid w:val="008F56C4"/>
    <w:rsid w:val="008F6A56"/>
    <w:rsid w:val="00904361"/>
    <w:rsid w:val="009113F4"/>
    <w:rsid w:val="009151BB"/>
    <w:rsid w:val="00920C42"/>
    <w:rsid w:val="009210BC"/>
    <w:rsid w:val="009247E6"/>
    <w:rsid w:val="00925ECF"/>
    <w:rsid w:val="00930AE4"/>
    <w:rsid w:val="00932C2C"/>
    <w:rsid w:val="00933736"/>
    <w:rsid w:val="009369DB"/>
    <w:rsid w:val="00940D1F"/>
    <w:rsid w:val="00955A33"/>
    <w:rsid w:val="00956627"/>
    <w:rsid w:val="0096316A"/>
    <w:rsid w:val="0097234F"/>
    <w:rsid w:val="00975842"/>
    <w:rsid w:val="00977EF1"/>
    <w:rsid w:val="00981EC1"/>
    <w:rsid w:val="00983C55"/>
    <w:rsid w:val="00984BCF"/>
    <w:rsid w:val="009A74D3"/>
    <w:rsid w:val="009B1125"/>
    <w:rsid w:val="009B6BD0"/>
    <w:rsid w:val="009C6521"/>
    <w:rsid w:val="009C673C"/>
    <w:rsid w:val="009C6790"/>
    <w:rsid w:val="009D0164"/>
    <w:rsid w:val="009D1F6F"/>
    <w:rsid w:val="009D3FF9"/>
    <w:rsid w:val="009D7651"/>
    <w:rsid w:val="009E0880"/>
    <w:rsid w:val="009E0A7C"/>
    <w:rsid w:val="009E28A9"/>
    <w:rsid w:val="009E450B"/>
    <w:rsid w:val="009F19DD"/>
    <w:rsid w:val="009F2F6C"/>
    <w:rsid w:val="009F4280"/>
    <w:rsid w:val="009F4721"/>
    <w:rsid w:val="00A01235"/>
    <w:rsid w:val="00A02C62"/>
    <w:rsid w:val="00A05EDB"/>
    <w:rsid w:val="00A07503"/>
    <w:rsid w:val="00A1007D"/>
    <w:rsid w:val="00A10D13"/>
    <w:rsid w:val="00A12112"/>
    <w:rsid w:val="00A12A80"/>
    <w:rsid w:val="00A15142"/>
    <w:rsid w:val="00A1736D"/>
    <w:rsid w:val="00A22647"/>
    <w:rsid w:val="00A27228"/>
    <w:rsid w:val="00A27872"/>
    <w:rsid w:val="00A312A0"/>
    <w:rsid w:val="00A31647"/>
    <w:rsid w:val="00A32BCB"/>
    <w:rsid w:val="00A35DE3"/>
    <w:rsid w:val="00A41F62"/>
    <w:rsid w:val="00A42592"/>
    <w:rsid w:val="00A44DD4"/>
    <w:rsid w:val="00A44ED7"/>
    <w:rsid w:val="00A450F1"/>
    <w:rsid w:val="00A51B1F"/>
    <w:rsid w:val="00A522E0"/>
    <w:rsid w:val="00A52652"/>
    <w:rsid w:val="00A52FB6"/>
    <w:rsid w:val="00A54E56"/>
    <w:rsid w:val="00A60B8B"/>
    <w:rsid w:val="00A62F65"/>
    <w:rsid w:val="00A6329B"/>
    <w:rsid w:val="00A656ED"/>
    <w:rsid w:val="00A66E66"/>
    <w:rsid w:val="00A71022"/>
    <w:rsid w:val="00A73522"/>
    <w:rsid w:val="00A80241"/>
    <w:rsid w:val="00A8284A"/>
    <w:rsid w:val="00A8290A"/>
    <w:rsid w:val="00A84A94"/>
    <w:rsid w:val="00A8722A"/>
    <w:rsid w:val="00A87920"/>
    <w:rsid w:val="00A90D14"/>
    <w:rsid w:val="00A91747"/>
    <w:rsid w:val="00A918A5"/>
    <w:rsid w:val="00A91F07"/>
    <w:rsid w:val="00A96B56"/>
    <w:rsid w:val="00A96C2B"/>
    <w:rsid w:val="00AA5A2C"/>
    <w:rsid w:val="00AA5E1B"/>
    <w:rsid w:val="00AB04B3"/>
    <w:rsid w:val="00AB4614"/>
    <w:rsid w:val="00AB5867"/>
    <w:rsid w:val="00AB6304"/>
    <w:rsid w:val="00AC1318"/>
    <w:rsid w:val="00AC183D"/>
    <w:rsid w:val="00AC6EC7"/>
    <w:rsid w:val="00AD13BC"/>
    <w:rsid w:val="00AD29A8"/>
    <w:rsid w:val="00AE4086"/>
    <w:rsid w:val="00AE4EA3"/>
    <w:rsid w:val="00AE6451"/>
    <w:rsid w:val="00AE7BA2"/>
    <w:rsid w:val="00AF7990"/>
    <w:rsid w:val="00AF7C35"/>
    <w:rsid w:val="00B03C1C"/>
    <w:rsid w:val="00B06DAC"/>
    <w:rsid w:val="00B119D8"/>
    <w:rsid w:val="00B1333A"/>
    <w:rsid w:val="00B13AFC"/>
    <w:rsid w:val="00B150FD"/>
    <w:rsid w:val="00B20644"/>
    <w:rsid w:val="00B21F32"/>
    <w:rsid w:val="00B263B1"/>
    <w:rsid w:val="00B30611"/>
    <w:rsid w:val="00B30B13"/>
    <w:rsid w:val="00B33214"/>
    <w:rsid w:val="00B370CB"/>
    <w:rsid w:val="00B4351B"/>
    <w:rsid w:val="00B57951"/>
    <w:rsid w:val="00B613F8"/>
    <w:rsid w:val="00B6375D"/>
    <w:rsid w:val="00B63D4D"/>
    <w:rsid w:val="00B6523C"/>
    <w:rsid w:val="00B70A08"/>
    <w:rsid w:val="00B71A4A"/>
    <w:rsid w:val="00B7274F"/>
    <w:rsid w:val="00B72A76"/>
    <w:rsid w:val="00B75366"/>
    <w:rsid w:val="00B75565"/>
    <w:rsid w:val="00B8021F"/>
    <w:rsid w:val="00B82A13"/>
    <w:rsid w:val="00B8601B"/>
    <w:rsid w:val="00B93107"/>
    <w:rsid w:val="00BA0F53"/>
    <w:rsid w:val="00BA3084"/>
    <w:rsid w:val="00BB297D"/>
    <w:rsid w:val="00BB2F02"/>
    <w:rsid w:val="00BB3AEC"/>
    <w:rsid w:val="00BB4A6C"/>
    <w:rsid w:val="00BC54DB"/>
    <w:rsid w:val="00BC5913"/>
    <w:rsid w:val="00BC62E6"/>
    <w:rsid w:val="00BC7EAD"/>
    <w:rsid w:val="00BD01E5"/>
    <w:rsid w:val="00BD1AC1"/>
    <w:rsid w:val="00BD28CA"/>
    <w:rsid w:val="00BD38FD"/>
    <w:rsid w:val="00BE40FC"/>
    <w:rsid w:val="00BF0BF2"/>
    <w:rsid w:val="00BF4611"/>
    <w:rsid w:val="00BF684E"/>
    <w:rsid w:val="00BF6B76"/>
    <w:rsid w:val="00BF7A43"/>
    <w:rsid w:val="00C02F7B"/>
    <w:rsid w:val="00C110B4"/>
    <w:rsid w:val="00C14D24"/>
    <w:rsid w:val="00C210C8"/>
    <w:rsid w:val="00C21B95"/>
    <w:rsid w:val="00C24B3C"/>
    <w:rsid w:val="00C257AD"/>
    <w:rsid w:val="00C2585E"/>
    <w:rsid w:val="00C32E2F"/>
    <w:rsid w:val="00C37AA3"/>
    <w:rsid w:val="00C37D76"/>
    <w:rsid w:val="00C40347"/>
    <w:rsid w:val="00C424FA"/>
    <w:rsid w:val="00C47F54"/>
    <w:rsid w:val="00C55A6C"/>
    <w:rsid w:val="00C629CA"/>
    <w:rsid w:val="00C634F3"/>
    <w:rsid w:val="00C6676A"/>
    <w:rsid w:val="00C67A7B"/>
    <w:rsid w:val="00C74090"/>
    <w:rsid w:val="00C77671"/>
    <w:rsid w:val="00C827BC"/>
    <w:rsid w:val="00C8333D"/>
    <w:rsid w:val="00C87D79"/>
    <w:rsid w:val="00C91562"/>
    <w:rsid w:val="00C9643A"/>
    <w:rsid w:val="00CA5F5E"/>
    <w:rsid w:val="00CA7FA4"/>
    <w:rsid w:val="00CB4D6F"/>
    <w:rsid w:val="00CC0B06"/>
    <w:rsid w:val="00CC2684"/>
    <w:rsid w:val="00CC3FC6"/>
    <w:rsid w:val="00CC47C0"/>
    <w:rsid w:val="00CC6671"/>
    <w:rsid w:val="00CC7D79"/>
    <w:rsid w:val="00CD1670"/>
    <w:rsid w:val="00CD181D"/>
    <w:rsid w:val="00CD47FB"/>
    <w:rsid w:val="00CD529A"/>
    <w:rsid w:val="00CE058C"/>
    <w:rsid w:val="00CE3A32"/>
    <w:rsid w:val="00CE6A1A"/>
    <w:rsid w:val="00CF1DA3"/>
    <w:rsid w:val="00CF2E59"/>
    <w:rsid w:val="00D058C5"/>
    <w:rsid w:val="00D14365"/>
    <w:rsid w:val="00D2354D"/>
    <w:rsid w:val="00D23FEE"/>
    <w:rsid w:val="00D24BDC"/>
    <w:rsid w:val="00D25474"/>
    <w:rsid w:val="00D31F19"/>
    <w:rsid w:val="00D33A4A"/>
    <w:rsid w:val="00D369E9"/>
    <w:rsid w:val="00D449B6"/>
    <w:rsid w:val="00D47BA9"/>
    <w:rsid w:val="00D53291"/>
    <w:rsid w:val="00D558D7"/>
    <w:rsid w:val="00D564A3"/>
    <w:rsid w:val="00D56655"/>
    <w:rsid w:val="00D56E75"/>
    <w:rsid w:val="00D57AEF"/>
    <w:rsid w:val="00D63E00"/>
    <w:rsid w:val="00D64C54"/>
    <w:rsid w:val="00D6506A"/>
    <w:rsid w:val="00D70592"/>
    <w:rsid w:val="00D70B4C"/>
    <w:rsid w:val="00D718D4"/>
    <w:rsid w:val="00D72378"/>
    <w:rsid w:val="00D74C44"/>
    <w:rsid w:val="00D80453"/>
    <w:rsid w:val="00D8158C"/>
    <w:rsid w:val="00D824BA"/>
    <w:rsid w:val="00D83313"/>
    <w:rsid w:val="00D85590"/>
    <w:rsid w:val="00D92563"/>
    <w:rsid w:val="00D93219"/>
    <w:rsid w:val="00D95FDE"/>
    <w:rsid w:val="00DA1E5F"/>
    <w:rsid w:val="00DB327F"/>
    <w:rsid w:val="00DB33F6"/>
    <w:rsid w:val="00DB6C72"/>
    <w:rsid w:val="00DB7D4A"/>
    <w:rsid w:val="00DC4E9C"/>
    <w:rsid w:val="00DD097B"/>
    <w:rsid w:val="00DD2FB5"/>
    <w:rsid w:val="00DD4728"/>
    <w:rsid w:val="00DD655B"/>
    <w:rsid w:val="00DE5291"/>
    <w:rsid w:val="00DE7B65"/>
    <w:rsid w:val="00DF0927"/>
    <w:rsid w:val="00DF10C7"/>
    <w:rsid w:val="00DF2EBF"/>
    <w:rsid w:val="00DF3CE7"/>
    <w:rsid w:val="00DF54B6"/>
    <w:rsid w:val="00E0289A"/>
    <w:rsid w:val="00E11E42"/>
    <w:rsid w:val="00E230A4"/>
    <w:rsid w:val="00E25BA3"/>
    <w:rsid w:val="00E27C6F"/>
    <w:rsid w:val="00E325DC"/>
    <w:rsid w:val="00E41540"/>
    <w:rsid w:val="00E416C0"/>
    <w:rsid w:val="00E439C4"/>
    <w:rsid w:val="00E474D8"/>
    <w:rsid w:val="00E52D4A"/>
    <w:rsid w:val="00E6269C"/>
    <w:rsid w:val="00E6541C"/>
    <w:rsid w:val="00E70AB5"/>
    <w:rsid w:val="00E70C6C"/>
    <w:rsid w:val="00E77047"/>
    <w:rsid w:val="00E853D8"/>
    <w:rsid w:val="00E90B81"/>
    <w:rsid w:val="00E94C75"/>
    <w:rsid w:val="00EA043F"/>
    <w:rsid w:val="00EA1C82"/>
    <w:rsid w:val="00EA2764"/>
    <w:rsid w:val="00EA4EB3"/>
    <w:rsid w:val="00EA7C4B"/>
    <w:rsid w:val="00EB2992"/>
    <w:rsid w:val="00EB331E"/>
    <w:rsid w:val="00EB3C89"/>
    <w:rsid w:val="00EB7C1B"/>
    <w:rsid w:val="00EC29EC"/>
    <w:rsid w:val="00EC4FFA"/>
    <w:rsid w:val="00EC7717"/>
    <w:rsid w:val="00EC7E17"/>
    <w:rsid w:val="00ED4D3E"/>
    <w:rsid w:val="00ED4DA3"/>
    <w:rsid w:val="00ED5A99"/>
    <w:rsid w:val="00EE11D6"/>
    <w:rsid w:val="00EE409E"/>
    <w:rsid w:val="00EE4736"/>
    <w:rsid w:val="00EE4BC3"/>
    <w:rsid w:val="00EE6457"/>
    <w:rsid w:val="00EE65B5"/>
    <w:rsid w:val="00EF358C"/>
    <w:rsid w:val="00EF5600"/>
    <w:rsid w:val="00EF6924"/>
    <w:rsid w:val="00EF78B7"/>
    <w:rsid w:val="00F02AED"/>
    <w:rsid w:val="00F046C7"/>
    <w:rsid w:val="00F12067"/>
    <w:rsid w:val="00F1398F"/>
    <w:rsid w:val="00F14F8E"/>
    <w:rsid w:val="00F15C50"/>
    <w:rsid w:val="00F17455"/>
    <w:rsid w:val="00F25053"/>
    <w:rsid w:val="00F25C2E"/>
    <w:rsid w:val="00F25FB6"/>
    <w:rsid w:val="00F3011E"/>
    <w:rsid w:val="00F36266"/>
    <w:rsid w:val="00F371CF"/>
    <w:rsid w:val="00F41B17"/>
    <w:rsid w:val="00F5023F"/>
    <w:rsid w:val="00F535C6"/>
    <w:rsid w:val="00F55260"/>
    <w:rsid w:val="00F56E2C"/>
    <w:rsid w:val="00F574C9"/>
    <w:rsid w:val="00F602BD"/>
    <w:rsid w:val="00F60314"/>
    <w:rsid w:val="00F60C97"/>
    <w:rsid w:val="00F613B6"/>
    <w:rsid w:val="00F661A7"/>
    <w:rsid w:val="00F7172E"/>
    <w:rsid w:val="00F71A7F"/>
    <w:rsid w:val="00F91238"/>
    <w:rsid w:val="00F93500"/>
    <w:rsid w:val="00F93522"/>
    <w:rsid w:val="00FA03C6"/>
    <w:rsid w:val="00FA3D9F"/>
    <w:rsid w:val="00FA4F37"/>
    <w:rsid w:val="00FA6454"/>
    <w:rsid w:val="00FA64FB"/>
    <w:rsid w:val="00FA7E76"/>
    <w:rsid w:val="00FB0A70"/>
    <w:rsid w:val="00FB6CFA"/>
    <w:rsid w:val="00FB776C"/>
    <w:rsid w:val="00FB7F05"/>
    <w:rsid w:val="00FC1954"/>
    <w:rsid w:val="00FC3FFF"/>
    <w:rsid w:val="00FC637D"/>
    <w:rsid w:val="00FC6FBF"/>
    <w:rsid w:val="00FC7DC1"/>
    <w:rsid w:val="00FE1B25"/>
    <w:rsid w:val="00FE3AA4"/>
    <w:rsid w:val="00FE4E57"/>
    <w:rsid w:val="00FE56EB"/>
    <w:rsid w:val="00FE64DF"/>
    <w:rsid w:val="00FE7786"/>
    <w:rsid w:val="00FF1B2D"/>
    <w:rsid w:val="0188E24E"/>
    <w:rsid w:val="0203FBE8"/>
    <w:rsid w:val="021707B0"/>
    <w:rsid w:val="02CBCEA9"/>
    <w:rsid w:val="032C0D53"/>
    <w:rsid w:val="03AFE18B"/>
    <w:rsid w:val="048B4D95"/>
    <w:rsid w:val="052AA70A"/>
    <w:rsid w:val="057EF2AC"/>
    <w:rsid w:val="05A7EAEE"/>
    <w:rsid w:val="06BD1AFA"/>
    <w:rsid w:val="08927330"/>
    <w:rsid w:val="08AB58E8"/>
    <w:rsid w:val="0900CB63"/>
    <w:rsid w:val="09039152"/>
    <w:rsid w:val="0AA69059"/>
    <w:rsid w:val="0BBF94A9"/>
    <w:rsid w:val="0BD26D42"/>
    <w:rsid w:val="0BEA9E16"/>
    <w:rsid w:val="0C098D8A"/>
    <w:rsid w:val="0C1E6B62"/>
    <w:rsid w:val="0C5227DB"/>
    <w:rsid w:val="0C6AF855"/>
    <w:rsid w:val="0D1EAF59"/>
    <w:rsid w:val="0D54770E"/>
    <w:rsid w:val="0D5D2277"/>
    <w:rsid w:val="0E0277A5"/>
    <w:rsid w:val="0E25ED53"/>
    <w:rsid w:val="0E6D6EF4"/>
    <w:rsid w:val="0F96CF7A"/>
    <w:rsid w:val="0FDC864E"/>
    <w:rsid w:val="105A36E8"/>
    <w:rsid w:val="10E825FE"/>
    <w:rsid w:val="11324B93"/>
    <w:rsid w:val="11D133F0"/>
    <w:rsid w:val="11E92E07"/>
    <w:rsid w:val="13B889B2"/>
    <w:rsid w:val="1529F9D3"/>
    <w:rsid w:val="15C68F0B"/>
    <w:rsid w:val="16047CEC"/>
    <w:rsid w:val="16C02A55"/>
    <w:rsid w:val="16F58C1A"/>
    <w:rsid w:val="17974184"/>
    <w:rsid w:val="17EB96FB"/>
    <w:rsid w:val="188FA9F6"/>
    <w:rsid w:val="18DF6DBA"/>
    <w:rsid w:val="19AB9EB4"/>
    <w:rsid w:val="1A8F0F34"/>
    <w:rsid w:val="1AB9115E"/>
    <w:rsid w:val="1ACFC299"/>
    <w:rsid w:val="1B20237D"/>
    <w:rsid w:val="1B46C7D6"/>
    <w:rsid w:val="1C059D0B"/>
    <w:rsid w:val="1C302582"/>
    <w:rsid w:val="1D218C4D"/>
    <w:rsid w:val="1D45D8EF"/>
    <w:rsid w:val="2109E20D"/>
    <w:rsid w:val="236BD1B2"/>
    <w:rsid w:val="24266062"/>
    <w:rsid w:val="24AC2872"/>
    <w:rsid w:val="27983247"/>
    <w:rsid w:val="27E92645"/>
    <w:rsid w:val="2A7AF7B1"/>
    <w:rsid w:val="2BDD7944"/>
    <w:rsid w:val="2D07A1A6"/>
    <w:rsid w:val="2E8BCB66"/>
    <w:rsid w:val="2F30E673"/>
    <w:rsid w:val="2F35F1E7"/>
    <w:rsid w:val="2F569FDD"/>
    <w:rsid w:val="2F8B9DF0"/>
    <w:rsid w:val="314A8069"/>
    <w:rsid w:val="32AE1F28"/>
    <w:rsid w:val="33FAE24D"/>
    <w:rsid w:val="34B8FDC0"/>
    <w:rsid w:val="34CFBD04"/>
    <w:rsid w:val="366FD0EE"/>
    <w:rsid w:val="36855EA3"/>
    <w:rsid w:val="36B37E0D"/>
    <w:rsid w:val="373D6F94"/>
    <w:rsid w:val="3758D9C5"/>
    <w:rsid w:val="3B69F0E4"/>
    <w:rsid w:val="3B725582"/>
    <w:rsid w:val="3BA6DB36"/>
    <w:rsid w:val="3CC40900"/>
    <w:rsid w:val="3DF2FC8E"/>
    <w:rsid w:val="3E14D538"/>
    <w:rsid w:val="3E4059D4"/>
    <w:rsid w:val="3F808852"/>
    <w:rsid w:val="402A2D18"/>
    <w:rsid w:val="408E1A0E"/>
    <w:rsid w:val="40AAD38B"/>
    <w:rsid w:val="41F180CA"/>
    <w:rsid w:val="4250FC31"/>
    <w:rsid w:val="42588DAC"/>
    <w:rsid w:val="433D8619"/>
    <w:rsid w:val="438B2FEC"/>
    <w:rsid w:val="447E1C5B"/>
    <w:rsid w:val="45B67F57"/>
    <w:rsid w:val="46E58D35"/>
    <w:rsid w:val="493F9359"/>
    <w:rsid w:val="494B98E4"/>
    <w:rsid w:val="4AE26C12"/>
    <w:rsid w:val="4BE708BD"/>
    <w:rsid w:val="4DFDB6D8"/>
    <w:rsid w:val="4E4BFE33"/>
    <w:rsid w:val="4F085485"/>
    <w:rsid w:val="505F8F22"/>
    <w:rsid w:val="516BDB23"/>
    <w:rsid w:val="5188DE49"/>
    <w:rsid w:val="524A1CD1"/>
    <w:rsid w:val="531C651A"/>
    <w:rsid w:val="531FD2FE"/>
    <w:rsid w:val="5369F1F9"/>
    <w:rsid w:val="53EB67DE"/>
    <w:rsid w:val="559AD3AE"/>
    <w:rsid w:val="564D5CD7"/>
    <w:rsid w:val="577F93D6"/>
    <w:rsid w:val="58151DA2"/>
    <w:rsid w:val="58A165D1"/>
    <w:rsid w:val="590C3435"/>
    <w:rsid w:val="59A9707C"/>
    <w:rsid w:val="59BF1A35"/>
    <w:rsid w:val="5A3EDE60"/>
    <w:rsid w:val="5A7C5D65"/>
    <w:rsid w:val="5B0D305D"/>
    <w:rsid w:val="5BCBF123"/>
    <w:rsid w:val="5D84AE35"/>
    <w:rsid w:val="5DBC102B"/>
    <w:rsid w:val="5F44697E"/>
    <w:rsid w:val="5FA854CE"/>
    <w:rsid w:val="61042117"/>
    <w:rsid w:val="61F9BC70"/>
    <w:rsid w:val="623D9CB0"/>
    <w:rsid w:val="6397BA1D"/>
    <w:rsid w:val="64505FFB"/>
    <w:rsid w:val="65A21F3F"/>
    <w:rsid w:val="65CB3450"/>
    <w:rsid w:val="65E498B4"/>
    <w:rsid w:val="66209E9E"/>
    <w:rsid w:val="6625D52F"/>
    <w:rsid w:val="66A0AFCD"/>
    <w:rsid w:val="67B63BB9"/>
    <w:rsid w:val="6834A2E6"/>
    <w:rsid w:val="68581F7E"/>
    <w:rsid w:val="69A80739"/>
    <w:rsid w:val="6B8113C0"/>
    <w:rsid w:val="6B9F5889"/>
    <w:rsid w:val="6C016D6D"/>
    <w:rsid w:val="6C4D2CEF"/>
    <w:rsid w:val="6CA6BFAD"/>
    <w:rsid w:val="6CD7550B"/>
    <w:rsid w:val="6DF53F24"/>
    <w:rsid w:val="6E51EF4E"/>
    <w:rsid w:val="6E77D456"/>
    <w:rsid w:val="6E9A6ADB"/>
    <w:rsid w:val="6F1E7410"/>
    <w:rsid w:val="6F90C7A3"/>
    <w:rsid w:val="6FC71466"/>
    <w:rsid w:val="703926A1"/>
    <w:rsid w:val="7043D373"/>
    <w:rsid w:val="7073FE72"/>
    <w:rsid w:val="724696E9"/>
    <w:rsid w:val="73524FA7"/>
    <w:rsid w:val="736C6773"/>
    <w:rsid w:val="737D0778"/>
    <w:rsid w:val="7489EC2B"/>
    <w:rsid w:val="74D08AB6"/>
    <w:rsid w:val="76155B43"/>
    <w:rsid w:val="76290113"/>
    <w:rsid w:val="7717A635"/>
    <w:rsid w:val="77279B55"/>
    <w:rsid w:val="77561A53"/>
    <w:rsid w:val="7A4741AE"/>
    <w:rsid w:val="7B0FA938"/>
    <w:rsid w:val="7B5FC603"/>
    <w:rsid w:val="7BB07D0D"/>
    <w:rsid w:val="7DD7CB50"/>
    <w:rsid w:val="7E0E7526"/>
    <w:rsid w:val="7E90F4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634E"/>
  <w15:chartTrackingRefBased/>
  <w15:docId w15:val="{670DF212-D12F-4ABA-975D-A8EDECEB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E93"/>
    <w:pPr>
      <w:spacing w:after="200" w:line="276" w:lineRule="auto"/>
    </w:pPr>
    <w:rPr>
      <w:rFonts w:ascii="Tahoma" w:hAnsi="Tahoma"/>
      <w:sz w:val="24"/>
      <w:szCs w:val="22"/>
    </w:rPr>
  </w:style>
  <w:style w:type="paragraph" w:styleId="Heading1">
    <w:name w:val="heading 1"/>
    <w:basedOn w:val="Normal"/>
    <w:next w:val="Normal"/>
    <w:link w:val="Heading1Char"/>
    <w:uiPriority w:val="9"/>
    <w:qFormat/>
    <w:rsid w:val="005D5E93"/>
    <w:pPr>
      <w:keepNext/>
      <w:spacing w:before="240" w:after="60"/>
      <w:jc w:val="center"/>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character" w:customStyle="1" w:styleId="Heading1Char">
    <w:name w:val="Heading 1 Char"/>
    <w:link w:val="Heading1"/>
    <w:uiPriority w:val="9"/>
    <w:rsid w:val="005D5E93"/>
    <w:rPr>
      <w:rFonts w:ascii="Tahoma" w:eastAsia="Times New Roman" w:hAnsi="Tahoma" w:cs="Times New Roman"/>
      <w:b/>
      <w:bCs/>
      <w:kern w:val="32"/>
      <w:sz w:val="28"/>
      <w:szCs w:val="32"/>
    </w:rPr>
  </w:style>
  <w:style w:type="paragraph" w:styleId="ListParagraph">
    <w:name w:val="List Paragraph"/>
    <w:basedOn w:val="Normal"/>
    <w:link w:val="ListParagraphChar"/>
    <w:uiPriority w:val="34"/>
    <w:qFormat/>
    <w:pPr>
      <w:ind w:left="720"/>
      <w:contextualSpacing/>
    </w:pPr>
  </w:style>
  <w:style w:type="character" w:styleId="Hyperlink">
    <w:name w:val="Hyperlink"/>
    <w:uiPriority w:val="99"/>
    <w:unhideWhenUsed/>
    <w:rsid w:val="00D93219"/>
    <w:rPr>
      <w:color w:val="467886"/>
      <w:u w:val="single"/>
    </w:rPr>
  </w:style>
  <w:style w:type="character" w:customStyle="1" w:styleId="ListParagraphChar">
    <w:name w:val="List Paragraph Char"/>
    <w:link w:val="ListParagraph"/>
    <w:uiPriority w:val="34"/>
    <w:locked/>
    <w:rsid w:val="001F6B93"/>
    <w:rPr>
      <w:rFonts w:ascii="Tahoma" w:hAnsi="Tahoma"/>
      <w:sz w:val="24"/>
      <w:szCs w:val="22"/>
    </w:rPr>
  </w:style>
  <w:style w:type="paragraph" w:styleId="FootnoteText">
    <w:name w:val="footnote text"/>
    <w:basedOn w:val="Normal"/>
    <w:link w:val="FootnoteTextChar"/>
    <w:uiPriority w:val="99"/>
    <w:semiHidden/>
    <w:rsid w:val="008A1EEE"/>
    <w:pPr>
      <w:spacing w:after="120" w:line="240" w:lineRule="auto"/>
    </w:pPr>
    <w:rPr>
      <w:rFonts w:ascii="Arial" w:hAnsi="Arial" w:cs="Arial"/>
      <w:sz w:val="20"/>
      <w:szCs w:val="20"/>
    </w:rPr>
  </w:style>
  <w:style w:type="character" w:customStyle="1" w:styleId="FootnoteTextChar">
    <w:name w:val="Footnote Text Char"/>
    <w:link w:val="FootnoteText"/>
    <w:uiPriority w:val="99"/>
    <w:semiHidden/>
    <w:rsid w:val="008A1EEE"/>
    <w:rPr>
      <w:rFonts w:ascii="Arial" w:hAnsi="Arial" w:cs="Arial"/>
    </w:rPr>
  </w:style>
  <w:style w:type="character" w:styleId="FootnoteReference">
    <w:name w:val="footnote reference"/>
    <w:uiPriority w:val="99"/>
    <w:semiHidden/>
    <w:rsid w:val="008A1EEE"/>
    <w:rPr>
      <w:vertAlign w:val="superscript"/>
    </w:rPr>
  </w:style>
  <w:style w:type="paragraph" w:customStyle="1" w:styleId="Default">
    <w:name w:val="Default"/>
    <w:rsid w:val="008A1EEE"/>
    <w:pPr>
      <w:widowControl w:val="0"/>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8A1EEE"/>
  </w:style>
  <w:style w:type="character" w:customStyle="1" w:styleId="eop">
    <w:name w:val="eop"/>
    <w:basedOn w:val="DefaultParagraphFont"/>
    <w:rsid w:val="00F661A7"/>
  </w:style>
  <w:style w:type="paragraph" w:customStyle="1" w:styleId="1AutoList1">
    <w:name w:val="1AutoList1"/>
    <w:rsid w:val="00170618"/>
    <w:pPr>
      <w:widowControl w:val="0"/>
      <w:tabs>
        <w:tab w:val="left" w:pos="720"/>
      </w:tabs>
      <w:ind w:left="720" w:hanging="720"/>
      <w:jc w:val="both"/>
    </w:pPr>
    <w:rPr>
      <w:rFonts w:ascii="CG Times" w:hAnsi="CG Times"/>
      <w:sz w:val="24"/>
    </w:rPr>
  </w:style>
  <w:style w:type="character" w:customStyle="1" w:styleId="Style10pt">
    <w:name w:val="Style 10 pt"/>
    <w:uiPriority w:val="99"/>
    <w:rsid w:val="00A84A94"/>
    <w:rPr>
      <w:rFonts w:ascii="Arial" w:hAnsi="Arial" w:cs="Times New Roman"/>
      <w:sz w:val="22"/>
    </w:rPr>
  </w:style>
  <w:style w:type="character" w:styleId="UnresolvedMention">
    <w:name w:val="Unresolved Mention"/>
    <w:uiPriority w:val="99"/>
    <w:semiHidden/>
    <w:unhideWhenUsed/>
    <w:rsid w:val="002E6B2F"/>
    <w:rPr>
      <w:color w:val="605E5C"/>
      <w:shd w:val="clear" w:color="auto" w:fill="E1DFDD"/>
    </w:rPr>
  </w:style>
  <w:style w:type="character" w:styleId="CommentReference">
    <w:name w:val="annotation reference"/>
    <w:uiPriority w:val="99"/>
    <w:semiHidden/>
    <w:unhideWhenUsed/>
    <w:rsid w:val="00027976"/>
    <w:rPr>
      <w:sz w:val="16"/>
      <w:szCs w:val="16"/>
    </w:rPr>
  </w:style>
  <w:style w:type="paragraph" w:styleId="CommentText">
    <w:name w:val="annotation text"/>
    <w:basedOn w:val="Normal"/>
    <w:link w:val="CommentTextChar"/>
    <w:uiPriority w:val="99"/>
    <w:unhideWhenUsed/>
    <w:rsid w:val="00027976"/>
    <w:rPr>
      <w:sz w:val="20"/>
      <w:szCs w:val="20"/>
    </w:rPr>
  </w:style>
  <w:style w:type="character" w:customStyle="1" w:styleId="CommentTextChar">
    <w:name w:val="Comment Text Char"/>
    <w:link w:val="CommentText"/>
    <w:uiPriority w:val="99"/>
    <w:rsid w:val="00027976"/>
    <w:rPr>
      <w:rFonts w:ascii="Tahoma" w:hAnsi="Tahoma"/>
    </w:rPr>
  </w:style>
  <w:style w:type="paragraph" w:styleId="CommentSubject">
    <w:name w:val="annotation subject"/>
    <w:basedOn w:val="CommentText"/>
    <w:next w:val="CommentText"/>
    <w:link w:val="CommentSubjectChar"/>
    <w:uiPriority w:val="99"/>
    <w:semiHidden/>
    <w:unhideWhenUsed/>
    <w:rsid w:val="00027976"/>
    <w:rPr>
      <w:b/>
      <w:bCs/>
    </w:rPr>
  </w:style>
  <w:style w:type="character" w:customStyle="1" w:styleId="CommentSubjectChar">
    <w:name w:val="Comment Subject Char"/>
    <w:link w:val="CommentSubject"/>
    <w:uiPriority w:val="99"/>
    <w:semiHidden/>
    <w:rsid w:val="00027976"/>
    <w:rPr>
      <w:rFonts w:ascii="Tahoma" w:hAnsi="Tahoma"/>
      <w:b/>
      <w:bCs/>
    </w:rPr>
  </w:style>
  <w:style w:type="paragraph" w:styleId="Revision">
    <w:name w:val="Revision"/>
    <w:hidden/>
    <w:uiPriority w:val="99"/>
    <w:semiHidden/>
    <w:rsid w:val="003D16BD"/>
    <w:rPr>
      <w:rFonts w:ascii="Tahoma" w:hAnsi="Tahoma"/>
      <w:sz w:val="24"/>
      <w:szCs w:val="22"/>
    </w:rPr>
  </w:style>
  <w:style w:type="character" w:styleId="Mention">
    <w:name w:val="Mention"/>
    <w:uiPriority w:val="99"/>
    <w:unhideWhenUsed/>
    <w:rsid w:val="00544DDB"/>
    <w:rPr>
      <w:color w:val="2B579A"/>
      <w:shd w:val="clear" w:color="auto" w:fill="E1DFDD"/>
    </w:rPr>
  </w:style>
  <w:style w:type="character" w:styleId="FollowedHyperlink">
    <w:name w:val="FollowedHyperlink"/>
    <w:uiPriority w:val="99"/>
    <w:semiHidden/>
    <w:unhideWhenUsed/>
    <w:rsid w:val="00AB4614"/>
    <w:rPr>
      <w:color w:val="96607D"/>
      <w:u w:val="single"/>
    </w:rPr>
  </w:style>
  <w:style w:type="paragraph" w:styleId="NormalWeb">
    <w:name w:val="Normal (Web)"/>
    <w:basedOn w:val="Normal"/>
    <w:uiPriority w:val="99"/>
    <w:semiHidden/>
    <w:unhideWhenUsed/>
    <w:rsid w:val="00DF0927"/>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9890">
      <w:bodyDiv w:val="1"/>
      <w:marLeft w:val="0"/>
      <w:marRight w:val="0"/>
      <w:marTop w:val="0"/>
      <w:marBottom w:val="0"/>
      <w:divBdr>
        <w:top w:val="none" w:sz="0" w:space="0" w:color="auto"/>
        <w:left w:val="none" w:sz="0" w:space="0" w:color="auto"/>
        <w:bottom w:val="none" w:sz="0" w:space="0" w:color="auto"/>
        <w:right w:val="none" w:sz="0" w:space="0" w:color="auto"/>
      </w:divBdr>
    </w:div>
    <w:div w:id="283925847">
      <w:bodyDiv w:val="1"/>
      <w:marLeft w:val="0"/>
      <w:marRight w:val="0"/>
      <w:marTop w:val="0"/>
      <w:marBottom w:val="0"/>
      <w:divBdr>
        <w:top w:val="none" w:sz="0" w:space="0" w:color="auto"/>
        <w:left w:val="none" w:sz="0" w:space="0" w:color="auto"/>
        <w:bottom w:val="none" w:sz="0" w:space="0" w:color="auto"/>
        <w:right w:val="none" w:sz="0" w:space="0" w:color="auto"/>
      </w:divBdr>
    </w:div>
    <w:div w:id="362756127">
      <w:bodyDiv w:val="1"/>
      <w:marLeft w:val="0"/>
      <w:marRight w:val="0"/>
      <w:marTop w:val="0"/>
      <w:marBottom w:val="0"/>
      <w:divBdr>
        <w:top w:val="none" w:sz="0" w:space="0" w:color="auto"/>
        <w:left w:val="none" w:sz="0" w:space="0" w:color="auto"/>
        <w:bottom w:val="none" w:sz="0" w:space="0" w:color="auto"/>
        <w:right w:val="none" w:sz="0" w:space="0" w:color="auto"/>
      </w:divBdr>
    </w:div>
    <w:div w:id="445662508">
      <w:bodyDiv w:val="1"/>
      <w:marLeft w:val="0"/>
      <w:marRight w:val="0"/>
      <w:marTop w:val="0"/>
      <w:marBottom w:val="0"/>
      <w:divBdr>
        <w:top w:val="none" w:sz="0" w:space="0" w:color="auto"/>
        <w:left w:val="none" w:sz="0" w:space="0" w:color="auto"/>
        <w:bottom w:val="none" w:sz="0" w:space="0" w:color="auto"/>
        <w:right w:val="none" w:sz="0" w:space="0" w:color="auto"/>
      </w:divBdr>
    </w:div>
    <w:div w:id="505170828">
      <w:bodyDiv w:val="1"/>
      <w:marLeft w:val="0"/>
      <w:marRight w:val="0"/>
      <w:marTop w:val="0"/>
      <w:marBottom w:val="0"/>
      <w:divBdr>
        <w:top w:val="none" w:sz="0" w:space="0" w:color="auto"/>
        <w:left w:val="none" w:sz="0" w:space="0" w:color="auto"/>
        <w:bottom w:val="none" w:sz="0" w:space="0" w:color="auto"/>
        <w:right w:val="none" w:sz="0" w:space="0" w:color="auto"/>
      </w:divBdr>
    </w:div>
    <w:div w:id="551038538">
      <w:bodyDiv w:val="1"/>
      <w:marLeft w:val="0"/>
      <w:marRight w:val="0"/>
      <w:marTop w:val="0"/>
      <w:marBottom w:val="0"/>
      <w:divBdr>
        <w:top w:val="none" w:sz="0" w:space="0" w:color="auto"/>
        <w:left w:val="none" w:sz="0" w:space="0" w:color="auto"/>
        <w:bottom w:val="none" w:sz="0" w:space="0" w:color="auto"/>
        <w:right w:val="none" w:sz="0" w:space="0" w:color="auto"/>
      </w:divBdr>
    </w:div>
    <w:div w:id="566965187">
      <w:bodyDiv w:val="1"/>
      <w:marLeft w:val="0"/>
      <w:marRight w:val="0"/>
      <w:marTop w:val="0"/>
      <w:marBottom w:val="0"/>
      <w:divBdr>
        <w:top w:val="none" w:sz="0" w:space="0" w:color="auto"/>
        <w:left w:val="none" w:sz="0" w:space="0" w:color="auto"/>
        <w:bottom w:val="none" w:sz="0" w:space="0" w:color="auto"/>
        <w:right w:val="none" w:sz="0" w:space="0" w:color="auto"/>
      </w:divBdr>
    </w:div>
    <w:div w:id="686060183">
      <w:bodyDiv w:val="1"/>
      <w:marLeft w:val="0"/>
      <w:marRight w:val="0"/>
      <w:marTop w:val="0"/>
      <w:marBottom w:val="0"/>
      <w:divBdr>
        <w:top w:val="none" w:sz="0" w:space="0" w:color="auto"/>
        <w:left w:val="none" w:sz="0" w:space="0" w:color="auto"/>
        <w:bottom w:val="none" w:sz="0" w:space="0" w:color="auto"/>
        <w:right w:val="none" w:sz="0" w:space="0" w:color="auto"/>
      </w:divBdr>
    </w:div>
    <w:div w:id="710616285">
      <w:bodyDiv w:val="1"/>
      <w:marLeft w:val="0"/>
      <w:marRight w:val="0"/>
      <w:marTop w:val="0"/>
      <w:marBottom w:val="0"/>
      <w:divBdr>
        <w:top w:val="none" w:sz="0" w:space="0" w:color="auto"/>
        <w:left w:val="none" w:sz="0" w:space="0" w:color="auto"/>
        <w:bottom w:val="none" w:sz="0" w:space="0" w:color="auto"/>
        <w:right w:val="none" w:sz="0" w:space="0" w:color="auto"/>
      </w:divBdr>
    </w:div>
    <w:div w:id="723216001">
      <w:bodyDiv w:val="1"/>
      <w:marLeft w:val="0"/>
      <w:marRight w:val="0"/>
      <w:marTop w:val="0"/>
      <w:marBottom w:val="0"/>
      <w:divBdr>
        <w:top w:val="none" w:sz="0" w:space="0" w:color="auto"/>
        <w:left w:val="none" w:sz="0" w:space="0" w:color="auto"/>
        <w:bottom w:val="none" w:sz="0" w:space="0" w:color="auto"/>
        <w:right w:val="none" w:sz="0" w:space="0" w:color="auto"/>
      </w:divBdr>
    </w:div>
    <w:div w:id="765537005">
      <w:bodyDiv w:val="1"/>
      <w:marLeft w:val="0"/>
      <w:marRight w:val="0"/>
      <w:marTop w:val="0"/>
      <w:marBottom w:val="0"/>
      <w:divBdr>
        <w:top w:val="none" w:sz="0" w:space="0" w:color="auto"/>
        <w:left w:val="none" w:sz="0" w:space="0" w:color="auto"/>
        <w:bottom w:val="none" w:sz="0" w:space="0" w:color="auto"/>
        <w:right w:val="none" w:sz="0" w:space="0" w:color="auto"/>
      </w:divBdr>
    </w:div>
    <w:div w:id="773749647">
      <w:bodyDiv w:val="1"/>
      <w:marLeft w:val="0"/>
      <w:marRight w:val="0"/>
      <w:marTop w:val="0"/>
      <w:marBottom w:val="0"/>
      <w:divBdr>
        <w:top w:val="none" w:sz="0" w:space="0" w:color="auto"/>
        <w:left w:val="none" w:sz="0" w:space="0" w:color="auto"/>
        <w:bottom w:val="none" w:sz="0" w:space="0" w:color="auto"/>
        <w:right w:val="none" w:sz="0" w:space="0" w:color="auto"/>
      </w:divBdr>
    </w:div>
    <w:div w:id="798038862">
      <w:bodyDiv w:val="1"/>
      <w:marLeft w:val="0"/>
      <w:marRight w:val="0"/>
      <w:marTop w:val="0"/>
      <w:marBottom w:val="0"/>
      <w:divBdr>
        <w:top w:val="none" w:sz="0" w:space="0" w:color="auto"/>
        <w:left w:val="none" w:sz="0" w:space="0" w:color="auto"/>
        <w:bottom w:val="none" w:sz="0" w:space="0" w:color="auto"/>
        <w:right w:val="none" w:sz="0" w:space="0" w:color="auto"/>
      </w:divBdr>
    </w:div>
    <w:div w:id="832570226">
      <w:bodyDiv w:val="1"/>
      <w:marLeft w:val="0"/>
      <w:marRight w:val="0"/>
      <w:marTop w:val="0"/>
      <w:marBottom w:val="0"/>
      <w:divBdr>
        <w:top w:val="none" w:sz="0" w:space="0" w:color="auto"/>
        <w:left w:val="none" w:sz="0" w:space="0" w:color="auto"/>
        <w:bottom w:val="none" w:sz="0" w:space="0" w:color="auto"/>
        <w:right w:val="none" w:sz="0" w:space="0" w:color="auto"/>
      </w:divBdr>
    </w:div>
    <w:div w:id="862673106">
      <w:bodyDiv w:val="1"/>
      <w:marLeft w:val="0"/>
      <w:marRight w:val="0"/>
      <w:marTop w:val="0"/>
      <w:marBottom w:val="0"/>
      <w:divBdr>
        <w:top w:val="none" w:sz="0" w:space="0" w:color="auto"/>
        <w:left w:val="none" w:sz="0" w:space="0" w:color="auto"/>
        <w:bottom w:val="none" w:sz="0" w:space="0" w:color="auto"/>
        <w:right w:val="none" w:sz="0" w:space="0" w:color="auto"/>
      </w:divBdr>
    </w:div>
    <w:div w:id="897130420">
      <w:bodyDiv w:val="1"/>
      <w:marLeft w:val="0"/>
      <w:marRight w:val="0"/>
      <w:marTop w:val="0"/>
      <w:marBottom w:val="0"/>
      <w:divBdr>
        <w:top w:val="none" w:sz="0" w:space="0" w:color="auto"/>
        <w:left w:val="none" w:sz="0" w:space="0" w:color="auto"/>
        <w:bottom w:val="none" w:sz="0" w:space="0" w:color="auto"/>
        <w:right w:val="none" w:sz="0" w:space="0" w:color="auto"/>
      </w:divBdr>
    </w:div>
    <w:div w:id="921110120">
      <w:bodyDiv w:val="1"/>
      <w:marLeft w:val="0"/>
      <w:marRight w:val="0"/>
      <w:marTop w:val="0"/>
      <w:marBottom w:val="0"/>
      <w:divBdr>
        <w:top w:val="none" w:sz="0" w:space="0" w:color="auto"/>
        <w:left w:val="none" w:sz="0" w:space="0" w:color="auto"/>
        <w:bottom w:val="none" w:sz="0" w:space="0" w:color="auto"/>
        <w:right w:val="none" w:sz="0" w:space="0" w:color="auto"/>
      </w:divBdr>
    </w:div>
    <w:div w:id="927465895">
      <w:bodyDiv w:val="1"/>
      <w:marLeft w:val="0"/>
      <w:marRight w:val="0"/>
      <w:marTop w:val="0"/>
      <w:marBottom w:val="0"/>
      <w:divBdr>
        <w:top w:val="none" w:sz="0" w:space="0" w:color="auto"/>
        <w:left w:val="none" w:sz="0" w:space="0" w:color="auto"/>
        <w:bottom w:val="none" w:sz="0" w:space="0" w:color="auto"/>
        <w:right w:val="none" w:sz="0" w:space="0" w:color="auto"/>
      </w:divBdr>
    </w:div>
    <w:div w:id="1021476087">
      <w:bodyDiv w:val="1"/>
      <w:marLeft w:val="0"/>
      <w:marRight w:val="0"/>
      <w:marTop w:val="0"/>
      <w:marBottom w:val="0"/>
      <w:divBdr>
        <w:top w:val="none" w:sz="0" w:space="0" w:color="auto"/>
        <w:left w:val="none" w:sz="0" w:space="0" w:color="auto"/>
        <w:bottom w:val="none" w:sz="0" w:space="0" w:color="auto"/>
        <w:right w:val="none" w:sz="0" w:space="0" w:color="auto"/>
      </w:divBdr>
    </w:div>
    <w:div w:id="1025985442">
      <w:bodyDiv w:val="1"/>
      <w:marLeft w:val="0"/>
      <w:marRight w:val="0"/>
      <w:marTop w:val="0"/>
      <w:marBottom w:val="0"/>
      <w:divBdr>
        <w:top w:val="none" w:sz="0" w:space="0" w:color="auto"/>
        <w:left w:val="none" w:sz="0" w:space="0" w:color="auto"/>
        <w:bottom w:val="none" w:sz="0" w:space="0" w:color="auto"/>
        <w:right w:val="none" w:sz="0" w:space="0" w:color="auto"/>
      </w:divBdr>
    </w:div>
    <w:div w:id="1034496805">
      <w:bodyDiv w:val="1"/>
      <w:marLeft w:val="0"/>
      <w:marRight w:val="0"/>
      <w:marTop w:val="0"/>
      <w:marBottom w:val="0"/>
      <w:divBdr>
        <w:top w:val="none" w:sz="0" w:space="0" w:color="auto"/>
        <w:left w:val="none" w:sz="0" w:space="0" w:color="auto"/>
        <w:bottom w:val="none" w:sz="0" w:space="0" w:color="auto"/>
        <w:right w:val="none" w:sz="0" w:space="0" w:color="auto"/>
      </w:divBdr>
    </w:div>
    <w:div w:id="1063406116">
      <w:bodyDiv w:val="1"/>
      <w:marLeft w:val="0"/>
      <w:marRight w:val="0"/>
      <w:marTop w:val="0"/>
      <w:marBottom w:val="0"/>
      <w:divBdr>
        <w:top w:val="none" w:sz="0" w:space="0" w:color="auto"/>
        <w:left w:val="none" w:sz="0" w:space="0" w:color="auto"/>
        <w:bottom w:val="none" w:sz="0" w:space="0" w:color="auto"/>
        <w:right w:val="none" w:sz="0" w:space="0" w:color="auto"/>
      </w:divBdr>
    </w:div>
    <w:div w:id="1088379423">
      <w:bodyDiv w:val="1"/>
      <w:marLeft w:val="0"/>
      <w:marRight w:val="0"/>
      <w:marTop w:val="0"/>
      <w:marBottom w:val="0"/>
      <w:divBdr>
        <w:top w:val="none" w:sz="0" w:space="0" w:color="auto"/>
        <w:left w:val="none" w:sz="0" w:space="0" w:color="auto"/>
        <w:bottom w:val="none" w:sz="0" w:space="0" w:color="auto"/>
        <w:right w:val="none" w:sz="0" w:space="0" w:color="auto"/>
      </w:divBdr>
    </w:div>
    <w:div w:id="1140533578">
      <w:bodyDiv w:val="1"/>
      <w:marLeft w:val="0"/>
      <w:marRight w:val="0"/>
      <w:marTop w:val="0"/>
      <w:marBottom w:val="0"/>
      <w:divBdr>
        <w:top w:val="none" w:sz="0" w:space="0" w:color="auto"/>
        <w:left w:val="none" w:sz="0" w:space="0" w:color="auto"/>
        <w:bottom w:val="none" w:sz="0" w:space="0" w:color="auto"/>
        <w:right w:val="none" w:sz="0" w:space="0" w:color="auto"/>
      </w:divBdr>
    </w:div>
    <w:div w:id="1175223595">
      <w:bodyDiv w:val="1"/>
      <w:marLeft w:val="0"/>
      <w:marRight w:val="0"/>
      <w:marTop w:val="0"/>
      <w:marBottom w:val="0"/>
      <w:divBdr>
        <w:top w:val="none" w:sz="0" w:space="0" w:color="auto"/>
        <w:left w:val="none" w:sz="0" w:space="0" w:color="auto"/>
        <w:bottom w:val="none" w:sz="0" w:space="0" w:color="auto"/>
        <w:right w:val="none" w:sz="0" w:space="0" w:color="auto"/>
      </w:divBdr>
    </w:div>
    <w:div w:id="1181966536">
      <w:bodyDiv w:val="1"/>
      <w:marLeft w:val="0"/>
      <w:marRight w:val="0"/>
      <w:marTop w:val="0"/>
      <w:marBottom w:val="0"/>
      <w:divBdr>
        <w:top w:val="none" w:sz="0" w:space="0" w:color="auto"/>
        <w:left w:val="none" w:sz="0" w:space="0" w:color="auto"/>
        <w:bottom w:val="none" w:sz="0" w:space="0" w:color="auto"/>
        <w:right w:val="none" w:sz="0" w:space="0" w:color="auto"/>
      </w:divBdr>
    </w:div>
    <w:div w:id="1205173622">
      <w:bodyDiv w:val="1"/>
      <w:marLeft w:val="0"/>
      <w:marRight w:val="0"/>
      <w:marTop w:val="0"/>
      <w:marBottom w:val="0"/>
      <w:divBdr>
        <w:top w:val="none" w:sz="0" w:space="0" w:color="auto"/>
        <w:left w:val="none" w:sz="0" w:space="0" w:color="auto"/>
        <w:bottom w:val="none" w:sz="0" w:space="0" w:color="auto"/>
        <w:right w:val="none" w:sz="0" w:space="0" w:color="auto"/>
      </w:divBdr>
    </w:div>
    <w:div w:id="1259485958">
      <w:bodyDiv w:val="1"/>
      <w:marLeft w:val="0"/>
      <w:marRight w:val="0"/>
      <w:marTop w:val="0"/>
      <w:marBottom w:val="0"/>
      <w:divBdr>
        <w:top w:val="none" w:sz="0" w:space="0" w:color="auto"/>
        <w:left w:val="none" w:sz="0" w:space="0" w:color="auto"/>
        <w:bottom w:val="none" w:sz="0" w:space="0" w:color="auto"/>
        <w:right w:val="none" w:sz="0" w:space="0" w:color="auto"/>
      </w:divBdr>
    </w:div>
    <w:div w:id="1274902274">
      <w:bodyDiv w:val="1"/>
      <w:marLeft w:val="0"/>
      <w:marRight w:val="0"/>
      <w:marTop w:val="0"/>
      <w:marBottom w:val="0"/>
      <w:divBdr>
        <w:top w:val="none" w:sz="0" w:space="0" w:color="auto"/>
        <w:left w:val="none" w:sz="0" w:space="0" w:color="auto"/>
        <w:bottom w:val="none" w:sz="0" w:space="0" w:color="auto"/>
        <w:right w:val="none" w:sz="0" w:space="0" w:color="auto"/>
      </w:divBdr>
    </w:div>
    <w:div w:id="1298072420">
      <w:bodyDiv w:val="1"/>
      <w:marLeft w:val="0"/>
      <w:marRight w:val="0"/>
      <w:marTop w:val="0"/>
      <w:marBottom w:val="0"/>
      <w:divBdr>
        <w:top w:val="none" w:sz="0" w:space="0" w:color="auto"/>
        <w:left w:val="none" w:sz="0" w:space="0" w:color="auto"/>
        <w:bottom w:val="none" w:sz="0" w:space="0" w:color="auto"/>
        <w:right w:val="none" w:sz="0" w:space="0" w:color="auto"/>
      </w:divBdr>
    </w:div>
    <w:div w:id="1314985362">
      <w:bodyDiv w:val="1"/>
      <w:marLeft w:val="0"/>
      <w:marRight w:val="0"/>
      <w:marTop w:val="0"/>
      <w:marBottom w:val="0"/>
      <w:divBdr>
        <w:top w:val="none" w:sz="0" w:space="0" w:color="auto"/>
        <w:left w:val="none" w:sz="0" w:space="0" w:color="auto"/>
        <w:bottom w:val="none" w:sz="0" w:space="0" w:color="auto"/>
        <w:right w:val="none" w:sz="0" w:space="0" w:color="auto"/>
      </w:divBdr>
    </w:div>
    <w:div w:id="1350451482">
      <w:bodyDiv w:val="1"/>
      <w:marLeft w:val="0"/>
      <w:marRight w:val="0"/>
      <w:marTop w:val="0"/>
      <w:marBottom w:val="0"/>
      <w:divBdr>
        <w:top w:val="none" w:sz="0" w:space="0" w:color="auto"/>
        <w:left w:val="none" w:sz="0" w:space="0" w:color="auto"/>
        <w:bottom w:val="none" w:sz="0" w:space="0" w:color="auto"/>
        <w:right w:val="none" w:sz="0" w:space="0" w:color="auto"/>
      </w:divBdr>
    </w:div>
    <w:div w:id="1397970747">
      <w:bodyDiv w:val="1"/>
      <w:marLeft w:val="0"/>
      <w:marRight w:val="0"/>
      <w:marTop w:val="0"/>
      <w:marBottom w:val="0"/>
      <w:divBdr>
        <w:top w:val="none" w:sz="0" w:space="0" w:color="auto"/>
        <w:left w:val="none" w:sz="0" w:space="0" w:color="auto"/>
        <w:bottom w:val="none" w:sz="0" w:space="0" w:color="auto"/>
        <w:right w:val="none" w:sz="0" w:space="0" w:color="auto"/>
      </w:divBdr>
    </w:div>
    <w:div w:id="1469976536">
      <w:bodyDiv w:val="1"/>
      <w:marLeft w:val="0"/>
      <w:marRight w:val="0"/>
      <w:marTop w:val="0"/>
      <w:marBottom w:val="0"/>
      <w:divBdr>
        <w:top w:val="none" w:sz="0" w:space="0" w:color="auto"/>
        <w:left w:val="none" w:sz="0" w:space="0" w:color="auto"/>
        <w:bottom w:val="none" w:sz="0" w:space="0" w:color="auto"/>
        <w:right w:val="none" w:sz="0" w:space="0" w:color="auto"/>
      </w:divBdr>
    </w:div>
    <w:div w:id="1568802870">
      <w:bodyDiv w:val="1"/>
      <w:marLeft w:val="0"/>
      <w:marRight w:val="0"/>
      <w:marTop w:val="0"/>
      <w:marBottom w:val="0"/>
      <w:divBdr>
        <w:top w:val="none" w:sz="0" w:space="0" w:color="auto"/>
        <w:left w:val="none" w:sz="0" w:space="0" w:color="auto"/>
        <w:bottom w:val="none" w:sz="0" w:space="0" w:color="auto"/>
        <w:right w:val="none" w:sz="0" w:space="0" w:color="auto"/>
      </w:divBdr>
    </w:div>
    <w:div w:id="1574777574">
      <w:bodyDiv w:val="1"/>
      <w:marLeft w:val="0"/>
      <w:marRight w:val="0"/>
      <w:marTop w:val="0"/>
      <w:marBottom w:val="0"/>
      <w:divBdr>
        <w:top w:val="none" w:sz="0" w:space="0" w:color="auto"/>
        <w:left w:val="none" w:sz="0" w:space="0" w:color="auto"/>
        <w:bottom w:val="none" w:sz="0" w:space="0" w:color="auto"/>
        <w:right w:val="none" w:sz="0" w:space="0" w:color="auto"/>
      </w:divBdr>
    </w:div>
    <w:div w:id="1613516992">
      <w:bodyDiv w:val="1"/>
      <w:marLeft w:val="0"/>
      <w:marRight w:val="0"/>
      <w:marTop w:val="0"/>
      <w:marBottom w:val="0"/>
      <w:divBdr>
        <w:top w:val="none" w:sz="0" w:space="0" w:color="auto"/>
        <w:left w:val="none" w:sz="0" w:space="0" w:color="auto"/>
        <w:bottom w:val="none" w:sz="0" w:space="0" w:color="auto"/>
        <w:right w:val="none" w:sz="0" w:space="0" w:color="auto"/>
      </w:divBdr>
    </w:div>
    <w:div w:id="1637830436">
      <w:bodyDiv w:val="1"/>
      <w:marLeft w:val="0"/>
      <w:marRight w:val="0"/>
      <w:marTop w:val="0"/>
      <w:marBottom w:val="0"/>
      <w:divBdr>
        <w:top w:val="none" w:sz="0" w:space="0" w:color="auto"/>
        <w:left w:val="none" w:sz="0" w:space="0" w:color="auto"/>
        <w:bottom w:val="none" w:sz="0" w:space="0" w:color="auto"/>
        <w:right w:val="none" w:sz="0" w:space="0" w:color="auto"/>
      </w:divBdr>
    </w:div>
    <w:div w:id="1642228608">
      <w:bodyDiv w:val="1"/>
      <w:marLeft w:val="0"/>
      <w:marRight w:val="0"/>
      <w:marTop w:val="0"/>
      <w:marBottom w:val="0"/>
      <w:divBdr>
        <w:top w:val="none" w:sz="0" w:space="0" w:color="auto"/>
        <w:left w:val="none" w:sz="0" w:space="0" w:color="auto"/>
        <w:bottom w:val="none" w:sz="0" w:space="0" w:color="auto"/>
        <w:right w:val="none" w:sz="0" w:space="0" w:color="auto"/>
      </w:divBdr>
    </w:div>
    <w:div w:id="1704399483">
      <w:bodyDiv w:val="1"/>
      <w:marLeft w:val="0"/>
      <w:marRight w:val="0"/>
      <w:marTop w:val="0"/>
      <w:marBottom w:val="0"/>
      <w:divBdr>
        <w:top w:val="none" w:sz="0" w:space="0" w:color="auto"/>
        <w:left w:val="none" w:sz="0" w:space="0" w:color="auto"/>
        <w:bottom w:val="none" w:sz="0" w:space="0" w:color="auto"/>
        <w:right w:val="none" w:sz="0" w:space="0" w:color="auto"/>
      </w:divBdr>
    </w:div>
    <w:div w:id="1721127317">
      <w:bodyDiv w:val="1"/>
      <w:marLeft w:val="0"/>
      <w:marRight w:val="0"/>
      <w:marTop w:val="0"/>
      <w:marBottom w:val="0"/>
      <w:divBdr>
        <w:top w:val="none" w:sz="0" w:space="0" w:color="auto"/>
        <w:left w:val="none" w:sz="0" w:space="0" w:color="auto"/>
        <w:bottom w:val="none" w:sz="0" w:space="0" w:color="auto"/>
        <w:right w:val="none" w:sz="0" w:space="0" w:color="auto"/>
      </w:divBdr>
    </w:div>
    <w:div w:id="1760061984">
      <w:bodyDiv w:val="1"/>
      <w:marLeft w:val="0"/>
      <w:marRight w:val="0"/>
      <w:marTop w:val="0"/>
      <w:marBottom w:val="0"/>
      <w:divBdr>
        <w:top w:val="none" w:sz="0" w:space="0" w:color="auto"/>
        <w:left w:val="none" w:sz="0" w:space="0" w:color="auto"/>
        <w:bottom w:val="none" w:sz="0" w:space="0" w:color="auto"/>
        <w:right w:val="none" w:sz="0" w:space="0" w:color="auto"/>
      </w:divBdr>
    </w:div>
    <w:div w:id="1767310927">
      <w:bodyDiv w:val="1"/>
      <w:marLeft w:val="0"/>
      <w:marRight w:val="0"/>
      <w:marTop w:val="0"/>
      <w:marBottom w:val="0"/>
      <w:divBdr>
        <w:top w:val="none" w:sz="0" w:space="0" w:color="auto"/>
        <w:left w:val="none" w:sz="0" w:space="0" w:color="auto"/>
        <w:bottom w:val="none" w:sz="0" w:space="0" w:color="auto"/>
        <w:right w:val="none" w:sz="0" w:space="0" w:color="auto"/>
      </w:divBdr>
    </w:div>
    <w:div w:id="1833108104">
      <w:bodyDiv w:val="1"/>
      <w:marLeft w:val="0"/>
      <w:marRight w:val="0"/>
      <w:marTop w:val="0"/>
      <w:marBottom w:val="0"/>
      <w:divBdr>
        <w:top w:val="none" w:sz="0" w:space="0" w:color="auto"/>
        <w:left w:val="none" w:sz="0" w:space="0" w:color="auto"/>
        <w:bottom w:val="none" w:sz="0" w:space="0" w:color="auto"/>
        <w:right w:val="none" w:sz="0" w:space="0" w:color="auto"/>
      </w:divBdr>
    </w:div>
    <w:div w:id="1846246813">
      <w:bodyDiv w:val="1"/>
      <w:marLeft w:val="0"/>
      <w:marRight w:val="0"/>
      <w:marTop w:val="0"/>
      <w:marBottom w:val="0"/>
      <w:divBdr>
        <w:top w:val="none" w:sz="0" w:space="0" w:color="auto"/>
        <w:left w:val="none" w:sz="0" w:space="0" w:color="auto"/>
        <w:bottom w:val="none" w:sz="0" w:space="0" w:color="auto"/>
        <w:right w:val="none" w:sz="0" w:space="0" w:color="auto"/>
      </w:divBdr>
    </w:div>
    <w:div w:id="1957636943">
      <w:bodyDiv w:val="1"/>
      <w:marLeft w:val="0"/>
      <w:marRight w:val="0"/>
      <w:marTop w:val="0"/>
      <w:marBottom w:val="0"/>
      <w:divBdr>
        <w:top w:val="none" w:sz="0" w:space="0" w:color="auto"/>
        <w:left w:val="none" w:sz="0" w:space="0" w:color="auto"/>
        <w:bottom w:val="none" w:sz="0" w:space="0" w:color="auto"/>
        <w:right w:val="none" w:sz="0" w:space="0" w:color="auto"/>
      </w:divBdr>
    </w:div>
    <w:div w:id="1979339747">
      <w:bodyDiv w:val="1"/>
      <w:marLeft w:val="0"/>
      <w:marRight w:val="0"/>
      <w:marTop w:val="0"/>
      <w:marBottom w:val="0"/>
      <w:divBdr>
        <w:top w:val="none" w:sz="0" w:space="0" w:color="auto"/>
        <w:left w:val="none" w:sz="0" w:space="0" w:color="auto"/>
        <w:bottom w:val="none" w:sz="0" w:space="0" w:color="auto"/>
        <w:right w:val="none" w:sz="0" w:space="0" w:color="auto"/>
      </w:divBdr>
    </w:div>
    <w:div w:id="1990748246">
      <w:bodyDiv w:val="1"/>
      <w:marLeft w:val="0"/>
      <w:marRight w:val="0"/>
      <w:marTop w:val="0"/>
      <w:marBottom w:val="0"/>
      <w:divBdr>
        <w:top w:val="none" w:sz="0" w:space="0" w:color="auto"/>
        <w:left w:val="none" w:sz="0" w:space="0" w:color="auto"/>
        <w:bottom w:val="none" w:sz="0" w:space="0" w:color="auto"/>
        <w:right w:val="none" w:sz="0" w:space="0" w:color="auto"/>
      </w:divBdr>
    </w:div>
    <w:div w:id="2133286886">
      <w:bodyDiv w:val="1"/>
      <w:marLeft w:val="0"/>
      <w:marRight w:val="0"/>
      <w:marTop w:val="0"/>
      <w:marBottom w:val="0"/>
      <w:divBdr>
        <w:top w:val="none" w:sz="0" w:space="0" w:color="auto"/>
        <w:left w:val="none" w:sz="0" w:space="0" w:color="auto"/>
        <w:bottom w:val="none" w:sz="0" w:space="0" w:color="auto"/>
        <w:right w:val="none" w:sz="0" w:space="0" w:color="auto"/>
      </w:divBdr>
    </w:div>
    <w:div w:id="21337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powerinnovation.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powerinnovation.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unice.lemos-adair@energy.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ofPublicationorEvent xmlns="785685f2-c2e1-4352-89aa-3faca8eaba52" xsi:nil="true"/>
    <TaxCatchAll xmlns="5067c814-4b34-462c-a21d-c185ff6548d2" xsi:nil="true"/>
    <TopicsofInterest xmlns="785685f2-c2e1-4352-89aa-3faca8eaba52" xsi:nil="true"/>
    <Descr xmlns="785685f2-c2e1-4352-89aa-3faca8eaba5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08A9E-0408-493B-8EB2-5E28A0822460}">
  <ds:schemaRefs>
    <ds:schemaRef ds:uri="http://schemas.microsoft.com/office/2006/metadata/properties"/>
    <ds:schemaRef ds:uri="http://www.w3.org/XML/1998/namespace"/>
    <ds:schemaRef ds:uri="http://purl.org/dc/terms/"/>
    <ds:schemaRef ds:uri="5067c814-4b34-462c-a21d-c185ff6548d2"/>
    <ds:schemaRef ds:uri="785685f2-c2e1-4352-89aa-3faca8eaba52"/>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E8F691A-73DC-4BEE-917E-43AAE1DEE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BD2FC-F6D0-4898-999B-CCC814DBA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21572</CharactersWithSpaces>
  <SharedDoc>false</SharedDoc>
  <HLinks>
    <vt:vector size="30" baseType="variant">
      <vt:variant>
        <vt:i4>2162733</vt:i4>
      </vt:variant>
      <vt:variant>
        <vt:i4>9</vt:i4>
      </vt:variant>
      <vt:variant>
        <vt:i4>0</vt:i4>
      </vt:variant>
      <vt:variant>
        <vt:i4>5</vt:i4>
      </vt:variant>
      <vt:variant>
        <vt:lpwstr>https://www.empowerinnovation.net/</vt:lpwstr>
      </vt:variant>
      <vt:variant>
        <vt:lpwstr/>
      </vt:variant>
      <vt:variant>
        <vt:i4>2162733</vt:i4>
      </vt:variant>
      <vt:variant>
        <vt:i4>6</vt:i4>
      </vt:variant>
      <vt:variant>
        <vt:i4>0</vt:i4>
      </vt:variant>
      <vt:variant>
        <vt:i4>5</vt:i4>
      </vt:variant>
      <vt:variant>
        <vt:lpwstr>https://www.empowerinnovation.net/</vt:lpwstr>
      </vt:variant>
      <vt:variant>
        <vt:lpwstr/>
      </vt:variant>
      <vt:variant>
        <vt:i4>589948</vt:i4>
      </vt:variant>
      <vt:variant>
        <vt:i4>3</vt:i4>
      </vt:variant>
      <vt:variant>
        <vt:i4>0</vt:i4>
      </vt:variant>
      <vt:variant>
        <vt:i4>5</vt:i4>
      </vt:variant>
      <vt:variant>
        <vt:lpwstr>mailto:eunice.lemos-adair@energy.ca.gov</vt:lpwstr>
      </vt:variant>
      <vt:variant>
        <vt:lpwstr/>
      </vt:variant>
      <vt:variant>
        <vt:i4>5570683</vt:i4>
      </vt:variant>
      <vt:variant>
        <vt:i4>3</vt:i4>
      </vt:variant>
      <vt:variant>
        <vt:i4>0</vt:i4>
      </vt:variant>
      <vt:variant>
        <vt:i4>5</vt:i4>
      </vt:variant>
      <vt:variant>
        <vt:lpwstr>mailto:Brittani.Gallagher@energy.ca.gov</vt:lpwstr>
      </vt:variant>
      <vt:variant>
        <vt:lpwstr/>
      </vt:variant>
      <vt:variant>
        <vt:i4>5570683</vt:i4>
      </vt:variant>
      <vt:variant>
        <vt:i4>0</vt:i4>
      </vt:variant>
      <vt:variant>
        <vt:i4>0</vt:i4>
      </vt:variant>
      <vt:variant>
        <vt:i4>5</vt:i4>
      </vt:variant>
      <vt:variant>
        <vt:lpwstr>mailto:Brittani.Gallagher@energy.ca.gov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 Butler II</dc:creator>
  <cp:keywords/>
  <cp:lastModifiedBy>Lemos-Adair, Eunice@Energy</cp:lastModifiedBy>
  <cp:revision>567</cp:revision>
  <dcterms:created xsi:type="dcterms:W3CDTF">2024-11-12T23:04:00Z</dcterms:created>
  <dcterms:modified xsi:type="dcterms:W3CDTF">2024-12-16T22:42:00Z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