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9D69B" w14:textId="1E276FE2" w:rsidR="00B1122A" w:rsidRPr="00E937D6" w:rsidRDefault="00B1122A" w:rsidP="00411DA3">
      <w:pPr>
        <w:ind w:left="0"/>
        <w:jc w:val="center"/>
        <w:rPr>
          <w:rFonts w:cs="Tahoma"/>
          <w:b/>
          <w:bCs/>
        </w:rPr>
      </w:pPr>
      <w:r w:rsidRPr="00E937D6">
        <w:rPr>
          <w:rFonts w:cs="Tahoma"/>
          <w:b/>
          <w:bCs/>
        </w:rPr>
        <w:t>GFO-2</w:t>
      </w:r>
      <w:r w:rsidR="00DB6B8C">
        <w:rPr>
          <w:rFonts w:cs="Tahoma"/>
          <w:b/>
          <w:bCs/>
        </w:rPr>
        <w:t>4-604</w:t>
      </w:r>
    </w:p>
    <w:p w14:paraId="159DEFC1" w14:textId="3632286D" w:rsidR="7377D879" w:rsidRPr="00E937D6" w:rsidRDefault="000F2D15" w:rsidP="00411DA3">
      <w:pPr>
        <w:spacing w:line="259" w:lineRule="auto"/>
        <w:ind w:left="0"/>
        <w:jc w:val="center"/>
        <w:rPr>
          <w:rFonts w:cs="Tahoma"/>
        </w:rPr>
      </w:pPr>
      <w:r w:rsidRPr="000F2D15">
        <w:rPr>
          <w:rFonts w:eastAsia="Calibri" w:cs="Tahoma"/>
          <w:b/>
          <w:bCs/>
          <w:color w:val="000000" w:themeColor="text1"/>
        </w:rPr>
        <w:t>Reliable, Equitable, and Accessible Charging for Multi-family Housing 3.0 (REACH 3.0)</w:t>
      </w:r>
    </w:p>
    <w:p w14:paraId="6587D6BB" w14:textId="5C784ACB" w:rsidR="00B1122A" w:rsidRPr="00E937D6" w:rsidRDefault="00B1122A" w:rsidP="00411DA3">
      <w:pPr>
        <w:autoSpaceDE w:val="0"/>
        <w:autoSpaceDN w:val="0"/>
        <w:adjustRightInd w:val="0"/>
        <w:ind w:left="0"/>
        <w:jc w:val="center"/>
        <w:rPr>
          <w:rFonts w:eastAsia="Calibri" w:cs="Tahoma"/>
          <w:b/>
          <w:bCs/>
          <w:color w:val="000000"/>
        </w:rPr>
      </w:pPr>
      <w:r w:rsidRPr="00E937D6">
        <w:rPr>
          <w:rFonts w:eastAsia="Calibri" w:cs="Tahoma"/>
          <w:b/>
          <w:bCs/>
          <w:color w:val="000000"/>
        </w:rPr>
        <w:t xml:space="preserve">Addendum </w:t>
      </w:r>
      <w:r w:rsidR="00B33F69" w:rsidRPr="00E937D6">
        <w:rPr>
          <w:rFonts w:eastAsia="Calibri" w:cs="Tahoma"/>
          <w:b/>
          <w:bCs/>
          <w:color w:val="000000"/>
        </w:rPr>
        <w:t>1</w:t>
      </w:r>
    </w:p>
    <w:p w14:paraId="07143021" w14:textId="7120A744" w:rsidR="00CB243A" w:rsidRPr="00A35D1D" w:rsidRDefault="00156CB4" w:rsidP="00411DA3">
      <w:pPr>
        <w:autoSpaceDE w:val="0"/>
        <w:autoSpaceDN w:val="0"/>
        <w:adjustRightInd w:val="0"/>
        <w:ind w:left="0"/>
        <w:jc w:val="center"/>
        <w:rPr>
          <w:rFonts w:eastAsia="Calibri" w:cs="Tahoma"/>
          <w:b/>
          <w:bCs/>
          <w:color w:val="000000"/>
        </w:rPr>
      </w:pPr>
      <w:r>
        <w:rPr>
          <w:rFonts w:eastAsia="Calibri" w:cs="Tahoma"/>
          <w:b/>
          <w:bCs/>
          <w:color w:val="000000" w:themeColor="text1"/>
        </w:rPr>
        <w:t>January 2, 2025</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3E9E94F7" w:rsidR="00B1122A" w:rsidRPr="00E937D6" w:rsidRDefault="00B1122A" w:rsidP="00411DA3">
      <w:pPr>
        <w:autoSpaceDE w:val="0"/>
        <w:autoSpaceDN w:val="0"/>
        <w:adjustRightInd w:val="0"/>
        <w:ind w:left="0"/>
        <w:rPr>
          <w:rFonts w:eastAsia="Calibri" w:cs="Tahoma"/>
          <w:color w:val="000000"/>
        </w:rPr>
      </w:pPr>
      <w:r w:rsidRPr="3AA5866E">
        <w:rPr>
          <w:rFonts w:eastAsia="Calibri" w:cs="Tahoma"/>
          <w:color w:val="000000" w:themeColor="text1"/>
        </w:rPr>
        <w:t>The purpose of this addendum is to notify potential applicants of changes that have been made to GFO-2</w:t>
      </w:r>
      <w:r w:rsidR="00A7127F" w:rsidRPr="3AA5866E">
        <w:rPr>
          <w:rFonts w:eastAsia="Calibri" w:cs="Tahoma"/>
          <w:color w:val="000000" w:themeColor="text1"/>
        </w:rPr>
        <w:t>4</w:t>
      </w:r>
      <w:r w:rsidRPr="3AA5866E">
        <w:rPr>
          <w:rFonts w:eastAsia="Calibri" w:cs="Tahoma"/>
          <w:color w:val="000000" w:themeColor="text1"/>
        </w:rPr>
        <w:t>-</w:t>
      </w:r>
      <w:r w:rsidR="00B33F69" w:rsidRPr="3AA5866E">
        <w:rPr>
          <w:rFonts w:eastAsia="Calibri" w:cs="Tahoma"/>
          <w:color w:val="000000" w:themeColor="text1"/>
        </w:rPr>
        <w:t>6</w:t>
      </w:r>
      <w:r w:rsidR="193FE102" w:rsidRPr="3AA5866E">
        <w:rPr>
          <w:rFonts w:eastAsia="Calibri" w:cs="Tahoma"/>
          <w:color w:val="000000" w:themeColor="text1"/>
        </w:rPr>
        <w:t>0</w:t>
      </w:r>
      <w:r w:rsidR="00A7127F" w:rsidRPr="3AA5866E">
        <w:rPr>
          <w:rFonts w:eastAsia="Calibri" w:cs="Tahoma"/>
          <w:color w:val="000000" w:themeColor="text1"/>
        </w:rPr>
        <w:t>4</w:t>
      </w:r>
      <w:r w:rsidRPr="3AA5866E">
        <w:rPr>
          <w:rFonts w:eastAsia="Calibri" w:cs="Tahoma"/>
          <w:color w:val="000000" w:themeColor="text1"/>
        </w:rPr>
        <w:t xml:space="preserve">. </w:t>
      </w:r>
      <w:r w:rsidR="00C8010F" w:rsidRPr="3AA5866E">
        <w:rPr>
          <w:rFonts w:eastAsia="Calibri" w:cs="Tahoma"/>
          <w:color w:val="000000" w:themeColor="text1"/>
        </w:rPr>
        <w:t>The addendum includes the following revisions to the Solicitation Manual</w:t>
      </w:r>
      <w:r w:rsidR="001A2B84" w:rsidRPr="3AA5866E">
        <w:rPr>
          <w:rFonts w:eastAsia="Calibri" w:cs="Tahoma"/>
          <w:color w:val="000000" w:themeColor="text1"/>
        </w:rPr>
        <w:t>, Scope of Work, and Schedule of Products and Due Dates</w:t>
      </w:r>
      <w:r w:rsidR="3CE4F961" w:rsidRPr="3AA5866E">
        <w:rPr>
          <w:rFonts w:eastAsia="Calibri" w:cs="Tahoma"/>
          <w:color w:val="000000" w:themeColor="text1"/>
        </w:rPr>
        <w:t>, as well as an added Special Terms and Conditions</w:t>
      </w:r>
      <w:r w:rsidR="20BD5DFA" w:rsidRPr="3AA5866E">
        <w:rPr>
          <w:rFonts w:eastAsia="Calibri" w:cs="Tahoma"/>
          <w:color w:val="000000" w:themeColor="text1"/>
        </w:rPr>
        <w:t xml:space="preserve"> (Bankruptcy)</w:t>
      </w:r>
      <w:r w:rsidR="00C8010F" w:rsidRPr="3AA5866E">
        <w:rPr>
          <w:rFonts w:eastAsia="Calibri" w:cs="Tahoma"/>
          <w:color w:val="000000" w:themeColor="text1"/>
        </w:rPr>
        <w:t xml:space="preserve">. </w:t>
      </w:r>
      <w:r w:rsidRPr="3AA5866E">
        <w:rPr>
          <w:rFonts w:eastAsia="Calibri" w:cs="Tahoma"/>
          <w:color w:val="000000" w:themeColor="text1"/>
        </w:rPr>
        <w:t xml:space="preserve">Added language appears in </w:t>
      </w:r>
      <w:r w:rsidRPr="3AA5866E">
        <w:rPr>
          <w:rFonts w:eastAsia="Calibri" w:cs="Tahoma"/>
          <w:b/>
          <w:bCs/>
          <w:color w:val="000000" w:themeColor="text1"/>
          <w:u w:val="single"/>
        </w:rPr>
        <w:t>bold underline</w:t>
      </w:r>
      <w:r w:rsidRPr="3AA5866E">
        <w:rPr>
          <w:rFonts w:eastAsia="Calibri" w:cs="Tahoma"/>
          <w:color w:val="000000" w:themeColor="text1"/>
        </w:rPr>
        <w:t>, and deleted language appears in [</w:t>
      </w:r>
      <w:r w:rsidRPr="3AA5866E">
        <w:rPr>
          <w:rFonts w:eastAsia="Calibri" w:cs="Tahoma"/>
          <w:strike/>
          <w:color w:val="000000" w:themeColor="text1"/>
        </w:rPr>
        <w:t>strikethrough</w:t>
      </w:r>
      <w:r w:rsidRPr="3AA5866E">
        <w:rPr>
          <w:rFonts w:eastAsia="Calibri" w:cs="Tahoma"/>
          <w:color w:val="000000" w:themeColor="text1"/>
        </w:rPr>
        <w:t>] and within square brackets.</w:t>
      </w:r>
    </w:p>
    <w:p w14:paraId="000B0B09" w14:textId="77777777" w:rsidR="00B1122A" w:rsidRPr="00E937D6" w:rsidRDefault="00B1122A" w:rsidP="00411DA3">
      <w:pPr>
        <w:autoSpaceDE w:val="0"/>
        <w:autoSpaceDN w:val="0"/>
        <w:adjustRightInd w:val="0"/>
        <w:ind w:left="0"/>
        <w:jc w:val="center"/>
        <w:rPr>
          <w:rFonts w:eastAsia="Calibri" w:cs="Tahoma"/>
          <w:color w:val="000000"/>
        </w:rPr>
      </w:pPr>
    </w:p>
    <w:p w14:paraId="42B2FCAF" w14:textId="21CB52A5" w:rsidR="00B1122A" w:rsidRPr="00E937D6" w:rsidRDefault="00A16D84" w:rsidP="00411DA3">
      <w:pPr>
        <w:pStyle w:val="Heading1"/>
        <w:ind w:left="0"/>
      </w:pPr>
      <w:r>
        <w:t xml:space="preserve"> </w:t>
      </w:r>
      <w:r w:rsidR="00B1122A" w:rsidRPr="00E937D6">
        <w:t xml:space="preserve">Solicitation Manual </w:t>
      </w:r>
    </w:p>
    <w:p w14:paraId="4C0D4597" w14:textId="39855C9A" w:rsidR="00791959" w:rsidRPr="00E937D6" w:rsidRDefault="00E0283C" w:rsidP="006E0DAF">
      <w:pPr>
        <w:pStyle w:val="ListParagraph"/>
        <w:keepNext/>
        <w:keepLines/>
        <w:numPr>
          <w:ilvl w:val="0"/>
          <w:numId w:val="6"/>
        </w:numPr>
        <w:spacing w:after="120"/>
        <w:contextualSpacing w:val="0"/>
        <w:outlineLvl w:val="1"/>
        <w:rPr>
          <w:rFonts w:eastAsiaTheme="majorEastAsia" w:cs="Tahoma"/>
          <w:b/>
          <w:bCs/>
        </w:rPr>
      </w:pPr>
      <w:r w:rsidRPr="00E937D6">
        <w:rPr>
          <w:rFonts w:eastAsiaTheme="majorEastAsia" w:cs="Tahoma"/>
          <w:b/>
          <w:bCs/>
        </w:rPr>
        <w:t xml:space="preserve">Page </w:t>
      </w:r>
      <w:r w:rsidR="00A80B98">
        <w:rPr>
          <w:rFonts w:eastAsiaTheme="majorEastAsia" w:cs="Tahoma"/>
          <w:b/>
          <w:bCs/>
        </w:rPr>
        <w:t>3</w:t>
      </w:r>
      <w:r w:rsidRPr="00E937D6">
        <w:rPr>
          <w:rFonts w:eastAsiaTheme="majorEastAsia" w:cs="Tahoma"/>
          <w:b/>
          <w:bCs/>
        </w:rPr>
        <w:t xml:space="preserve">, </w:t>
      </w:r>
      <w:r w:rsidR="002F7C88">
        <w:rPr>
          <w:rFonts w:eastAsiaTheme="majorEastAsia" w:cs="Tahoma"/>
          <w:b/>
          <w:bCs/>
        </w:rPr>
        <w:t xml:space="preserve">Section I.G. </w:t>
      </w:r>
      <w:r w:rsidR="00A80B98">
        <w:rPr>
          <w:rFonts w:eastAsiaTheme="majorEastAsia" w:cs="Tahoma"/>
          <w:b/>
          <w:bCs/>
        </w:rPr>
        <w:t>Maximum and Minimum Award Amounts</w:t>
      </w:r>
    </w:p>
    <w:p w14:paraId="5923033B" w14:textId="77777777" w:rsidR="00E25B66" w:rsidRPr="00E25B66" w:rsidRDefault="00E25B66" w:rsidP="00275D43">
      <w:pPr>
        <w:pStyle w:val="ListParagraph"/>
        <w:numPr>
          <w:ilvl w:val="0"/>
          <w:numId w:val="28"/>
        </w:numPr>
        <w:ind w:left="1080" w:hanging="720"/>
        <w:rPr>
          <w:rFonts w:cs="Tahoma"/>
        </w:rPr>
      </w:pPr>
      <w:r w:rsidRPr="00E25B66">
        <w:rPr>
          <w:rFonts w:cs="Tahoma"/>
        </w:rPr>
        <w:t>There will be no minimum project award. However, projects are expected to meet the minimum charging port count of 120 and serve at least 360 MFH units. See section II.B.2 for details. Projects are encouraged to exceed the</w:t>
      </w:r>
      <w:r w:rsidRPr="00E25B66">
        <w:rPr>
          <w:rFonts w:cs="Tahoma"/>
          <w:b/>
          <w:bCs/>
          <w:u w:val="single"/>
        </w:rPr>
        <w:t>se minimums</w:t>
      </w:r>
      <w:r w:rsidRPr="00E25B66">
        <w:rPr>
          <w:rFonts w:cs="Tahoma"/>
        </w:rPr>
        <w:t xml:space="preserve"> [</w:t>
      </w:r>
      <w:r w:rsidRPr="00E25B66">
        <w:rPr>
          <w:rFonts w:cs="Tahoma"/>
          <w:strike/>
        </w:rPr>
        <w:t>120 MFH unit minimum</w:t>
      </w:r>
      <w:r w:rsidRPr="00E25B66">
        <w:rPr>
          <w:rFonts w:cs="Tahoma"/>
        </w:rPr>
        <w:t xml:space="preserve">]. </w:t>
      </w:r>
    </w:p>
    <w:p w14:paraId="55C087FF" w14:textId="77777777" w:rsidR="00F53A60" w:rsidRPr="00E25B66" w:rsidRDefault="00F53A60" w:rsidP="00C80659">
      <w:pPr>
        <w:pStyle w:val="ListParagraph"/>
        <w:rPr>
          <w:rFonts w:ascii="Arial" w:hAnsi="Arial" w:cs="Arial"/>
          <w:b/>
          <w:bCs/>
          <w:u w:val="single"/>
        </w:rPr>
      </w:pPr>
    </w:p>
    <w:p w14:paraId="1608B5ED" w14:textId="22987F2A" w:rsidR="34088E31" w:rsidRPr="004578F5" w:rsidRDefault="34088E31" w:rsidP="00F53A60">
      <w:pPr>
        <w:pStyle w:val="ListParagraph"/>
        <w:keepNext/>
        <w:keepLines/>
        <w:numPr>
          <w:ilvl w:val="0"/>
          <w:numId w:val="6"/>
        </w:numPr>
        <w:spacing w:after="120"/>
        <w:outlineLvl w:val="1"/>
        <w:rPr>
          <w:rFonts w:eastAsiaTheme="majorEastAsia" w:cs="Tahoma"/>
          <w:b/>
          <w:bCs/>
        </w:rPr>
      </w:pPr>
      <w:r w:rsidRPr="004578F5">
        <w:rPr>
          <w:rFonts w:eastAsiaTheme="majorEastAsia" w:cs="Tahoma"/>
          <w:b/>
          <w:bCs/>
        </w:rPr>
        <w:t xml:space="preserve">Page </w:t>
      </w:r>
      <w:r w:rsidR="002F7C88">
        <w:rPr>
          <w:rFonts w:eastAsiaTheme="majorEastAsia" w:cs="Tahoma"/>
          <w:b/>
          <w:bCs/>
        </w:rPr>
        <w:t>3</w:t>
      </w:r>
      <w:r w:rsidRPr="004578F5">
        <w:rPr>
          <w:rFonts w:eastAsiaTheme="majorEastAsia" w:cs="Tahoma"/>
          <w:b/>
          <w:bCs/>
        </w:rPr>
        <w:t>, Section I.</w:t>
      </w:r>
      <w:r w:rsidR="002F7C88">
        <w:rPr>
          <w:rFonts w:eastAsiaTheme="majorEastAsia" w:cs="Tahoma"/>
          <w:b/>
          <w:bCs/>
        </w:rPr>
        <w:t>H</w:t>
      </w:r>
      <w:r w:rsidRPr="004578F5">
        <w:rPr>
          <w:rFonts w:eastAsiaTheme="majorEastAsia" w:cs="Tahoma"/>
          <w:b/>
          <w:bCs/>
        </w:rPr>
        <w:t xml:space="preserve">. </w:t>
      </w:r>
      <w:r w:rsidR="002F7C88">
        <w:rPr>
          <w:rFonts w:eastAsiaTheme="majorEastAsia" w:cs="Tahoma"/>
          <w:b/>
          <w:bCs/>
        </w:rPr>
        <w:t>Maximum Number of Applications</w:t>
      </w:r>
    </w:p>
    <w:p w14:paraId="2B024861" w14:textId="6BD4FDB6" w:rsidR="00FA4B93" w:rsidRDefault="00C80659" w:rsidP="00FA4B93">
      <w:pPr>
        <w:keepNext/>
        <w:keepLines/>
        <w:spacing w:before="40" w:line="259" w:lineRule="auto"/>
        <w:rPr>
          <w:rFonts w:eastAsiaTheme="majorEastAsia" w:cs="Tahoma"/>
          <w:b/>
          <w:bCs/>
          <w:u w:val="single"/>
        </w:rPr>
      </w:pPr>
      <w:r w:rsidRPr="00C80659">
        <w:rPr>
          <w:rFonts w:eastAsiaTheme="majorEastAsia" w:cs="Tahoma"/>
        </w:rPr>
        <w:t>Applicants are only eligible to submit one application under this solicitation</w:t>
      </w:r>
      <w:r w:rsidRPr="00FA4B93">
        <w:rPr>
          <w:rFonts w:eastAsiaTheme="majorEastAsia" w:cs="Tahoma"/>
        </w:rPr>
        <w:t>.</w:t>
      </w:r>
      <w:r w:rsidRPr="00C80659">
        <w:rPr>
          <w:rFonts w:eastAsiaTheme="majorEastAsia" w:cs="Tahoma"/>
          <w:b/>
          <w:bCs/>
          <w:u w:val="single"/>
        </w:rPr>
        <w:t xml:space="preserve"> An application may only include one project.</w:t>
      </w:r>
    </w:p>
    <w:p w14:paraId="55A7AD7C" w14:textId="77777777" w:rsidR="00677B5B" w:rsidRDefault="00677B5B" w:rsidP="00FA4B93">
      <w:pPr>
        <w:keepNext/>
        <w:keepLines/>
        <w:spacing w:before="40" w:line="259" w:lineRule="auto"/>
        <w:rPr>
          <w:rFonts w:eastAsiaTheme="majorEastAsia" w:cs="Tahoma"/>
          <w:b/>
          <w:bCs/>
          <w:u w:val="single"/>
        </w:rPr>
      </w:pPr>
    </w:p>
    <w:p w14:paraId="1D7301F0" w14:textId="674EA4C3" w:rsidR="00FA4B93" w:rsidRPr="00677B5B" w:rsidRDefault="00FA4B93" w:rsidP="00E02D28">
      <w:pPr>
        <w:pStyle w:val="Heading2"/>
        <w:rPr>
          <w:u w:val="single"/>
        </w:rPr>
      </w:pPr>
      <w:r>
        <w:t xml:space="preserve">Page 10, Section </w:t>
      </w:r>
      <w:r w:rsidR="00F80E8A">
        <w:t>I</w:t>
      </w:r>
      <w:r>
        <w:t>I.B.</w:t>
      </w:r>
      <w:r w:rsidR="00677B5B">
        <w:t>1. Eligible Projects</w:t>
      </w:r>
    </w:p>
    <w:p w14:paraId="44865437" w14:textId="77777777" w:rsidR="0075788F" w:rsidRPr="0075788F" w:rsidRDefault="0075788F" w:rsidP="0075788F">
      <w:pPr>
        <w:rPr>
          <w:rStyle w:val="ui-provider"/>
          <w:rFonts w:cs="Tahoma"/>
          <w:strike/>
        </w:rPr>
      </w:pPr>
      <w:r w:rsidRPr="0075788F">
        <w:rPr>
          <w:rStyle w:val="ui-provider"/>
          <w:rFonts w:cs="Tahoma"/>
        </w:rPr>
        <w:t>[</w:t>
      </w:r>
      <w:r w:rsidRPr="0075788F">
        <w:rPr>
          <w:rStyle w:val="ui-provider"/>
          <w:rFonts w:cs="Tahoma"/>
          <w:strike/>
        </w:rPr>
        <w:t>Applicants are expected to clearly state that their projects will meet the following average cost caps for chargers:</w:t>
      </w:r>
    </w:p>
    <w:p w14:paraId="7059ADBA" w14:textId="77777777" w:rsidR="0075788F" w:rsidRPr="0075788F" w:rsidRDefault="0075788F" w:rsidP="00FF41C6">
      <w:pPr>
        <w:pStyle w:val="ListParagraph"/>
        <w:numPr>
          <w:ilvl w:val="0"/>
          <w:numId w:val="29"/>
        </w:numPr>
        <w:spacing w:after="120"/>
        <w:ind w:left="1080" w:hanging="720"/>
        <w:contextualSpacing w:val="0"/>
        <w:rPr>
          <w:rStyle w:val="ui-provider"/>
          <w:rFonts w:cs="Tahoma"/>
          <w:strike/>
        </w:rPr>
      </w:pPr>
      <w:r w:rsidRPr="0075788F">
        <w:rPr>
          <w:rStyle w:val="ui-provider"/>
          <w:rFonts w:cs="Tahoma"/>
          <w:strike/>
        </w:rPr>
        <w:t xml:space="preserve">Level 2 Chargers: Projects </w:t>
      </w:r>
      <w:r w:rsidRPr="0075788F">
        <w:rPr>
          <w:rStyle w:val="ui-provider"/>
          <w:rFonts w:cs="Tahoma"/>
          <w:bCs/>
          <w:strike/>
        </w:rPr>
        <w:t>may</w:t>
      </w:r>
      <w:r w:rsidRPr="0075788F">
        <w:rPr>
          <w:rStyle w:val="ui-provider"/>
          <w:rFonts w:cs="Tahoma"/>
          <w:strike/>
        </w:rPr>
        <w:t xml:space="preserve"> average no more than </w:t>
      </w:r>
      <w:r w:rsidRPr="0075788F">
        <w:rPr>
          <w:rStyle w:val="ui-provider"/>
          <w:rFonts w:cs="Tahoma"/>
          <w:bCs/>
          <w:strike/>
        </w:rPr>
        <w:t>$12,500</w:t>
      </w:r>
      <w:r w:rsidRPr="0075788F">
        <w:rPr>
          <w:rStyle w:val="ui-provider"/>
          <w:rFonts w:cs="Tahoma"/>
          <w:strike/>
        </w:rPr>
        <w:t xml:space="preserve"> in CEC funds per charging port installed. This cost cap includes all CEC funded costs associated with installing a charging station.</w:t>
      </w:r>
    </w:p>
    <w:p w14:paraId="3B6A9A0D" w14:textId="77777777" w:rsidR="0075788F" w:rsidRPr="0075788F" w:rsidRDefault="0075788F" w:rsidP="0075788F">
      <w:pPr>
        <w:rPr>
          <w:rStyle w:val="ui-provider"/>
          <w:rFonts w:cs="Tahoma"/>
        </w:rPr>
      </w:pPr>
      <w:r w:rsidRPr="0075788F">
        <w:rPr>
          <w:rStyle w:val="ui-provider"/>
          <w:rFonts w:cs="Tahoma"/>
          <w:strike/>
        </w:rPr>
        <w:t>The evaluation team will divide the total CEC award amount by the number of chargers to determine the average cost per charger.</w:t>
      </w:r>
      <w:r w:rsidRPr="0075788F">
        <w:rPr>
          <w:rStyle w:val="ui-provider"/>
          <w:rFonts w:cs="Tahoma"/>
        </w:rPr>
        <w:t>]</w:t>
      </w:r>
      <w:r w:rsidRPr="0075788F">
        <w:rPr>
          <w:rStyle w:val="ui-provider"/>
          <w:rFonts w:cs="Tahoma"/>
          <w:b/>
          <w:bCs/>
          <w:u w:val="single"/>
        </w:rPr>
        <w:t xml:space="preserve">Projects shall adhere to a CEC cost cap of $12,500 per charging port installed. This cost cap includes all CEC reimbursable project costs. Applicants should not request more CEC funding than their project’s CEC cost cap and </w:t>
      </w:r>
    </w:p>
    <w:p w14:paraId="03A4CAB4" w14:textId="5D1A4195" w:rsidR="0075788F" w:rsidRDefault="0075788F" w:rsidP="0075788F">
      <w:pPr>
        <w:rPr>
          <w:rStyle w:val="ui-provider"/>
          <w:rFonts w:cs="Tahoma"/>
        </w:rPr>
      </w:pPr>
      <w:r w:rsidRPr="0075788F">
        <w:rPr>
          <w:rStyle w:val="ui-provider"/>
          <w:rFonts w:cs="Tahoma"/>
          <w:strike/>
        </w:rPr>
        <w:t>[Applicants]</w:t>
      </w:r>
      <w:r w:rsidR="00650631" w:rsidRPr="00650631">
        <w:rPr>
          <w:rStyle w:val="ui-provider"/>
          <w:rFonts w:cs="Tahoma"/>
        </w:rPr>
        <w:t xml:space="preserve"> </w:t>
      </w:r>
      <w:r w:rsidRPr="0075788F">
        <w:rPr>
          <w:rStyle w:val="ui-provider"/>
          <w:rFonts w:cs="Tahoma"/>
        </w:rPr>
        <w:t>should be mindful of this cost cap while preparing and submitting application materials.</w:t>
      </w:r>
    </w:p>
    <w:p w14:paraId="185B8840" w14:textId="77777777" w:rsidR="00171A04" w:rsidRDefault="00171A04" w:rsidP="0075788F">
      <w:pPr>
        <w:rPr>
          <w:rStyle w:val="ui-provider"/>
          <w:rFonts w:cs="Tahoma"/>
        </w:rPr>
      </w:pPr>
    </w:p>
    <w:p w14:paraId="6D3B52F6" w14:textId="643CD0FD" w:rsidR="00171A04" w:rsidRDefault="00E72419" w:rsidP="00735773">
      <w:pPr>
        <w:pStyle w:val="Heading2"/>
        <w:rPr>
          <w:rStyle w:val="ui-provider"/>
        </w:rPr>
      </w:pPr>
      <w:r>
        <w:rPr>
          <w:rStyle w:val="ui-provider"/>
        </w:rPr>
        <w:lastRenderedPageBreak/>
        <w:t xml:space="preserve">Page </w:t>
      </w:r>
      <w:r w:rsidR="00F80E8A">
        <w:rPr>
          <w:rStyle w:val="ui-provider"/>
        </w:rPr>
        <w:t>10, Section II.B</w:t>
      </w:r>
      <w:r w:rsidR="00BC6D81">
        <w:rPr>
          <w:rStyle w:val="ui-provider"/>
        </w:rPr>
        <w:t>.2. Project Size</w:t>
      </w:r>
    </w:p>
    <w:p w14:paraId="3E28263B" w14:textId="77777777" w:rsidR="00632DB3" w:rsidRDefault="00632DB3" w:rsidP="00706949">
      <w:pPr>
        <w:rPr>
          <w:rFonts w:cs="Tahoma"/>
        </w:rPr>
      </w:pPr>
      <w:r w:rsidRPr="00632DB3">
        <w:rPr>
          <w:rFonts w:cs="Tahoma"/>
        </w:rPr>
        <w:t>A project can be comprised of installations at multiple MFH properties. All EVSE installed must meet the minimum distance requirement (within ¼ mile of a MFH property being served through the project). Specific MFH properties to be served by charger installations [</w:t>
      </w:r>
      <w:r w:rsidRPr="00632DB3">
        <w:rPr>
          <w:rFonts w:cs="Tahoma"/>
          <w:strike/>
        </w:rPr>
        <w:t>must</w:t>
      </w:r>
      <w:r w:rsidRPr="00632DB3">
        <w:rPr>
          <w:rFonts w:cs="Tahoma"/>
        </w:rPr>
        <w:t>]</w:t>
      </w:r>
      <w:r w:rsidRPr="00632DB3">
        <w:rPr>
          <w:rFonts w:cs="Tahoma"/>
          <w:b/>
          <w:bCs/>
          <w:u w:val="single"/>
        </w:rPr>
        <w:t>should</w:t>
      </w:r>
      <w:r w:rsidRPr="00632DB3">
        <w:rPr>
          <w:rFonts w:cs="Tahoma"/>
        </w:rPr>
        <w:t xml:space="preserve"> be identified in application materials. </w:t>
      </w:r>
    </w:p>
    <w:p w14:paraId="426F7B5F" w14:textId="77777777" w:rsidR="007466FB" w:rsidRPr="00632DB3" w:rsidRDefault="007466FB" w:rsidP="00706949">
      <w:pPr>
        <w:rPr>
          <w:rFonts w:cs="Tahoma"/>
        </w:rPr>
      </w:pPr>
    </w:p>
    <w:p w14:paraId="536DA9C9" w14:textId="254F8D83" w:rsidR="00BC6D81" w:rsidRPr="00632DB3" w:rsidRDefault="00632DB3" w:rsidP="00706949">
      <w:pPr>
        <w:rPr>
          <w:rFonts w:cs="Tahoma"/>
        </w:rPr>
      </w:pPr>
      <w:r w:rsidRPr="00632DB3">
        <w:rPr>
          <w:rFonts w:cs="Tahoma"/>
        </w:rPr>
        <w:t xml:space="preserve">Projects must consider the number of MFH units that will be served by the EVSE installations at all project properties </w:t>
      </w:r>
      <w:r w:rsidRPr="00632DB3">
        <w:rPr>
          <w:rFonts w:cs="Tahoma"/>
          <w:b/>
          <w:bCs/>
          <w:u w:val="single"/>
        </w:rPr>
        <w:t>and serve at least 360 MFH units</w:t>
      </w:r>
      <w:r w:rsidRPr="00632DB3">
        <w:rPr>
          <w:rFonts w:cs="Tahoma"/>
        </w:rPr>
        <w:t xml:space="preserve">. </w:t>
      </w:r>
      <w:r w:rsidRPr="00632DB3">
        <w:rPr>
          <w:rFonts w:cs="Tahoma"/>
          <w:b/>
          <w:bCs/>
        </w:rPr>
        <w:t>Projects must install a minimum of 120 charging ports.</w:t>
      </w:r>
    </w:p>
    <w:p w14:paraId="580519D1" w14:textId="77777777" w:rsidR="007466FB" w:rsidRDefault="007466FB" w:rsidP="007466FB">
      <w:pPr>
        <w:keepNext/>
        <w:keepLines/>
        <w:spacing w:before="40" w:line="259" w:lineRule="auto"/>
        <w:rPr>
          <w:rFonts w:eastAsiaTheme="majorEastAsia" w:cs="Tahoma"/>
          <w:b/>
          <w:bCs/>
          <w:u w:val="single"/>
        </w:rPr>
      </w:pPr>
    </w:p>
    <w:p w14:paraId="677395B0" w14:textId="78360902" w:rsidR="007466FB" w:rsidRDefault="007466FB" w:rsidP="007466FB">
      <w:pPr>
        <w:pStyle w:val="Heading2"/>
      </w:pPr>
      <w:r>
        <w:t>Page 11, Section II.B.</w:t>
      </w:r>
      <w:r w:rsidR="00FC66B8">
        <w:t>4. Charger Locations and Accessibility and Safety</w:t>
      </w:r>
    </w:p>
    <w:p w14:paraId="66ACC5CA" w14:textId="6894CC19" w:rsidR="00FC66B8" w:rsidRDefault="002A618A" w:rsidP="00FC66B8">
      <w:pPr>
        <w:rPr>
          <w:rFonts w:cs="Tahoma"/>
        </w:rPr>
      </w:pPr>
      <w:r w:rsidRPr="002A618A">
        <w:rPr>
          <w:rFonts w:cs="Tahoma"/>
        </w:rPr>
        <w:t xml:space="preserve">Charging ports must be within ¼ mile </w:t>
      </w:r>
      <w:r w:rsidRPr="002A618A">
        <w:rPr>
          <w:rFonts w:cs="Tahoma"/>
          <w:b/>
          <w:bCs/>
          <w:u w:val="single"/>
        </w:rPr>
        <w:t>walking distance</w:t>
      </w:r>
      <w:r w:rsidRPr="002A618A">
        <w:rPr>
          <w:rFonts w:cs="Tahoma"/>
        </w:rPr>
        <w:t xml:space="preserve"> of the MFH being served.</w:t>
      </w:r>
    </w:p>
    <w:p w14:paraId="4C252978" w14:textId="77777777" w:rsidR="002A618A" w:rsidRDefault="002A618A" w:rsidP="00FC66B8">
      <w:pPr>
        <w:rPr>
          <w:rFonts w:cs="Tahoma"/>
        </w:rPr>
      </w:pPr>
    </w:p>
    <w:p w14:paraId="5B356568" w14:textId="2D539260" w:rsidR="002A618A" w:rsidRDefault="007E5E01" w:rsidP="002A618A">
      <w:pPr>
        <w:pStyle w:val="Heading2"/>
      </w:pPr>
      <w:r>
        <w:t>Page 12, Section II.B.5. Charging Equipment</w:t>
      </w:r>
    </w:p>
    <w:p w14:paraId="7159CF3B" w14:textId="77777777" w:rsidR="000115DC" w:rsidRPr="00EC7CDB" w:rsidRDefault="000115DC" w:rsidP="00706949">
      <w:pPr>
        <w:pStyle w:val="ListParagraph"/>
        <w:numPr>
          <w:ilvl w:val="0"/>
          <w:numId w:val="30"/>
        </w:numPr>
        <w:spacing w:after="120"/>
        <w:ind w:left="1080" w:hanging="720"/>
        <w:contextualSpacing w:val="0"/>
        <w:rPr>
          <w:rFonts w:eastAsia="Tahoma" w:cs="Tahoma"/>
          <w:color w:val="000000" w:themeColor="text1"/>
        </w:rPr>
      </w:pPr>
      <w:r w:rsidRPr="00EC7CDB">
        <w:rPr>
          <w:rFonts w:eastAsia="Tahoma" w:cs="Tahoma"/>
          <w:b/>
          <w:bCs/>
          <w:color w:val="000000" w:themeColor="text1"/>
          <w:u w:val="single"/>
        </w:rPr>
        <w:t xml:space="preserve">All publicly available chargers must be networked. </w:t>
      </w:r>
      <w:r w:rsidRPr="00EC7CDB">
        <w:rPr>
          <w:rFonts w:eastAsia="Tahoma" w:cs="Tahoma"/>
          <w:color w:val="000000" w:themeColor="text1"/>
        </w:rPr>
        <w:t>For the purposes of this solicitation, a networked charger is defined as a charger that has:</w:t>
      </w:r>
    </w:p>
    <w:p w14:paraId="1D6FF595" w14:textId="77777777" w:rsidR="000115DC" w:rsidRPr="00EC7CDB" w:rsidRDefault="000115DC" w:rsidP="001B070D">
      <w:pPr>
        <w:pStyle w:val="ListParagraph"/>
        <w:numPr>
          <w:ilvl w:val="1"/>
          <w:numId w:val="30"/>
        </w:numPr>
        <w:spacing w:after="120"/>
        <w:ind w:left="1800" w:hanging="720"/>
        <w:contextualSpacing w:val="0"/>
        <w:rPr>
          <w:rFonts w:eastAsia="Tahoma" w:cs="Tahoma"/>
          <w:color w:val="000000" w:themeColor="text1"/>
        </w:rPr>
      </w:pPr>
      <w:r w:rsidRPr="00EC7CDB">
        <w:rPr>
          <w:rFonts w:eastAsia="Tahoma" w:cs="Tahoma"/>
          <w:color w:val="000000" w:themeColor="text1"/>
        </w:rPr>
        <w:t>Network connectivity with one of the following:</w:t>
      </w:r>
    </w:p>
    <w:p w14:paraId="6B2D2560" w14:textId="77777777" w:rsidR="000115DC" w:rsidRPr="00EC7CDB" w:rsidRDefault="000115DC" w:rsidP="00BF44A6">
      <w:pPr>
        <w:pStyle w:val="ListParagraph"/>
        <w:numPr>
          <w:ilvl w:val="2"/>
          <w:numId w:val="30"/>
        </w:numPr>
        <w:tabs>
          <w:tab w:val="left" w:pos="3600"/>
        </w:tabs>
        <w:spacing w:after="120"/>
        <w:ind w:left="2520" w:hanging="720"/>
        <w:contextualSpacing w:val="0"/>
        <w:rPr>
          <w:rFonts w:eastAsia="Tahoma" w:cs="Tahoma"/>
          <w:color w:val="000000" w:themeColor="text1"/>
        </w:rPr>
      </w:pPr>
      <w:r w:rsidRPr="00EC7CDB">
        <w:rPr>
          <w:rFonts w:eastAsia="Tahoma" w:cs="Tahoma"/>
          <w:color w:val="000000" w:themeColor="text1"/>
        </w:rPr>
        <w:t>IEEE 802.11n for high-bandwidth wireless networking, or</w:t>
      </w:r>
    </w:p>
    <w:p w14:paraId="3DFFC252" w14:textId="77777777" w:rsidR="000115DC" w:rsidRPr="00EC7CDB" w:rsidRDefault="000115DC" w:rsidP="00BF44A6">
      <w:pPr>
        <w:pStyle w:val="ListParagraph"/>
        <w:numPr>
          <w:ilvl w:val="2"/>
          <w:numId w:val="30"/>
        </w:numPr>
        <w:tabs>
          <w:tab w:val="left" w:pos="3600"/>
        </w:tabs>
        <w:spacing w:after="120"/>
        <w:ind w:left="2520" w:hanging="720"/>
        <w:contextualSpacing w:val="0"/>
        <w:rPr>
          <w:rFonts w:eastAsia="Tahoma" w:cs="Tahoma"/>
          <w:color w:val="000000" w:themeColor="text1"/>
        </w:rPr>
      </w:pPr>
      <w:r w:rsidRPr="00EC7CDB">
        <w:rPr>
          <w:rFonts w:eastAsia="Tahoma" w:cs="Tahoma"/>
          <w:color w:val="000000" w:themeColor="text1"/>
        </w:rPr>
        <w:t>IEEE 802.3 for Ethernet for local- or wide-area network applications, or</w:t>
      </w:r>
    </w:p>
    <w:p w14:paraId="17CE93BE" w14:textId="77777777" w:rsidR="000115DC" w:rsidRPr="00EC7CDB" w:rsidRDefault="000115DC" w:rsidP="00BF44A6">
      <w:pPr>
        <w:pStyle w:val="ListParagraph"/>
        <w:numPr>
          <w:ilvl w:val="2"/>
          <w:numId w:val="30"/>
        </w:numPr>
        <w:tabs>
          <w:tab w:val="left" w:pos="3600"/>
        </w:tabs>
        <w:spacing w:after="120"/>
        <w:ind w:left="2520" w:hanging="720"/>
        <w:contextualSpacing w:val="0"/>
        <w:rPr>
          <w:rFonts w:eastAsia="Tahoma" w:cs="Tahoma"/>
          <w:color w:val="000000" w:themeColor="text1"/>
        </w:rPr>
      </w:pPr>
      <w:r w:rsidRPr="00EC7CDB">
        <w:rPr>
          <w:rFonts w:eastAsia="Tahoma" w:cs="Tahoma"/>
          <w:color w:val="000000" w:themeColor="text1"/>
        </w:rPr>
        <w:t>Cellular network of 4G or newer</w:t>
      </w:r>
    </w:p>
    <w:p w14:paraId="6B068C3B" w14:textId="77777777" w:rsidR="000115DC" w:rsidRPr="00EC7CDB" w:rsidRDefault="000115DC" w:rsidP="001B070D">
      <w:pPr>
        <w:pStyle w:val="ListParagraph"/>
        <w:numPr>
          <w:ilvl w:val="1"/>
          <w:numId w:val="30"/>
        </w:numPr>
        <w:spacing w:after="120"/>
        <w:ind w:left="1800" w:hanging="720"/>
        <w:contextualSpacing w:val="0"/>
        <w:rPr>
          <w:rFonts w:eastAsia="Tahoma" w:cs="Tahoma"/>
          <w:color w:val="000000" w:themeColor="text1"/>
        </w:rPr>
      </w:pPr>
      <w:r w:rsidRPr="00EC7CDB">
        <w:rPr>
          <w:rFonts w:eastAsia="Tahoma" w:cs="Tahoma"/>
          <w:color w:val="000000" w:themeColor="text1"/>
        </w:rPr>
        <w:t>The ability to receive remote software updates, real-time protocol translation, encryption, and decryption, including:</w:t>
      </w:r>
    </w:p>
    <w:p w14:paraId="753E93B7" w14:textId="77777777" w:rsidR="000115DC" w:rsidRPr="00EC7CDB" w:rsidRDefault="000115DC" w:rsidP="00BF44A6">
      <w:pPr>
        <w:pStyle w:val="ListParagraph"/>
        <w:numPr>
          <w:ilvl w:val="2"/>
          <w:numId w:val="30"/>
        </w:numPr>
        <w:spacing w:after="120"/>
        <w:ind w:left="2520" w:hanging="720"/>
        <w:contextualSpacing w:val="0"/>
        <w:rPr>
          <w:rFonts w:eastAsia="Tahoma" w:cs="Tahoma"/>
          <w:color w:val="000000" w:themeColor="text1"/>
        </w:rPr>
      </w:pPr>
      <w:r w:rsidRPr="00EC7CDB">
        <w:rPr>
          <w:rFonts w:eastAsia="Tahoma" w:cs="Tahoma"/>
          <w:color w:val="000000" w:themeColor="text1"/>
        </w:rPr>
        <w:t>Internet Protocol (IP)-based processor which must support multiple protocols, and</w:t>
      </w:r>
    </w:p>
    <w:p w14:paraId="7CB5BD0D" w14:textId="77777777" w:rsidR="000115DC" w:rsidRPr="00EC7CDB" w:rsidRDefault="000115DC" w:rsidP="00BF44A6">
      <w:pPr>
        <w:pStyle w:val="ListParagraph"/>
        <w:numPr>
          <w:ilvl w:val="2"/>
          <w:numId w:val="30"/>
        </w:numPr>
        <w:spacing w:after="120"/>
        <w:ind w:left="2520" w:hanging="720"/>
        <w:contextualSpacing w:val="0"/>
        <w:rPr>
          <w:rFonts w:eastAsia="Tahoma" w:cs="Tahoma"/>
          <w:color w:val="000000" w:themeColor="text1"/>
        </w:rPr>
      </w:pPr>
      <w:r w:rsidRPr="00EC7CDB">
        <w:rPr>
          <w:rFonts w:eastAsia="Tahoma" w:cs="Tahoma"/>
          <w:color w:val="000000" w:themeColor="text1"/>
        </w:rPr>
        <w:t>Compliance with Transmission Control Protocol (TCP)/IP and IPv6.</w:t>
      </w:r>
    </w:p>
    <w:p w14:paraId="63229960" w14:textId="77777777" w:rsidR="000115DC" w:rsidRDefault="000115DC" w:rsidP="001B070D">
      <w:pPr>
        <w:pStyle w:val="ListParagraph"/>
        <w:numPr>
          <w:ilvl w:val="1"/>
          <w:numId w:val="30"/>
        </w:numPr>
        <w:spacing w:after="120"/>
        <w:ind w:left="1800" w:hanging="720"/>
        <w:contextualSpacing w:val="0"/>
        <w:rPr>
          <w:rFonts w:eastAsia="Tahoma" w:cs="Tahoma"/>
          <w:color w:val="000000" w:themeColor="text1"/>
        </w:rPr>
      </w:pPr>
      <w:r w:rsidRPr="00EC7CDB">
        <w:rPr>
          <w:rFonts w:eastAsia="Tahoma" w:cs="Tahoma"/>
          <w:color w:val="000000" w:themeColor="text1"/>
        </w:rPr>
        <w:t>The ability to connect to a network’s back-end software.</w:t>
      </w:r>
    </w:p>
    <w:p w14:paraId="2E66216E" w14:textId="4306F3C2" w:rsidR="00A17474" w:rsidRPr="00EC7CDB" w:rsidRDefault="00A17474" w:rsidP="00A17474">
      <w:pPr>
        <w:pStyle w:val="ListParagraph"/>
        <w:spacing w:after="120"/>
        <w:ind w:left="1800"/>
        <w:contextualSpacing w:val="0"/>
        <w:rPr>
          <w:rFonts w:eastAsia="Tahoma" w:cs="Tahoma"/>
          <w:color w:val="000000" w:themeColor="text1"/>
        </w:rPr>
      </w:pPr>
    </w:p>
    <w:p w14:paraId="4597BE43" w14:textId="478EBDAE" w:rsidR="00FB5001" w:rsidRDefault="00F43EA7" w:rsidP="00BF44A6">
      <w:pPr>
        <w:pStyle w:val="Heading2"/>
      </w:pPr>
      <w:r>
        <w:t>Page 15</w:t>
      </w:r>
      <w:r w:rsidR="008B5344">
        <w:t>-16</w:t>
      </w:r>
      <w:r>
        <w:t>, Section II.B.10. Eligible Project Costs</w:t>
      </w:r>
    </w:p>
    <w:p w14:paraId="3BE3ED3C" w14:textId="77777777" w:rsidR="00714F1F" w:rsidRDefault="00714F1F" w:rsidP="00714F1F">
      <w:pPr>
        <w:rPr>
          <w:u w:val="single"/>
        </w:rPr>
      </w:pPr>
      <w:r>
        <w:t>Costs incurred for the following are eligible for CEC reimbursement or as the Applicant’s match share:</w:t>
      </w:r>
    </w:p>
    <w:p w14:paraId="64C289C9" w14:textId="3EDDC8E9" w:rsidR="00DD6763" w:rsidRPr="008559B1" w:rsidRDefault="00DD6763" w:rsidP="00275D43">
      <w:pPr>
        <w:pStyle w:val="ListParagraph"/>
        <w:numPr>
          <w:ilvl w:val="0"/>
          <w:numId w:val="31"/>
        </w:numPr>
        <w:spacing w:after="120"/>
        <w:ind w:left="1080" w:hanging="720"/>
        <w:contextualSpacing w:val="0"/>
        <w:rPr>
          <w:sz w:val="28"/>
          <w:szCs w:val="28"/>
        </w:rPr>
      </w:pPr>
      <w:r>
        <w:lastRenderedPageBreak/>
        <w:t xml:space="preserve">Maintenance </w:t>
      </w:r>
      <w:r w:rsidRPr="00DD6763">
        <w:rPr>
          <w:b/>
          <w:bCs/>
          <w:u w:val="single"/>
        </w:rPr>
        <w:t>during the term of the agreement</w:t>
      </w:r>
      <w:r>
        <w:t xml:space="preserve">, or </w:t>
      </w:r>
      <w:r w:rsidRPr="00DD6763">
        <w:rPr>
          <w:b/>
          <w:bCs/>
          <w:u w:val="single"/>
        </w:rPr>
        <w:t>a</w:t>
      </w:r>
      <w:r>
        <w:t xml:space="preserve"> maintenance agreement for </w:t>
      </w:r>
      <w:r w:rsidR="00C604D0">
        <w:t>[</w:t>
      </w:r>
      <w:r w:rsidRPr="00DD6763">
        <w:rPr>
          <w:strike/>
        </w:rPr>
        <w:t>the</w:t>
      </w:r>
      <w:r w:rsidR="00C604D0">
        <w:t>]</w:t>
      </w:r>
      <w:r w:rsidRPr="00DD6763">
        <w:rPr>
          <w:b/>
          <w:bCs/>
          <w:u w:val="single"/>
        </w:rPr>
        <w:t>a</w:t>
      </w:r>
      <w:r>
        <w:t xml:space="preserve"> term of </w:t>
      </w:r>
      <w:r w:rsidR="00C604D0">
        <w:t>[</w:t>
      </w:r>
      <w:r w:rsidRPr="00DD6763">
        <w:rPr>
          <w:strike/>
        </w:rPr>
        <w:t>the agreement</w:t>
      </w:r>
      <w:r w:rsidR="00C604D0">
        <w:rPr>
          <w:rFonts w:eastAsia="Tahoma" w:cs="Tahoma"/>
        </w:rPr>
        <w:t>]</w:t>
      </w:r>
      <w:r w:rsidRPr="00C604D0">
        <w:rPr>
          <w:rFonts w:eastAsia="Times New Roman" w:cs="Tahoma"/>
          <w:b/>
          <w:bCs/>
          <w:szCs w:val="22"/>
          <w:u w:val="single"/>
        </w:rPr>
        <w:t>up to six years from installation</w:t>
      </w:r>
    </w:p>
    <w:p w14:paraId="5F78AA59" w14:textId="77777777" w:rsidR="008559B1" w:rsidRDefault="008559B1" w:rsidP="008559B1">
      <w:r>
        <w:t xml:space="preserve">The following are not eligible for CEC reimbursement but may be included as an Applicant’s match share: </w:t>
      </w:r>
    </w:p>
    <w:p w14:paraId="7C76AC94" w14:textId="77777777" w:rsidR="00C204C3" w:rsidRDefault="00C204C3" w:rsidP="00275D43">
      <w:pPr>
        <w:pStyle w:val="ListParagraph"/>
        <w:numPr>
          <w:ilvl w:val="0"/>
          <w:numId w:val="31"/>
        </w:numPr>
        <w:spacing w:after="120"/>
        <w:ind w:left="1080" w:hanging="720"/>
        <w:contextualSpacing w:val="0"/>
      </w:pPr>
      <w:r>
        <w:t xml:space="preserve">Equipment warranties for </w:t>
      </w:r>
      <w:r>
        <w:rPr>
          <w:b/>
          <w:bCs/>
          <w:u w:val="single"/>
        </w:rPr>
        <w:t xml:space="preserve">a term of </w:t>
      </w:r>
      <w:r>
        <w:t xml:space="preserve">up to six years </w:t>
      </w:r>
      <w:r>
        <w:rPr>
          <w:b/>
          <w:bCs/>
          <w:u w:val="single"/>
        </w:rPr>
        <w:t>from installation</w:t>
      </w:r>
      <w:r>
        <w:t xml:space="preserve"> [</w:t>
      </w:r>
      <w:r w:rsidRPr="00C204C3">
        <w:rPr>
          <w:strike/>
        </w:rPr>
        <w:t>following the beginning of operation, only within the agreement term.</w:t>
      </w:r>
      <w:r w:rsidRPr="00BE4E6E">
        <w:t>]</w:t>
      </w:r>
    </w:p>
    <w:p w14:paraId="6FC7A279" w14:textId="77777777" w:rsidR="00C204C3" w:rsidRPr="00411DA3" w:rsidRDefault="00C204C3" w:rsidP="014681A9">
      <w:pPr>
        <w:pStyle w:val="ListParagraph"/>
        <w:numPr>
          <w:ilvl w:val="0"/>
          <w:numId w:val="31"/>
        </w:numPr>
        <w:spacing w:after="120"/>
        <w:ind w:left="1080" w:hanging="720"/>
        <w:rPr>
          <w:b/>
          <w:bCs/>
          <w:u w:val="single"/>
        </w:rPr>
      </w:pPr>
      <w:r>
        <w:t xml:space="preserve">Costs to network chargers </w:t>
      </w:r>
      <w:r w:rsidRPr="014681A9">
        <w:rPr>
          <w:b/>
          <w:bCs/>
        </w:rPr>
        <w:t xml:space="preserve">during the term of the agreement, </w:t>
      </w:r>
      <w:r w:rsidRPr="014681A9">
        <w:rPr>
          <w:b/>
          <w:bCs/>
          <w:u w:val="single"/>
        </w:rPr>
        <w:t>or a networking agreement for a term of up to six years from installation</w:t>
      </w:r>
    </w:p>
    <w:p w14:paraId="10B874BD" w14:textId="4BD720F1" w:rsidR="40753786" w:rsidRDefault="40753786" w:rsidP="014681A9">
      <w:pPr>
        <w:pStyle w:val="ListParagraph"/>
        <w:numPr>
          <w:ilvl w:val="0"/>
          <w:numId w:val="31"/>
        </w:numPr>
        <w:ind w:left="1080" w:hanging="720"/>
        <w:rPr>
          <w:b/>
          <w:bCs/>
          <w:u w:val="single"/>
        </w:rPr>
      </w:pPr>
      <w:r w:rsidRPr="014681A9">
        <w:rPr>
          <w:b/>
          <w:bCs/>
          <w:u w:val="single"/>
        </w:rPr>
        <w:t>Lighting and signage costs</w:t>
      </w:r>
    </w:p>
    <w:p w14:paraId="0E957015" w14:textId="77777777" w:rsidR="00AD58D2" w:rsidRDefault="00AD58D2" w:rsidP="00C620AE">
      <w:pPr>
        <w:ind w:left="0"/>
        <w:rPr>
          <w:b/>
          <w:bCs/>
          <w:u w:val="single"/>
        </w:rPr>
      </w:pPr>
    </w:p>
    <w:p w14:paraId="548AF516" w14:textId="4A930B48" w:rsidR="00C620AE" w:rsidRDefault="00C620AE" w:rsidP="00C620AE">
      <w:pPr>
        <w:pStyle w:val="Heading2"/>
      </w:pPr>
      <w:r>
        <w:t>Page 2</w:t>
      </w:r>
      <w:r w:rsidR="006F0BE3">
        <w:t>1</w:t>
      </w:r>
      <w:r>
        <w:t xml:space="preserve">, Section III.D. </w:t>
      </w:r>
      <w:r w:rsidR="002C1225">
        <w:t>Application Content</w:t>
      </w:r>
    </w:p>
    <w:p w14:paraId="1C32A833" w14:textId="77777777" w:rsidR="00110515" w:rsidRPr="00E277FA" w:rsidRDefault="00110515" w:rsidP="00110515">
      <w:pPr>
        <w:ind w:left="720"/>
      </w:pPr>
      <w:r>
        <w:t xml:space="preserve">Items listed below are required as part of the application package. Failure to provide any items may result in disqualification of the application. Attachment requirements are expanded and explained below in this section and in the attachments themselves. Note that Resumes (Attachment 6) and Letters of Support (Attachment 9) are optional. </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2767"/>
      </w:tblGrid>
      <w:tr w:rsidR="00110515" w:rsidRPr="00050087" w14:paraId="06DB4874" w14:textId="77777777" w:rsidTr="00857FC5">
        <w:trPr>
          <w:cantSplit/>
          <w:trHeight w:val="281"/>
          <w:tblHeader/>
          <w:jc w:val="center"/>
        </w:trPr>
        <w:tc>
          <w:tcPr>
            <w:tcW w:w="4950" w:type="dxa"/>
            <w:shd w:val="clear" w:color="auto" w:fill="D9D9D9" w:themeFill="background1" w:themeFillShade="D9"/>
            <w:vAlign w:val="center"/>
          </w:tcPr>
          <w:p w14:paraId="5E6B7582" w14:textId="77777777" w:rsidR="00110515" w:rsidRPr="00050087" w:rsidRDefault="00110515" w:rsidP="00857FC5">
            <w:pPr>
              <w:jc w:val="center"/>
              <w:rPr>
                <w:b/>
                <w:bCs/>
              </w:rPr>
            </w:pPr>
            <w:r w:rsidRPr="7AAE25B5">
              <w:rPr>
                <w:b/>
                <w:bCs/>
              </w:rPr>
              <w:t>Item</w:t>
            </w:r>
          </w:p>
        </w:tc>
        <w:tc>
          <w:tcPr>
            <w:tcW w:w="2767" w:type="dxa"/>
            <w:shd w:val="clear" w:color="auto" w:fill="D9D9D9" w:themeFill="background1" w:themeFillShade="D9"/>
            <w:vAlign w:val="bottom"/>
          </w:tcPr>
          <w:p w14:paraId="5B87E14E" w14:textId="77777777" w:rsidR="00110515" w:rsidRPr="00050087" w:rsidRDefault="00110515" w:rsidP="00857FC5">
            <w:pPr>
              <w:jc w:val="center"/>
              <w:rPr>
                <w:b/>
                <w:szCs w:val="22"/>
              </w:rPr>
            </w:pPr>
            <w:r w:rsidRPr="00050087">
              <w:rPr>
                <w:b/>
                <w:szCs w:val="22"/>
              </w:rPr>
              <w:t>Attachment Number</w:t>
            </w:r>
          </w:p>
        </w:tc>
      </w:tr>
      <w:tr w:rsidR="00110515" w:rsidRPr="00050087" w14:paraId="46391AED" w14:textId="77777777" w:rsidTr="00857FC5">
        <w:trPr>
          <w:trHeight w:val="288"/>
          <w:jc w:val="center"/>
        </w:trPr>
        <w:tc>
          <w:tcPr>
            <w:tcW w:w="4950" w:type="dxa"/>
            <w:vAlign w:val="center"/>
          </w:tcPr>
          <w:p w14:paraId="257738D3" w14:textId="77777777" w:rsidR="00110515" w:rsidRPr="00050087" w:rsidRDefault="00110515" w:rsidP="00857FC5">
            <w:pPr>
              <w:rPr>
                <w:szCs w:val="22"/>
              </w:rPr>
            </w:pPr>
            <w:r w:rsidRPr="00050087">
              <w:rPr>
                <w:szCs w:val="22"/>
              </w:rPr>
              <w:t>Project Narrative</w:t>
            </w:r>
          </w:p>
        </w:tc>
        <w:tc>
          <w:tcPr>
            <w:tcW w:w="2767" w:type="dxa"/>
            <w:shd w:val="clear" w:color="auto" w:fill="auto"/>
            <w:vAlign w:val="center"/>
          </w:tcPr>
          <w:p w14:paraId="69CBB058" w14:textId="77777777" w:rsidR="00110515" w:rsidRPr="00703D70" w:rsidRDefault="00110515" w:rsidP="00857FC5">
            <w:r>
              <w:t>Attachment 1</w:t>
            </w:r>
          </w:p>
        </w:tc>
      </w:tr>
      <w:tr w:rsidR="00110515" w:rsidRPr="00050087" w14:paraId="03D34E45" w14:textId="77777777" w:rsidTr="00857FC5">
        <w:trPr>
          <w:trHeight w:val="288"/>
          <w:jc w:val="center"/>
        </w:trPr>
        <w:tc>
          <w:tcPr>
            <w:tcW w:w="4950" w:type="dxa"/>
            <w:vAlign w:val="center"/>
          </w:tcPr>
          <w:p w14:paraId="17CAD2B6" w14:textId="77777777" w:rsidR="00110515" w:rsidRPr="00050087" w:rsidRDefault="00110515" w:rsidP="00857FC5">
            <w:pPr>
              <w:rPr>
                <w:szCs w:val="22"/>
              </w:rPr>
            </w:pPr>
            <w:r w:rsidRPr="00050087">
              <w:rPr>
                <w:szCs w:val="22"/>
              </w:rPr>
              <w:t>Scope of Work</w:t>
            </w:r>
          </w:p>
        </w:tc>
        <w:tc>
          <w:tcPr>
            <w:tcW w:w="2767" w:type="dxa"/>
            <w:shd w:val="clear" w:color="auto" w:fill="auto"/>
            <w:vAlign w:val="center"/>
          </w:tcPr>
          <w:p w14:paraId="5B025713" w14:textId="77777777" w:rsidR="00110515" w:rsidRPr="00703D70" w:rsidRDefault="00110515" w:rsidP="00857FC5">
            <w:r>
              <w:t>Attachment 2</w:t>
            </w:r>
          </w:p>
        </w:tc>
      </w:tr>
      <w:tr w:rsidR="00110515" w:rsidRPr="00050087" w14:paraId="10BA61BC" w14:textId="77777777" w:rsidTr="00857FC5">
        <w:trPr>
          <w:trHeight w:val="288"/>
          <w:jc w:val="center"/>
        </w:trPr>
        <w:tc>
          <w:tcPr>
            <w:tcW w:w="4950" w:type="dxa"/>
            <w:vAlign w:val="center"/>
          </w:tcPr>
          <w:p w14:paraId="5C6E62CA" w14:textId="77777777" w:rsidR="00110515" w:rsidRPr="00050087" w:rsidRDefault="00110515" w:rsidP="00857FC5">
            <w:r>
              <w:t>Scope of Work Instructions</w:t>
            </w:r>
          </w:p>
        </w:tc>
        <w:tc>
          <w:tcPr>
            <w:tcW w:w="2767" w:type="dxa"/>
            <w:shd w:val="clear" w:color="auto" w:fill="auto"/>
            <w:vAlign w:val="center"/>
          </w:tcPr>
          <w:p w14:paraId="11D0C24B" w14:textId="77777777" w:rsidR="00110515" w:rsidRDefault="00110515" w:rsidP="00857FC5">
            <w:r>
              <w:t>Attachment 3</w:t>
            </w:r>
          </w:p>
        </w:tc>
      </w:tr>
      <w:tr w:rsidR="00110515" w:rsidRPr="00050087" w14:paraId="63E740E1" w14:textId="77777777" w:rsidTr="00857FC5">
        <w:trPr>
          <w:trHeight w:val="288"/>
          <w:jc w:val="center"/>
        </w:trPr>
        <w:tc>
          <w:tcPr>
            <w:tcW w:w="4950" w:type="dxa"/>
            <w:vAlign w:val="center"/>
          </w:tcPr>
          <w:p w14:paraId="59441C66" w14:textId="77777777" w:rsidR="00110515" w:rsidRPr="00050087" w:rsidRDefault="00110515" w:rsidP="00857FC5">
            <w:pPr>
              <w:rPr>
                <w:szCs w:val="22"/>
              </w:rPr>
            </w:pPr>
            <w:r w:rsidRPr="00050087">
              <w:rPr>
                <w:szCs w:val="22"/>
              </w:rPr>
              <w:t>Schedule of Products and Due Dates</w:t>
            </w:r>
          </w:p>
        </w:tc>
        <w:tc>
          <w:tcPr>
            <w:tcW w:w="2767" w:type="dxa"/>
            <w:shd w:val="clear" w:color="auto" w:fill="auto"/>
            <w:vAlign w:val="center"/>
          </w:tcPr>
          <w:p w14:paraId="25024A40" w14:textId="77777777" w:rsidR="00110515" w:rsidRPr="00703D70" w:rsidRDefault="00110515" w:rsidP="00857FC5">
            <w:r>
              <w:t>Attachment 4</w:t>
            </w:r>
          </w:p>
        </w:tc>
      </w:tr>
      <w:tr w:rsidR="00110515" w:rsidRPr="00050087" w14:paraId="7120B1C6" w14:textId="77777777" w:rsidTr="00857FC5">
        <w:trPr>
          <w:trHeight w:val="288"/>
          <w:jc w:val="center"/>
        </w:trPr>
        <w:tc>
          <w:tcPr>
            <w:tcW w:w="4950" w:type="dxa"/>
            <w:vAlign w:val="center"/>
          </w:tcPr>
          <w:p w14:paraId="39B0EA74" w14:textId="77777777" w:rsidR="00110515" w:rsidRPr="00050087" w:rsidRDefault="00110515" w:rsidP="00857FC5">
            <w:r>
              <w:t xml:space="preserve">Proposal Budget </w:t>
            </w:r>
          </w:p>
        </w:tc>
        <w:tc>
          <w:tcPr>
            <w:tcW w:w="2767" w:type="dxa"/>
            <w:shd w:val="clear" w:color="auto" w:fill="auto"/>
            <w:vAlign w:val="center"/>
          </w:tcPr>
          <w:p w14:paraId="531F4180" w14:textId="77777777" w:rsidR="00110515" w:rsidRPr="00703D70" w:rsidRDefault="00110515" w:rsidP="00857FC5">
            <w:r>
              <w:t>Attachment 5</w:t>
            </w:r>
          </w:p>
        </w:tc>
      </w:tr>
      <w:tr w:rsidR="00110515" w:rsidRPr="00050087" w14:paraId="0B2D6FF6" w14:textId="77777777" w:rsidTr="00857FC5">
        <w:trPr>
          <w:trHeight w:val="288"/>
          <w:jc w:val="center"/>
        </w:trPr>
        <w:tc>
          <w:tcPr>
            <w:tcW w:w="4950" w:type="dxa"/>
            <w:vAlign w:val="center"/>
          </w:tcPr>
          <w:p w14:paraId="0E50F6D0" w14:textId="77777777" w:rsidR="00110515" w:rsidRDefault="00110515" w:rsidP="00857FC5">
            <w:r>
              <w:t>Resumes (optional)</w:t>
            </w:r>
          </w:p>
        </w:tc>
        <w:tc>
          <w:tcPr>
            <w:tcW w:w="2767" w:type="dxa"/>
            <w:shd w:val="clear" w:color="auto" w:fill="auto"/>
            <w:vAlign w:val="center"/>
          </w:tcPr>
          <w:p w14:paraId="53194308" w14:textId="77777777" w:rsidR="00110515" w:rsidRPr="00703D70" w:rsidRDefault="00110515" w:rsidP="00857FC5">
            <w:r>
              <w:t>Attachment 6</w:t>
            </w:r>
          </w:p>
        </w:tc>
      </w:tr>
      <w:tr w:rsidR="00110515" w:rsidRPr="00050087" w14:paraId="48017762" w14:textId="77777777" w:rsidTr="00857FC5">
        <w:trPr>
          <w:trHeight w:val="288"/>
          <w:jc w:val="center"/>
        </w:trPr>
        <w:tc>
          <w:tcPr>
            <w:tcW w:w="4950" w:type="dxa"/>
            <w:vAlign w:val="center"/>
          </w:tcPr>
          <w:p w14:paraId="692CF2FA" w14:textId="77777777" w:rsidR="00110515" w:rsidRPr="00050087" w:rsidRDefault="00110515" w:rsidP="00857FC5">
            <w:r>
              <w:t>Contacts List</w:t>
            </w:r>
          </w:p>
        </w:tc>
        <w:tc>
          <w:tcPr>
            <w:tcW w:w="2767" w:type="dxa"/>
            <w:shd w:val="clear" w:color="auto" w:fill="auto"/>
            <w:vAlign w:val="center"/>
          </w:tcPr>
          <w:p w14:paraId="7C724D03" w14:textId="77777777" w:rsidR="00110515" w:rsidRPr="00703D70" w:rsidRDefault="00110515" w:rsidP="00857FC5">
            <w:pPr>
              <w:spacing w:line="259" w:lineRule="auto"/>
            </w:pPr>
            <w:r>
              <w:t>Attachment 7</w:t>
            </w:r>
          </w:p>
        </w:tc>
      </w:tr>
      <w:tr w:rsidR="00110515" w:rsidRPr="00050087" w14:paraId="7704B91D" w14:textId="77777777" w:rsidTr="00857FC5">
        <w:trPr>
          <w:trHeight w:val="288"/>
          <w:jc w:val="center"/>
        </w:trPr>
        <w:tc>
          <w:tcPr>
            <w:tcW w:w="4950" w:type="dxa"/>
            <w:vAlign w:val="center"/>
          </w:tcPr>
          <w:p w14:paraId="7B4DB7D9" w14:textId="77777777" w:rsidR="00110515" w:rsidRPr="00050087" w:rsidRDefault="00110515" w:rsidP="00857FC5">
            <w:r>
              <w:t>Letters of Commitment</w:t>
            </w:r>
          </w:p>
        </w:tc>
        <w:tc>
          <w:tcPr>
            <w:tcW w:w="2767" w:type="dxa"/>
            <w:shd w:val="clear" w:color="auto" w:fill="auto"/>
            <w:vAlign w:val="center"/>
          </w:tcPr>
          <w:p w14:paraId="6F930A72" w14:textId="77777777" w:rsidR="00110515" w:rsidRPr="00703D70" w:rsidRDefault="00110515" w:rsidP="00857FC5">
            <w:r>
              <w:t>Attachment 8</w:t>
            </w:r>
          </w:p>
        </w:tc>
      </w:tr>
      <w:tr w:rsidR="00110515" w:rsidRPr="00050087" w14:paraId="4831CF81" w14:textId="77777777" w:rsidTr="00857FC5">
        <w:trPr>
          <w:trHeight w:val="288"/>
          <w:jc w:val="center"/>
        </w:trPr>
        <w:tc>
          <w:tcPr>
            <w:tcW w:w="4950" w:type="dxa"/>
            <w:vAlign w:val="center"/>
          </w:tcPr>
          <w:p w14:paraId="0B3E7790" w14:textId="77777777" w:rsidR="00110515" w:rsidRDefault="00110515" w:rsidP="00857FC5">
            <w:r>
              <w:t>Letters of Support (optional)</w:t>
            </w:r>
          </w:p>
        </w:tc>
        <w:tc>
          <w:tcPr>
            <w:tcW w:w="2767" w:type="dxa"/>
            <w:shd w:val="clear" w:color="auto" w:fill="auto"/>
            <w:vAlign w:val="center"/>
          </w:tcPr>
          <w:p w14:paraId="767D83AF" w14:textId="77777777" w:rsidR="00110515" w:rsidRPr="00703D70" w:rsidRDefault="00110515" w:rsidP="00857FC5">
            <w:r>
              <w:t>Attachment 9</w:t>
            </w:r>
          </w:p>
        </w:tc>
      </w:tr>
      <w:tr w:rsidR="00110515" w:rsidRPr="00050087" w14:paraId="36C247D2" w14:textId="77777777" w:rsidTr="00857FC5">
        <w:trPr>
          <w:trHeight w:val="288"/>
          <w:jc w:val="center"/>
        </w:trPr>
        <w:tc>
          <w:tcPr>
            <w:tcW w:w="4950" w:type="dxa"/>
            <w:vAlign w:val="center"/>
          </w:tcPr>
          <w:p w14:paraId="39F25650" w14:textId="77777777" w:rsidR="00110515" w:rsidRPr="00050087" w:rsidRDefault="00110515" w:rsidP="00857FC5">
            <w:pPr>
              <w:rPr>
                <w:szCs w:val="22"/>
              </w:rPr>
            </w:pPr>
            <w:r w:rsidRPr="00050087">
              <w:rPr>
                <w:szCs w:val="22"/>
              </w:rPr>
              <w:t xml:space="preserve">CEQA </w:t>
            </w:r>
            <w:r>
              <w:rPr>
                <w:szCs w:val="22"/>
              </w:rPr>
              <w:t>Worksheet</w:t>
            </w:r>
          </w:p>
        </w:tc>
        <w:tc>
          <w:tcPr>
            <w:tcW w:w="2767" w:type="dxa"/>
            <w:shd w:val="clear" w:color="auto" w:fill="auto"/>
            <w:vAlign w:val="center"/>
          </w:tcPr>
          <w:p w14:paraId="20E61BB9" w14:textId="77777777" w:rsidR="00110515" w:rsidRPr="00703D70" w:rsidRDefault="00110515" w:rsidP="00857FC5">
            <w:r>
              <w:t>Attachment 10</w:t>
            </w:r>
          </w:p>
        </w:tc>
      </w:tr>
      <w:tr w:rsidR="00110515" w:rsidRPr="00050087" w14:paraId="2220DEDE" w14:textId="77777777" w:rsidTr="00857FC5">
        <w:trPr>
          <w:trHeight w:val="288"/>
          <w:jc w:val="center"/>
        </w:trPr>
        <w:tc>
          <w:tcPr>
            <w:tcW w:w="4950" w:type="dxa"/>
            <w:vAlign w:val="center"/>
          </w:tcPr>
          <w:p w14:paraId="564A254B" w14:textId="77777777" w:rsidR="00110515" w:rsidRPr="00050087" w:rsidRDefault="00110515" w:rsidP="00857FC5">
            <w:pPr>
              <w:rPr>
                <w:szCs w:val="22"/>
              </w:rPr>
            </w:pPr>
            <w:r>
              <w:rPr>
                <w:szCs w:val="22"/>
              </w:rPr>
              <w:t>Localized</w:t>
            </w:r>
            <w:r w:rsidRPr="00050087">
              <w:rPr>
                <w:szCs w:val="22"/>
              </w:rPr>
              <w:t xml:space="preserve"> Health Impacts Information</w:t>
            </w:r>
            <w:r>
              <w:rPr>
                <w:szCs w:val="22"/>
              </w:rPr>
              <w:t xml:space="preserve"> Form</w:t>
            </w:r>
          </w:p>
        </w:tc>
        <w:tc>
          <w:tcPr>
            <w:tcW w:w="2767" w:type="dxa"/>
            <w:shd w:val="clear" w:color="auto" w:fill="auto"/>
            <w:vAlign w:val="center"/>
          </w:tcPr>
          <w:p w14:paraId="75859E90" w14:textId="77777777" w:rsidR="00110515" w:rsidRPr="00703D70" w:rsidRDefault="00110515" w:rsidP="00857FC5">
            <w:r>
              <w:t>Attachment 11</w:t>
            </w:r>
          </w:p>
        </w:tc>
      </w:tr>
      <w:tr w:rsidR="00110515" w:rsidRPr="00050087" w14:paraId="0AE27924" w14:textId="77777777" w:rsidTr="00857FC5">
        <w:trPr>
          <w:trHeight w:val="288"/>
          <w:jc w:val="center"/>
        </w:trPr>
        <w:tc>
          <w:tcPr>
            <w:tcW w:w="4950" w:type="dxa"/>
            <w:vAlign w:val="center"/>
          </w:tcPr>
          <w:p w14:paraId="6212BB7F" w14:textId="77777777" w:rsidR="00110515" w:rsidRDefault="00110515" w:rsidP="00857FC5">
            <w:pPr>
              <w:rPr>
                <w:szCs w:val="22"/>
              </w:rPr>
            </w:pPr>
            <w:r>
              <w:rPr>
                <w:szCs w:val="22"/>
              </w:rPr>
              <w:t>Past Performance Reference Form(s)</w:t>
            </w:r>
          </w:p>
        </w:tc>
        <w:tc>
          <w:tcPr>
            <w:tcW w:w="2767" w:type="dxa"/>
            <w:shd w:val="clear" w:color="auto" w:fill="auto"/>
            <w:vAlign w:val="center"/>
          </w:tcPr>
          <w:p w14:paraId="03AFD09B" w14:textId="77777777" w:rsidR="00110515" w:rsidRPr="00703D70" w:rsidRDefault="00110515" w:rsidP="00857FC5">
            <w:r>
              <w:t>Attachment 12</w:t>
            </w:r>
          </w:p>
        </w:tc>
      </w:tr>
      <w:tr w:rsidR="00110515" w:rsidRPr="00050087" w14:paraId="4B0E4BF4" w14:textId="77777777" w:rsidTr="00857FC5">
        <w:trPr>
          <w:trHeight w:val="288"/>
          <w:jc w:val="center"/>
        </w:trPr>
        <w:tc>
          <w:tcPr>
            <w:tcW w:w="4950" w:type="dxa"/>
            <w:vAlign w:val="center"/>
          </w:tcPr>
          <w:p w14:paraId="2D4E21B6" w14:textId="77777777" w:rsidR="00110515" w:rsidRDefault="00110515" w:rsidP="00857FC5">
            <w:r>
              <w:t>Applicant Declaration</w:t>
            </w:r>
          </w:p>
        </w:tc>
        <w:tc>
          <w:tcPr>
            <w:tcW w:w="2767" w:type="dxa"/>
            <w:shd w:val="clear" w:color="auto" w:fill="auto"/>
            <w:vAlign w:val="center"/>
          </w:tcPr>
          <w:p w14:paraId="29700F79" w14:textId="77777777" w:rsidR="00110515" w:rsidRDefault="00110515" w:rsidP="00857FC5">
            <w:r>
              <w:t>Attachment 13</w:t>
            </w:r>
          </w:p>
        </w:tc>
      </w:tr>
      <w:tr w:rsidR="00110515" w:rsidRPr="00050087" w14:paraId="788B174C" w14:textId="77777777" w:rsidTr="00857FC5">
        <w:trPr>
          <w:trHeight w:val="288"/>
          <w:jc w:val="center"/>
        </w:trPr>
        <w:tc>
          <w:tcPr>
            <w:tcW w:w="4950" w:type="dxa"/>
            <w:vAlign w:val="center"/>
          </w:tcPr>
          <w:p w14:paraId="7E84B5EA" w14:textId="77777777" w:rsidR="00110515" w:rsidRDefault="00110515" w:rsidP="00857FC5">
            <w:r>
              <w:t>Special Terms and Conditions for California Native American Tribes and California Tribal Organizations with Sovereign Immunity (optional)</w:t>
            </w:r>
          </w:p>
        </w:tc>
        <w:tc>
          <w:tcPr>
            <w:tcW w:w="2767" w:type="dxa"/>
            <w:shd w:val="clear" w:color="auto" w:fill="auto"/>
            <w:vAlign w:val="center"/>
          </w:tcPr>
          <w:p w14:paraId="4443CFE3" w14:textId="77777777" w:rsidR="00110515" w:rsidRDefault="00110515" w:rsidP="00857FC5">
            <w:r>
              <w:t>Attachment 14</w:t>
            </w:r>
          </w:p>
        </w:tc>
      </w:tr>
      <w:tr w:rsidR="00110515" w:rsidRPr="00050087" w14:paraId="49925216" w14:textId="77777777" w:rsidTr="00857FC5">
        <w:trPr>
          <w:trHeight w:val="288"/>
          <w:jc w:val="center"/>
        </w:trPr>
        <w:tc>
          <w:tcPr>
            <w:tcW w:w="4950" w:type="dxa"/>
            <w:vAlign w:val="center"/>
          </w:tcPr>
          <w:p w14:paraId="0B09A4AA" w14:textId="77777777" w:rsidR="00110515" w:rsidRDefault="00110515" w:rsidP="00857FC5">
            <w:r>
              <w:lastRenderedPageBreak/>
              <w:t>Greenhouse Gas Reduction Fund Special Terms and Conditions</w:t>
            </w:r>
          </w:p>
        </w:tc>
        <w:tc>
          <w:tcPr>
            <w:tcW w:w="2767" w:type="dxa"/>
            <w:shd w:val="clear" w:color="auto" w:fill="auto"/>
            <w:vAlign w:val="center"/>
          </w:tcPr>
          <w:p w14:paraId="0BFED086" w14:textId="77777777" w:rsidR="00110515" w:rsidRDefault="00110515" w:rsidP="00857FC5">
            <w:r>
              <w:t>Attachment 15</w:t>
            </w:r>
          </w:p>
        </w:tc>
      </w:tr>
      <w:tr w:rsidR="00110515" w:rsidRPr="00050087" w14:paraId="18BAD3F6" w14:textId="77777777" w:rsidTr="00857FC5">
        <w:trPr>
          <w:trHeight w:val="288"/>
          <w:jc w:val="center"/>
        </w:trPr>
        <w:tc>
          <w:tcPr>
            <w:tcW w:w="4950" w:type="dxa"/>
            <w:vAlign w:val="center"/>
          </w:tcPr>
          <w:p w14:paraId="0D63F2AF" w14:textId="77777777" w:rsidR="00110515" w:rsidRPr="00057E64" w:rsidRDefault="00110515" w:rsidP="00857FC5">
            <w:pPr>
              <w:rPr>
                <w:b/>
                <w:bCs/>
                <w:u w:val="single"/>
              </w:rPr>
            </w:pPr>
            <w:r w:rsidRPr="00057E64">
              <w:rPr>
                <w:b/>
                <w:bCs/>
                <w:u w:val="single"/>
              </w:rPr>
              <w:t>Special Terms and Conditions - Bankruptcy</w:t>
            </w:r>
          </w:p>
        </w:tc>
        <w:tc>
          <w:tcPr>
            <w:tcW w:w="2767" w:type="dxa"/>
            <w:shd w:val="clear" w:color="auto" w:fill="auto"/>
            <w:vAlign w:val="center"/>
          </w:tcPr>
          <w:p w14:paraId="4E61CB23" w14:textId="77777777" w:rsidR="00110515" w:rsidRPr="00057E64" w:rsidRDefault="00110515" w:rsidP="00857FC5">
            <w:pPr>
              <w:rPr>
                <w:b/>
                <w:bCs/>
                <w:u w:val="single"/>
              </w:rPr>
            </w:pPr>
            <w:r w:rsidRPr="00057E64">
              <w:rPr>
                <w:b/>
                <w:bCs/>
                <w:u w:val="single"/>
              </w:rPr>
              <w:t>Attachment 1</w:t>
            </w:r>
            <w:r>
              <w:rPr>
                <w:b/>
                <w:bCs/>
                <w:u w:val="single"/>
              </w:rPr>
              <w:t>6</w:t>
            </w:r>
          </w:p>
        </w:tc>
      </w:tr>
    </w:tbl>
    <w:p w14:paraId="3747D611" w14:textId="77777777" w:rsidR="00AE0900" w:rsidRDefault="00AE0900" w:rsidP="00AE0900">
      <w:pPr>
        <w:ind w:left="0"/>
      </w:pPr>
    </w:p>
    <w:p w14:paraId="12AFBD80" w14:textId="77777777" w:rsidR="008D1D9F" w:rsidRDefault="008D1D9F" w:rsidP="00AE0900">
      <w:pPr>
        <w:ind w:left="0"/>
      </w:pPr>
    </w:p>
    <w:p w14:paraId="2AAE102E" w14:textId="22E70D16" w:rsidR="006F0FB9" w:rsidRDefault="00D1178E" w:rsidP="006F0FB9">
      <w:pPr>
        <w:pStyle w:val="Heading2"/>
      </w:pPr>
      <w:r>
        <w:t>Page</w:t>
      </w:r>
      <w:r w:rsidR="00882F02">
        <w:t xml:space="preserve"> </w:t>
      </w:r>
      <w:r w:rsidR="001B1C53">
        <w:t>32</w:t>
      </w:r>
      <w:r w:rsidR="00882F02">
        <w:t>, Section III.D.1</w:t>
      </w:r>
      <w:r w:rsidR="001B1C53">
        <w:t xml:space="preserve">6 </w:t>
      </w:r>
    </w:p>
    <w:p w14:paraId="30691881" w14:textId="77777777" w:rsidR="008D1D9F" w:rsidRPr="00E7446C" w:rsidRDefault="008D1D9F" w:rsidP="008D1D9F">
      <w:pPr>
        <w:numPr>
          <w:ilvl w:val="0"/>
          <w:numId w:val="37"/>
        </w:numPr>
        <w:ind w:firstLine="0"/>
        <w:rPr>
          <w:rFonts w:eastAsia="Tahoma"/>
          <w:b/>
          <w:bCs/>
          <w:szCs w:val="22"/>
          <w:u w:val="single"/>
        </w:rPr>
      </w:pPr>
      <w:r w:rsidRPr="00E7446C">
        <w:rPr>
          <w:rFonts w:eastAsia="Tahoma"/>
          <w:b/>
          <w:bCs/>
          <w:szCs w:val="22"/>
          <w:u w:val="single"/>
        </w:rPr>
        <w:t>Special Terms and Conditions - Bankruptcy (Attachment 16)</w:t>
      </w:r>
    </w:p>
    <w:p w14:paraId="4ADDD95D" w14:textId="540BB443" w:rsidR="008D1D9F" w:rsidRPr="00E7446C" w:rsidRDefault="008D1D9F" w:rsidP="008D1D9F">
      <w:pPr>
        <w:pStyle w:val="ListParagraph"/>
        <w:ind w:left="1440"/>
        <w:rPr>
          <w:rFonts w:eastAsia="Tahoma"/>
          <w:b/>
          <w:bCs/>
          <w:color w:val="000000" w:themeColor="text1"/>
          <w:u w:val="single"/>
        </w:rPr>
      </w:pPr>
      <w:r w:rsidRPr="00E7446C">
        <w:rPr>
          <w:rFonts w:eastAsia="Tahoma"/>
          <w:b/>
          <w:bCs/>
          <w:color w:val="000000" w:themeColor="text1"/>
          <w:u w:val="single"/>
        </w:rPr>
        <w:t>Applicants are not require</w:t>
      </w:r>
      <w:r w:rsidR="00195365">
        <w:rPr>
          <w:rFonts w:eastAsia="Tahoma"/>
          <w:b/>
          <w:bCs/>
          <w:color w:val="000000" w:themeColor="text1"/>
          <w:u w:val="single"/>
        </w:rPr>
        <w:t>d</w:t>
      </w:r>
      <w:r w:rsidRPr="00E7446C">
        <w:rPr>
          <w:rFonts w:eastAsia="Tahoma"/>
          <w:b/>
          <w:bCs/>
          <w:color w:val="000000" w:themeColor="text1"/>
          <w:u w:val="single"/>
        </w:rPr>
        <w:t xml:space="preserve"> to submit the Special Terms and Conditions - Bankruptcy (Attachment 16) with their application package. If awarded, these Special Terms and Conditions will be incorporated into applicable agreements.</w:t>
      </w:r>
    </w:p>
    <w:p w14:paraId="0ADFA61C" w14:textId="77777777" w:rsidR="00A5668C" w:rsidRPr="00A5668C" w:rsidRDefault="00A5668C" w:rsidP="00A5668C"/>
    <w:p w14:paraId="25C5E2B9" w14:textId="77777777" w:rsidR="00411DA3" w:rsidRDefault="00411DA3" w:rsidP="00411DA3">
      <w:pPr>
        <w:pStyle w:val="ListParagraph"/>
        <w:ind w:left="1080"/>
        <w:contextualSpacing w:val="0"/>
      </w:pPr>
    </w:p>
    <w:p w14:paraId="09D497E3" w14:textId="3FBF27A1" w:rsidR="0013717A" w:rsidRPr="008559B1" w:rsidRDefault="00A60BDE" w:rsidP="008A64C7">
      <w:pPr>
        <w:pStyle w:val="Heading2"/>
        <w:contextualSpacing w:val="0"/>
      </w:pPr>
      <w:r>
        <w:t>Pages 37-39, Section IV.E. Evaluation Criteria</w:t>
      </w:r>
    </w:p>
    <w:tbl>
      <w:tblPr>
        <w:tblStyle w:val="TableGrid"/>
        <w:tblW w:w="0" w:type="auto"/>
        <w:tblInd w:w="360" w:type="dxa"/>
        <w:tblLook w:val="04A0" w:firstRow="1" w:lastRow="0" w:firstColumn="1" w:lastColumn="0" w:noHBand="0" w:noVBand="1"/>
      </w:tblPr>
      <w:tblGrid>
        <w:gridCol w:w="6115"/>
        <w:gridCol w:w="2515"/>
      </w:tblGrid>
      <w:tr w:rsidR="0013717A" w14:paraId="04716216" w14:textId="05D4D14B" w:rsidTr="00E458C5">
        <w:tc>
          <w:tcPr>
            <w:tcW w:w="6115" w:type="dxa"/>
            <w:shd w:val="clear" w:color="auto" w:fill="D9D9D9" w:themeFill="background1" w:themeFillShade="D9"/>
          </w:tcPr>
          <w:p w14:paraId="27818794" w14:textId="6F9A770D" w:rsidR="0013717A" w:rsidRPr="00440151" w:rsidRDefault="0013717A" w:rsidP="0013717A">
            <w:pPr>
              <w:pStyle w:val="Heading2"/>
              <w:numPr>
                <w:ilvl w:val="0"/>
                <w:numId w:val="0"/>
              </w:numPr>
              <w:jc w:val="center"/>
              <w:rPr>
                <w:b w:val="0"/>
                <w:bCs w:val="0"/>
              </w:rPr>
            </w:pPr>
            <w:r w:rsidRPr="00440151">
              <w:rPr>
                <w:b w:val="0"/>
                <w:bCs w:val="0"/>
              </w:rPr>
              <w:t>Criterion</w:t>
            </w:r>
          </w:p>
        </w:tc>
        <w:tc>
          <w:tcPr>
            <w:tcW w:w="2515" w:type="dxa"/>
            <w:shd w:val="clear" w:color="auto" w:fill="D9D9D9" w:themeFill="background1" w:themeFillShade="D9"/>
            <w:vAlign w:val="center"/>
          </w:tcPr>
          <w:p w14:paraId="506DE105" w14:textId="4B03A9EC" w:rsidR="0013717A" w:rsidRPr="00440151" w:rsidRDefault="00442B46" w:rsidP="0013717A">
            <w:pPr>
              <w:pStyle w:val="Heading2"/>
              <w:numPr>
                <w:ilvl w:val="0"/>
                <w:numId w:val="0"/>
              </w:numPr>
              <w:jc w:val="center"/>
              <w:rPr>
                <w:b w:val="0"/>
                <w:bCs w:val="0"/>
              </w:rPr>
            </w:pPr>
            <w:r w:rsidRPr="00440151">
              <w:rPr>
                <w:b w:val="0"/>
                <w:bCs w:val="0"/>
              </w:rPr>
              <w:t>Possible Points</w:t>
            </w:r>
          </w:p>
        </w:tc>
      </w:tr>
      <w:tr w:rsidR="0013717A" w14:paraId="48ABFB6A" w14:textId="3A23E123" w:rsidTr="00E458C5">
        <w:tc>
          <w:tcPr>
            <w:tcW w:w="6115" w:type="dxa"/>
          </w:tcPr>
          <w:p w14:paraId="0CCC8ADC" w14:textId="0E71F2D5" w:rsidR="00EE736B" w:rsidRPr="00440151" w:rsidRDefault="00EE736B" w:rsidP="00EE736B">
            <w:pPr>
              <w:pStyle w:val="Heading2"/>
              <w:numPr>
                <w:ilvl w:val="0"/>
                <w:numId w:val="32"/>
              </w:numPr>
              <w:rPr>
                <w:b w:val="0"/>
                <w:bCs w:val="0"/>
              </w:rPr>
            </w:pPr>
            <w:r w:rsidRPr="00440151">
              <w:rPr>
                <w:b w:val="0"/>
                <w:bCs w:val="0"/>
              </w:rPr>
              <w:t>Project Implementation</w:t>
            </w:r>
          </w:p>
        </w:tc>
        <w:tc>
          <w:tcPr>
            <w:tcW w:w="2515" w:type="dxa"/>
          </w:tcPr>
          <w:p w14:paraId="0D80C5F9" w14:textId="4B7ACBCA" w:rsidR="0013717A" w:rsidRPr="00440151" w:rsidRDefault="00EE736B" w:rsidP="00411DA3">
            <w:pPr>
              <w:pStyle w:val="Heading2"/>
              <w:numPr>
                <w:ilvl w:val="0"/>
                <w:numId w:val="0"/>
              </w:numPr>
              <w:rPr>
                <w:b w:val="0"/>
                <w:bCs w:val="0"/>
              </w:rPr>
            </w:pPr>
            <w:r w:rsidRPr="00440151">
              <w:rPr>
                <w:b w:val="0"/>
                <w:bCs w:val="0"/>
              </w:rPr>
              <w:t>20</w:t>
            </w:r>
          </w:p>
        </w:tc>
      </w:tr>
      <w:tr w:rsidR="0013717A" w14:paraId="19253258" w14:textId="3E912D33" w:rsidTr="00E458C5">
        <w:tc>
          <w:tcPr>
            <w:tcW w:w="6115" w:type="dxa"/>
          </w:tcPr>
          <w:p w14:paraId="08D8E368" w14:textId="18243EA4" w:rsidR="00EE736B" w:rsidRPr="00440151" w:rsidRDefault="00EE736B" w:rsidP="00EE736B">
            <w:pPr>
              <w:pStyle w:val="Heading2"/>
              <w:numPr>
                <w:ilvl w:val="0"/>
                <w:numId w:val="32"/>
              </w:numPr>
              <w:rPr>
                <w:b w:val="0"/>
                <w:bCs w:val="0"/>
              </w:rPr>
            </w:pPr>
            <w:r w:rsidRPr="00440151">
              <w:rPr>
                <w:b w:val="0"/>
                <w:bCs w:val="0"/>
              </w:rPr>
              <w:t>Team Experience and Qualifications</w:t>
            </w:r>
          </w:p>
        </w:tc>
        <w:tc>
          <w:tcPr>
            <w:tcW w:w="2515" w:type="dxa"/>
          </w:tcPr>
          <w:p w14:paraId="627FCCE0" w14:textId="2C2367EC" w:rsidR="0013717A" w:rsidRPr="00440151" w:rsidRDefault="00EE736B" w:rsidP="00411DA3">
            <w:pPr>
              <w:pStyle w:val="Heading2"/>
              <w:numPr>
                <w:ilvl w:val="0"/>
                <w:numId w:val="0"/>
              </w:numPr>
              <w:rPr>
                <w:b w:val="0"/>
                <w:bCs w:val="0"/>
              </w:rPr>
            </w:pPr>
            <w:r w:rsidRPr="00440151">
              <w:rPr>
                <w:b w:val="0"/>
                <w:bCs w:val="0"/>
              </w:rPr>
              <w:t>[</w:t>
            </w:r>
            <w:r w:rsidRPr="00440151">
              <w:rPr>
                <w:b w:val="0"/>
                <w:bCs w:val="0"/>
                <w:strike/>
              </w:rPr>
              <w:t>10</w:t>
            </w:r>
            <w:r w:rsidRPr="00440151">
              <w:rPr>
                <w:b w:val="0"/>
                <w:bCs w:val="0"/>
              </w:rPr>
              <w:t>]</w:t>
            </w:r>
            <w:r w:rsidR="00440151" w:rsidRPr="00440151">
              <w:rPr>
                <w:u w:val="single"/>
              </w:rPr>
              <w:t>15</w:t>
            </w:r>
          </w:p>
        </w:tc>
      </w:tr>
      <w:tr w:rsidR="0013717A" w14:paraId="70297E50" w14:textId="3FAC040D" w:rsidTr="00E458C5">
        <w:tc>
          <w:tcPr>
            <w:tcW w:w="6115" w:type="dxa"/>
          </w:tcPr>
          <w:p w14:paraId="430926D8" w14:textId="4C93DC40" w:rsidR="0013717A" w:rsidRPr="00440151" w:rsidRDefault="00EE736B" w:rsidP="00EE736B">
            <w:pPr>
              <w:pStyle w:val="Heading2"/>
              <w:numPr>
                <w:ilvl w:val="0"/>
                <w:numId w:val="32"/>
              </w:numPr>
              <w:rPr>
                <w:b w:val="0"/>
                <w:bCs w:val="0"/>
              </w:rPr>
            </w:pPr>
            <w:r w:rsidRPr="00440151">
              <w:rPr>
                <w:b w:val="0"/>
                <w:bCs w:val="0"/>
              </w:rPr>
              <w:t>Priority Population kW Weighted Average</w:t>
            </w:r>
          </w:p>
        </w:tc>
        <w:tc>
          <w:tcPr>
            <w:tcW w:w="2515" w:type="dxa"/>
          </w:tcPr>
          <w:p w14:paraId="45242CC8" w14:textId="655686E3" w:rsidR="0013717A" w:rsidRPr="00440151" w:rsidRDefault="00440151" w:rsidP="00411DA3">
            <w:pPr>
              <w:pStyle w:val="Heading2"/>
              <w:numPr>
                <w:ilvl w:val="0"/>
                <w:numId w:val="0"/>
              </w:numPr>
              <w:rPr>
                <w:b w:val="0"/>
                <w:bCs w:val="0"/>
              </w:rPr>
            </w:pPr>
            <w:r w:rsidRPr="00440151">
              <w:rPr>
                <w:b w:val="0"/>
                <w:bCs w:val="0"/>
              </w:rPr>
              <w:t>5</w:t>
            </w:r>
          </w:p>
        </w:tc>
      </w:tr>
      <w:tr w:rsidR="0013717A" w14:paraId="078698B4" w14:textId="125048E3" w:rsidTr="00E458C5">
        <w:tc>
          <w:tcPr>
            <w:tcW w:w="6115" w:type="dxa"/>
          </w:tcPr>
          <w:p w14:paraId="02DFC392" w14:textId="2CAAD91D" w:rsidR="0013717A" w:rsidRPr="00440151" w:rsidRDefault="00EE736B" w:rsidP="00EE736B">
            <w:pPr>
              <w:pStyle w:val="Heading2"/>
              <w:numPr>
                <w:ilvl w:val="0"/>
                <w:numId w:val="32"/>
              </w:numPr>
              <w:rPr>
                <w:b w:val="0"/>
                <w:bCs w:val="0"/>
              </w:rPr>
            </w:pPr>
            <w:r w:rsidRPr="00440151">
              <w:rPr>
                <w:b w:val="0"/>
                <w:bCs w:val="0"/>
              </w:rPr>
              <w:t>Project Location and Benefits</w:t>
            </w:r>
          </w:p>
        </w:tc>
        <w:tc>
          <w:tcPr>
            <w:tcW w:w="2515" w:type="dxa"/>
          </w:tcPr>
          <w:p w14:paraId="2D08DAD9" w14:textId="5CEBE2BA" w:rsidR="0013717A" w:rsidRPr="00440151" w:rsidRDefault="00440151" w:rsidP="00411DA3">
            <w:pPr>
              <w:pStyle w:val="Heading2"/>
              <w:numPr>
                <w:ilvl w:val="0"/>
                <w:numId w:val="0"/>
              </w:numPr>
              <w:rPr>
                <w:b w:val="0"/>
                <w:bCs w:val="0"/>
              </w:rPr>
            </w:pPr>
            <w:r w:rsidRPr="00440151">
              <w:rPr>
                <w:b w:val="0"/>
                <w:bCs w:val="0"/>
              </w:rPr>
              <w:t>20</w:t>
            </w:r>
          </w:p>
        </w:tc>
      </w:tr>
      <w:tr w:rsidR="0013717A" w14:paraId="3CCC8A63" w14:textId="25AB9585" w:rsidTr="00E458C5">
        <w:tc>
          <w:tcPr>
            <w:tcW w:w="6115" w:type="dxa"/>
          </w:tcPr>
          <w:p w14:paraId="519CEDA2" w14:textId="2538F0BE" w:rsidR="0013717A" w:rsidRPr="00440151" w:rsidRDefault="00EE736B" w:rsidP="00EE736B">
            <w:pPr>
              <w:pStyle w:val="Heading2"/>
              <w:numPr>
                <w:ilvl w:val="0"/>
                <w:numId w:val="32"/>
              </w:numPr>
              <w:rPr>
                <w:b w:val="0"/>
                <w:bCs w:val="0"/>
              </w:rPr>
            </w:pPr>
            <w:r w:rsidRPr="00440151">
              <w:rPr>
                <w:b w:val="0"/>
                <w:bCs w:val="0"/>
              </w:rPr>
              <w:t>Project Readiness</w:t>
            </w:r>
          </w:p>
        </w:tc>
        <w:tc>
          <w:tcPr>
            <w:tcW w:w="2515" w:type="dxa"/>
          </w:tcPr>
          <w:p w14:paraId="4293E45C" w14:textId="415487D0" w:rsidR="0013717A" w:rsidRPr="00440151" w:rsidRDefault="00440151" w:rsidP="00411DA3">
            <w:pPr>
              <w:pStyle w:val="Heading2"/>
              <w:numPr>
                <w:ilvl w:val="0"/>
                <w:numId w:val="0"/>
              </w:numPr>
              <w:rPr>
                <w:b w:val="0"/>
                <w:bCs w:val="0"/>
              </w:rPr>
            </w:pPr>
            <w:r w:rsidRPr="00440151">
              <w:rPr>
                <w:b w:val="0"/>
                <w:bCs w:val="0"/>
              </w:rPr>
              <w:t>15</w:t>
            </w:r>
          </w:p>
        </w:tc>
      </w:tr>
      <w:tr w:rsidR="00EE736B" w14:paraId="01493154" w14:textId="77777777" w:rsidTr="00E458C5">
        <w:tc>
          <w:tcPr>
            <w:tcW w:w="6115" w:type="dxa"/>
          </w:tcPr>
          <w:p w14:paraId="14DA76C8" w14:textId="012EDF98" w:rsidR="00EE736B" w:rsidRPr="00440151" w:rsidRDefault="00EE736B" w:rsidP="00EE736B">
            <w:pPr>
              <w:pStyle w:val="Heading2"/>
              <w:numPr>
                <w:ilvl w:val="0"/>
                <w:numId w:val="32"/>
              </w:numPr>
              <w:rPr>
                <w:b w:val="0"/>
                <w:bCs w:val="0"/>
              </w:rPr>
            </w:pPr>
            <w:r w:rsidRPr="00440151">
              <w:rPr>
                <w:b w:val="0"/>
                <w:bCs w:val="0"/>
              </w:rPr>
              <w:t>Cost Effectiveness</w:t>
            </w:r>
          </w:p>
        </w:tc>
        <w:tc>
          <w:tcPr>
            <w:tcW w:w="2515" w:type="dxa"/>
          </w:tcPr>
          <w:p w14:paraId="1C0B8710" w14:textId="234F1320" w:rsidR="00EE736B" w:rsidRPr="00440151" w:rsidRDefault="00440151" w:rsidP="00411DA3">
            <w:pPr>
              <w:pStyle w:val="Heading2"/>
              <w:numPr>
                <w:ilvl w:val="0"/>
                <w:numId w:val="0"/>
              </w:numPr>
              <w:rPr>
                <w:b w:val="0"/>
                <w:bCs w:val="0"/>
              </w:rPr>
            </w:pPr>
            <w:r w:rsidRPr="00440151">
              <w:rPr>
                <w:b w:val="0"/>
                <w:bCs w:val="0"/>
              </w:rPr>
              <w:t>[</w:t>
            </w:r>
            <w:r w:rsidRPr="00440151">
              <w:rPr>
                <w:b w:val="0"/>
                <w:bCs w:val="0"/>
                <w:strike/>
              </w:rPr>
              <w:t>5</w:t>
            </w:r>
            <w:r w:rsidRPr="00440151">
              <w:rPr>
                <w:b w:val="0"/>
                <w:bCs w:val="0"/>
              </w:rPr>
              <w:t>]</w:t>
            </w:r>
            <w:r w:rsidRPr="00440151">
              <w:rPr>
                <w:u w:val="single"/>
              </w:rPr>
              <w:t>10</w:t>
            </w:r>
          </w:p>
        </w:tc>
      </w:tr>
      <w:tr w:rsidR="00EE736B" w14:paraId="5430B909" w14:textId="77777777" w:rsidTr="00E458C5">
        <w:tc>
          <w:tcPr>
            <w:tcW w:w="6115" w:type="dxa"/>
          </w:tcPr>
          <w:p w14:paraId="02A90798" w14:textId="0E054360" w:rsidR="00EE736B" w:rsidRPr="00440151" w:rsidRDefault="00EE736B" w:rsidP="00EE736B">
            <w:pPr>
              <w:pStyle w:val="Heading2"/>
              <w:numPr>
                <w:ilvl w:val="0"/>
                <w:numId w:val="32"/>
              </w:numPr>
              <w:rPr>
                <w:b w:val="0"/>
                <w:bCs w:val="0"/>
              </w:rPr>
            </w:pPr>
            <w:r w:rsidRPr="00440151">
              <w:rPr>
                <w:b w:val="0"/>
                <w:bCs w:val="0"/>
              </w:rPr>
              <w:t>Project Budget</w:t>
            </w:r>
          </w:p>
        </w:tc>
        <w:tc>
          <w:tcPr>
            <w:tcW w:w="2515" w:type="dxa"/>
          </w:tcPr>
          <w:p w14:paraId="29950014" w14:textId="508B034E" w:rsidR="00EE736B" w:rsidRPr="00440151" w:rsidRDefault="00440151" w:rsidP="00411DA3">
            <w:pPr>
              <w:pStyle w:val="Heading2"/>
              <w:numPr>
                <w:ilvl w:val="0"/>
                <w:numId w:val="0"/>
              </w:numPr>
              <w:rPr>
                <w:b w:val="0"/>
                <w:bCs w:val="0"/>
              </w:rPr>
            </w:pPr>
            <w:r w:rsidRPr="00440151">
              <w:rPr>
                <w:b w:val="0"/>
                <w:bCs w:val="0"/>
              </w:rPr>
              <w:t>10</w:t>
            </w:r>
          </w:p>
        </w:tc>
      </w:tr>
      <w:tr w:rsidR="00EE736B" w14:paraId="34A99188" w14:textId="77777777" w:rsidTr="00E458C5">
        <w:tc>
          <w:tcPr>
            <w:tcW w:w="6115" w:type="dxa"/>
          </w:tcPr>
          <w:p w14:paraId="0E899163" w14:textId="1EEA40E5" w:rsidR="00EE736B" w:rsidRPr="00440151" w:rsidRDefault="00EE736B" w:rsidP="00EE736B">
            <w:pPr>
              <w:pStyle w:val="Heading2"/>
              <w:numPr>
                <w:ilvl w:val="0"/>
                <w:numId w:val="32"/>
              </w:numPr>
              <w:rPr>
                <w:b w:val="0"/>
                <w:bCs w:val="0"/>
              </w:rPr>
            </w:pPr>
            <w:r w:rsidRPr="00440151">
              <w:rPr>
                <w:b w:val="0"/>
                <w:bCs w:val="0"/>
              </w:rPr>
              <w:t>Operations, Maintenance, and Reliability</w:t>
            </w:r>
          </w:p>
        </w:tc>
        <w:tc>
          <w:tcPr>
            <w:tcW w:w="2515" w:type="dxa"/>
          </w:tcPr>
          <w:p w14:paraId="4E9B3E15" w14:textId="38465090" w:rsidR="00EE736B" w:rsidRPr="00440151" w:rsidRDefault="00440151" w:rsidP="00411DA3">
            <w:pPr>
              <w:pStyle w:val="Heading2"/>
              <w:numPr>
                <w:ilvl w:val="0"/>
                <w:numId w:val="0"/>
              </w:numPr>
              <w:rPr>
                <w:b w:val="0"/>
                <w:bCs w:val="0"/>
              </w:rPr>
            </w:pPr>
            <w:r w:rsidRPr="00440151">
              <w:rPr>
                <w:b w:val="0"/>
                <w:bCs w:val="0"/>
              </w:rPr>
              <w:t>[</w:t>
            </w:r>
            <w:r w:rsidRPr="00440151">
              <w:rPr>
                <w:b w:val="0"/>
                <w:bCs w:val="0"/>
                <w:strike/>
              </w:rPr>
              <w:t>10</w:t>
            </w:r>
            <w:r w:rsidRPr="00440151">
              <w:rPr>
                <w:b w:val="0"/>
                <w:bCs w:val="0"/>
              </w:rPr>
              <w:t>]</w:t>
            </w:r>
            <w:r w:rsidRPr="00440151">
              <w:rPr>
                <w:u w:val="single"/>
              </w:rPr>
              <w:t>15</w:t>
            </w:r>
          </w:p>
        </w:tc>
      </w:tr>
      <w:tr w:rsidR="00EE736B" w14:paraId="3376348C" w14:textId="77777777" w:rsidTr="00E458C5">
        <w:tc>
          <w:tcPr>
            <w:tcW w:w="6115" w:type="dxa"/>
          </w:tcPr>
          <w:p w14:paraId="0F0F7995" w14:textId="7D116C3C" w:rsidR="00EE736B" w:rsidRPr="00440151" w:rsidRDefault="00EE736B" w:rsidP="00EE736B">
            <w:pPr>
              <w:pStyle w:val="Heading2"/>
              <w:numPr>
                <w:ilvl w:val="0"/>
                <w:numId w:val="32"/>
              </w:numPr>
              <w:rPr>
                <w:b w:val="0"/>
                <w:bCs w:val="0"/>
              </w:rPr>
            </w:pPr>
            <w:r w:rsidRPr="00440151">
              <w:rPr>
                <w:b w:val="0"/>
                <w:bCs w:val="0"/>
              </w:rPr>
              <w:t>Sustainability and Innovation</w:t>
            </w:r>
          </w:p>
        </w:tc>
        <w:tc>
          <w:tcPr>
            <w:tcW w:w="2515" w:type="dxa"/>
          </w:tcPr>
          <w:p w14:paraId="5FB81122" w14:textId="7C8D80D8" w:rsidR="00EE736B" w:rsidRPr="00440151" w:rsidRDefault="00440151" w:rsidP="00411DA3">
            <w:pPr>
              <w:pStyle w:val="Heading2"/>
              <w:numPr>
                <w:ilvl w:val="0"/>
                <w:numId w:val="0"/>
              </w:numPr>
              <w:rPr>
                <w:b w:val="0"/>
                <w:bCs w:val="0"/>
              </w:rPr>
            </w:pPr>
            <w:r w:rsidRPr="00440151">
              <w:rPr>
                <w:b w:val="0"/>
                <w:bCs w:val="0"/>
              </w:rPr>
              <w:t>5</w:t>
            </w:r>
          </w:p>
        </w:tc>
      </w:tr>
      <w:tr w:rsidR="0013717A" w14:paraId="274F7295" w14:textId="6A1BFC67" w:rsidTr="00E458C5">
        <w:tc>
          <w:tcPr>
            <w:tcW w:w="6115" w:type="dxa"/>
            <w:shd w:val="clear" w:color="auto" w:fill="D9D9D9" w:themeFill="background1" w:themeFillShade="D9"/>
          </w:tcPr>
          <w:p w14:paraId="0DE5CBAA" w14:textId="42025318" w:rsidR="0013717A" w:rsidRPr="00440151" w:rsidRDefault="00EE736B" w:rsidP="00A17474">
            <w:pPr>
              <w:pStyle w:val="Heading2"/>
              <w:numPr>
                <w:ilvl w:val="0"/>
                <w:numId w:val="0"/>
              </w:numPr>
              <w:jc w:val="right"/>
              <w:rPr>
                <w:b w:val="0"/>
                <w:bCs w:val="0"/>
              </w:rPr>
            </w:pPr>
            <w:r w:rsidRPr="00440151">
              <w:rPr>
                <w:b w:val="0"/>
                <w:bCs w:val="0"/>
              </w:rPr>
              <w:t>Total Possible Points</w:t>
            </w:r>
          </w:p>
        </w:tc>
        <w:tc>
          <w:tcPr>
            <w:tcW w:w="2515" w:type="dxa"/>
            <w:shd w:val="clear" w:color="auto" w:fill="D9D9D9" w:themeFill="background1" w:themeFillShade="D9"/>
          </w:tcPr>
          <w:p w14:paraId="4EAEE8BD" w14:textId="2A856298" w:rsidR="0013717A" w:rsidRPr="00440151" w:rsidRDefault="00440151" w:rsidP="00411DA3">
            <w:pPr>
              <w:pStyle w:val="Heading2"/>
              <w:numPr>
                <w:ilvl w:val="0"/>
                <w:numId w:val="0"/>
              </w:numPr>
              <w:rPr>
                <w:b w:val="0"/>
                <w:bCs w:val="0"/>
              </w:rPr>
            </w:pPr>
            <w:r w:rsidRPr="00440151">
              <w:rPr>
                <w:b w:val="0"/>
                <w:bCs w:val="0"/>
              </w:rPr>
              <w:t>[</w:t>
            </w:r>
            <w:r w:rsidRPr="00440151">
              <w:rPr>
                <w:b w:val="0"/>
                <w:bCs w:val="0"/>
                <w:strike/>
              </w:rPr>
              <w:t>100</w:t>
            </w:r>
            <w:r w:rsidRPr="00440151">
              <w:rPr>
                <w:b w:val="0"/>
                <w:bCs w:val="0"/>
              </w:rPr>
              <w:t>]</w:t>
            </w:r>
            <w:r w:rsidRPr="00440151">
              <w:rPr>
                <w:u w:val="single"/>
              </w:rPr>
              <w:t>115</w:t>
            </w:r>
          </w:p>
        </w:tc>
      </w:tr>
      <w:tr w:rsidR="00EE736B" w14:paraId="3BFAD876" w14:textId="77777777" w:rsidTr="00E458C5">
        <w:tc>
          <w:tcPr>
            <w:tcW w:w="6115" w:type="dxa"/>
            <w:shd w:val="clear" w:color="auto" w:fill="D9D9D9" w:themeFill="background1" w:themeFillShade="D9"/>
          </w:tcPr>
          <w:p w14:paraId="0F7527D1" w14:textId="1D0FA0E9" w:rsidR="00EE736B" w:rsidRPr="00440151" w:rsidRDefault="00EE736B" w:rsidP="00A17474">
            <w:pPr>
              <w:pStyle w:val="Heading2"/>
              <w:numPr>
                <w:ilvl w:val="0"/>
                <w:numId w:val="0"/>
              </w:numPr>
              <w:jc w:val="right"/>
              <w:rPr>
                <w:b w:val="0"/>
                <w:bCs w:val="0"/>
              </w:rPr>
            </w:pPr>
            <w:r w:rsidRPr="00440151">
              <w:rPr>
                <w:b w:val="0"/>
                <w:bCs w:val="0"/>
              </w:rPr>
              <w:t>Maximum Passing Score (70%)</w:t>
            </w:r>
          </w:p>
        </w:tc>
        <w:tc>
          <w:tcPr>
            <w:tcW w:w="2515" w:type="dxa"/>
            <w:shd w:val="clear" w:color="auto" w:fill="D9D9D9" w:themeFill="background1" w:themeFillShade="D9"/>
          </w:tcPr>
          <w:p w14:paraId="1C852C22" w14:textId="79D62E02" w:rsidR="00EE736B" w:rsidRPr="00440151" w:rsidRDefault="00440151" w:rsidP="00411DA3">
            <w:pPr>
              <w:pStyle w:val="Heading2"/>
              <w:numPr>
                <w:ilvl w:val="0"/>
                <w:numId w:val="0"/>
              </w:numPr>
              <w:rPr>
                <w:b w:val="0"/>
                <w:bCs w:val="0"/>
              </w:rPr>
            </w:pPr>
            <w:r w:rsidRPr="00440151">
              <w:rPr>
                <w:b w:val="0"/>
                <w:bCs w:val="0"/>
              </w:rPr>
              <w:t>[</w:t>
            </w:r>
            <w:r w:rsidRPr="00440151">
              <w:rPr>
                <w:b w:val="0"/>
                <w:bCs w:val="0"/>
                <w:strike/>
              </w:rPr>
              <w:t>70</w:t>
            </w:r>
            <w:r w:rsidRPr="00440151">
              <w:rPr>
                <w:b w:val="0"/>
                <w:bCs w:val="0"/>
              </w:rPr>
              <w:t>]</w:t>
            </w:r>
            <w:r w:rsidRPr="00440151">
              <w:rPr>
                <w:u w:val="single"/>
              </w:rPr>
              <w:t>80.5</w:t>
            </w:r>
          </w:p>
        </w:tc>
      </w:tr>
    </w:tbl>
    <w:p w14:paraId="0C2145EC" w14:textId="2EA2C8FB" w:rsidR="008A64C7" w:rsidRDefault="008A64C7" w:rsidP="008A64C7"/>
    <w:p w14:paraId="2306D909" w14:textId="4112DFD2" w:rsidR="00F60043" w:rsidRPr="00F60043" w:rsidRDefault="00F60043" w:rsidP="00E458C5">
      <w:pPr>
        <w:pStyle w:val="Heading2"/>
        <w:contextualSpacing w:val="0"/>
      </w:pPr>
      <w:r>
        <w:lastRenderedPageBreak/>
        <w:t xml:space="preserve">Page 42, Section </w:t>
      </w:r>
      <w:r w:rsidR="008A64C7">
        <w:t>V.A. Definition of Key Words</w:t>
      </w:r>
    </w:p>
    <w:tbl>
      <w:tblPr>
        <w:tblStyle w:val="TableGrid"/>
        <w:tblW w:w="0" w:type="auto"/>
        <w:tblInd w:w="360" w:type="dxa"/>
        <w:tblLook w:val="04A0" w:firstRow="1" w:lastRow="0" w:firstColumn="1" w:lastColumn="0" w:noHBand="0" w:noVBand="1"/>
      </w:tblPr>
      <w:tblGrid>
        <w:gridCol w:w="2695"/>
        <w:gridCol w:w="5935"/>
      </w:tblGrid>
      <w:tr w:rsidR="00253DD2" w:rsidRPr="00440151" w14:paraId="35DCC491" w14:textId="77777777" w:rsidTr="00E458C5">
        <w:tc>
          <w:tcPr>
            <w:tcW w:w="2695" w:type="dxa"/>
            <w:shd w:val="clear" w:color="auto" w:fill="D9D9D9" w:themeFill="background1" w:themeFillShade="D9"/>
          </w:tcPr>
          <w:p w14:paraId="04975E3F" w14:textId="4F62E4AD" w:rsidR="00253DD2" w:rsidRPr="00440151" w:rsidRDefault="00253DD2" w:rsidP="00AA36F7">
            <w:pPr>
              <w:pStyle w:val="Heading2"/>
              <w:numPr>
                <w:ilvl w:val="0"/>
                <w:numId w:val="0"/>
              </w:numPr>
              <w:jc w:val="center"/>
              <w:rPr>
                <w:b w:val="0"/>
                <w:bCs w:val="0"/>
              </w:rPr>
            </w:pPr>
            <w:r>
              <w:rPr>
                <w:b w:val="0"/>
                <w:bCs w:val="0"/>
              </w:rPr>
              <w:t>Word/Term</w:t>
            </w:r>
          </w:p>
        </w:tc>
        <w:tc>
          <w:tcPr>
            <w:tcW w:w="5935" w:type="dxa"/>
            <w:shd w:val="clear" w:color="auto" w:fill="D9D9D9" w:themeFill="background1" w:themeFillShade="D9"/>
            <w:vAlign w:val="center"/>
          </w:tcPr>
          <w:p w14:paraId="3E07372E" w14:textId="53023C11" w:rsidR="00253DD2" w:rsidRPr="00440151" w:rsidRDefault="00253DD2" w:rsidP="00AA36F7">
            <w:pPr>
              <w:pStyle w:val="Heading2"/>
              <w:numPr>
                <w:ilvl w:val="0"/>
                <w:numId w:val="0"/>
              </w:numPr>
              <w:jc w:val="center"/>
              <w:rPr>
                <w:b w:val="0"/>
                <w:bCs w:val="0"/>
              </w:rPr>
            </w:pPr>
            <w:r>
              <w:rPr>
                <w:b w:val="0"/>
                <w:bCs w:val="0"/>
              </w:rPr>
              <w:t>Definition</w:t>
            </w:r>
          </w:p>
        </w:tc>
      </w:tr>
      <w:tr w:rsidR="00253DD2" w:rsidRPr="00440151" w14:paraId="447C1129" w14:textId="77777777" w:rsidTr="00E458C5">
        <w:tc>
          <w:tcPr>
            <w:tcW w:w="2695" w:type="dxa"/>
          </w:tcPr>
          <w:p w14:paraId="716DB4E2" w14:textId="3F2A3014" w:rsidR="00253DD2" w:rsidRPr="00253DD2" w:rsidRDefault="00253DD2" w:rsidP="00253DD2">
            <w:pPr>
              <w:pStyle w:val="Heading2"/>
              <w:numPr>
                <w:ilvl w:val="0"/>
                <w:numId w:val="0"/>
              </w:numPr>
              <w:ind w:left="360" w:hanging="360"/>
              <w:rPr>
                <w:u w:val="single"/>
              </w:rPr>
            </w:pPr>
            <w:r>
              <w:rPr>
                <w:u w:val="single"/>
              </w:rPr>
              <w:t>Public Charger</w:t>
            </w:r>
          </w:p>
        </w:tc>
        <w:tc>
          <w:tcPr>
            <w:tcW w:w="5935" w:type="dxa"/>
          </w:tcPr>
          <w:p w14:paraId="18C12383" w14:textId="569B1A91" w:rsidR="00253DD2" w:rsidRPr="00E458C5" w:rsidRDefault="00E458C5" w:rsidP="00AA36F7">
            <w:pPr>
              <w:pStyle w:val="Heading2"/>
              <w:numPr>
                <w:ilvl w:val="0"/>
                <w:numId w:val="0"/>
              </w:numPr>
              <w:rPr>
                <w:u w:val="single"/>
              </w:rPr>
            </w:pPr>
            <w:r w:rsidRPr="00E458C5">
              <w:rPr>
                <w:u w:val="single"/>
              </w:rPr>
              <w:t>Public chargers are located at parking space(s) designated by a property owner or lessee to be available to and accessible by the public for any period of time.</w:t>
            </w:r>
          </w:p>
        </w:tc>
      </w:tr>
    </w:tbl>
    <w:p w14:paraId="0F1274D6" w14:textId="77777777" w:rsidR="00F43EA7" w:rsidRDefault="00F43EA7" w:rsidP="00F43EA7"/>
    <w:p w14:paraId="57950535" w14:textId="77777777" w:rsidR="00540D9A" w:rsidRDefault="00723DBB" w:rsidP="00540D9A">
      <w:pPr>
        <w:pStyle w:val="Heading1"/>
        <w:ind w:left="0"/>
      </w:pPr>
      <w:r>
        <w:t>Scope of Work</w:t>
      </w:r>
    </w:p>
    <w:p w14:paraId="4B39D411" w14:textId="101D8571" w:rsidR="00723DBB" w:rsidRPr="00235BBE" w:rsidRDefault="00723DBB" w:rsidP="00540D9A">
      <w:pPr>
        <w:pStyle w:val="Heading2"/>
      </w:pPr>
      <w:r>
        <w:t>Page</w:t>
      </w:r>
      <w:r w:rsidR="009D455C">
        <w:t xml:space="preserve"> 12, </w:t>
      </w:r>
      <w:r w:rsidR="00235BBE">
        <w:t xml:space="preserve">Task 1.6 Obtain and Execute Subawards </w:t>
      </w:r>
      <w:r w:rsidR="00235BBE">
        <w:rPr>
          <w:u w:val="single"/>
        </w:rPr>
        <w:t>and Agreements with Site Hosts</w:t>
      </w:r>
    </w:p>
    <w:p w14:paraId="497971C3" w14:textId="77777777" w:rsidR="00A729C2" w:rsidRPr="00B66B98" w:rsidRDefault="00A729C2" w:rsidP="00A729C2">
      <w:pPr>
        <w:keepLines/>
        <w:widowControl w:val="0"/>
        <w:spacing w:after="120"/>
        <w:rPr>
          <w:rFonts w:ascii="Arial" w:hAnsi="Arial" w:cs="Arial"/>
        </w:rPr>
      </w:pPr>
      <w:r w:rsidRPr="00B66B98">
        <w:rPr>
          <w:rFonts w:ascii="Arial" w:hAnsi="Arial" w:cs="Arial"/>
        </w:rPr>
        <w:t xml:space="preserve">The goal of this task is to ensure quality products and to </w:t>
      </w:r>
      <w:r>
        <w:rPr>
          <w:rFonts w:ascii="Arial" w:hAnsi="Arial" w:cs="Arial"/>
        </w:rPr>
        <w:t>[</w:t>
      </w:r>
      <w:r w:rsidRPr="00405511">
        <w:rPr>
          <w:rFonts w:ascii="Arial" w:hAnsi="Arial" w:cs="Arial"/>
          <w:strike/>
        </w:rPr>
        <w:t>procure</w:t>
      </w:r>
      <w:r>
        <w:rPr>
          <w:rFonts w:ascii="Arial" w:hAnsi="Arial" w:cs="Arial"/>
        </w:rPr>
        <w:t>]</w:t>
      </w:r>
      <w:r w:rsidRPr="00405511">
        <w:rPr>
          <w:rFonts w:ascii="Arial" w:hAnsi="Arial" w:cs="Arial"/>
          <w:b/>
          <w:bCs/>
          <w:u w:val="single"/>
        </w:rPr>
        <w:t>execute</w:t>
      </w:r>
      <w:r w:rsidRPr="00B66B98">
        <w:rPr>
          <w:rFonts w:ascii="Arial" w:hAnsi="Arial" w:cs="Arial"/>
        </w:rPr>
        <w:t xml:space="preserve"> subrecipients </w:t>
      </w:r>
      <w:r>
        <w:rPr>
          <w:rFonts w:ascii="Arial" w:hAnsi="Arial" w:cs="Arial"/>
          <w:b/>
          <w:bCs/>
          <w:u w:val="single"/>
        </w:rPr>
        <w:t>and site host agreements, as applicable,</w:t>
      </w:r>
      <w:r>
        <w:rPr>
          <w:rFonts w:ascii="Arial" w:hAnsi="Arial" w:cs="Arial"/>
        </w:rPr>
        <w:t xml:space="preserve"> </w:t>
      </w:r>
      <w:r w:rsidRPr="00B66B98">
        <w:rPr>
          <w:rFonts w:ascii="Arial" w:hAnsi="Arial" w:cs="Arial"/>
        </w:rPr>
        <w:t>required to carry out the tasks under this Agreement consistent with the Agreement Terms and Conditions and the Recipient’s own procurement</w:t>
      </w:r>
      <w:r>
        <w:rPr>
          <w:rFonts w:ascii="Arial" w:hAnsi="Arial" w:cs="Arial"/>
        </w:rPr>
        <w:t xml:space="preserve"> </w:t>
      </w:r>
      <w:r>
        <w:rPr>
          <w:rFonts w:ascii="Arial" w:hAnsi="Arial" w:cs="Arial"/>
          <w:b/>
          <w:bCs/>
          <w:u w:val="single"/>
        </w:rPr>
        <w:t>and contracting</w:t>
      </w:r>
      <w:r w:rsidRPr="00B66B98">
        <w:rPr>
          <w:rFonts w:ascii="Arial" w:hAnsi="Arial" w:cs="Arial"/>
        </w:rPr>
        <w:t xml:space="preserve"> policies and procedures. </w:t>
      </w:r>
    </w:p>
    <w:p w14:paraId="530E32B6" w14:textId="77777777" w:rsidR="00A729C2" w:rsidRPr="00B66B98" w:rsidRDefault="00A729C2" w:rsidP="00A729C2">
      <w:pPr>
        <w:keepNext/>
        <w:keepLines/>
        <w:widowControl w:val="0"/>
        <w:spacing w:after="120"/>
        <w:rPr>
          <w:rFonts w:ascii="Arial" w:hAnsi="Arial" w:cs="Arial"/>
          <w:b/>
        </w:rPr>
      </w:pPr>
      <w:r w:rsidRPr="00B66B98">
        <w:rPr>
          <w:rFonts w:ascii="Arial" w:hAnsi="Arial" w:cs="Arial"/>
          <w:b/>
        </w:rPr>
        <w:t>The Recipient shall:</w:t>
      </w:r>
    </w:p>
    <w:p w14:paraId="62BC4708" w14:textId="77777777" w:rsidR="00A729C2" w:rsidRDefault="00A729C2" w:rsidP="00A729C2">
      <w:pPr>
        <w:keepLines/>
        <w:widowControl w:val="0"/>
        <w:numPr>
          <w:ilvl w:val="0"/>
          <w:numId w:val="35"/>
        </w:numPr>
        <w:spacing w:after="120"/>
        <w:ind w:left="1440" w:hanging="720"/>
        <w:rPr>
          <w:rFonts w:ascii="Arial" w:hAnsi="Arial" w:cs="Arial"/>
        </w:rPr>
      </w:pPr>
      <w:r>
        <w:rPr>
          <w:rFonts w:ascii="Arial" w:hAnsi="Arial" w:cs="Arial"/>
        </w:rPr>
        <w:t>[</w:t>
      </w:r>
      <w:r w:rsidRPr="006F37AA">
        <w:rPr>
          <w:rFonts w:ascii="Arial" w:hAnsi="Arial" w:cs="Arial"/>
          <w:strike/>
        </w:rPr>
        <w:t>Manage</w:t>
      </w:r>
      <w:r>
        <w:rPr>
          <w:rFonts w:ascii="Arial" w:hAnsi="Arial" w:cs="Arial"/>
        </w:rPr>
        <w:t>]</w:t>
      </w:r>
      <w:r w:rsidRPr="006F37AA">
        <w:rPr>
          <w:rFonts w:ascii="Arial" w:hAnsi="Arial" w:cs="Arial"/>
          <w:b/>
          <w:bCs/>
          <w:u w:val="single"/>
        </w:rPr>
        <w:t>Execute and manage subawards</w:t>
      </w:r>
      <w:r w:rsidRPr="00B66B98">
        <w:rPr>
          <w:rFonts w:ascii="Arial" w:hAnsi="Arial" w:cs="Arial"/>
        </w:rPr>
        <w:t xml:space="preserve"> and coordinate subrecipient activities.</w:t>
      </w:r>
    </w:p>
    <w:p w14:paraId="6BFDF2B8" w14:textId="77777777" w:rsidR="00A729C2" w:rsidRPr="00020637" w:rsidRDefault="00A729C2" w:rsidP="00A729C2">
      <w:pPr>
        <w:keepLines/>
        <w:widowControl w:val="0"/>
        <w:numPr>
          <w:ilvl w:val="0"/>
          <w:numId w:val="35"/>
        </w:numPr>
        <w:spacing w:after="120"/>
        <w:ind w:left="1440" w:hanging="720"/>
        <w:rPr>
          <w:rFonts w:ascii="Arial" w:hAnsi="Arial" w:cs="Arial"/>
          <w:b/>
          <w:bCs/>
          <w:u w:val="single"/>
        </w:rPr>
      </w:pPr>
      <w:r w:rsidRPr="00020637">
        <w:rPr>
          <w:rFonts w:ascii="Arial" w:hAnsi="Arial" w:cs="Arial"/>
          <w:b/>
          <w:bCs/>
          <w:u w:val="single"/>
        </w:rPr>
        <w:t xml:space="preserve">Execute and manage site host agreements, and ensure the right to use the project site throughout the term of the Agreement, as applicable. A site host agreement is not required if the Recipient is the site host.  </w:t>
      </w:r>
    </w:p>
    <w:p w14:paraId="08555D81" w14:textId="77777777" w:rsidR="00A729C2" w:rsidRPr="00020637" w:rsidRDefault="00A729C2" w:rsidP="00A729C2">
      <w:pPr>
        <w:keepLines/>
        <w:widowControl w:val="0"/>
        <w:numPr>
          <w:ilvl w:val="0"/>
          <w:numId w:val="35"/>
        </w:numPr>
        <w:spacing w:after="120"/>
        <w:ind w:left="1440" w:hanging="720"/>
        <w:rPr>
          <w:rFonts w:ascii="Arial" w:hAnsi="Arial" w:cs="Arial"/>
          <w:b/>
          <w:bCs/>
          <w:u w:val="single"/>
        </w:rPr>
      </w:pPr>
      <w:r w:rsidRPr="00020637">
        <w:rPr>
          <w:rFonts w:ascii="Arial" w:hAnsi="Arial" w:cs="Arial"/>
          <w:b/>
          <w:bCs/>
          <w:u w:val="single"/>
        </w:rPr>
        <w:t xml:space="preserve">Notify the CEC in writing immediately, but no later than five calendar days, if there is a reasonable likelihood the project site cannot be acquired or can no longer be used for the project.  </w:t>
      </w:r>
    </w:p>
    <w:p w14:paraId="4DF0DDA0" w14:textId="77777777" w:rsidR="00A729C2" w:rsidRDefault="00A729C2" w:rsidP="00A729C2">
      <w:pPr>
        <w:keepLines/>
        <w:widowControl w:val="0"/>
        <w:numPr>
          <w:ilvl w:val="0"/>
          <w:numId w:val="35"/>
        </w:numPr>
        <w:spacing w:after="120"/>
        <w:ind w:left="1440" w:hanging="720"/>
        <w:rPr>
          <w:rFonts w:ascii="Arial" w:hAnsi="Arial" w:cs="Arial"/>
        </w:rPr>
      </w:pPr>
      <w:r>
        <w:rPr>
          <w:rFonts w:ascii="Arial" w:hAnsi="Arial" w:cs="Arial"/>
        </w:rPr>
        <w:t xml:space="preserve">Submit a </w:t>
      </w:r>
      <w:r w:rsidRPr="00D275EF">
        <w:rPr>
          <w:rFonts w:ascii="Arial" w:hAnsi="Arial" w:cs="Arial"/>
        </w:rPr>
        <w:t>letter</w:t>
      </w:r>
      <w:r>
        <w:rPr>
          <w:rFonts w:ascii="Arial" w:hAnsi="Arial" w:cs="Arial"/>
        </w:rPr>
        <w:t xml:space="preserve"> to the CAM </w:t>
      </w:r>
      <w:r w:rsidRPr="00B66B98">
        <w:rPr>
          <w:rFonts w:ascii="Arial" w:hAnsi="Arial" w:cs="Arial"/>
        </w:rPr>
        <w:t>at least 2 working days prior to the kick-off meeting</w:t>
      </w:r>
      <w:r>
        <w:rPr>
          <w:rFonts w:ascii="Arial" w:hAnsi="Arial" w:cs="Arial"/>
        </w:rPr>
        <w:t xml:space="preserve"> describing the subawards </w:t>
      </w:r>
      <w:r>
        <w:rPr>
          <w:rFonts w:ascii="Arial" w:hAnsi="Arial" w:cs="Arial"/>
          <w:b/>
          <w:bCs/>
          <w:u w:val="single"/>
        </w:rPr>
        <w:t xml:space="preserve">and any site host </w:t>
      </w:r>
      <w:r w:rsidRPr="006A6291">
        <w:rPr>
          <w:rFonts w:ascii="Arial" w:hAnsi="Arial" w:cs="Arial"/>
          <w:b/>
          <w:bCs/>
          <w:u w:val="single"/>
        </w:rPr>
        <w:t>agreement</w:t>
      </w:r>
      <w:r>
        <w:rPr>
          <w:rFonts w:ascii="Arial" w:hAnsi="Arial" w:cs="Arial"/>
        </w:rPr>
        <w:t xml:space="preserve"> </w:t>
      </w:r>
      <w:r w:rsidRPr="006A6291">
        <w:rPr>
          <w:rFonts w:ascii="Arial" w:hAnsi="Arial" w:cs="Arial"/>
        </w:rPr>
        <w:t>needed</w:t>
      </w:r>
      <w:r>
        <w:rPr>
          <w:rFonts w:ascii="Arial" w:hAnsi="Arial" w:cs="Arial"/>
        </w:rPr>
        <w:t xml:space="preserve"> or stating that no subawards </w:t>
      </w:r>
      <w:r>
        <w:rPr>
          <w:rFonts w:ascii="Arial" w:hAnsi="Arial" w:cs="Arial"/>
          <w:b/>
          <w:bCs/>
          <w:u w:val="single"/>
        </w:rPr>
        <w:t xml:space="preserve">or site host </w:t>
      </w:r>
      <w:r w:rsidRPr="007C4ADE">
        <w:rPr>
          <w:rFonts w:ascii="Arial" w:hAnsi="Arial" w:cs="Arial"/>
          <w:b/>
          <w:bCs/>
          <w:u w:val="single"/>
        </w:rPr>
        <w:t>agreements</w:t>
      </w:r>
      <w:r>
        <w:rPr>
          <w:rFonts w:ascii="Arial" w:hAnsi="Arial" w:cs="Arial"/>
        </w:rPr>
        <w:t xml:space="preserve"> </w:t>
      </w:r>
      <w:r w:rsidRPr="007C4ADE">
        <w:rPr>
          <w:rFonts w:ascii="Arial" w:hAnsi="Arial" w:cs="Arial"/>
        </w:rPr>
        <w:t>are</w:t>
      </w:r>
      <w:r>
        <w:rPr>
          <w:rFonts w:ascii="Arial" w:hAnsi="Arial" w:cs="Arial"/>
        </w:rPr>
        <w:t xml:space="preserve"> required.</w:t>
      </w:r>
    </w:p>
    <w:p w14:paraId="2C733312" w14:textId="77777777" w:rsidR="00A729C2" w:rsidRPr="00B66B98" w:rsidRDefault="00A729C2" w:rsidP="00A729C2">
      <w:pPr>
        <w:keepLines/>
        <w:widowControl w:val="0"/>
        <w:numPr>
          <w:ilvl w:val="0"/>
          <w:numId w:val="35"/>
        </w:numPr>
        <w:spacing w:after="120"/>
        <w:ind w:left="1440" w:hanging="720"/>
        <w:rPr>
          <w:rFonts w:ascii="Arial" w:hAnsi="Arial" w:cs="Arial"/>
        </w:rPr>
      </w:pPr>
      <w:r w:rsidRPr="00B66B98">
        <w:rPr>
          <w:rFonts w:ascii="Arial" w:hAnsi="Arial" w:cs="Arial"/>
        </w:rPr>
        <w:t xml:space="preserve">If requested by the CAM, submit a </w:t>
      </w:r>
      <w:r w:rsidRPr="002517E2">
        <w:rPr>
          <w:rFonts w:ascii="Arial" w:hAnsi="Arial" w:cs="Arial"/>
        </w:rPr>
        <w:t>draft of each subaward</w:t>
      </w:r>
      <w:r w:rsidRPr="00B66B98">
        <w:rPr>
          <w:rFonts w:ascii="Arial" w:hAnsi="Arial" w:cs="Arial"/>
        </w:rPr>
        <w:t xml:space="preserve"> </w:t>
      </w:r>
      <w:r>
        <w:rPr>
          <w:rFonts w:ascii="Arial" w:hAnsi="Arial" w:cs="Arial"/>
          <w:b/>
          <w:bCs/>
          <w:u w:val="single"/>
        </w:rPr>
        <w:t>and any site host agreement</w:t>
      </w:r>
      <w:r w:rsidRPr="00A14579">
        <w:rPr>
          <w:rFonts w:ascii="Arial" w:hAnsi="Arial" w:cs="Arial"/>
        </w:rPr>
        <w:t xml:space="preserve"> </w:t>
      </w:r>
      <w:r w:rsidRPr="00B66B98">
        <w:rPr>
          <w:rFonts w:ascii="Arial" w:hAnsi="Arial" w:cs="Arial"/>
        </w:rPr>
        <w:t>required to conduct the work under this Agreement to the CAM for review.</w:t>
      </w:r>
    </w:p>
    <w:p w14:paraId="5A7AFB40" w14:textId="77777777" w:rsidR="00A729C2" w:rsidRPr="00B66B98" w:rsidRDefault="00A729C2" w:rsidP="00A729C2">
      <w:pPr>
        <w:keepLines/>
        <w:widowControl w:val="0"/>
        <w:numPr>
          <w:ilvl w:val="0"/>
          <w:numId w:val="35"/>
        </w:numPr>
        <w:spacing w:after="120"/>
        <w:ind w:left="1440" w:hanging="720"/>
        <w:rPr>
          <w:rFonts w:ascii="Arial" w:hAnsi="Arial" w:cs="Arial"/>
        </w:rPr>
      </w:pPr>
      <w:r w:rsidRPr="00B66B98">
        <w:rPr>
          <w:rFonts w:ascii="Arial" w:hAnsi="Arial" w:cs="Arial"/>
        </w:rPr>
        <w:t xml:space="preserve">If requested by the CAM, submit a </w:t>
      </w:r>
      <w:r w:rsidRPr="002517E2">
        <w:rPr>
          <w:rFonts w:ascii="Arial" w:hAnsi="Arial" w:cs="Arial"/>
        </w:rPr>
        <w:t>final copy of each executed subaward</w:t>
      </w:r>
      <w:r>
        <w:rPr>
          <w:rFonts w:ascii="Arial" w:hAnsi="Arial" w:cs="Arial"/>
        </w:rPr>
        <w:t xml:space="preserve"> </w:t>
      </w:r>
      <w:r>
        <w:rPr>
          <w:rFonts w:ascii="Arial" w:hAnsi="Arial" w:cs="Arial"/>
          <w:b/>
          <w:bCs/>
          <w:u w:val="single"/>
        </w:rPr>
        <w:t>and any site host agreement</w:t>
      </w:r>
      <w:r w:rsidRPr="00B66B98">
        <w:rPr>
          <w:rFonts w:ascii="Arial" w:hAnsi="Arial" w:cs="Arial"/>
        </w:rPr>
        <w:t>.</w:t>
      </w:r>
    </w:p>
    <w:p w14:paraId="3B05AB8E" w14:textId="77777777" w:rsidR="00A729C2" w:rsidRPr="00B66B98" w:rsidRDefault="00A729C2" w:rsidP="00A729C2">
      <w:pPr>
        <w:keepLines/>
        <w:widowControl w:val="0"/>
        <w:numPr>
          <w:ilvl w:val="0"/>
          <w:numId w:val="35"/>
        </w:numPr>
        <w:spacing w:after="120"/>
        <w:ind w:left="1440" w:hanging="720"/>
        <w:rPr>
          <w:rFonts w:ascii="Arial" w:hAnsi="Arial" w:cs="Arial"/>
        </w:rPr>
      </w:pPr>
      <w:r w:rsidRPr="00B66B98">
        <w:rPr>
          <w:rFonts w:ascii="Arial" w:hAnsi="Arial" w:cs="Arial"/>
        </w:rPr>
        <w:t>If Recipient intends to add new subrecipients or change subrecipients, then the Recipient shall notify the CAM.</w:t>
      </w:r>
    </w:p>
    <w:p w14:paraId="6393303D" w14:textId="77777777" w:rsidR="00A729C2" w:rsidRPr="00B66B98" w:rsidRDefault="00A729C2" w:rsidP="00A729C2">
      <w:pPr>
        <w:keepNext/>
        <w:keepLines/>
        <w:widowControl w:val="0"/>
        <w:spacing w:after="120"/>
        <w:rPr>
          <w:rFonts w:ascii="Arial" w:hAnsi="Arial" w:cs="Arial"/>
          <w:b/>
        </w:rPr>
      </w:pPr>
      <w:r w:rsidRPr="00B66B98">
        <w:rPr>
          <w:rFonts w:ascii="Arial" w:hAnsi="Arial" w:cs="Arial"/>
          <w:b/>
        </w:rPr>
        <w:lastRenderedPageBreak/>
        <w:t>Products:</w:t>
      </w:r>
    </w:p>
    <w:p w14:paraId="20AE8335" w14:textId="77777777" w:rsidR="00A729C2" w:rsidRPr="00B66B98" w:rsidRDefault="00A729C2" w:rsidP="00A729C2">
      <w:pPr>
        <w:keepLines/>
        <w:widowControl w:val="0"/>
        <w:numPr>
          <w:ilvl w:val="0"/>
          <w:numId w:val="36"/>
        </w:numPr>
        <w:spacing w:after="120"/>
        <w:ind w:left="1440" w:hanging="720"/>
        <w:rPr>
          <w:rFonts w:ascii="Arial" w:hAnsi="Arial" w:cs="Arial"/>
        </w:rPr>
      </w:pPr>
      <w:r w:rsidRPr="00B66B98">
        <w:rPr>
          <w:rFonts w:ascii="Arial" w:hAnsi="Arial" w:cs="Arial"/>
        </w:rPr>
        <w:t>Letter describing the subawards</w:t>
      </w:r>
      <w:r>
        <w:rPr>
          <w:rFonts w:ascii="Arial" w:hAnsi="Arial" w:cs="Arial"/>
        </w:rPr>
        <w:t xml:space="preserve"> </w:t>
      </w:r>
      <w:r>
        <w:rPr>
          <w:rFonts w:ascii="Arial" w:hAnsi="Arial" w:cs="Arial"/>
          <w:b/>
          <w:bCs/>
          <w:u w:val="single"/>
        </w:rPr>
        <w:t>and any site host agreement</w:t>
      </w:r>
      <w:r w:rsidRPr="00B66B98">
        <w:rPr>
          <w:rFonts w:ascii="Arial" w:hAnsi="Arial" w:cs="Arial"/>
        </w:rPr>
        <w:t xml:space="preserve"> needed, or stating that no subawards </w:t>
      </w:r>
      <w:r>
        <w:rPr>
          <w:rFonts w:ascii="Arial" w:hAnsi="Arial" w:cs="Arial"/>
          <w:b/>
          <w:bCs/>
          <w:u w:val="single"/>
        </w:rPr>
        <w:t>or site host agreements</w:t>
      </w:r>
      <w:r>
        <w:rPr>
          <w:rFonts w:ascii="Arial" w:hAnsi="Arial" w:cs="Arial"/>
        </w:rPr>
        <w:t xml:space="preserve"> </w:t>
      </w:r>
      <w:r w:rsidRPr="00B66B98">
        <w:rPr>
          <w:rFonts w:ascii="Arial" w:hAnsi="Arial" w:cs="Arial"/>
        </w:rPr>
        <w:t>are required</w:t>
      </w:r>
    </w:p>
    <w:p w14:paraId="61EC4312" w14:textId="77777777" w:rsidR="00A729C2" w:rsidRPr="00B66B98" w:rsidRDefault="00A729C2" w:rsidP="00A729C2">
      <w:pPr>
        <w:keepLines/>
        <w:widowControl w:val="0"/>
        <w:numPr>
          <w:ilvl w:val="0"/>
          <w:numId w:val="36"/>
        </w:numPr>
        <w:spacing w:after="120"/>
        <w:ind w:left="1440" w:hanging="720"/>
        <w:rPr>
          <w:rFonts w:ascii="Arial" w:hAnsi="Arial" w:cs="Arial"/>
        </w:rPr>
      </w:pPr>
      <w:r w:rsidRPr="00B66B98">
        <w:rPr>
          <w:rFonts w:ascii="Arial" w:hAnsi="Arial" w:cs="Arial"/>
        </w:rPr>
        <w:t xml:space="preserve">Draft </w:t>
      </w:r>
      <w:r>
        <w:rPr>
          <w:rFonts w:ascii="Arial" w:hAnsi="Arial" w:cs="Arial"/>
        </w:rPr>
        <w:t>subaward</w:t>
      </w:r>
      <w:r w:rsidRPr="00B66B98">
        <w:rPr>
          <w:rFonts w:ascii="Arial" w:hAnsi="Arial" w:cs="Arial"/>
        </w:rPr>
        <w:t xml:space="preserve"> (if requested)</w:t>
      </w:r>
    </w:p>
    <w:p w14:paraId="3FD5F9EF" w14:textId="77777777" w:rsidR="00A729C2" w:rsidRPr="00F079F8" w:rsidRDefault="00A729C2" w:rsidP="00A729C2">
      <w:pPr>
        <w:keepLines/>
        <w:widowControl w:val="0"/>
        <w:numPr>
          <w:ilvl w:val="0"/>
          <w:numId w:val="36"/>
        </w:numPr>
        <w:spacing w:after="120"/>
        <w:ind w:left="1440" w:hanging="720"/>
        <w:rPr>
          <w:rFonts w:ascii="Arial" w:hAnsi="Arial" w:cs="Arial"/>
        </w:rPr>
      </w:pPr>
      <w:r w:rsidRPr="7EBDFB4F">
        <w:rPr>
          <w:rFonts w:ascii="Arial" w:hAnsi="Arial" w:cs="Arial"/>
        </w:rPr>
        <w:t>Final subaward (if requested)</w:t>
      </w:r>
    </w:p>
    <w:p w14:paraId="0EE20AFD" w14:textId="77777777" w:rsidR="00A729C2" w:rsidRPr="00751148" w:rsidRDefault="00A729C2" w:rsidP="00A729C2">
      <w:pPr>
        <w:keepLines/>
        <w:widowControl w:val="0"/>
        <w:numPr>
          <w:ilvl w:val="0"/>
          <w:numId w:val="36"/>
        </w:numPr>
        <w:spacing w:after="120"/>
        <w:ind w:left="1440" w:hanging="720"/>
        <w:rPr>
          <w:rFonts w:ascii="Arial" w:hAnsi="Arial" w:cs="Arial"/>
        </w:rPr>
      </w:pPr>
      <w:r>
        <w:rPr>
          <w:rFonts w:ascii="Arial" w:hAnsi="Arial" w:cs="Arial"/>
          <w:b/>
          <w:bCs/>
          <w:u w:val="single"/>
        </w:rPr>
        <w:t>Draft site host agreement (if requested)</w:t>
      </w:r>
    </w:p>
    <w:p w14:paraId="1FC8EAA0" w14:textId="14BA67B5" w:rsidR="00540D9A" w:rsidRDefault="00A729C2" w:rsidP="00540D9A">
      <w:pPr>
        <w:keepLines/>
        <w:widowControl w:val="0"/>
        <w:numPr>
          <w:ilvl w:val="0"/>
          <w:numId w:val="36"/>
        </w:numPr>
        <w:spacing w:after="120"/>
        <w:ind w:left="1440" w:hanging="720"/>
        <w:rPr>
          <w:rFonts w:ascii="Arial" w:hAnsi="Arial" w:cs="Arial"/>
        </w:rPr>
      </w:pPr>
      <w:r w:rsidRPr="00751148">
        <w:rPr>
          <w:rFonts w:ascii="Arial" w:hAnsi="Arial" w:cs="Arial"/>
          <w:b/>
          <w:bCs/>
          <w:u w:val="single"/>
        </w:rPr>
        <w:t>Final site host agreement (if requested)</w:t>
      </w:r>
    </w:p>
    <w:p w14:paraId="1F5ABE23" w14:textId="77777777" w:rsidR="00540D9A" w:rsidRDefault="00540D9A" w:rsidP="00540D9A">
      <w:pPr>
        <w:keepLines/>
        <w:widowControl w:val="0"/>
        <w:spacing w:after="120"/>
        <w:rPr>
          <w:rFonts w:ascii="Arial" w:hAnsi="Arial" w:cs="Arial"/>
        </w:rPr>
      </w:pPr>
    </w:p>
    <w:p w14:paraId="7CF57456" w14:textId="465BDD8C" w:rsidR="00540D9A" w:rsidRDefault="00BA3C26" w:rsidP="00633718">
      <w:pPr>
        <w:pStyle w:val="Heading1"/>
        <w:ind w:left="0"/>
      </w:pPr>
      <w:r w:rsidRPr="00100E2C">
        <w:rPr>
          <w:noProof/>
        </w:rPr>
        <w:drawing>
          <wp:anchor distT="0" distB="0" distL="114300" distR="114300" simplePos="0" relativeHeight="251658240" behindDoc="0" locked="0" layoutInCell="1" allowOverlap="1" wp14:anchorId="36A42F57" wp14:editId="1435FC8C">
            <wp:simplePos x="0" y="0"/>
            <wp:positionH relativeFrom="column">
              <wp:posOffset>-628650</wp:posOffset>
            </wp:positionH>
            <wp:positionV relativeFrom="paragraph">
              <wp:posOffset>353695</wp:posOffset>
            </wp:positionV>
            <wp:extent cx="6926580" cy="962025"/>
            <wp:effectExtent l="19050" t="19050" r="26670" b="28575"/>
            <wp:wrapSquare wrapText="bothSides"/>
            <wp:docPr id="329852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5288"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6926580" cy="962025"/>
                    </a:xfrm>
                    <a:prstGeom prst="rect">
                      <a:avLst/>
                    </a:prstGeom>
                    <a:ln>
                      <a:solidFill>
                        <a:schemeClr val="tx1"/>
                      </a:solidFill>
                    </a:ln>
                  </pic:spPr>
                </pic:pic>
              </a:graphicData>
            </a:graphic>
          </wp:anchor>
        </w:drawing>
      </w:r>
      <w:r w:rsidR="00540D9A">
        <w:t>Schedule of Products and Due Dates</w:t>
      </w:r>
    </w:p>
    <w:p w14:paraId="3CB55F09" w14:textId="7C4035C6" w:rsidR="00E0141C" w:rsidRPr="00E0141C" w:rsidRDefault="00E0141C" w:rsidP="00E0141C"/>
    <w:p w14:paraId="6061816F" w14:textId="77777777" w:rsidR="00540D9A" w:rsidRPr="00540D9A" w:rsidRDefault="00540D9A" w:rsidP="00540D9A"/>
    <w:p w14:paraId="07FBA8BF" w14:textId="0B2B3B56" w:rsidR="296F0FF1" w:rsidRPr="004578F5" w:rsidRDefault="296F0FF1" w:rsidP="72FA6E35">
      <w:pPr>
        <w:spacing w:line="259" w:lineRule="auto"/>
        <w:rPr>
          <w:rFonts w:cs="Tahoma"/>
        </w:rPr>
      </w:pPr>
      <w:r w:rsidRPr="004578F5">
        <w:rPr>
          <w:rFonts w:cs="Tahoma"/>
          <w:b/>
          <w:bCs/>
        </w:rPr>
        <w:t>Eilene Cary,</w:t>
      </w:r>
    </w:p>
    <w:p w14:paraId="19B4D541" w14:textId="3DDE6849" w:rsidR="00B1122A" w:rsidRPr="004578F5" w:rsidRDefault="00B1122A" w:rsidP="00B1122A">
      <w:pPr>
        <w:spacing w:after="480"/>
        <w:rPr>
          <w:rStyle w:val="normaltextrun"/>
          <w:rFonts w:cs="Tahoma"/>
          <w:b/>
          <w:bCs/>
        </w:rPr>
      </w:pPr>
      <w:r w:rsidRPr="004578F5">
        <w:rPr>
          <w:rFonts w:cs="Tahoma"/>
          <w:b/>
          <w:bCs/>
        </w:rPr>
        <w:t>Commission Agreement Officer</w:t>
      </w:r>
    </w:p>
    <w:sectPr w:rsidR="00B1122A" w:rsidRPr="004578F5" w:rsidSect="00427848">
      <w:headerReference w:type="default" r:id="rId12"/>
      <w:footerReference w:type="default" r:id="rId13"/>
      <w:headerReference w:type="first" r:id="rId14"/>
      <w:footerReference w:type="first" r:id="rId15"/>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8FB13" w14:textId="77777777" w:rsidR="00034DEF" w:rsidRDefault="00034DEF" w:rsidP="00F86D2B">
      <w:r>
        <w:separator/>
      </w:r>
    </w:p>
  </w:endnote>
  <w:endnote w:type="continuationSeparator" w:id="0">
    <w:p w14:paraId="6B961B68" w14:textId="77777777" w:rsidR="00034DEF" w:rsidRDefault="00034DEF" w:rsidP="00F86D2B">
      <w:r>
        <w:continuationSeparator/>
      </w:r>
    </w:p>
  </w:endnote>
  <w:endnote w:type="continuationNotice" w:id="1">
    <w:p w14:paraId="213DD793" w14:textId="77777777" w:rsidR="00034DEF" w:rsidRDefault="00034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91865" w14:textId="77777777" w:rsidR="00034DEF" w:rsidRDefault="00034DEF" w:rsidP="00F86D2B">
      <w:r>
        <w:separator/>
      </w:r>
    </w:p>
  </w:footnote>
  <w:footnote w:type="continuationSeparator" w:id="0">
    <w:p w14:paraId="2DD0ED02" w14:textId="77777777" w:rsidR="00034DEF" w:rsidRDefault="00034DEF" w:rsidP="00F86D2B">
      <w:r>
        <w:continuationSeparator/>
      </w:r>
    </w:p>
  </w:footnote>
  <w:footnote w:type="continuationNotice" w:id="1">
    <w:p w14:paraId="6C515DB3" w14:textId="77777777" w:rsidR="00034DEF" w:rsidRDefault="00034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F3E"/>
    <w:multiLevelType w:val="hybridMultilevel"/>
    <w:tmpl w:val="D1CC0080"/>
    <w:lvl w:ilvl="0" w:tplc="6534F984">
      <w:start w:val="1"/>
      <w:numFmt w:val="bullet"/>
      <w:lvlText w:val=""/>
      <w:lvlJc w:val="left"/>
      <w:pPr>
        <w:ind w:left="720" w:hanging="360"/>
      </w:pPr>
      <w:rPr>
        <w:rFonts w:ascii="Symbol" w:hAnsi="Symbol" w:hint="default"/>
      </w:rPr>
    </w:lvl>
    <w:lvl w:ilvl="1" w:tplc="E460C3DE">
      <w:start w:val="1"/>
      <w:numFmt w:val="bullet"/>
      <w:lvlText w:val="o"/>
      <w:lvlJc w:val="left"/>
      <w:pPr>
        <w:ind w:left="1440" w:hanging="360"/>
      </w:pPr>
      <w:rPr>
        <w:rFonts w:ascii="Courier New" w:hAnsi="Courier New" w:hint="default"/>
      </w:rPr>
    </w:lvl>
    <w:lvl w:ilvl="2" w:tplc="AF781042">
      <w:start w:val="1"/>
      <w:numFmt w:val="bullet"/>
      <w:lvlText w:val=""/>
      <w:lvlJc w:val="left"/>
      <w:pPr>
        <w:ind w:left="2160" w:hanging="360"/>
      </w:pPr>
      <w:rPr>
        <w:rFonts w:ascii="Wingdings" w:hAnsi="Wingdings" w:hint="default"/>
      </w:rPr>
    </w:lvl>
    <w:lvl w:ilvl="3" w:tplc="06B6BEB2">
      <w:start w:val="1"/>
      <w:numFmt w:val="bullet"/>
      <w:lvlText w:val=""/>
      <w:lvlJc w:val="left"/>
      <w:pPr>
        <w:ind w:left="2880" w:hanging="360"/>
      </w:pPr>
      <w:rPr>
        <w:rFonts w:ascii="Symbol" w:hAnsi="Symbol" w:hint="default"/>
      </w:rPr>
    </w:lvl>
    <w:lvl w:ilvl="4" w:tplc="65C23A32">
      <w:start w:val="1"/>
      <w:numFmt w:val="bullet"/>
      <w:lvlText w:val="o"/>
      <w:lvlJc w:val="left"/>
      <w:pPr>
        <w:ind w:left="3600" w:hanging="360"/>
      </w:pPr>
      <w:rPr>
        <w:rFonts w:ascii="Courier New" w:hAnsi="Courier New" w:hint="default"/>
      </w:rPr>
    </w:lvl>
    <w:lvl w:ilvl="5" w:tplc="0FEC49DA">
      <w:start w:val="1"/>
      <w:numFmt w:val="bullet"/>
      <w:lvlText w:val=""/>
      <w:lvlJc w:val="left"/>
      <w:pPr>
        <w:ind w:left="4320" w:hanging="360"/>
      </w:pPr>
      <w:rPr>
        <w:rFonts w:ascii="Wingdings" w:hAnsi="Wingdings" w:hint="default"/>
      </w:rPr>
    </w:lvl>
    <w:lvl w:ilvl="6" w:tplc="C0285E62">
      <w:start w:val="1"/>
      <w:numFmt w:val="bullet"/>
      <w:lvlText w:val=""/>
      <w:lvlJc w:val="left"/>
      <w:pPr>
        <w:ind w:left="5040" w:hanging="360"/>
      </w:pPr>
      <w:rPr>
        <w:rFonts w:ascii="Symbol" w:hAnsi="Symbol" w:hint="default"/>
      </w:rPr>
    </w:lvl>
    <w:lvl w:ilvl="7" w:tplc="722CA06C">
      <w:start w:val="1"/>
      <w:numFmt w:val="bullet"/>
      <w:lvlText w:val="o"/>
      <w:lvlJc w:val="left"/>
      <w:pPr>
        <w:ind w:left="5760" w:hanging="360"/>
      </w:pPr>
      <w:rPr>
        <w:rFonts w:ascii="Courier New" w:hAnsi="Courier New" w:hint="default"/>
      </w:rPr>
    </w:lvl>
    <w:lvl w:ilvl="8" w:tplc="EDC085BC">
      <w:start w:val="1"/>
      <w:numFmt w:val="bullet"/>
      <w:lvlText w:val=""/>
      <w:lvlJc w:val="left"/>
      <w:pPr>
        <w:ind w:left="6480" w:hanging="360"/>
      </w:pPr>
      <w:rPr>
        <w:rFonts w:ascii="Wingdings" w:hAnsi="Wingdings" w:hint="default"/>
      </w:rPr>
    </w:lvl>
  </w:abstractNum>
  <w:abstractNum w:abstractNumId="1" w15:restartNumberingAfterBreak="0">
    <w:nsid w:val="02B16AAF"/>
    <w:multiLevelType w:val="hybridMultilevel"/>
    <w:tmpl w:val="368E6DBA"/>
    <w:lvl w:ilvl="0" w:tplc="12DCCF96">
      <w:start w:val="1"/>
      <w:numFmt w:val="decimal"/>
      <w:pStyle w:val="Heading2"/>
      <w:lvlText w:val="%1."/>
      <w:lvlJc w:val="left"/>
      <w:pPr>
        <w:ind w:left="360" w:hanging="360"/>
      </w:pPr>
    </w:lvl>
    <w:lvl w:ilvl="1" w:tplc="4B4288E6">
      <w:start w:val="1"/>
      <w:numFmt w:val="lowerLetter"/>
      <w:lvlText w:val="%2."/>
      <w:lvlJc w:val="left"/>
      <w:pPr>
        <w:ind w:left="1080" w:hanging="360"/>
      </w:pPr>
    </w:lvl>
    <w:lvl w:ilvl="2" w:tplc="492A4A64">
      <w:start w:val="1"/>
      <w:numFmt w:val="lowerRoman"/>
      <w:lvlText w:val="%3."/>
      <w:lvlJc w:val="right"/>
      <w:pPr>
        <w:ind w:left="1800" w:hanging="180"/>
      </w:pPr>
    </w:lvl>
    <w:lvl w:ilvl="3" w:tplc="3882494E">
      <w:start w:val="1"/>
      <w:numFmt w:val="decimal"/>
      <w:lvlText w:val="%4."/>
      <w:lvlJc w:val="left"/>
      <w:pPr>
        <w:ind w:left="2520" w:hanging="360"/>
      </w:pPr>
    </w:lvl>
    <w:lvl w:ilvl="4" w:tplc="C3D42E14">
      <w:start w:val="1"/>
      <w:numFmt w:val="lowerLetter"/>
      <w:lvlText w:val="%5."/>
      <w:lvlJc w:val="left"/>
      <w:pPr>
        <w:ind w:left="3240" w:hanging="360"/>
      </w:pPr>
    </w:lvl>
    <w:lvl w:ilvl="5" w:tplc="38B4BBD4">
      <w:start w:val="1"/>
      <w:numFmt w:val="lowerRoman"/>
      <w:lvlText w:val="%6."/>
      <w:lvlJc w:val="right"/>
      <w:pPr>
        <w:ind w:left="3960" w:hanging="180"/>
      </w:pPr>
    </w:lvl>
    <w:lvl w:ilvl="6" w:tplc="31AE547A">
      <w:start w:val="1"/>
      <w:numFmt w:val="decimal"/>
      <w:lvlText w:val="%7."/>
      <w:lvlJc w:val="left"/>
      <w:pPr>
        <w:ind w:left="4680" w:hanging="360"/>
      </w:pPr>
    </w:lvl>
    <w:lvl w:ilvl="7" w:tplc="4D02D722">
      <w:start w:val="1"/>
      <w:numFmt w:val="lowerLetter"/>
      <w:lvlText w:val="%8."/>
      <w:lvlJc w:val="left"/>
      <w:pPr>
        <w:ind w:left="5400" w:hanging="360"/>
      </w:pPr>
    </w:lvl>
    <w:lvl w:ilvl="8" w:tplc="BE58A54A">
      <w:start w:val="1"/>
      <w:numFmt w:val="lowerRoman"/>
      <w:lvlText w:val="%9."/>
      <w:lvlJc w:val="right"/>
      <w:pPr>
        <w:ind w:left="6120" w:hanging="180"/>
      </w:pPr>
    </w:lvl>
  </w:abstractNum>
  <w:abstractNum w:abstractNumId="2" w15:restartNumberingAfterBreak="0">
    <w:nsid w:val="046B2CB9"/>
    <w:multiLevelType w:val="hybridMultilevel"/>
    <w:tmpl w:val="5F687784"/>
    <w:lvl w:ilvl="0" w:tplc="90F8186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61A7"/>
    <w:multiLevelType w:val="hybridMultilevel"/>
    <w:tmpl w:val="A2B0B4BE"/>
    <w:lvl w:ilvl="0" w:tplc="60EA672C">
      <w:start w:val="1"/>
      <w:numFmt w:val="decimal"/>
      <w:lvlText w:val="%1."/>
      <w:lvlJc w:val="left"/>
      <w:pPr>
        <w:ind w:left="720" w:hanging="360"/>
      </w:pPr>
    </w:lvl>
    <w:lvl w:ilvl="1" w:tplc="80EA10CA">
      <w:start w:val="2"/>
      <w:numFmt w:val="decimal"/>
      <w:lvlText w:val="%2."/>
      <w:lvlJc w:val="left"/>
      <w:pPr>
        <w:ind w:left="1440" w:hanging="360"/>
      </w:pPr>
      <w:rPr>
        <w:rFonts w:ascii="Tahoma" w:hAnsi="Tahoma" w:hint="default"/>
      </w:rPr>
    </w:lvl>
    <w:lvl w:ilvl="2" w:tplc="6A827A86">
      <w:start w:val="1"/>
      <w:numFmt w:val="lowerRoman"/>
      <w:lvlText w:val="%3."/>
      <w:lvlJc w:val="right"/>
      <w:pPr>
        <w:ind w:left="2160" w:hanging="180"/>
      </w:pPr>
    </w:lvl>
    <w:lvl w:ilvl="3" w:tplc="EFECD01A">
      <w:start w:val="1"/>
      <w:numFmt w:val="decimal"/>
      <w:lvlText w:val="%4."/>
      <w:lvlJc w:val="left"/>
      <w:pPr>
        <w:ind w:left="2880" w:hanging="360"/>
      </w:pPr>
    </w:lvl>
    <w:lvl w:ilvl="4" w:tplc="F4A036A6">
      <w:start w:val="1"/>
      <w:numFmt w:val="lowerLetter"/>
      <w:lvlText w:val="%5."/>
      <w:lvlJc w:val="left"/>
      <w:pPr>
        <w:ind w:left="3600" w:hanging="360"/>
      </w:pPr>
    </w:lvl>
    <w:lvl w:ilvl="5" w:tplc="FC68A6E0">
      <w:start w:val="1"/>
      <w:numFmt w:val="lowerRoman"/>
      <w:lvlText w:val="%6."/>
      <w:lvlJc w:val="right"/>
      <w:pPr>
        <w:ind w:left="4320" w:hanging="180"/>
      </w:pPr>
    </w:lvl>
    <w:lvl w:ilvl="6" w:tplc="6706C9A8">
      <w:start w:val="1"/>
      <w:numFmt w:val="decimal"/>
      <w:lvlText w:val="%7."/>
      <w:lvlJc w:val="left"/>
      <w:pPr>
        <w:ind w:left="5040" w:hanging="360"/>
      </w:pPr>
    </w:lvl>
    <w:lvl w:ilvl="7" w:tplc="E90C3022">
      <w:start w:val="1"/>
      <w:numFmt w:val="lowerLetter"/>
      <w:lvlText w:val="%8."/>
      <w:lvlJc w:val="left"/>
      <w:pPr>
        <w:ind w:left="5760" w:hanging="360"/>
      </w:pPr>
    </w:lvl>
    <w:lvl w:ilvl="8" w:tplc="15E0B20E">
      <w:start w:val="1"/>
      <w:numFmt w:val="lowerRoman"/>
      <w:lvlText w:val="%9."/>
      <w:lvlJc w:val="right"/>
      <w:pPr>
        <w:ind w:left="6480" w:hanging="180"/>
      </w:pPr>
    </w:lvl>
  </w:abstractNum>
  <w:abstractNum w:abstractNumId="5" w15:restartNumberingAfterBreak="0">
    <w:nsid w:val="170DD830"/>
    <w:multiLevelType w:val="hybridMultilevel"/>
    <w:tmpl w:val="9E72E47C"/>
    <w:lvl w:ilvl="0" w:tplc="032029A2">
      <w:start w:val="1"/>
      <w:numFmt w:val="decimal"/>
      <w:lvlText w:val="%1."/>
      <w:lvlJc w:val="left"/>
      <w:pPr>
        <w:ind w:left="360" w:hanging="360"/>
      </w:pPr>
    </w:lvl>
    <w:lvl w:ilvl="1" w:tplc="8BCC7698">
      <w:start w:val="1"/>
      <w:numFmt w:val="lowerLetter"/>
      <w:lvlText w:val="%2."/>
      <w:lvlJc w:val="left"/>
      <w:pPr>
        <w:ind w:left="1080" w:hanging="360"/>
      </w:pPr>
    </w:lvl>
    <w:lvl w:ilvl="2" w:tplc="179E4A94">
      <w:start w:val="1"/>
      <w:numFmt w:val="lowerRoman"/>
      <w:lvlText w:val="%3."/>
      <w:lvlJc w:val="right"/>
      <w:pPr>
        <w:ind w:left="1800" w:hanging="180"/>
      </w:pPr>
    </w:lvl>
    <w:lvl w:ilvl="3" w:tplc="915E6E4A">
      <w:start w:val="1"/>
      <w:numFmt w:val="decimal"/>
      <w:lvlText w:val="%4."/>
      <w:lvlJc w:val="left"/>
      <w:pPr>
        <w:ind w:left="2520" w:hanging="360"/>
      </w:pPr>
    </w:lvl>
    <w:lvl w:ilvl="4" w:tplc="6FF476FA">
      <w:start w:val="1"/>
      <w:numFmt w:val="lowerLetter"/>
      <w:lvlText w:val="%5."/>
      <w:lvlJc w:val="left"/>
      <w:pPr>
        <w:ind w:left="3240" w:hanging="360"/>
      </w:pPr>
    </w:lvl>
    <w:lvl w:ilvl="5" w:tplc="DC58B232">
      <w:start w:val="1"/>
      <w:numFmt w:val="lowerRoman"/>
      <w:lvlText w:val="%6."/>
      <w:lvlJc w:val="right"/>
      <w:pPr>
        <w:ind w:left="3960" w:hanging="180"/>
      </w:pPr>
    </w:lvl>
    <w:lvl w:ilvl="6" w:tplc="BE54239C">
      <w:start w:val="1"/>
      <w:numFmt w:val="decimal"/>
      <w:lvlText w:val="%7."/>
      <w:lvlJc w:val="left"/>
      <w:pPr>
        <w:ind w:left="4680" w:hanging="360"/>
      </w:pPr>
    </w:lvl>
    <w:lvl w:ilvl="7" w:tplc="83A8642C">
      <w:start w:val="1"/>
      <w:numFmt w:val="lowerLetter"/>
      <w:lvlText w:val="%8."/>
      <w:lvlJc w:val="left"/>
      <w:pPr>
        <w:ind w:left="5400" w:hanging="360"/>
      </w:pPr>
    </w:lvl>
    <w:lvl w:ilvl="8" w:tplc="4B569B80">
      <w:start w:val="1"/>
      <w:numFmt w:val="lowerRoman"/>
      <w:lvlText w:val="%9."/>
      <w:lvlJc w:val="right"/>
      <w:pPr>
        <w:ind w:left="6120" w:hanging="180"/>
      </w:pPr>
    </w:lvl>
  </w:abstractNum>
  <w:abstractNum w:abstractNumId="6" w15:restartNumberingAfterBreak="0">
    <w:nsid w:val="1728048B"/>
    <w:multiLevelType w:val="hybridMultilevel"/>
    <w:tmpl w:val="F59614E0"/>
    <w:lvl w:ilvl="0" w:tplc="78D605B8">
      <w:start w:val="16"/>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68A15"/>
    <w:multiLevelType w:val="hybridMultilevel"/>
    <w:tmpl w:val="896EBBCC"/>
    <w:lvl w:ilvl="0" w:tplc="FD3CB4DA">
      <w:start w:val="1"/>
      <w:numFmt w:val="bullet"/>
      <w:lvlText w:val=""/>
      <w:lvlJc w:val="left"/>
      <w:pPr>
        <w:ind w:left="720" w:hanging="360"/>
      </w:pPr>
      <w:rPr>
        <w:rFonts w:ascii="Symbol" w:hAnsi="Symbol" w:hint="default"/>
      </w:rPr>
    </w:lvl>
    <w:lvl w:ilvl="1" w:tplc="8FFA0584">
      <w:start w:val="1"/>
      <w:numFmt w:val="bullet"/>
      <w:lvlText w:val="·"/>
      <w:lvlJc w:val="left"/>
      <w:pPr>
        <w:ind w:left="1440" w:hanging="360"/>
      </w:pPr>
      <w:rPr>
        <w:rFonts w:ascii="Symbol" w:hAnsi="Symbol" w:hint="default"/>
      </w:rPr>
    </w:lvl>
    <w:lvl w:ilvl="2" w:tplc="D1FC263C">
      <w:start w:val="1"/>
      <w:numFmt w:val="bullet"/>
      <w:lvlText w:val=""/>
      <w:lvlJc w:val="left"/>
      <w:pPr>
        <w:ind w:left="2160" w:hanging="360"/>
      </w:pPr>
      <w:rPr>
        <w:rFonts w:ascii="Wingdings" w:hAnsi="Wingdings" w:hint="default"/>
      </w:rPr>
    </w:lvl>
    <w:lvl w:ilvl="3" w:tplc="10085674">
      <w:start w:val="1"/>
      <w:numFmt w:val="bullet"/>
      <w:lvlText w:val=""/>
      <w:lvlJc w:val="left"/>
      <w:pPr>
        <w:ind w:left="2880" w:hanging="360"/>
      </w:pPr>
      <w:rPr>
        <w:rFonts w:ascii="Symbol" w:hAnsi="Symbol" w:hint="default"/>
      </w:rPr>
    </w:lvl>
    <w:lvl w:ilvl="4" w:tplc="3620E708">
      <w:start w:val="1"/>
      <w:numFmt w:val="bullet"/>
      <w:lvlText w:val="o"/>
      <w:lvlJc w:val="left"/>
      <w:pPr>
        <w:ind w:left="3600" w:hanging="360"/>
      </w:pPr>
      <w:rPr>
        <w:rFonts w:ascii="Courier New" w:hAnsi="Courier New" w:hint="default"/>
      </w:rPr>
    </w:lvl>
    <w:lvl w:ilvl="5" w:tplc="B3622AB2">
      <w:start w:val="1"/>
      <w:numFmt w:val="bullet"/>
      <w:lvlText w:val=""/>
      <w:lvlJc w:val="left"/>
      <w:pPr>
        <w:ind w:left="4320" w:hanging="360"/>
      </w:pPr>
      <w:rPr>
        <w:rFonts w:ascii="Wingdings" w:hAnsi="Wingdings" w:hint="default"/>
      </w:rPr>
    </w:lvl>
    <w:lvl w:ilvl="6" w:tplc="42EA9A3C">
      <w:start w:val="1"/>
      <w:numFmt w:val="bullet"/>
      <w:lvlText w:val=""/>
      <w:lvlJc w:val="left"/>
      <w:pPr>
        <w:ind w:left="5040" w:hanging="360"/>
      </w:pPr>
      <w:rPr>
        <w:rFonts w:ascii="Symbol" w:hAnsi="Symbol" w:hint="default"/>
      </w:rPr>
    </w:lvl>
    <w:lvl w:ilvl="7" w:tplc="553A1FE6">
      <w:start w:val="1"/>
      <w:numFmt w:val="bullet"/>
      <w:lvlText w:val="o"/>
      <w:lvlJc w:val="left"/>
      <w:pPr>
        <w:ind w:left="5760" w:hanging="360"/>
      </w:pPr>
      <w:rPr>
        <w:rFonts w:ascii="Courier New" w:hAnsi="Courier New" w:hint="default"/>
      </w:rPr>
    </w:lvl>
    <w:lvl w:ilvl="8" w:tplc="385EBB20">
      <w:start w:val="1"/>
      <w:numFmt w:val="bullet"/>
      <w:lvlText w:val=""/>
      <w:lvlJc w:val="left"/>
      <w:pPr>
        <w:ind w:left="6480" w:hanging="360"/>
      </w:pPr>
      <w:rPr>
        <w:rFonts w:ascii="Wingdings" w:hAnsi="Wingdings" w:hint="default"/>
      </w:rPr>
    </w:lvl>
  </w:abstractNum>
  <w:abstractNum w:abstractNumId="8" w15:restartNumberingAfterBreak="0">
    <w:nsid w:val="2DC1117D"/>
    <w:multiLevelType w:val="hybridMultilevel"/>
    <w:tmpl w:val="EE44338E"/>
    <w:lvl w:ilvl="0" w:tplc="56F802B4">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rPr>
    </w:lvl>
    <w:lvl w:ilvl="2" w:tplc="988CA414">
      <w:start w:val="1"/>
      <w:numFmt w:val="bullet"/>
      <w:lvlText w:val=""/>
      <w:lvlJc w:val="left"/>
      <w:pPr>
        <w:ind w:left="2160" w:hanging="360"/>
      </w:pPr>
      <w:rPr>
        <w:rFonts w:ascii="Symbol" w:hAnsi="Symbol" w:hint="default"/>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4CA3"/>
    <w:multiLevelType w:val="hybridMultilevel"/>
    <w:tmpl w:val="C3E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16AFF8"/>
    <w:multiLevelType w:val="hybridMultilevel"/>
    <w:tmpl w:val="87D46468"/>
    <w:lvl w:ilvl="0" w:tplc="67627E1C">
      <w:start w:val="1"/>
      <w:numFmt w:val="bullet"/>
      <w:lvlText w:val="·"/>
      <w:lvlJc w:val="left"/>
      <w:pPr>
        <w:ind w:left="720" w:hanging="360"/>
      </w:pPr>
      <w:rPr>
        <w:rFonts w:ascii="Symbol" w:hAnsi="Symbol" w:hint="default"/>
      </w:rPr>
    </w:lvl>
    <w:lvl w:ilvl="1" w:tplc="7D768554">
      <w:start w:val="1"/>
      <w:numFmt w:val="bullet"/>
      <w:lvlText w:val="o"/>
      <w:lvlJc w:val="left"/>
      <w:pPr>
        <w:ind w:left="1440" w:hanging="360"/>
      </w:pPr>
      <w:rPr>
        <w:rFonts w:ascii="Courier New" w:hAnsi="Courier New" w:hint="default"/>
      </w:rPr>
    </w:lvl>
    <w:lvl w:ilvl="2" w:tplc="780E4AF6">
      <w:start w:val="1"/>
      <w:numFmt w:val="bullet"/>
      <w:lvlText w:val=""/>
      <w:lvlJc w:val="left"/>
      <w:pPr>
        <w:ind w:left="2160" w:hanging="360"/>
      </w:pPr>
      <w:rPr>
        <w:rFonts w:ascii="Wingdings" w:hAnsi="Wingdings" w:hint="default"/>
      </w:rPr>
    </w:lvl>
    <w:lvl w:ilvl="3" w:tplc="1B90E1E2">
      <w:start w:val="1"/>
      <w:numFmt w:val="bullet"/>
      <w:lvlText w:val=""/>
      <w:lvlJc w:val="left"/>
      <w:pPr>
        <w:ind w:left="2880" w:hanging="360"/>
      </w:pPr>
      <w:rPr>
        <w:rFonts w:ascii="Symbol" w:hAnsi="Symbol" w:hint="default"/>
      </w:rPr>
    </w:lvl>
    <w:lvl w:ilvl="4" w:tplc="202EC4AE">
      <w:start w:val="1"/>
      <w:numFmt w:val="bullet"/>
      <w:lvlText w:val="o"/>
      <w:lvlJc w:val="left"/>
      <w:pPr>
        <w:ind w:left="3600" w:hanging="360"/>
      </w:pPr>
      <w:rPr>
        <w:rFonts w:ascii="Courier New" w:hAnsi="Courier New" w:hint="default"/>
      </w:rPr>
    </w:lvl>
    <w:lvl w:ilvl="5" w:tplc="CE342C3A">
      <w:start w:val="1"/>
      <w:numFmt w:val="bullet"/>
      <w:lvlText w:val=""/>
      <w:lvlJc w:val="left"/>
      <w:pPr>
        <w:ind w:left="4320" w:hanging="360"/>
      </w:pPr>
      <w:rPr>
        <w:rFonts w:ascii="Wingdings" w:hAnsi="Wingdings" w:hint="default"/>
      </w:rPr>
    </w:lvl>
    <w:lvl w:ilvl="6" w:tplc="12583864">
      <w:start w:val="1"/>
      <w:numFmt w:val="bullet"/>
      <w:lvlText w:val=""/>
      <w:lvlJc w:val="left"/>
      <w:pPr>
        <w:ind w:left="5040" w:hanging="360"/>
      </w:pPr>
      <w:rPr>
        <w:rFonts w:ascii="Symbol" w:hAnsi="Symbol" w:hint="default"/>
      </w:rPr>
    </w:lvl>
    <w:lvl w:ilvl="7" w:tplc="DB12C520">
      <w:start w:val="1"/>
      <w:numFmt w:val="bullet"/>
      <w:lvlText w:val="o"/>
      <w:lvlJc w:val="left"/>
      <w:pPr>
        <w:ind w:left="5760" w:hanging="360"/>
      </w:pPr>
      <w:rPr>
        <w:rFonts w:ascii="Courier New" w:hAnsi="Courier New" w:hint="default"/>
      </w:rPr>
    </w:lvl>
    <w:lvl w:ilvl="8" w:tplc="076CF56E">
      <w:start w:val="1"/>
      <w:numFmt w:val="bullet"/>
      <w:lvlText w:val=""/>
      <w:lvlJc w:val="left"/>
      <w:pPr>
        <w:ind w:left="6480" w:hanging="360"/>
      </w:pPr>
      <w:rPr>
        <w:rFonts w:ascii="Wingdings" w:hAnsi="Wingdings" w:hint="default"/>
      </w:rPr>
    </w:lvl>
  </w:abstractNum>
  <w:abstractNum w:abstractNumId="12" w15:restartNumberingAfterBreak="0">
    <w:nsid w:val="30793F99"/>
    <w:multiLevelType w:val="hybridMultilevel"/>
    <w:tmpl w:val="769A6328"/>
    <w:lvl w:ilvl="0" w:tplc="7C1E2E10">
      <w:start w:val="1"/>
      <w:numFmt w:val="bullet"/>
      <w:lvlText w:val=""/>
      <w:lvlJc w:val="left"/>
      <w:pPr>
        <w:ind w:left="720" w:hanging="360"/>
      </w:pPr>
      <w:rPr>
        <w:rFonts w:ascii="Symbol" w:hAnsi="Symbol" w:hint="default"/>
      </w:rPr>
    </w:lvl>
    <w:lvl w:ilvl="1" w:tplc="A4D04A4E">
      <w:start w:val="1"/>
      <w:numFmt w:val="bullet"/>
      <w:lvlText w:val="·"/>
      <w:lvlJc w:val="left"/>
      <w:pPr>
        <w:ind w:left="1440" w:hanging="360"/>
      </w:pPr>
      <w:rPr>
        <w:rFonts w:ascii="Symbol" w:hAnsi="Symbol" w:hint="default"/>
      </w:rPr>
    </w:lvl>
    <w:lvl w:ilvl="2" w:tplc="18CC9CBC">
      <w:start w:val="1"/>
      <w:numFmt w:val="bullet"/>
      <w:lvlText w:val=""/>
      <w:lvlJc w:val="left"/>
      <w:pPr>
        <w:ind w:left="2160" w:hanging="360"/>
      </w:pPr>
      <w:rPr>
        <w:rFonts w:ascii="Wingdings" w:hAnsi="Wingdings" w:hint="default"/>
      </w:rPr>
    </w:lvl>
    <w:lvl w:ilvl="3" w:tplc="5BC058A0">
      <w:start w:val="1"/>
      <w:numFmt w:val="bullet"/>
      <w:lvlText w:val=""/>
      <w:lvlJc w:val="left"/>
      <w:pPr>
        <w:ind w:left="2880" w:hanging="360"/>
      </w:pPr>
      <w:rPr>
        <w:rFonts w:ascii="Symbol" w:hAnsi="Symbol" w:hint="default"/>
      </w:rPr>
    </w:lvl>
    <w:lvl w:ilvl="4" w:tplc="811C84F2">
      <w:start w:val="1"/>
      <w:numFmt w:val="bullet"/>
      <w:lvlText w:val="o"/>
      <w:lvlJc w:val="left"/>
      <w:pPr>
        <w:ind w:left="3600" w:hanging="360"/>
      </w:pPr>
      <w:rPr>
        <w:rFonts w:ascii="Courier New" w:hAnsi="Courier New" w:hint="default"/>
      </w:rPr>
    </w:lvl>
    <w:lvl w:ilvl="5" w:tplc="A066E1B6">
      <w:start w:val="1"/>
      <w:numFmt w:val="bullet"/>
      <w:lvlText w:val=""/>
      <w:lvlJc w:val="left"/>
      <w:pPr>
        <w:ind w:left="4320" w:hanging="360"/>
      </w:pPr>
      <w:rPr>
        <w:rFonts w:ascii="Wingdings" w:hAnsi="Wingdings" w:hint="default"/>
      </w:rPr>
    </w:lvl>
    <w:lvl w:ilvl="6" w:tplc="89866080">
      <w:start w:val="1"/>
      <w:numFmt w:val="bullet"/>
      <w:lvlText w:val=""/>
      <w:lvlJc w:val="left"/>
      <w:pPr>
        <w:ind w:left="5040" w:hanging="360"/>
      </w:pPr>
      <w:rPr>
        <w:rFonts w:ascii="Symbol" w:hAnsi="Symbol" w:hint="default"/>
      </w:rPr>
    </w:lvl>
    <w:lvl w:ilvl="7" w:tplc="8AEE2C8A">
      <w:start w:val="1"/>
      <w:numFmt w:val="bullet"/>
      <w:lvlText w:val="o"/>
      <w:lvlJc w:val="left"/>
      <w:pPr>
        <w:ind w:left="5760" w:hanging="360"/>
      </w:pPr>
      <w:rPr>
        <w:rFonts w:ascii="Courier New" w:hAnsi="Courier New" w:hint="default"/>
      </w:rPr>
    </w:lvl>
    <w:lvl w:ilvl="8" w:tplc="FDAA0668">
      <w:start w:val="1"/>
      <w:numFmt w:val="bullet"/>
      <w:lvlText w:val=""/>
      <w:lvlJc w:val="left"/>
      <w:pPr>
        <w:ind w:left="6480" w:hanging="360"/>
      </w:pPr>
      <w:rPr>
        <w:rFonts w:ascii="Wingdings" w:hAnsi="Wingdings" w:hint="default"/>
      </w:rPr>
    </w:lvl>
  </w:abstractNum>
  <w:abstractNum w:abstractNumId="13" w15:restartNumberingAfterBreak="0">
    <w:nsid w:val="3710660C"/>
    <w:multiLevelType w:val="hybridMultilevel"/>
    <w:tmpl w:val="A33CE716"/>
    <w:lvl w:ilvl="0" w:tplc="BBF88BF2">
      <w:start w:val="1"/>
      <w:numFmt w:val="bullet"/>
      <w:lvlText w:val="·"/>
      <w:lvlJc w:val="left"/>
      <w:pPr>
        <w:ind w:left="720" w:hanging="360"/>
      </w:pPr>
      <w:rPr>
        <w:rFonts w:ascii="Symbol" w:hAnsi="Symbol" w:hint="default"/>
      </w:rPr>
    </w:lvl>
    <w:lvl w:ilvl="1" w:tplc="4D3C49F4">
      <w:start w:val="1"/>
      <w:numFmt w:val="bullet"/>
      <w:lvlText w:val="o"/>
      <w:lvlJc w:val="left"/>
      <w:pPr>
        <w:ind w:left="1440" w:hanging="360"/>
      </w:pPr>
      <w:rPr>
        <w:rFonts w:ascii="Courier New" w:hAnsi="Courier New" w:hint="default"/>
      </w:rPr>
    </w:lvl>
    <w:lvl w:ilvl="2" w:tplc="66F41020">
      <w:start w:val="1"/>
      <w:numFmt w:val="bullet"/>
      <w:lvlText w:val=""/>
      <w:lvlJc w:val="left"/>
      <w:pPr>
        <w:ind w:left="2160" w:hanging="360"/>
      </w:pPr>
      <w:rPr>
        <w:rFonts w:ascii="Wingdings" w:hAnsi="Wingdings" w:hint="default"/>
      </w:rPr>
    </w:lvl>
    <w:lvl w:ilvl="3" w:tplc="1F3A7CF2">
      <w:start w:val="1"/>
      <w:numFmt w:val="bullet"/>
      <w:lvlText w:val=""/>
      <w:lvlJc w:val="left"/>
      <w:pPr>
        <w:ind w:left="2880" w:hanging="360"/>
      </w:pPr>
      <w:rPr>
        <w:rFonts w:ascii="Symbol" w:hAnsi="Symbol" w:hint="default"/>
      </w:rPr>
    </w:lvl>
    <w:lvl w:ilvl="4" w:tplc="D2E654B4">
      <w:start w:val="1"/>
      <w:numFmt w:val="bullet"/>
      <w:lvlText w:val="o"/>
      <w:lvlJc w:val="left"/>
      <w:pPr>
        <w:ind w:left="3600" w:hanging="360"/>
      </w:pPr>
      <w:rPr>
        <w:rFonts w:ascii="Courier New" w:hAnsi="Courier New" w:hint="default"/>
      </w:rPr>
    </w:lvl>
    <w:lvl w:ilvl="5" w:tplc="F698CE52">
      <w:start w:val="1"/>
      <w:numFmt w:val="bullet"/>
      <w:lvlText w:val=""/>
      <w:lvlJc w:val="left"/>
      <w:pPr>
        <w:ind w:left="4320" w:hanging="360"/>
      </w:pPr>
      <w:rPr>
        <w:rFonts w:ascii="Wingdings" w:hAnsi="Wingdings" w:hint="default"/>
      </w:rPr>
    </w:lvl>
    <w:lvl w:ilvl="6" w:tplc="A8844784">
      <w:start w:val="1"/>
      <w:numFmt w:val="bullet"/>
      <w:lvlText w:val=""/>
      <w:lvlJc w:val="left"/>
      <w:pPr>
        <w:ind w:left="5040" w:hanging="360"/>
      </w:pPr>
      <w:rPr>
        <w:rFonts w:ascii="Symbol" w:hAnsi="Symbol" w:hint="default"/>
      </w:rPr>
    </w:lvl>
    <w:lvl w:ilvl="7" w:tplc="2A02D38E">
      <w:start w:val="1"/>
      <w:numFmt w:val="bullet"/>
      <w:lvlText w:val="o"/>
      <w:lvlJc w:val="left"/>
      <w:pPr>
        <w:ind w:left="5760" w:hanging="360"/>
      </w:pPr>
      <w:rPr>
        <w:rFonts w:ascii="Courier New" w:hAnsi="Courier New" w:hint="default"/>
      </w:rPr>
    </w:lvl>
    <w:lvl w:ilvl="8" w:tplc="A58A1586">
      <w:start w:val="1"/>
      <w:numFmt w:val="bullet"/>
      <w:lvlText w:val=""/>
      <w:lvlJc w:val="left"/>
      <w:pPr>
        <w:ind w:left="6480" w:hanging="360"/>
      </w:pPr>
      <w:rPr>
        <w:rFonts w:ascii="Wingdings" w:hAnsi="Wingdings" w:hint="default"/>
      </w:rPr>
    </w:lvl>
  </w:abstractNum>
  <w:abstractNum w:abstractNumId="14"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06ABC"/>
    <w:multiLevelType w:val="hybridMultilevel"/>
    <w:tmpl w:val="0DFE0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17"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1080" w:hanging="360"/>
      </w:pPr>
      <w:rPr>
        <w:rFonts w:ascii="Courier New" w:hAnsi="Courier New" w:hint="default"/>
      </w:rPr>
    </w:lvl>
    <w:lvl w:ilvl="2" w:tplc="7FF2088E">
      <w:start w:val="1"/>
      <w:numFmt w:val="bullet"/>
      <w:lvlText w:val=""/>
      <w:lvlJc w:val="left"/>
      <w:pPr>
        <w:ind w:left="720" w:hanging="360"/>
      </w:pPr>
      <w:rPr>
        <w:rFonts w:ascii="Wingdings" w:hAnsi="Wingdings" w:hint="default"/>
      </w:rPr>
    </w:lvl>
    <w:lvl w:ilvl="3" w:tplc="A07E81DC">
      <w:start w:val="1"/>
      <w:numFmt w:val="bullet"/>
      <w:lvlText w:val=""/>
      <w:lvlJc w:val="left"/>
      <w:pPr>
        <w:ind w:left="1440" w:hanging="360"/>
      </w:pPr>
      <w:rPr>
        <w:rFonts w:ascii="Symbol" w:hAnsi="Symbol" w:hint="default"/>
      </w:rPr>
    </w:lvl>
    <w:lvl w:ilvl="4" w:tplc="58423494">
      <w:start w:val="1"/>
      <w:numFmt w:val="bullet"/>
      <w:lvlText w:val="o"/>
      <w:lvlJc w:val="left"/>
      <w:pPr>
        <w:ind w:left="2160" w:hanging="360"/>
      </w:pPr>
      <w:rPr>
        <w:rFonts w:ascii="Courier New" w:hAnsi="Courier New" w:hint="default"/>
      </w:rPr>
    </w:lvl>
    <w:lvl w:ilvl="5" w:tplc="96444CAA">
      <w:start w:val="1"/>
      <w:numFmt w:val="bullet"/>
      <w:lvlText w:val=""/>
      <w:lvlJc w:val="left"/>
      <w:pPr>
        <w:ind w:left="2880" w:hanging="360"/>
      </w:pPr>
      <w:rPr>
        <w:rFonts w:ascii="Wingdings" w:hAnsi="Wingdings" w:hint="default"/>
      </w:rPr>
    </w:lvl>
    <w:lvl w:ilvl="6" w:tplc="9B86CEA2">
      <w:start w:val="1"/>
      <w:numFmt w:val="bullet"/>
      <w:lvlText w:val=""/>
      <w:lvlJc w:val="left"/>
      <w:pPr>
        <w:ind w:left="3600" w:hanging="360"/>
      </w:pPr>
      <w:rPr>
        <w:rFonts w:ascii="Symbol" w:hAnsi="Symbol" w:hint="default"/>
      </w:rPr>
    </w:lvl>
    <w:lvl w:ilvl="7" w:tplc="B8923972">
      <w:start w:val="1"/>
      <w:numFmt w:val="bullet"/>
      <w:lvlText w:val="o"/>
      <w:lvlJc w:val="left"/>
      <w:pPr>
        <w:ind w:left="4320" w:hanging="360"/>
      </w:pPr>
      <w:rPr>
        <w:rFonts w:ascii="Courier New" w:hAnsi="Courier New" w:hint="default"/>
      </w:rPr>
    </w:lvl>
    <w:lvl w:ilvl="8" w:tplc="2A58CCEC">
      <w:start w:val="1"/>
      <w:numFmt w:val="bullet"/>
      <w:lvlText w:val=""/>
      <w:lvlJc w:val="left"/>
      <w:pPr>
        <w:ind w:left="5040" w:hanging="360"/>
      </w:pPr>
      <w:rPr>
        <w:rFonts w:ascii="Wingdings" w:hAnsi="Wingdings" w:hint="default"/>
      </w:rPr>
    </w:lvl>
  </w:abstractNum>
  <w:abstractNum w:abstractNumId="18" w15:restartNumberingAfterBreak="0">
    <w:nsid w:val="3DA042D5"/>
    <w:multiLevelType w:val="hybridMultilevel"/>
    <w:tmpl w:val="1160F87E"/>
    <w:lvl w:ilvl="0" w:tplc="B622BD88">
      <w:start w:val="1"/>
      <w:numFmt w:val="bullet"/>
      <w:lvlText w:val="·"/>
      <w:lvlJc w:val="left"/>
      <w:pPr>
        <w:ind w:left="720" w:hanging="360"/>
      </w:pPr>
      <w:rPr>
        <w:rFonts w:ascii="Symbol" w:hAnsi="Symbol" w:hint="default"/>
      </w:rPr>
    </w:lvl>
    <w:lvl w:ilvl="1" w:tplc="88302588">
      <w:start w:val="1"/>
      <w:numFmt w:val="bullet"/>
      <w:lvlText w:val="o"/>
      <w:lvlJc w:val="left"/>
      <w:pPr>
        <w:ind w:left="1440" w:hanging="360"/>
      </w:pPr>
      <w:rPr>
        <w:rFonts w:ascii="Courier New" w:hAnsi="Courier New" w:hint="default"/>
      </w:rPr>
    </w:lvl>
    <w:lvl w:ilvl="2" w:tplc="459A7E2E">
      <w:start w:val="1"/>
      <w:numFmt w:val="bullet"/>
      <w:lvlText w:val=""/>
      <w:lvlJc w:val="left"/>
      <w:pPr>
        <w:ind w:left="2160" w:hanging="360"/>
      </w:pPr>
      <w:rPr>
        <w:rFonts w:ascii="Wingdings" w:hAnsi="Wingdings" w:hint="default"/>
      </w:rPr>
    </w:lvl>
    <w:lvl w:ilvl="3" w:tplc="4D4CAF34">
      <w:start w:val="1"/>
      <w:numFmt w:val="bullet"/>
      <w:lvlText w:val=""/>
      <w:lvlJc w:val="left"/>
      <w:pPr>
        <w:ind w:left="2880" w:hanging="360"/>
      </w:pPr>
      <w:rPr>
        <w:rFonts w:ascii="Symbol" w:hAnsi="Symbol" w:hint="default"/>
      </w:rPr>
    </w:lvl>
    <w:lvl w:ilvl="4" w:tplc="016251D2">
      <w:start w:val="1"/>
      <w:numFmt w:val="bullet"/>
      <w:lvlText w:val="o"/>
      <w:lvlJc w:val="left"/>
      <w:pPr>
        <w:ind w:left="3600" w:hanging="360"/>
      </w:pPr>
      <w:rPr>
        <w:rFonts w:ascii="Courier New" w:hAnsi="Courier New" w:hint="default"/>
      </w:rPr>
    </w:lvl>
    <w:lvl w:ilvl="5" w:tplc="7C264B00">
      <w:start w:val="1"/>
      <w:numFmt w:val="bullet"/>
      <w:lvlText w:val=""/>
      <w:lvlJc w:val="left"/>
      <w:pPr>
        <w:ind w:left="4320" w:hanging="360"/>
      </w:pPr>
      <w:rPr>
        <w:rFonts w:ascii="Wingdings" w:hAnsi="Wingdings" w:hint="default"/>
      </w:rPr>
    </w:lvl>
    <w:lvl w:ilvl="6" w:tplc="919A4E64">
      <w:start w:val="1"/>
      <w:numFmt w:val="bullet"/>
      <w:lvlText w:val=""/>
      <w:lvlJc w:val="left"/>
      <w:pPr>
        <w:ind w:left="5040" w:hanging="360"/>
      </w:pPr>
      <w:rPr>
        <w:rFonts w:ascii="Symbol" w:hAnsi="Symbol" w:hint="default"/>
      </w:rPr>
    </w:lvl>
    <w:lvl w:ilvl="7" w:tplc="B5D8C5D8">
      <w:start w:val="1"/>
      <w:numFmt w:val="bullet"/>
      <w:lvlText w:val="o"/>
      <w:lvlJc w:val="left"/>
      <w:pPr>
        <w:ind w:left="5760" w:hanging="360"/>
      </w:pPr>
      <w:rPr>
        <w:rFonts w:ascii="Courier New" w:hAnsi="Courier New" w:hint="default"/>
      </w:rPr>
    </w:lvl>
    <w:lvl w:ilvl="8" w:tplc="7264DE18">
      <w:start w:val="1"/>
      <w:numFmt w:val="bullet"/>
      <w:lvlText w:val=""/>
      <w:lvlJc w:val="left"/>
      <w:pPr>
        <w:ind w:left="6480" w:hanging="360"/>
      </w:pPr>
      <w:rPr>
        <w:rFonts w:ascii="Wingdings" w:hAnsi="Wingdings" w:hint="default"/>
      </w:rPr>
    </w:lvl>
  </w:abstractNum>
  <w:abstractNum w:abstractNumId="19" w15:restartNumberingAfterBreak="0">
    <w:nsid w:val="42835F29"/>
    <w:multiLevelType w:val="hybridMultilevel"/>
    <w:tmpl w:val="EFD0B9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2DDE515"/>
    <w:multiLevelType w:val="hybridMultilevel"/>
    <w:tmpl w:val="E626FB7A"/>
    <w:lvl w:ilvl="0" w:tplc="1DF6CB96">
      <w:start w:val="1"/>
      <w:numFmt w:val="bullet"/>
      <w:lvlText w:val="·"/>
      <w:lvlJc w:val="left"/>
      <w:pPr>
        <w:ind w:left="1800" w:hanging="360"/>
      </w:pPr>
      <w:rPr>
        <w:rFonts w:ascii="Symbol" w:hAnsi="Symbol" w:hint="default"/>
      </w:rPr>
    </w:lvl>
    <w:lvl w:ilvl="1" w:tplc="E99CCCC8">
      <w:start w:val="1"/>
      <w:numFmt w:val="bullet"/>
      <w:lvlText w:val="o"/>
      <w:lvlJc w:val="left"/>
      <w:pPr>
        <w:ind w:left="1440" w:hanging="360"/>
      </w:pPr>
      <w:rPr>
        <w:rFonts w:ascii="Courier New" w:hAnsi="Courier New" w:hint="default"/>
      </w:rPr>
    </w:lvl>
    <w:lvl w:ilvl="2" w:tplc="8E560718">
      <w:start w:val="1"/>
      <w:numFmt w:val="bullet"/>
      <w:lvlText w:val=""/>
      <w:lvlJc w:val="left"/>
      <w:pPr>
        <w:ind w:left="2160" w:hanging="360"/>
      </w:pPr>
      <w:rPr>
        <w:rFonts w:ascii="Wingdings" w:hAnsi="Wingdings" w:hint="default"/>
      </w:rPr>
    </w:lvl>
    <w:lvl w:ilvl="3" w:tplc="826E2160">
      <w:start w:val="1"/>
      <w:numFmt w:val="bullet"/>
      <w:lvlText w:val=""/>
      <w:lvlJc w:val="left"/>
      <w:pPr>
        <w:ind w:left="2880" w:hanging="360"/>
      </w:pPr>
      <w:rPr>
        <w:rFonts w:ascii="Symbol" w:hAnsi="Symbol" w:hint="default"/>
      </w:rPr>
    </w:lvl>
    <w:lvl w:ilvl="4" w:tplc="A48AD5AE">
      <w:start w:val="1"/>
      <w:numFmt w:val="bullet"/>
      <w:lvlText w:val="o"/>
      <w:lvlJc w:val="left"/>
      <w:pPr>
        <w:ind w:left="3600" w:hanging="360"/>
      </w:pPr>
      <w:rPr>
        <w:rFonts w:ascii="Courier New" w:hAnsi="Courier New" w:hint="default"/>
      </w:rPr>
    </w:lvl>
    <w:lvl w:ilvl="5" w:tplc="1DCEB1DE">
      <w:start w:val="1"/>
      <w:numFmt w:val="bullet"/>
      <w:lvlText w:val=""/>
      <w:lvlJc w:val="left"/>
      <w:pPr>
        <w:ind w:left="4320" w:hanging="360"/>
      </w:pPr>
      <w:rPr>
        <w:rFonts w:ascii="Wingdings" w:hAnsi="Wingdings" w:hint="default"/>
      </w:rPr>
    </w:lvl>
    <w:lvl w:ilvl="6" w:tplc="03485188">
      <w:start w:val="1"/>
      <w:numFmt w:val="bullet"/>
      <w:lvlText w:val=""/>
      <w:lvlJc w:val="left"/>
      <w:pPr>
        <w:ind w:left="5040" w:hanging="360"/>
      </w:pPr>
      <w:rPr>
        <w:rFonts w:ascii="Symbol" w:hAnsi="Symbol" w:hint="default"/>
      </w:rPr>
    </w:lvl>
    <w:lvl w:ilvl="7" w:tplc="1ECAB3C2">
      <w:start w:val="1"/>
      <w:numFmt w:val="bullet"/>
      <w:lvlText w:val="o"/>
      <w:lvlJc w:val="left"/>
      <w:pPr>
        <w:ind w:left="5760" w:hanging="360"/>
      </w:pPr>
      <w:rPr>
        <w:rFonts w:ascii="Courier New" w:hAnsi="Courier New" w:hint="default"/>
      </w:rPr>
    </w:lvl>
    <w:lvl w:ilvl="8" w:tplc="BD90BFB4">
      <w:start w:val="1"/>
      <w:numFmt w:val="bullet"/>
      <w:lvlText w:val=""/>
      <w:lvlJc w:val="left"/>
      <w:pPr>
        <w:ind w:left="6480" w:hanging="360"/>
      </w:pPr>
      <w:rPr>
        <w:rFonts w:ascii="Wingdings" w:hAnsi="Wingdings" w:hint="default"/>
      </w:rPr>
    </w:lvl>
  </w:abstractNum>
  <w:abstractNum w:abstractNumId="21" w15:restartNumberingAfterBreak="0">
    <w:nsid w:val="4373E4F3"/>
    <w:multiLevelType w:val="hybridMultilevel"/>
    <w:tmpl w:val="8FAA0B6E"/>
    <w:lvl w:ilvl="0" w:tplc="E4FEA06A">
      <w:start w:val="1"/>
      <w:numFmt w:val="bullet"/>
      <w:lvlText w:val=""/>
      <w:lvlJc w:val="left"/>
      <w:pPr>
        <w:ind w:left="720" w:hanging="360"/>
      </w:pPr>
      <w:rPr>
        <w:rFonts w:ascii="Symbol" w:hAnsi="Symbol" w:hint="default"/>
      </w:rPr>
    </w:lvl>
    <w:lvl w:ilvl="1" w:tplc="9AEE1F42">
      <w:start w:val="1"/>
      <w:numFmt w:val="bullet"/>
      <w:lvlText w:val="·"/>
      <w:lvlJc w:val="left"/>
      <w:pPr>
        <w:ind w:left="1440" w:hanging="360"/>
      </w:pPr>
      <w:rPr>
        <w:rFonts w:ascii="Symbol" w:hAnsi="Symbol" w:hint="default"/>
      </w:rPr>
    </w:lvl>
    <w:lvl w:ilvl="2" w:tplc="6F3825BC">
      <w:start w:val="1"/>
      <w:numFmt w:val="bullet"/>
      <w:lvlText w:val=""/>
      <w:lvlJc w:val="left"/>
      <w:pPr>
        <w:ind w:left="2160" w:hanging="360"/>
      </w:pPr>
      <w:rPr>
        <w:rFonts w:ascii="Wingdings" w:hAnsi="Wingdings" w:hint="default"/>
      </w:rPr>
    </w:lvl>
    <w:lvl w:ilvl="3" w:tplc="ED209674">
      <w:start w:val="1"/>
      <w:numFmt w:val="bullet"/>
      <w:lvlText w:val=""/>
      <w:lvlJc w:val="left"/>
      <w:pPr>
        <w:ind w:left="2880" w:hanging="360"/>
      </w:pPr>
      <w:rPr>
        <w:rFonts w:ascii="Symbol" w:hAnsi="Symbol" w:hint="default"/>
      </w:rPr>
    </w:lvl>
    <w:lvl w:ilvl="4" w:tplc="4656D952">
      <w:start w:val="1"/>
      <w:numFmt w:val="bullet"/>
      <w:lvlText w:val="o"/>
      <w:lvlJc w:val="left"/>
      <w:pPr>
        <w:ind w:left="3600" w:hanging="360"/>
      </w:pPr>
      <w:rPr>
        <w:rFonts w:ascii="Courier New" w:hAnsi="Courier New" w:hint="default"/>
      </w:rPr>
    </w:lvl>
    <w:lvl w:ilvl="5" w:tplc="CB24DD44">
      <w:start w:val="1"/>
      <w:numFmt w:val="bullet"/>
      <w:lvlText w:val=""/>
      <w:lvlJc w:val="left"/>
      <w:pPr>
        <w:ind w:left="4320" w:hanging="360"/>
      </w:pPr>
      <w:rPr>
        <w:rFonts w:ascii="Wingdings" w:hAnsi="Wingdings" w:hint="default"/>
      </w:rPr>
    </w:lvl>
    <w:lvl w:ilvl="6" w:tplc="35FEA3AA">
      <w:start w:val="1"/>
      <w:numFmt w:val="bullet"/>
      <w:lvlText w:val=""/>
      <w:lvlJc w:val="left"/>
      <w:pPr>
        <w:ind w:left="5040" w:hanging="360"/>
      </w:pPr>
      <w:rPr>
        <w:rFonts w:ascii="Symbol" w:hAnsi="Symbol" w:hint="default"/>
      </w:rPr>
    </w:lvl>
    <w:lvl w:ilvl="7" w:tplc="3F88B70A">
      <w:start w:val="1"/>
      <w:numFmt w:val="bullet"/>
      <w:lvlText w:val="o"/>
      <w:lvlJc w:val="left"/>
      <w:pPr>
        <w:ind w:left="5760" w:hanging="360"/>
      </w:pPr>
      <w:rPr>
        <w:rFonts w:ascii="Courier New" w:hAnsi="Courier New" w:hint="default"/>
      </w:rPr>
    </w:lvl>
    <w:lvl w:ilvl="8" w:tplc="705AA95E">
      <w:start w:val="1"/>
      <w:numFmt w:val="bullet"/>
      <w:lvlText w:val=""/>
      <w:lvlJc w:val="left"/>
      <w:pPr>
        <w:ind w:left="6480" w:hanging="360"/>
      </w:pPr>
      <w:rPr>
        <w:rFonts w:ascii="Wingdings" w:hAnsi="Wingdings" w:hint="default"/>
      </w:rPr>
    </w:lvl>
  </w:abstractNum>
  <w:abstractNum w:abstractNumId="22" w15:restartNumberingAfterBreak="0">
    <w:nsid w:val="447CA452"/>
    <w:multiLevelType w:val="hybridMultilevel"/>
    <w:tmpl w:val="C6BA8B5E"/>
    <w:lvl w:ilvl="0" w:tplc="F5B6E464">
      <w:start w:val="1"/>
      <w:numFmt w:val="bullet"/>
      <w:lvlText w:val="·"/>
      <w:lvlJc w:val="left"/>
      <w:pPr>
        <w:ind w:left="1800" w:hanging="360"/>
      </w:pPr>
      <w:rPr>
        <w:rFonts w:ascii="Symbol" w:hAnsi="Symbol" w:hint="default"/>
      </w:rPr>
    </w:lvl>
    <w:lvl w:ilvl="1" w:tplc="83A8247A">
      <w:start w:val="1"/>
      <w:numFmt w:val="bullet"/>
      <w:lvlText w:val="o"/>
      <w:lvlJc w:val="left"/>
      <w:pPr>
        <w:ind w:left="1440" w:hanging="360"/>
      </w:pPr>
      <w:rPr>
        <w:rFonts w:ascii="Courier New" w:hAnsi="Courier New" w:hint="default"/>
      </w:rPr>
    </w:lvl>
    <w:lvl w:ilvl="2" w:tplc="B388FC5A">
      <w:start w:val="1"/>
      <w:numFmt w:val="bullet"/>
      <w:lvlText w:val=""/>
      <w:lvlJc w:val="left"/>
      <w:pPr>
        <w:ind w:left="2160" w:hanging="360"/>
      </w:pPr>
      <w:rPr>
        <w:rFonts w:ascii="Wingdings" w:hAnsi="Wingdings" w:hint="default"/>
      </w:rPr>
    </w:lvl>
    <w:lvl w:ilvl="3" w:tplc="BA32A0E0">
      <w:start w:val="1"/>
      <w:numFmt w:val="bullet"/>
      <w:lvlText w:val=""/>
      <w:lvlJc w:val="left"/>
      <w:pPr>
        <w:ind w:left="2880" w:hanging="360"/>
      </w:pPr>
      <w:rPr>
        <w:rFonts w:ascii="Symbol" w:hAnsi="Symbol" w:hint="default"/>
      </w:rPr>
    </w:lvl>
    <w:lvl w:ilvl="4" w:tplc="3C2CEF88">
      <w:start w:val="1"/>
      <w:numFmt w:val="bullet"/>
      <w:lvlText w:val="o"/>
      <w:lvlJc w:val="left"/>
      <w:pPr>
        <w:ind w:left="3600" w:hanging="360"/>
      </w:pPr>
      <w:rPr>
        <w:rFonts w:ascii="Courier New" w:hAnsi="Courier New" w:hint="default"/>
      </w:rPr>
    </w:lvl>
    <w:lvl w:ilvl="5" w:tplc="CE44A8D0">
      <w:start w:val="1"/>
      <w:numFmt w:val="bullet"/>
      <w:lvlText w:val=""/>
      <w:lvlJc w:val="left"/>
      <w:pPr>
        <w:ind w:left="4320" w:hanging="360"/>
      </w:pPr>
      <w:rPr>
        <w:rFonts w:ascii="Wingdings" w:hAnsi="Wingdings" w:hint="default"/>
      </w:rPr>
    </w:lvl>
    <w:lvl w:ilvl="6" w:tplc="A8DEE6EA">
      <w:start w:val="1"/>
      <w:numFmt w:val="bullet"/>
      <w:lvlText w:val=""/>
      <w:lvlJc w:val="left"/>
      <w:pPr>
        <w:ind w:left="5040" w:hanging="360"/>
      </w:pPr>
      <w:rPr>
        <w:rFonts w:ascii="Symbol" w:hAnsi="Symbol" w:hint="default"/>
      </w:rPr>
    </w:lvl>
    <w:lvl w:ilvl="7" w:tplc="562E7D20">
      <w:start w:val="1"/>
      <w:numFmt w:val="bullet"/>
      <w:lvlText w:val="o"/>
      <w:lvlJc w:val="left"/>
      <w:pPr>
        <w:ind w:left="5760" w:hanging="360"/>
      </w:pPr>
      <w:rPr>
        <w:rFonts w:ascii="Courier New" w:hAnsi="Courier New" w:hint="default"/>
      </w:rPr>
    </w:lvl>
    <w:lvl w:ilvl="8" w:tplc="B79EA7E8">
      <w:start w:val="1"/>
      <w:numFmt w:val="bullet"/>
      <w:lvlText w:val=""/>
      <w:lvlJc w:val="left"/>
      <w:pPr>
        <w:ind w:left="6480" w:hanging="360"/>
      </w:pPr>
      <w:rPr>
        <w:rFonts w:ascii="Wingdings" w:hAnsi="Wingdings" w:hint="default"/>
      </w:rPr>
    </w:lvl>
  </w:abstractNum>
  <w:abstractNum w:abstractNumId="23" w15:restartNumberingAfterBreak="0">
    <w:nsid w:val="4BFA09D4"/>
    <w:multiLevelType w:val="hybridMultilevel"/>
    <w:tmpl w:val="7BF0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24CE2"/>
    <w:multiLevelType w:val="hybridMultilevel"/>
    <w:tmpl w:val="55CE5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7E7603"/>
    <w:multiLevelType w:val="hybridMultilevel"/>
    <w:tmpl w:val="3D507ADC"/>
    <w:lvl w:ilvl="0" w:tplc="AFE44858">
      <w:start w:val="1"/>
      <w:numFmt w:val="bullet"/>
      <w:lvlText w:val="·"/>
      <w:lvlJc w:val="left"/>
      <w:pPr>
        <w:ind w:left="1800" w:hanging="360"/>
      </w:pPr>
      <w:rPr>
        <w:rFonts w:ascii="Symbol" w:hAnsi="Symbol" w:hint="default"/>
      </w:rPr>
    </w:lvl>
    <w:lvl w:ilvl="1" w:tplc="E77C00B8">
      <w:start w:val="1"/>
      <w:numFmt w:val="bullet"/>
      <w:lvlText w:val="o"/>
      <w:lvlJc w:val="left"/>
      <w:pPr>
        <w:ind w:left="1440" w:hanging="360"/>
      </w:pPr>
      <w:rPr>
        <w:rFonts w:ascii="Courier New" w:hAnsi="Courier New" w:hint="default"/>
      </w:rPr>
    </w:lvl>
    <w:lvl w:ilvl="2" w:tplc="DF7E661A">
      <w:start w:val="1"/>
      <w:numFmt w:val="bullet"/>
      <w:lvlText w:val=""/>
      <w:lvlJc w:val="left"/>
      <w:pPr>
        <w:ind w:left="2160" w:hanging="360"/>
      </w:pPr>
      <w:rPr>
        <w:rFonts w:ascii="Wingdings" w:hAnsi="Wingdings" w:hint="default"/>
      </w:rPr>
    </w:lvl>
    <w:lvl w:ilvl="3" w:tplc="5F1AC366">
      <w:start w:val="1"/>
      <w:numFmt w:val="bullet"/>
      <w:lvlText w:val=""/>
      <w:lvlJc w:val="left"/>
      <w:pPr>
        <w:ind w:left="2880" w:hanging="360"/>
      </w:pPr>
      <w:rPr>
        <w:rFonts w:ascii="Symbol" w:hAnsi="Symbol" w:hint="default"/>
      </w:rPr>
    </w:lvl>
    <w:lvl w:ilvl="4" w:tplc="9648CCEA">
      <w:start w:val="1"/>
      <w:numFmt w:val="bullet"/>
      <w:lvlText w:val="o"/>
      <w:lvlJc w:val="left"/>
      <w:pPr>
        <w:ind w:left="3600" w:hanging="360"/>
      </w:pPr>
      <w:rPr>
        <w:rFonts w:ascii="Courier New" w:hAnsi="Courier New" w:hint="default"/>
      </w:rPr>
    </w:lvl>
    <w:lvl w:ilvl="5" w:tplc="CC80D0DA">
      <w:start w:val="1"/>
      <w:numFmt w:val="bullet"/>
      <w:lvlText w:val=""/>
      <w:lvlJc w:val="left"/>
      <w:pPr>
        <w:ind w:left="4320" w:hanging="360"/>
      </w:pPr>
      <w:rPr>
        <w:rFonts w:ascii="Wingdings" w:hAnsi="Wingdings" w:hint="default"/>
      </w:rPr>
    </w:lvl>
    <w:lvl w:ilvl="6" w:tplc="DB365DB4">
      <w:start w:val="1"/>
      <w:numFmt w:val="bullet"/>
      <w:lvlText w:val=""/>
      <w:lvlJc w:val="left"/>
      <w:pPr>
        <w:ind w:left="5040" w:hanging="360"/>
      </w:pPr>
      <w:rPr>
        <w:rFonts w:ascii="Symbol" w:hAnsi="Symbol" w:hint="default"/>
      </w:rPr>
    </w:lvl>
    <w:lvl w:ilvl="7" w:tplc="16A04B38">
      <w:start w:val="1"/>
      <w:numFmt w:val="bullet"/>
      <w:lvlText w:val="o"/>
      <w:lvlJc w:val="left"/>
      <w:pPr>
        <w:ind w:left="5760" w:hanging="360"/>
      </w:pPr>
      <w:rPr>
        <w:rFonts w:ascii="Courier New" w:hAnsi="Courier New" w:hint="default"/>
      </w:rPr>
    </w:lvl>
    <w:lvl w:ilvl="8" w:tplc="F0348218">
      <w:start w:val="1"/>
      <w:numFmt w:val="bullet"/>
      <w:lvlText w:val=""/>
      <w:lvlJc w:val="left"/>
      <w:pPr>
        <w:ind w:left="6480" w:hanging="360"/>
      </w:pPr>
      <w:rPr>
        <w:rFonts w:ascii="Wingdings" w:hAnsi="Wingdings" w:hint="default"/>
      </w:rPr>
    </w:lvl>
  </w:abstractNum>
  <w:abstractNum w:abstractNumId="26" w15:restartNumberingAfterBreak="0">
    <w:nsid w:val="54B972E8"/>
    <w:multiLevelType w:val="hybridMultilevel"/>
    <w:tmpl w:val="07025AF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F7CA3"/>
    <w:multiLevelType w:val="hybridMultilevel"/>
    <w:tmpl w:val="7B54AD04"/>
    <w:lvl w:ilvl="0" w:tplc="22AC8FC4">
      <w:start w:val="1"/>
      <w:numFmt w:val="bullet"/>
      <w:lvlText w:val=""/>
      <w:lvlJc w:val="left"/>
      <w:pPr>
        <w:ind w:left="2880" w:hanging="360"/>
      </w:pPr>
      <w:rPr>
        <w:rFonts w:ascii="Symbol" w:hAnsi="Symbol" w:hint="default"/>
      </w:rPr>
    </w:lvl>
    <w:lvl w:ilvl="1" w:tplc="DD663C4A">
      <w:start w:val="1"/>
      <w:numFmt w:val="bullet"/>
      <w:lvlText w:val=""/>
      <w:lvlJc w:val="left"/>
      <w:pPr>
        <w:ind w:left="3600" w:hanging="360"/>
      </w:pPr>
      <w:rPr>
        <w:rFonts w:ascii="Symbol" w:hAnsi="Symbol" w:hint="default"/>
      </w:rPr>
    </w:lvl>
    <w:lvl w:ilvl="2" w:tplc="6294570C">
      <w:start w:val="1"/>
      <w:numFmt w:val="bullet"/>
      <w:lvlText w:val=""/>
      <w:lvlJc w:val="left"/>
      <w:pPr>
        <w:ind w:left="4320" w:hanging="360"/>
      </w:pPr>
      <w:rPr>
        <w:rFonts w:ascii="Wingdings" w:hAnsi="Wingdings" w:hint="default"/>
      </w:rPr>
    </w:lvl>
    <w:lvl w:ilvl="3" w:tplc="D584E48E">
      <w:start w:val="1"/>
      <w:numFmt w:val="bullet"/>
      <w:lvlText w:val=""/>
      <w:lvlJc w:val="left"/>
      <w:pPr>
        <w:ind w:left="5040" w:hanging="360"/>
      </w:pPr>
      <w:rPr>
        <w:rFonts w:ascii="Symbol" w:hAnsi="Symbol" w:hint="default"/>
      </w:rPr>
    </w:lvl>
    <w:lvl w:ilvl="4" w:tplc="B8BC7C82">
      <w:start w:val="1"/>
      <w:numFmt w:val="bullet"/>
      <w:lvlText w:val="o"/>
      <w:lvlJc w:val="left"/>
      <w:pPr>
        <w:ind w:left="5760" w:hanging="360"/>
      </w:pPr>
      <w:rPr>
        <w:rFonts w:ascii="Courier New" w:hAnsi="Courier New" w:hint="default"/>
      </w:rPr>
    </w:lvl>
    <w:lvl w:ilvl="5" w:tplc="F6AE3CEE">
      <w:start w:val="1"/>
      <w:numFmt w:val="bullet"/>
      <w:lvlText w:val=""/>
      <w:lvlJc w:val="left"/>
      <w:pPr>
        <w:ind w:left="6480" w:hanging="360"/>
      </w:pPr>
      <w:rPr>
        <w:rFonts w:ascii="Wingdings" w:hAnsi="Wingdings" w:hint="default"/>
      </w:rPr>
    </w:lvl>
    <w:lvl w:ilvl="6" w:tplc="C6AE9662">
      <w:start w:val="1"/>
      <w:numFmt w:val="bullet"/>
      <w:lvlText w:val=""/>
      <w:lvlJc w:val="left"/>
      <w:pPr>
        <w:ind w:left="7200" w:hanging="360"/>
      </w:pPr>
      <w:rPr>
        <w:rFonts w:ascii="Symbol" w:hAnsi="Symbol" w:hint="default"/>
      </w:rPr>
    </w:lvl>
    <w:lvl w:ilvl="7" w:tplc="9B12B2CA">
      <w:start w:val="1"/>
      <w:numFmt w:val="bullet"/>
      <w:lvlText w:val="o"/>
      <w:lvlJc w:val="left"/>
      <w:pPr>
        <w:ind w:left="7920" w:hanging="360"/>
      </w:pPr>
      <w:rPr>
        <w:rFonts w:ascii="Courier New" w:hAnsi="Courier New" w:hint="default"/>
      </w:rPr>
    </w:lvl>
    <w:lvl w:ilvl="8" w:tplc="5C3CF780">
      <w:start w:val="1"/>
      <w:numFmt w:val="bullet"/>
      <w:lvlText w:val=""/>
      <w:lvlJc w:val="left"/>
      <w:pPr>
        <w:ind w:left="8640" w:hanging="360"/>
      </w:pPr>
      <w:rPr>
        <w:rFonts w:ascii="Wingdings" w:hAnsi="Wingdings" w:hint="default"/>
      </w:rPr>
    </w:lvl>
  </w:abstractNum>
  <w:abstractNum w:abstractNumId="28" w15:restartNumberingAfterBreak="0">
    <w:nsid w:val="5AF237B7"/>
    <w:multiLevelType w:val="hybridMultilevel"/>
    <w:tmpl w:val="5B0A1382"/>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D3223C3"/>
    <w:multiLevelType w:val="hybridMultilevel"/>
    <w:tmpl w:val="55CE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25A7C"/>
    <w:multiLevelType w:val="hybridMultilevel"/>
    <w:tmpl w:val="DCB2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305FC6"/>
    <w:multiLevelType w:val="hybridMultilevel"/>
    <w:tmpl w:val="ED9E8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8EC7D76"/>
    <w:multiLevelType w:val="hybridMultilevel"/>
    <w:tmpl w:val="C0C4A8E6"/>
    <w:lvl w:ilvl="0" w:tplc="0074D41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510F5"/>
    <w:multiLevelType w:val="hybridMultilevel"/>
    <w:tmpl w:val="1ED6593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F69C6"/>
    <w:multiLevelType w:val="hybridMultilevel"/>
    <w:tmpl w:val="305A3CF4"/>
    <w:lvl w:ilvl="0" w:tplc="278C9DEE">
      <w:start w:val="15"/>
      <w:numFmt w:val="bullet"/>
      <w:lvlText w:val="•"/>
      <w:lvlJc w:val="left"/>
      <w:pPr>
        <w:ind w:left="1080" w:hanging="360"/>
      </w:pPr>
      <w:rPr>
        <w:rFonts w:ascii="Arial" w:eastAsia="Tahom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088B32"/>
    <w:multiLevelType w:val="hybridMultilevel"/>
    <w:tmpl w:val="F5F2CCD2"/>
    <w:lvl w:ilvl="0" w:tplc="2D9C2818">
      <w:start w:val="1"/>
      <w:numFmt w:val="decimal"/>
      <w:lvlText w:val="%1."/>
      <w:lvlJc w:val="left"/>
      <w:pPr>
        <w:ind w:left="720" w:hanging="360"/>
      </w:pPr>
    </w:lvl>
    <w:lvl w:ilvl="1" w:tplc="A01CB948">
      <w:start w:val="1"/>
      <w:numFmt w:val="lowerLetter"/>
      <w:lvlText w:val="%2."/>
      <w:lvlJc w:val="left"/>
      <w:pPr>
        <w:ind w:left="1440" w:hanging="360"/>
      </w:pPr>
    </w:lvl>
    <w:lvl w:ilvl="2" w:tplc="A45CE598">
      <w:start w:val="1"/>
      <w:numFmt w:val="lowerRoman"/>
      <w:lvlText w:val="%3."/>
      <w:lvlJc w:val="right"/>
      <w:pPr>
        <w:ind w:left="2160" w:hanging="180"/>
      </w:pPr>
    </w:lvl>
    <w:lvl w:ilvl="3" w:tplc="ABEAB916">
      <w:start w:val="1"/>
      <w:numFmt w:val="decimal"/>
      <w:lvlText w:val="%4."/>
      <w:lvlJc w:val="left"/>
      <w:pPr>
        <w:ind w:left="2880" w:hanging="360"/>
      </w:pPr>
    </w:lvl>
    <w:lvl w:ilvl="4" w:tplc="355A1858">
      <w:start w:val="1"/>
      <w:numFmt w:val="lowerLetter"/>
      <w:lvlText w:val="%5."/>
      <w:lvlJc w:val="left"/>
      <w:pPr>
        <w:ind w:left="3600" w:hanging="360"/>
      </w:pPr>
    </w:lvl>
    <w:lvl w:ilvl="5" w:tplc="26282710">
      <w:start w:val="1"/>
      <w:numFmt w:val="lowerRoman"/>
      <w:lvlText w:val="%6."/>
      <w:lvlJc w:val="right"/>
      <w:pPr>
        <w:ind w:left="4320" w:hanging="180"/>
      </w:pPr>
    </w:lvl>
    <w:lvl w:ilvl="6" w:tplc="DB18EB2C">
      <w:start w:val="1"/>
      <w:numFmt w:val="decimal"/>
      <w:lvlText w:val="%7."/>
      <w:lvlJc w:val="left"/>
      <w:pPr>
        <w:ind w:left="5040" w:hanging="360"/>
      </w:pPr>
    </w:lvl>
    <w:lvl w:ilvl="7" w:tplc="B81A311E">
      <w:start w:val="1"/>
      <w:numFmt w:val="lowerLetter"/>
      <w:lvlText w:val="%8."/>
      <w:lvlJc w:val="left"/>
      <w:pPr>
        <w:ind w:left="5760" w:hanging="360"/>
      </w:pPr>
    </w:lvl>
    <w:lvl w:ilvl="8" w:tplc="D7B82656">
      <w:start w:val="1"/>
      <w:numFmt w:val="lowerRoman"/>
      <w:lvlText w:val="%9."/>
      <w:lvlJc w:val="right"/>
      <w:pPr>
        <w:ind w:left="6480" w:hanging="180"/>
      </w:pPr>
    </w:lvl>
  </w:abstractNum>
  <w:abstractNum w:abstractNumId="36" w15:restartNumberingAfterBreak="0">
    <w:nsid w:val="7ED209C4"/>
    <w:multiLevelType w:val="hybridMultilevel"/>
    <w:tmpl w:val="9D78A466"/>
    <w:lvl w:ilvl="0" w:tplc="90F8186A">
      <w:start w:val="1"/>
      <w:numFmt w:val="bullet"/>
      <w:lvlText w:val=""/>
      <w:lvlJc w:val="left"/>
      <w:pPr>
        <w:ind w:left="144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6002476">
    <w:abstractNumId w:val="35"/>
  </w:num>
  <w:num w:numId="2" w16cid:durableId="988562105">
    <w:abstractNumId w:val="5"/>
  </w:num>
  <w:num w:numId="3" w16cid:durableId="123666941">
    <w:abstractNumId w:val="13"/>
  </w:num>
  <w:num w:numId="4" w16cid:durableId="166530291">
    <w:abstractNumId w:val="18"/>
  </w:num>
  <w:num w:numId="5" w16cid:durableId="1528562682">
    <w:abstractNumId w:val="11"/>
  </w:num>
  <w:num w:numId="6" w16cid:durableId="218593167">
    <w:abstractNumId w:val="1"/>
  </w:num>
  <w:num w:numId="7" w16cid:durableId="145051665">
    <w:abstractNumId w:val="0"/>
  </w:num>
  <w:num w:numId="8" w16cid:durableId="1200898494">
    <w:abstractNumId w:val="20"/>
  </w:num>
  <w:num w:numId="9" w16cid:durableId="1161310576">
    <w:abstractNumId w:val="22"/>
  </w:num>
  <w:num w:numId="10" w16cid:durableId="1694451101">
    <w:abstractNumId w:val="25"/>
  </w:num>
  <w:num w:numId="11" w16cid:durableId="374473423">
    <w:abstractNumId w:val="4"/>
  </w:num>
  <w:num w:numId="12" w16cid:durableId="280697836">
    <w:abstractNumId w:val="3"/>
  </w:num>
  <w:num w:numId="13" w16cid:durableId="413355859">
    <w:abstractNumId w:val="33"/>
  </w:num>
  <w:num w:numId="14" w16cid:durableId="1327511452">
    <w:abstractNumId w:val="12"/>
  </w:num>
  <w:num w:numId="15" w16cid:durableId="1089811240">
    <w:abstractNumId w:val="7"/>
  </w:num>
  <w:num w:numId="16" w16cid:durableId="2142261097">
    <w:abstractNumId w:val="21"/>
  </w:num>
  <w:num w:numId="17" w16cid:durableId="1148785204">
    <w:abstractNumId w:val="10"/>
  </w:num>
  <w:num w:numId="18" w16cid:durableId="2134787439">
    <w:abstractNumId w:val="30"/>
  </w:num>
  <w:num w:numId="19" w16cid:durableId="170875381">
    <w:abstractNumId w:val="16"/>
  </w:num>
  <w:num w:numId="20" w16cid:durableId="1122382008">
    <w:abstractNumId w:val="27"/>
  </w:num>
  <w:num w:numId="21" w16cid:durableId="803036840">
    <w:abstractNumId w:val="31"/>
  </w:num>
  <w:num w:numId="22" w16cid:durableId="534124520">
    <w:abstractNumId w:val="28"/>
  </w:num>
  <w:num w:numId="23" w16cid:durableId="556206661">
    <w:abstractNumId w:val="15"/>
  </w:num>
  <w:num w:numId="24" w16cid:durableId="1562016666">
    <w:abstractNumId w:val="2"/>
  </w:num>
  <w:num w:numId="25" w16cid:durableId="2002267451">
    <w:abstractNumId w:val="36"/>
  </w:num>
  <w:num w:numId="26" w16cid:durableId="1515805764">
    <w:abstractNumId w:val="32"/>
  </w:num>
  <w:num w:numId="27" w16cid:durableId="407575400">
    <w:abstractNumId w:val="34"/>
  </w:num>
  <w:num w:numId="28" w16cid:durableId="983312154">
    <w:abstractNumId w:val="23"/>
  </w:num>
  <w:num w:numId="29" w16cid:durableId="1399480177">
    <w:abstractNumId w:val="19"/>
  </w:num>
  <w:num w:numId="30" w16cid:durableId="1754089034">
    <w:abstractNumId w:val="17"/>
  </w:num>
  <w:num w:numId="31" w16cid:durableId="1462113593">
    <w:abstractNumId w:val="8"/>
  </w:num>
  <w:num w:numId="32" w16cid:durableId="918564677">
    <w:abstractNumId w:val="29"/>
  </w:num>
  <w:num w:numId="33" w16cid:durableId="742876760">
    <w:abstractNumId w:val="24"/>
  </w:num>
  <w:num w:numId="34" w16cid:durableId="1257403311">
    <w:abstractNumId w:val="9"/>
  </w:num>
  <w:num w:numId="35" w16cid:durableId="1262448322">
    <w:abstractNumId w:val="14"/>
  </w:num>
  <w:num w:numId="36" w16cid:durableId="727145128">
    <w:abstractNumId w:val="26"/>
  </w:num>
  <w:num w:numId="37" w16cid:durableId="314337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15DC"/>
    <w:rsid w:val="00015969"/>
    <w:rsid w:val="00026C64"/>
    <w:rsid w:val="00027125"/>
    <w:rsid w:val="00034DEF"/>
    <w:rsid w:val="00041801"/>
    <w:rsid w:val="00042DCB"/>
    <w:rsid w:val="0004643E"/>
    <w:rsid w:val="0004705B"/>
    <w:rsid w:val="0004705D"/>
    <w:rsid w:val="00055506"/>
    <w:rsid w:val="000557AC"/>
    <w:rsid w:val="00060591"/>
    <w:rsid w:val="00063B9D"/>
    <w:rsid w:val="00072EAB"/>
    <w:rsid w:val="00085D78"/>
    <w:rsid w:val="0009064B"/>
    <w:rsid w:val="000908E6"/>
    <w:rsid w:val="00091E4D"/>
    <w:rsid w:val="00096712"/>
    <w:rsid w:val="000A6CE7"/>
    <w:rsid w:val="000A7C13"/>
    <w:rsid w:val="000B002A"/>
    <w:rsid w:val="000C16AE"/>
    <w:rsid w:val="000D4A7B"/>
    <w:rsid w:val="000E31D6"/>
    <w:rsid w:val="000F2D15"/>
    <w:rsid w:val="000F4D7B"/>
    <w:rsid w:val="000F6F9C"/>
    <w:rsid w:val="00100E2C"/>
    <w:rsid w:val="00110515"/>
    <w:rsid w:val="00112084"/>
    <w:rsid w:val="0012428F"/>
    <w:rsid w:val="001261BE"/>
    <w:rsid w:val="0013717A"/>
    <w:rsid w:val="001379B5"/>
    <w:rsid w:val="0014043C"/>
    <w:rsid w:val="00140BF0"/>
    <w:rsid w:val="0014731B"/>
    <w:rsid w:val="00153920"/>
    <w:rsid w:val="00156CB4"/>
    <w:rsid w:val="00171A04"/>
    <w:rsid w:val="00185114"/>
    <w:rsid w:val="0019097A"/>
    <w:rsid w:val="001938C2"/>
    <w:rsid w:val="001951C4"/>
    <w:rsid w:val="00195365"/>
    <w:rsid w:val="001A2B84"/>
    <w:rsid w:val="001B00F5"/>
    <w:rsid w:val="001B070D"/>
    <w:rsid w:val="001B1C53"/>
    <w:rsid w:val="001D672E"/>
    <w:rsid w:val="001F62F3"/>
    <w:rsid w:val="00203587"/>
    <w:rsid w:val="002148A6"/>
    <w:rsid w:val="00235167"/>
    <w:rsid w:val="00235BBE"/>
    <w:rsid w:val="00253DD2"/>
    <w:rsid w:val="002747CF"/>
    <w:rsid w:val="00275D43"/>
    <w:rsid w:val="002831EB"/>
    <w:rsid w:val="002A5F7A"/>
    <w:rsid w:val="002A618A"/>
    <w:rsid w:val="002B29C9"/>
    <w:rsid w:val="002C1225"/>
    <w:rsid w:val="002D11A5"/>
    <w:rsid w:val="002D4894"/>
    <w:rsid w:val="002F7C88"/>
    <w:rsid w:val="003005A9"/>
    <w:rsid w:val="00300DA9"/>
    <w:rsid w:val="00300FB1"/>
    <w:rsid w:val="00301E68"/>
    <w:rsid w:val="00306C82"/>
    <w:rsid w:val="003119D3"/>
    <w:rsid w:val="00313FAA"/>
    <w:rsid w:val="00326478"/>
    <w:rsid w:val="00331969"/>
    <w:rsid w:val="003355C2"/>
    <w:rsid w:val="00344417"/>
    <w:rsid w:val="0039552E"/>
    <w:rsid w:val="003C3F69"/>
    <w:rsid w:val="003E0AD6"/>
    <w:rsid w:val="003E0D2D"/>
    <w:rsid w:val="003E404F"/>
    <w:rsid w:val="003E5101"/>
    <w:rsid w:val="00407180"/>
    <w:rsid w:val="00410AC7"/>
    <w:rsid w:val="00411137"/>
    <w:rsid w:val="00411DA3"/>
    <w:rsid w:val="004149EC"/>
    <w:rsid w:val="00415DE9"/>
    <w:rsid w:val="00427848"/>
    <w:rsid w:val="00430859"/>
    <w:rsid w:val="004338F9"/>
    <w:rsid w:val="004379A5"/>
    <w:rsid w:val="00437D5F"/>
    <w:rsid w:val="00440151"/>
    <w:rsid w:val="00442B46"/>
    <w:rsid w:val="004504D5"/>
    <w:rsid w:val="00451301"/>
    <w:rsid w:val="00455CF5"/>
    <w:rsid w:val="004578F5"/>
    <w:rsid w:val="00463011"/>
    <w:rsid w:val="00467BBB"/>
    <w:rsid w:val="0047385C"/>
    <w:rsid w:val="00475B35"/>
    <w:rsid w:val="00493781"/>
    <w:rsid w:val="004A1AAA"/>
    <w:rsid w:val="004A2490"/>
    <w:rsid w:val="004A4C18"/>
    <w:rsid w:val="004B6685"/>
    <w:rsid w:val="004C176C"/>
    <w:rsid w:val="004C5B38"/>
    <w:rsid w:val="004C6913"/>
    <w:rsid w:val="004C75B7"/>
    <w:rsid w:val="004D128F"/>
    <w:rsid w:val="004E46E5"/>
    <w:rsid w:val="004E68B5"/>
    <w:rsid w:val="004F1A30"/>
    <w:rsid w:val="004F7B73"/>
    <w:rsid w:val="005100D5"/>
    <w:rsid w:val="00515E2B"/>
    <w:rsid w:val="00520ABD"/>
    <w:rsid w:val="005211E7"/>
    <w:rsid w:val="00524EA9"/>
    <w:rsid w:val="00525E2C"/>
    <w:rsid w:val="00527817"/>
    <w:rsid w:val="00534797"/>
    <w:rsid w:val="00540D9A"/>
    <w:rsid w:val="00544206"/>
    <w:rsid w:val="00544461"/>
    <w:rsid w:val="00547B93"/>
    <w:rsid w:val="005568CA"/>
    <w:rsid w:val="00561640"/>
    <w:rsid w:val="00564B7B"/>
    <w:rsid w:val="00566D9C"/>
    <w:rsid w:val="00577D95"/>
    <w:rsid w:val="00580955"/>
    <w:rsid w:val="0059609D"/>
    <w:rsid w:val="005A2DB3"/>
    <w:rsid w:val="005B53FA"/>
    <w:rsid w:val="005E6FA2"/>
    <w:rsid w:val="00625A30"/>
    <w:rsid w:val="00632DB3"/>
    <w:rsid w:val="00633718"/>
    <w:rsid w:val="0064055A"/>
    <w:rsid w:val="00641B39"/>
    <w:rsid w:val="00642B8D"/>
    <w:rsid w:val="00650631"/>
    <w:rsid w:val="006511D6"/>
    <w:rsid w:val="006533E4"/>
    <w:rsid w:val="00654BE4"/>
    <w:rsid w:val="0067073B"/>
    <w:rsid w:val="00677B5B"/>
    <w:rsid w:val="00693454"/>
    <w:rsid w:val="006A0515"/>
    <w:rsid w:val="006A57AF"/>
    <w:rsid w:val="006A7A4B"/>
    <w:rsid w:val="006B0456"/>
    <w:rsid w:val="006B13F0"/>
    <w:rsid w:val="006B2EE2"/>
    <w:rsid w:val="006C1006"/>
    <w:rsid w:val="006D3827"/>
    <w:rsid w:val="006E0DAF"/>
    <w:rsid w:val="006E146A"/>
    <w:rsid w:val="006E5A37"/>
    <w:rsid w:val="006F0BE3"/>
    <w:rsid w:val="006F0FB9"/>
    <w:rsid w:val="00706949"/>
    <w:rsid w:val="007134AE"/>
    <w:rsid w:val="00714F1F"/>
    <w:rsid w:val="007211FC"/>
    <w:rsid w:val="00723DBB"/>
    <w:rsid w:val="00725043"/>
    <w:rsid w:val="00735773"/>
    <w:rsid w:val="00740A59"/>
    <w:rsid w:val="007466FB"/>
    <w:rsid w:val="007501E4"/>
    <w:rsid w:val="00751C0F"/>
    <w:rsid w:val="0075788F"/>
    <w:rsid w:val="00761F8B"/>
    <w:rsid w:val="0076369C"/>
    <w:rsid w:val="0077265A"/>
    <w:rsid w:val="00777798"/>
    <w:rsid w:val="0078154A"/>
    <w:rsid w:val="00783717"/>
    <w:rsid w:val="00784979"/>
    <w:rsid w:val="00785C47"/>
    <w:rsid w:val="0079120A"/>
    <w:rsid w:val="00791959"/>
    <w:rsid w:val="007A5FF4"/>
    <w:rsid w:val="007C6C8A"/>
    <w:rsid w:val="007D2CBF"/>
    <w:rsid w:val="007D545A"/>
    <w:rsid w:val="007E5E01"/>
    <w:rsid w:val="007E5F6B"/>
    <w:rsid w:val="007E625F"/>
    <w:rsid w:val="00803E15"/>
    <w:rsid w:val="0081099D"/>
    <w:rsid w:val="0081533B"/>
    <w:rsid w:val="0081551E"/>
    <w:rsid w:val="00846985"/>
    <w:rsid w:val="008559B1"/>
    <w:rsid w:val="00857E4A"/>
    <w:rsid w:val="008611DC"/>
    <w:rsid w:val="00874988"/>
    <w:rsid w:val="00882F02"/>
    <w:rsid w:val="00891290"/>
    <w:rsid w:val="00891410"/>
    <w:rsid w:val="008914F9"/>
    <w:rsid w:val="008A0DCE"/>
    <w:rsid w:val="008A4A47"/>
    <w:rsid w:val="008A64C7"/>
    <w:rsid w:val="008B5344"/>
    <w:rsid w:val="008B5DA1"/>
    <w:rsid w:val="008B74FE"/>
    <w:rsid w:val="008C0411"/>
    <w:rsid w:val="008C3F4E"/>
    <w:rsid w:val="008D1A33"/>
    <w:rsid w:val="008D1D9F"/>
    <w:rsid w:val="008E1433"/>
    <w:rsid w:val="008E3926"/>
    <w:rsid w:val="008E6873"/>
    <w:rsid w:val="008E7852"/>
    <w:rsid w:val="008F7BB2"/>
    <w:rsid w:val="00905E81"/>
    <w:rsid w:val="0090646F"/>
    <w:rsid w:val="00910710"/>
    <w:rsid w:val="00915741"/>
    <w:rsid w:val="0092147B"/>
    <w:rsid w:val="00921917"/>
    <w:rsid w:val="0092670E"/>
    <w:rsid w:val="00931090"/>
    <w:rsid w:val="009407F5"/>
    <w:rsid w:val="00950AF4"/>
    <w:rsid w:val="00954B79"/>
    <w:rsid w:val="0096381D"/>
    <w:rsid w:val="00972D3E"/>
    <w:rsid w:val="009A0B3E"/>
    <w:rsid w:val="009B0AF7"/>
    <w:rsid w:val="009B1666"/>
    <w:rsid w:val="009C7849"/>
    <w:rsid w:val="009D3B6C"/>
    <w:rsid w:val="009D455C"/>
    <w:rsid w:val="009E6C35"/>
    <w:rsid w:val="009E754B"/>
    <w:rsid w:val="009E7D8F"/>
    <w:rsid w:val="00A104AA"/>
    <w:rsid w:val="00A1450D"/>
    <w:rsid w:val="00A15FA8"/>
    <w:rsid w:val="00A16D84"/>
    <w:rsid w:val="00A17202"/>
    <w:rsid w:val="00A17474"/>
    <w:rsid w:val="00A214FA"/>
    <w:rsid w:val="00A30CED"/>
    <w:rsid w:val="00A3384C"/>
    <w:rsid w:val="00A35D1D"/>
    <w:rsid w:val="00A36CF5"/>
    <w:rsid w:val="00A51390"/>
    <w:rsid w:val="00A56572"/>
    <w:rsid w:val="00A5668C"/>
    <w:rsid w:val="00A60BDE"/>
    <w:rsid w:val="00A7127F"/>
    <w:rsid w:val="00A729C2"/>
    <w:rsid w:val="00A73089"/>
    <w:rsid w:val="00A80B98"/>
    <w:rsid w:val="00A90DC6"/>
    <w:rsid w:val="00A96AAD"/>
    <w:rsid w:val="00AA36F7"/>
    <w:rsid w:val="00AD08A2"/>
    <w:rsid w:val="00AD11A6"/>
    <w:rsid w:val="00AD21FC"/>
    <w:rsid w:val="00AD5870"/>
    <w:rsid w:val="00AD58D2"/>
    <w:rsid w:val="00AE05B9"/>
    <w:rsid w:val="00AE0900"/>
    <w:rsid w:val="00AE4672"/>
    <w:rsid w:val="00B014AC"/>
    <w:rsid w:val="00B03AD3"/>
    <w:rsid w:val="00B1122A"/>
    <w:rsid w:val="00B11AE4"/>
    <w:rsid w:val="00B172FB"/>
    <w:rsid w:val="00B33F69"/>
    <w:rsid w:val="00B51E85"/>
    <w:rsid w:val="00B53071"/>
    <w:rsid w:val="00B56634"/>
    <w:rsid w:val="00B569C5"/>
    <w:rsid w:val="00B62404"/>
    <w:rsid w:val="00B64B01"/>
    <w:rsid w:val="00B80E72"/>
    <w:rsid w:val="00B84D31"/>
    <w:rsid w:val="00B906E9"/>
    <w:rsid w:val="00B94476"/>
    <w:rsid w:val="00BA1317"/>
    <w:rsid w:val="00BA1A44"/>
    <w:rsid w:val="00BA3C26"/>
    <w:rsid w:val="00BA3F4C"/>
    <w:rsid w:val="00BA55D6"/>
    <w:rsid w:val="00BA5884"/>
    <w:rsid w:val="00BB2CCD"/>
    <w:rsid w:val="00BB3B50"/>
    <w:rsid w:val="00BB5DCD"/>
    <w:rsid w:val="00BB6751"/>
    <w:rsid w:val="00BC5B1B"/>
    <w:rsid w:val="00BC6D81"/>
    <w:rsid w:val="00BC6F8D"/>
    <w:rsid w:val="00BE4268"/>
    <w:rsid w:val="00BF44A6"/>
    <w:rsid w:val="00BF7B9D"/>
    <w:rsid w:val="00C0023E"/>
    <w:rsid w:val="00C01A06"/>
    <w:rsid w:val="00C01C97"/>
    <w:rsid w:val="00C03527"/>
    <w:rsid w:val="00C03AB4"/>
    <w:rsid w:val="00C159DD"/>
    <w:rsid w:val="00C204C3"/>
    <w:rsid w:val="00C2336E"/>
    <w:rsid w:val="00C33460"/>
    <w:rsid w:val="00C365BF"/>
    <w:rsid w:val="00C422B5"/>
    <w:rsid w:val="00C47D22"/>
    <w:rsid w:val="00C521AE"/>
    <w:rsid w:val="00C604D0"/>
    <w:rsid w:val="00C620AE"/>
    <w:rsid w:val="00C67037"/>
    <w:rsid w:val="00C73A1F"/>
    <w:rsid w:val="00C8010F"/>
    <w:rsid w:val="00C80659"/>
    <w:rsid w:val="00C81725"/>
    <w:rsid w:val="00C96BDD"/>
    <w:rsid w:val="00C97B06"/>
    <w:rsid w:val="00CA6B2B"/>
    <w:rsid w:val="00CA6D27"/>
    <w:rsid w:val="00CB243A"/>
    <w:rsid w:val="00CB7E12"/>
    <w:rsid w:val="00CC5249"/>
    <w:rsid w:val="00D0538D"/>
    <w:rsid w:val="00D07BDF"/>
    <w:rsid w:val="00D1178E"/>
    <w:rsid w:val="00D2465B"/>
    <w:rsid w:val="00D32C3D"/>
    <w:rsid w:val="00D33013"/>
    <w:rsid w:val="00D42AB3"/>
    <w:rsid w:val="00D431C2"/>
    <w:rsid w:val="00D43B83"/>
    <w:rsid w:val="00D76610"/>
    <w:rsid w:val="00D873F8"/>
    <w:rsid w:val="00D91B4F"/>
    <w:rsid w:val="00DB53FE"/>
    <w:rsid w:val="00DB6258"/>
    <w:rsid w:val="00DB6B8C"/>
    <w:rsid w:val="00DD6763"/>
    <w:rsid w:val="00DE1243"/>
    <w:rsid w:val="00DE68E0"/>
    <w:rsid w:val="00DF1120"/>
    <w:rsid w:val="00DF3265"/>
    <w:rsid w:val="00E0141C"/>
    <w:rsid w:val="00E0283C"/>
    <w:rsid w:val="00E02D28"/>
    <w:rsid w:val="00E0570D"/>
    <w:rsid w:val="00E210F6"/>
    <w:rsid w:val="00E25B66"/>
    <w:rsid w:val="00E42FD1"/>
    <w:rsid w:val="00E458C5"/>
    <w:rsid w:val="00E510FD"/>
    <w:rsid w:val="00E62715"/>
    <w:rsid w:val="00E63930"/>
    <w:rsid w:val="00E70C15"/>
    <w:rsid w:val="00E71D62"/>
    <w:rsid w:val="00E72419"/>
    <w:rsid w:val="00E826BB"/>
    <w:rsid w:val="00E937D6"/>
    <w:rsid w:val="00E95AA9"/>
    <w:rsid w:val="00EA7BDE"/>
    <w:rsid w:val="00EC7CDB"/>
    <w:rsid w:val="00ED18F1"/>
    <w:rsid w:val="00EE736B"/>
    <w:rsid w:val="00EF6C6B"/>
    <w:rsid w:val="00F053EC"/>
    <w:rsid w:val="00F10DFF"/>
    <w:rsid w:val="00F15B8A"/>
    <w:rsid w:val="00F220FC"/>
    <w:rsid w:val="00F22AD4"/>
    <w:rsid w:val="00F33304"/>
    <w:rsid w:val="00F40191"/>
    <w:rsid w:val="00F43EA7"/>
    <w:rsid w:val="00F446C0"/>
    <w:rsid w:val="00F53A60"/>
    <w:rsid w:val="00F54EDF"/>
    <w:rsid w:val="00F60043"/>
    <w:rsid w:val="00F7696E"/>
    <w:rsid w:val="00F80E8A"/>
    <w:rsid w:val="00F853B8"/>
    <w:rsid w:val="00F866CB"/>
    <w:rsid w:val="00F86D2B"/>
    <w:rsid w:val="00F90F6B"/>
    <w:rsid w:val="00F92C5E"/>
    <w:rsid w:val="00F92C9C"/>
    <w:rsid w:val="00F947AC"/>
    <w:rsid w:val="00F95D8D"/>
    <w:rsid w:val="00F967DF"/>
    <w:rsid w:val="00F97A78"/>
    <w:rsid w:val="00FA38B3"/>
    <w:rsid w:val="00FA4B93"/>
    <w:rsid w:val="00FB5001"/>
    <w:rsid w:val="00FC0D34"/>
    <w:rsid w:val="00FC66B8"/>
    <w:rsid w:val="00FE13B9"/>
    <w:rsid w:val="00FE5320"/>
    <w:rsid w:val="00FE7B95"/>
    <w:rsid w:val="00FF41C6"/>
    <w:rsid w:val="00FF4279"/>
    <w:rsid w:val="00FF4494"/>
    <w:rsid w:val="00FF7303"/>
    <w:rsid w:val="014681A9"/>
    <w:rsid w:val="0B301709"/>
    <w:rsid w:val="0CD3C61C"/>
    <w:rsid w:val="0CDE3617"/>
    <w:rsid w:val="10D8D1F8"/>
    <w:rsid w:val="1166D0AD"/>
    <w:rsid w:val="124DCAFA"/>
    <w:rsid w:val="13E99B5B"/>
    <w:rsid w:val="159F17C3"/>
    <w:rsid w:val="161510CB"/>
    <w:rsid w:val="16618005"/>
    <w:rsid w:val="16E1B5B0"/>
    <w:rsid w:val="186D59A2"/>
    <w:rsid w:val="18CB4668"/>
    <w:rsid w:val="193FE102"/>
    <w:rsid w:val="1A58DCDF"/>
    <w:rsid w:val="1B34F128"/>
    <w:rsid w:val="1B86F9EA"/>
    <w:rsid w:val="1BF4AD40"/>
    <w:rsid w:val="1C1F3A18"/>
    <w:rsid w:val="1E96E304"/>
    <w:rsid w:val="1EBD4948"/>
    <w:rsid w:val="20BD5DFA"/>
    <w:rsid w:val="2145B1FA"/>
    <w:rsid w:val="228DAB3A"/>
    <w:rsid w:val="2407BBC1"/>
    <w:rsid w:val="24D1B480"/>
    <w:rsid w:val="2572A605"/>
    <w:rsid w:val="259A3958"/>
    <w:rsid w:val="25B6BEFB"/>
    <w:rsid w:val="27978FAC"/>
    <w:rsid w:val="279B8950"/>
    <w:rsid w:val="28E5B26D"/>
    <w:rsid w:val="296F0FF1"/>
    <w:rsid w:val="2D0C42FF"/>
    <w:rsid w:val="2D9F8665"/>
    <w:rsid w:val="2E813C01"/>
    <w:rsid w:val="2ED8B6F6"/>
    <w:rsid w:val="309889C2"/>
    <w:rsid w:val="31350971"/>
    <w:rsid w:val="31C243FC"/>
    <w:rsid w:val="328D2798"/>
    <w:rsid w:val="3340129D"/>
    <w:rsid w:val="34088E31"/>
    <w:rsid w:val="3904404B"/>
    <w:rsid w:val="39D19DAA"/>
    <w:rsid w:val="3AA5866E"/>
    <w:rsid w:val="3B49286C"/>
    <w:rsid w:val="3B7CF727"/>
    <w:rsid w:val="3C3283B6"/>
    <w:rsid w:val="3CE4F961"/>
    <w:rsid w:val="3EA10127"/>
    <w:rsid w:val="40753786"/>
    <w:rsid w:val="429E9E0C"/>
    <w:rsid w:val="42B7F638"/>
    <w:rsid w:val="45C1CE75"/>
    <w:rsid w:val="4844BC3F"/>
    <w:rsid w:val="4B43A9B6"/>
    <w:rsid w:val="4C39AF31"/>
    <w:rsid w:val="4D7C6706"/>
    <w:rsid w:val="4DF5B503"/>
    <w:rsid w:val="4E4D13CC"/>
    <w:rsid w:val="4E851077"/>
    <w:rsid w:val="50ACD039"/>
    <w:rsid w:val="50FFC918"/>
    <w:rsid w:val="51EBBBAF"/>
    <w:rsid w:val="52521B09"/>
    <w:rsid w:val="528E0A64"/>
    <w:rsid w:val="53B78FAA"/>
    <w:rsid w:val="543769DA"/>
    <w:rsid w:val="54B9F5FC"/>
    <w:rsid w:val="55235C71"/>
    <w:rsid w:val="55BFD911"/>
    <w:rsid w:val="563A2D77"/>
    <w:rsid w:val="57394BAE"/>
    <w:rsid w:val="5770E9BA"/>
    <w:rsid w:val="57836EEC"/>
    <w:rsid w:val="59CE4AF6"/>
    <w:rsid w:val="5BC2C1F9"/>
    <w:rsid w:val="5C502989"/>
    <w:rsid w:val="5E113733"/>
    <w:rsid w:val="5EB730F0"/>
    <w:rsid w:val="5F54A2D1"/>
    <w:rsid w:val="5FA62F7B"/>
    <w:rsid w:val="5FBF57D8"/>
    <w:rsid w:val="6117BF58"/>
    <w:rsid w:val="619359CF"/>
    <w:rsid w:val="62C3D516"/>
    <w:rsid w:val="63FACBD3"/>
    <w:rsid w:val="64874FA0"/>
    <w:rsid w:val="65B14D97"/>
    <w:rsid w:val="661570FF"/>
    <w:rsid w:val="67A1803C"/>
    <w:rsid w:val="694D11C1"/>
    <w:rsid w:val="6A5BACAC"/>
    <w:rsid w:val="6F32D2DB"/>
    <w:rsid w:val="7013084D"/>
    <w:rsid w:val="7096EDDB"/>
    <w:rsid w:val="71DC0818"/>
    <w:rsid w:val="723B54BE"/>
    <w:rsid w:val="72FA6E35"/>
    <w:rsid w:val="73241326"/>
    <w:rsid w:val="7337BC06"/>
    <w:rsid w:val="7377D879"/>
    <w:rsid w:val="74AAA2E6"/>
    <w:rsid w:val="77062F5F"/>
    <w:rsid w:val="779E4FF1"/>
    <w:rsid w:val="7969AFB9"/>
    <w:rsid w:val="79C34F31"/>
    <w:rsid w:val="79C947A2"/>
    <w:rsid w:val="7D28CB73"/>
    <w:rsid w:val="7D7570E3"/>
    <w:rsid w:val="7F4AD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AF495273-FC2D-4558-BD47-516C01E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1F"/>
    <w:pPr>
      <w:ind w:left="360"/>
    </w:pPr>
    <w:rPr>
      <w:rFonts w:ascii="Tahoma" w:hAnsi="Tahoma"/>
    </w:rPr>
  </w:style>
  <w:style w:type="paragraph" w:styleId="Heading1">
    <w:name w:val="heading 1"/>
    <w:basedOn w:val="Normal"/>
    <w:next w:val="Normal"/>
    <w:link w:val="Heading1Char"/>
    <w:uiPriority w:val="9"/>
    <w:qFormat/>
    <w:rsid w:val="001951C4"/>
    <w:pPr>
      <w:keepNext/>
      <w:keepLines/>
      <w:spacing w:after="240"/>
      <w:outlineLvl w:val="0"/>
    </w:pPr>
    <w:rPr>
      <w:rFonts w:eastAsiaTheme="majorEastAsia" w:cs="Tahoma"/>
      <w:b/>
      <w:bCs/>
    </w:rPr>
  </w:style>
  <w:style w:type="paragraph" w:styleId="Heading2">
    <w:name w:val="heading 2"/>
    <w:basedOn w:val="ListParagraph"/>
    <w:next w:val="Normal"/>
    <w:link w:val="Heading2Char"/>
    <w:uiPriority w:val="9"/>
    <w:unhideWhenUsed/>
    <w:qFormat/>
    <w:rsid w:val="00E02D28"/>
    <w:pPr>
      <w:keepNext/>
      <w:keepLines/>
      <w:numPr>
        <w:numId w:val="6"/>
      </w:numPr>
      <w:spacing w:before="40" w:after="120" w:line="259" w:lineRule="auto"/>
      <w:outlineLvl w:val="1"/>
    </w:pPr>
    <w:rPr>
      <w:rFonts w:eastAsiaTheme="majorEastAsi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sid w:val="00972D3E"/>
  </w:style>
  <w:style w:type="character" w:customStyle="1" w:styleId="ListParagraphChar">
    <w:name w:val="List Paragraph Char"/>
    <w:basedOn w:val="DefaultParagraphFont"/>
    <w:link w:val="ListParagraph"/>
    <w:uiPriority w:val="34"/>
    <w:locked/>
    <w:rsid w:val="00096712"/>
  </w:style>
  <w:style w:type="character" w:styleId="CommentReference">
    <w:name w:val="annotation reference"/>
    <w:basedOn w:val="DefaultParagraphFont"/>
    <w:uiPriority w:val="99"/>
    <w:semiHidden/>
    <w:unhideWhenUsed/>
    <w:rsid w:val="00547B93"/>
    <w:rPr>
      <w:sz w:val="16"/>
      <w:szCs w:val="16"/>
    </w:rPr>
  </w:style>
  <w:style w:type="paragraph" w:styleId="CommentText">
    <w:name w:val="annotation text"/>
    <w:basedOn w:val="Normal"/>
    <w:link w:val="CommentTextChar"/>
    <w:uiPriority w:val="99"/>
    <w:unhideWhenUsed/>
    <w:rsid w:val="00547B93"/>
    <w:rPr>
      <w:sz w:val="20"/>
      <w:szCs w:val="20"/>
    </w:rPr>
  </w:style>
  <w:style w:type="character" w:customStyle="1" w:styleId="CommentTextChar">
    <w:name w:val="Comment Text Char"/>
    <w:basedOn w:val="DefaultParagraphFont"/>
    <w:link w:val="CommentText"/>
    <w:uiPriority w:val="99"/>
    <w:rsid w:val="00547B93"/>
    <w:rPr>
      <w:sz w:val="20"/>
      <w:szCs w:val="20"/>
    </w:rPr>
  </w:style>
  <w:style w:type="paragraph" w:styleId="CommentSubject">
    <w:name w:val="annotation subject"/>
    <w:basedOn w:val="CommentText"/>
    <w:next w:val="CommentText"/>
    <w:link w:val="CommentSubjectChar"/>
    <w:uiPriority w:val="99"/>
    <w:semiHidden/>
    <w:unhideWhenUsed/>
    <w:rsid w:val="00547B93"/>
    <w:rPr>
      <w:b/>
      <w:bCs/>
    </w:rPr>
  </w:style>
  <w:style w:type="character" w:customStyle="1" w:styleId="CommentSubjectChar">
    <w:name w:val="Comment Subject Char"/>
    <w:basedOn w:val="CommentTextChar"/>
    <w:link w:val="CommentSubject"/>
    <w:uiPriority w:val="99"/>
    <w:semiHidden/>
    <w:rsid w:val="00547B93"/>
    <w:rPr>
      <w:b/>
      <w:bCs/>
      <w:sz w:val="20"/>
      <w:szCs w:val="20"/>
    </w:rPr>
  </w:style>
  <w:style w:type="character" w:styleId="Mention">
    <w:name w:val="Mention"/>
    <w:basedOn w:val="DefaultParagraphFont"/>
    <w:uiPriority w:val="99"/>
    <w:unhideWhenUsed/>
    <w:rsid w:val="001B00F5"/>
    <w:rPr>
      <w:color w:val="2B579A"/>
      <w:shd w:val="clear" w:color="auto" w:fill="E1DFDD"/>
    </w:rPr>
  </w:style>
  <w:style w:type="character" w:customStyle="1" w:styleId="ui-provider">
    <w:name w:val="ui-provider"/>
    <w:basedOn w:val="DefaultParagraphFont"/>
    <w:rsid w:val="0075788F"/>
  </w:style>
  <w:style w:type="character" w:customStyle="1" w:styleId="Heading2Char">
    <w:name w:val="Heading 2 Char"/>
    <w:basedOn w:val="DefaultParagraphFont"/>
    <w:link w:val="Heading2"/>
    <w:uiPriority w:val="9"/>
    <w:rsid w:val="00E02D28"/>
    <w:rPr>
      <w:rFonts w:ascii="Tahoma" w:eastAsiaTheme="majorEastAsia" w:hAnsi="Tahoma" w:cs="Tahoma"/>
      <w:b/>
      <w:bCs/>
    </w:rPr>
  </w:style>
  <w:style w:type="character" w:customStyle="1" w:styleId="Heading1Char">
    <w:name w:val="Heading 1 Char"/>
    <w:basedOn w:val="DefaultParagraphFont"/>
    <w:link w:val="Heading1"/>
    <w:uiPriority w:val="9"/>
    <w:rsid w:val="001951C4"/>
    <w:rPr>
      <w:rFonts w:ascii="Tahoma" w:eastAsiaTheme="majorEastAsi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7238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Dixit, Raj@Energy</DisplayName>
        <AccountId>114</AccountId>
        <AccountType/>
      </UserInfo>
    </SharedWithUsers>
    <DateofPublicationorEvent xmlns="785685f2-c2e1-4352-89aa-3faca8eaba52" xsi:nil="true"/>
    <TopicsofInterest xmlns="785685f2-c2e1-4352-89aa-3faca8eaba52" xsi:nil="true"/>
    <Descr xmlns="785685f2-c2e1-4352-89aa-3faca8eaba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FDB66-5A6F-4141-AF9C-067D826D8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1244</Words>
  <Characters>6817</Characters>
  <Application>Microsoft Office Word</Application>
  <DocSecurity>0</DocSecurity>
  <Lines>219</Lines>
  <Paragraphs>146</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Addendum 01 Cover Letter</dc:title>
  <dc:subject/>
  <dc:creator>Bailey Wobschall</dc:creator>
  <cp:keywords/>
  <dc:description/>
  <cp:lastModifiedBy>Cary, Eilene@Energy</cp:lastModifiedBy>
  <cp:revision>218</cp:revision>
  <cp:lastPrinted>2019-04-08T16:38:00Z</cp:lastPrinted>
  <dcterms:created xsi:type="dcterms:W3CDTF">2023-05-09T22:01:00Z</dcterms:created>
  <dcterms:modified xsi:type="dcterms:W3CDTF">2025-01-02T16:35:00Z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