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6B6B2" w14:textId="694FF326" w:rsidR="003F14CA" w:rsidRDefault="003F14CA" w:rsidP="003D7694">
      <w:pPr>
        <w:jc w:val="center"/>
        <w:rPr>
          <w:rFonts w:ascii="Arial" w:hAnsi="Arial" w:cs="Arial"/>
          <w:b/>
          <w:bCs/>
          <w:sz w:val="22"/>
          <w:szCs w:val="22"/>
        </w:rPr>
      </w:pPr>
      <w:r w:rsidRPr="004744AA">
        <w:rPr>
          <w:rFonts w:ascii="Arial" w:hAnsi="Arial" w:cs="Arial"/>
          <w:noProof/>
        </w:rPr>
        <w:drawing>
          <wp:anchor distT="0" distB="0" distL="114300" distR="114300" simplePos="0" relativeHeight="251659264" behindDoc="1" locked="0" layoutInCell="1" allowOverlap="1" wp14:anchorId="4F718BAD" wp14:editId="79E265E6">
            <wp:simplePos x="0" y="0"/>
            <wp:positionH relativeFrom="page">
              <wp:align>right</wp:align>
            </wp:positionH>
            <wp:positionV relativeFrom="paragraph">
              <wp:posOffset>-1134110</wp:posOffset>
            </wp:positionV>
            <wp:extent cx="7772400" cy="101409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0"/>
                    <a:stretch>
                      <a:fillRect/>
                    </a:stretch>
                  </pic:blipFill>
                  <pic:spPr>
                    <a:xfrm>
                      <a:off x="0" y="0"/>
                      <a:ext cx="7772400" cy="10140950"/>
                    </a:xfrm>
                    <a:prstGeom prst="rect">
                      <a:avLst/>
                    </a:prstGeom>
                  </pic:spPr>
                </pic:pic>
              </a:graphicData>
            </a:graphic>
            <wp14:sizeRelH relativeFrom="margin">
              <wp14:pctWidth>0</wp14:pctWidth>
            </wp14:sizeRelH>
          </wp:anchor>
        </w:drawing>
      </w:r>
    </w:p>
    <w:p w14:paraId="37660822" w14:textId="77777777" w:rsidR="003F14CA" w:rsidRDefault="003F14CA" w:rsidP="003D7694">
      <w:pPr>
        <w:jc w:val="center"/>
        <w:rPr>
          <w:rFonts w:ascii="Arial" w:hAnsi="Arial" w:cs="Arial"/>
          <w:b/>
          <w:bCs/>
          <w:sz w:val="22"/>
          <w:szCs w:val="22"/>
        </w:rPr>
      </w:pPr>
    </w:p>
    <w:p w14:paraId="7118A8B6" w14:textId="28874ADE" w:rsidR="000A6F56" w:rsidRDefault="000A6F56" w:rsidP="003D7694">
      <w:pPr>
        <w:jc w:val="center"/>
        <w:rPr>
          <w:rFonts w:ascii="Arial" w:hAnsi="Arial" w:cs="Arial"/>
          <w:b/>
          <w:bCs/>
          <w:sz w:val="22"/>
          <w:szCs w:val="22"/>
        </w:rPr>
      </w:pPr>
      <w:r w:rsidRPr="004744AA">
        <w:rPr>
          <w:rFonts w:ascii="Arial" w:hAnsi="Arial" w:cs="Arial"/>
          <w:b/>
          <w:bCs/>
          <w:sz w:val="22"/>
          <w:szCs w:val="22"/>
        </w:rPr>
        <w:t>GFO-</w:t>
      </w:r>
      <w:r>
        <w:rPr>
          <w:rFonts w:ascii="Arial" w:hAnsi="Arial" w:cs="Arial"/>
          <w:b/>
          <w:bCs/>
          <w:sz w:val="22"/>
          <w:szCs w:val="22"/>
        </w:rPr>
        <w:t>2</w:t>
      </w:r>
      <w:r w:rsidR="003F2248">
        <w:rPr>
          <w:rFonts w:ascii="Arial" w:hAnsi="Arial" w:cs="Arial"/>
          <w:b/>
          <w:bCs/>
          <w:sz w:val="22"/>
          <w:szCs w:val="22"/>
        </w:rPr>
        <w:t>4</w:t>
      </w:r>
      <w:r>
        <w:rPr>
          <w:rFonts w:ascii="Arial" w:hAnsi="Arial" w:cs="Arial"/>
          <w:b/>
          <w:bCs/>
          <w:sz w:val="22"/>
          <w:szCs w:val="22"/>
        </w:rPr>
        <w:t>-30</w:t>
      </w:r>
      <w:r w:rsidR="003F2248">
        <w:rPr>
          <w:rFonts w:ascii="Arial" w:hAnsi="Arial" w:cs="Arial"/>
          <w:b/>
          <w:bCs/>
          <w:sz w:val="22"/>
          <w:szCs w:val="22"/>
        </w:rPr>
        <w:t>6</w:t>
      </w:r>
    </w:p>
    <w:p w14:paraId="05530217" w14:textId="77777777" w:rsidR="003F2248" w:rsidRDefault="003F2248" w:rsidP="000A6F56">
      <w:pPr>
        <w:pStyle w:val="Default"/>
        <w:jc w:val="center"/>
        <w:rPr>
          <w:b/>
          <w:bCs/>
          <w:sz w:val="22"/>
          <w:szCs w:val="22"/>
        </w:rPr>
      </w:pPr>
      <w:r w:rsidRPr="003F2248">
        <w:rPr>
          <w:b/>
          <w:bCs/>
          <w:sz w:val="22"/>
          <w:szCs w:val="22"/>
        </w:rPr>
        <w:t>Applications of Open Data to Support Climate Resilience in California’s Electricity Sector</w:t>
      </w:r>
    </w:p>
    <w:p w14:paraId="4B1DD5FD" w14:textId="2AA74C94" w:rsidR="000A6F56" w:rsidRPr="0098372D" w:rsidRDefault="000A6F56" w:rsidP="000A6F56">
      <w:pPr>
        <w:pStyle w:val="Default"/>
        <w:jc w:val="center"/>
        <w:rPr>
          <w:b/>
          <w:bCs/>
          <w:sz w:val="22"/>
          <w:szCs w:val="22"/>
        </w:rPr>
      </w:pPr>
      <w:r w:rsidRPr="714C56EB">
        <w:rPr>
          <w:b/>
          <w:bCs/>
          <w:sz w:val="22"/>
          <w:szCs w:val="22"/>
        </w:rPr>
        <w:t xml:space="preserve">Addendum </w:t>
      </w:r>
      <w:r w:rsidR="00E67E00">
        <w:rPr>
          <w:b/>
          <w:bCs/>
          <w:sz w:val="22"/>
          <w:szCs w:val="22"/>
        </w:rPr>
        <w:t>0</w:t>
      </w:r>
      <w:r>
        <w:rPr>
          <w:b/>
          <w:bCs/>
          <w:sz w:val="22"/>
          <w:szCs w:val="22"/>
        </w:rPr>
        <w:t>1</w:t>
      </w:r>
    </w:p>
    <w:p w14:paraId="52A71B15" w14:textId="78A87A59" w:rsidR="000A6F56" w:rsidRPr="0098372D" w:rsidRDefault="003F2248" w:rsidP="000A6F56">
      <w:pPr>
        <w:pStyle w:val="Default"/>
        <w:jc w:val="center"/>
        <w:rPr>
          <w:b/>
          <w:bCs/>
          <w:sz w:val="22"/>
          <w:szCs w:val="22"/>
        </w:rPr>
      </w:pPr>
      <w:r w:rsidRPr="00C35DE4">
        <w:rPr>
          <w:b/>
          <w:sz w:val="22"/>
          <w:szCs w:val="22"/>
        </w:rPr>
        <w:t xml:space="preserve">February </w:t>
      </w:r>
      <w:r w:rsidR="000B094B" w:rsidRPr="00C35DE4">
        <w:rPr>
          <w:b/>
          <w:bCs/>
          <w:sz w:val="22"/>
          <w:szCs w:val="22"/>
        </w:rPr>
        <w:t>2</w:t>
      </w:r>
      <w:r w:rsidR="00C35DE4" w:rsidRPr="00C35DE4">
        <w:rPr>
          <w:b/>
          <w:bCs/>
          <w:sz w:val="22"/>
          <w:szCs w:val="22"/>
        </w:rPr>
        <w:t>7</w:t>
      </w:r>
      <w:r w:rsidR="000A6F56">
        <w:rPr>
          <w:b/>
          <w:bCs/>
          <w:sz w:val="22"/>
          <w:szCs w:val="22"/>
        </w:rPr>
        <w:t>,</w:t>
      </w:r>
      <w:r w:rsidR="000A6F56" w:rsidRPr="67CA79E2">
        <w:rPr>
          <w:b/>
          <w:bCs/>
          <w:sz w:val="22"/>
          <w:szCs w:val="22"/>
        </w:rPr>
        <w:t xml:space="preserve"> 20</w:t>
      </w:r>
      <w:r w:rsidR="000A6F56">
        <w:rPr>
          <w:b/>
          <w:bCs/>
          <w:sz w:val="22"/>
          <w:szCs w:val="22"/>
        </w:rPr>
        <w:t>2</w:t>
      </w:r>
      <w:r>
        <w:rPr>
          <w:b/>
          <w:bCs/>
          <w:sz w:val="22"/>
          <w:szCs w:val="22"/>
        </w:rPr>
        <w:t>5</w:t>
      </w:r>
    </w:p>
    <w:p w14:paraId="6FC6DC1A" w14:textId="77777777" w:rsidR="000A6F56" w:rsidRPr="0098372D" w:rsidRDefault="000A6F56" w:rsidP="000A6F56">
      <w:pPr>
        <w:pStyle w:val="Default"/>
        <w:jc w:val="center"/>
        <w:rPr>
          <w:b/>
          <w:bCs/>
          <w:sz w:val="22"/>
          <w:szCs w:val="22"/>
        </w:rPr>
      </w:pPr>
    </w:p>
    <w:p w14:paraId="3AF6CBBB" w14:textId="5FD8667F" w:rsidR="000A6F56" w:rsidRPr="00880291" w:rsidRDefault="000A6F56" w:rsidP="000A6F56">
      <w:pPr>
        <w:pStyle w:val="paragraph"/>
        <w:textAlignment w:val="baseline"/>
        <w:rPr>
          <w:rFonts w:ascii="Arial" w:hAnsi="Arial" w:cs="Arial"/>
          <w:b/>
          <w:bCs/>
          <w:sz w:val="22"/>
          <w:szCs w:val="22"/>
        </w:rPr>
      </w:pPr>
      <w:r w:rsidRPr="00854BCC">
        <w:rPr>
          <w:rStyle w:val="normaltextrun"/>
          <w:rFonts w:ascii="Arial" w:hAnsi="Arial" w:cs="Arial"/>
          <w:color w:val="000000"/>
          <w:sz w:val="22"/>
          <w:szCs w:val="22"/>
        </w:rPr>
        <w:t>The purpose of this addendum is to notify potential applicants of changes that have been made to GFO-2</w:t>
      </w:r>
      <w:r>
        <w:rPr>
          <w:rStyle w:val="normaltextrun"/>
          <w:rFonts w:ascii="Arial" w:hAnsi="Arial" w:cs="Arial"/>
          <w:color w:val="000000"/>
          <w:sz w:val="22"/>
          <w:szCs w:val="22"/>
        </w:rPr>
        <w:t>4-30</w:t>
      </w:r>
      <w:r w:rsidR="009B35D8">
        <w:rPr>
          <w:rStyle w:val="normaltextrun"/>
          <w:rFonts w:ascii="Arial" w:hAnsi="Arial" w:cs="Arial"/>
          <w:color w:val="000000"/>
          <w:sz w:val="22"/>
          <w:szCs w:val="22"/>
        </w:rPr>
        <w:t>6</w:t>
      </w:r>
      <w:r w:rsidRPr="00854BCC">
        <w:rPr>
          <w:rStyle w:val="normaltextrun"/>
          <w:rFonts w:ascii="Arial" w:hAnsi="Arial" w:cs="Arial"/>
          <w:color w:val="000000"/>
          <w:sz w:val="22"/>
          <w:szCs w:val="22"/>
        </w:rPr>
        <w:t>. The addendum includes the following revisions to the Solicitation Manual. Added language appears in </w:t>
      </w:r>
      <w:r w:rsidRPr="00854BCC">
        <w:rPr>
          <w:rStyle w:val="Strong"/>
          <w:rFonts w:ascii="Arial" w:hAnsi="Arial" w:cs="Arial"/>
          <w:sz w:val="22"/>
          <w:szCs w:val="22"/>
          <w:u w:val="single"/>
        </w:rPr>
        <w:t>bold underlined</w:t>
      </w:r>
      <w:r w:rsidRPr="00854BCC">
        <w:rPr>
          <w:rStyle w:val="ui-provider"/>
          <w:rFonts w:ascii="Arial" w:hAnsi="Arial" w:cs="Arial"/>
          <w:sz w:val="22"/>
          <w:szCs w:val="22"/>
        </w:rPr>
        <w:t> font. Deleted language appears in </w:t>
      </w:r>
      <w:r w:rsidR="00F30729">
        <w:rPr>
          <w:rStyle w:val="ui-provider"/>
          <w:rFonts w:ascii="Arial" w:hAnsi="Arial" w:cs="Arial"/>
          <w:sz w:val="22"/>
          <w:szCs w:val="22"/>
        </w:rPr>
        <w:t>[</w:t>
      </w:r>
      <w:r w:rsidRPr="00854BCC">
        <w:rPr>
          <w:rStyle w:val="ui-provider"/>
          <w:rFonts w:ascii="Arial" w:hAnsi="Arial" w:cs="Arial"/>
          <w:strike/>
          <w:sz w:val="22"/>
          <w:szCs w:val="22"/>
        </w:rPr>
        <w:t>strikethrough</w:t>
      </w:r>
      <w:r w:rsidR="00F30729" w:rsidRPr="00E67E00">
        <w:rPr>
          <w:rStyle w:val="ui-provider"/>
          <w:rFonts w:ascii="Arial" w:hAnsi="Arial" w:cs="Arial"/>
          <w:sz w:val="22"/>
          <w:szCs w:val="22"/>
        </w:rPr>
        <w:t>]</w:t>
      </w:r>
      <w:r w:rsidRPr="00854BCC">
        <w:rPr>
          <w:rStyle w:val="ui-provider"/>
          <w:rFonts w:ascii="Arial" w:hAnsi="Arial" w:cs="Arial"/>
          <w:sz w:val="22"/>
          <w:szCs w:val="22"/>
        </w:rPr>
        <w:t> within brackets.</w:t>
      </w:r>
      <w:r w:rsidR="003F14CA" w:rsidRPr="003F14CA">
        <w:rPr>
          <w:rFonts w:ascii="Arial" w:hAnsi="Arial" w:cs="Arial"/>
          <w:noProof/>
        </w:rPr>
        <w:t xml:space="preserve"> </w:t>
      </w:r>
    </w:p>
    <w:p w14:paraId="28F28932" w14:textId="77777777" w:rsidR="000A6F56" w:rsidRDefault="000A6F56" w:rsidP="000A6F56">
      <w:pPr>
        <w:pStyle w:val="Default"/>
        <w:jc w:val="center"/>
        <w:rPr>
          <w:sz w:val="22"/>
          <w:szCs w:val="22"/>
        </w:rPr>
      </w:pPr>
    </w:p>
    <w:p w14:paraId="3178239D" w14:textId="1CFA8322" w:rsidR="0089594F" w:rsidRPr="000B094B" w:rsidRDefault="000A6F56" w:rsidP="000B094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0142DC2D" w14:textId="6086CDFC" w:rsidR="00D070EB" w:rsidRPr="00AC1063" w:rsidRDefault="00D070EB" w:rsidP="00D070EB">
      <w:pPr>
        <w:pStyle w:val="ListParagraph"/>
        <w:keepNext/>
        <w:numPr>
          <w:ilvl w:val="0"/>
          <w:numId w:val="5"/>
        </w:numPr>
        <w:jc w:val="both"/>
        <w:rPr>
          <w:b/>
          <w:color w:val="000000" w:themeColor="text1"/>
        </w:rPr>
      </w:pPr>
      <w:r w:rsidRPr="00AC1063">
        <w:rPr>
          <w:rFonts w:ascii="Arial" w:hAnsi="Arial" w:cs="Arial"/>
          <w:b/>
          <w:bCs/>
          <w:sz w:val="22"/>
          <w:szCs w:val="22"/>
        </w:rPr>
        <w:t xml:space="preserve">Page </w:t>
      </w:r>
      <w:r>
        <w:rPr>
          <w:rFonts w:ascii="Arial" w:hAnsi="Arial" w:cs="Arial"/>
          <w:b/>
          <w:bCs/>
          <w:sz w:val="22"/>
          <w:szCs w:val="22"/>
        </w:rPr>
        <w:t>6</w:t>
      </w:r>
      <w:r w:rsidRPr="00AC1063">
        <w:rPr>
          <w:rFonts w:ascii="Arial" w:hAnsi="Arial" w:cs="Arial"/>
          <w:b/>
          <w:bCs/>
          <w:sz w:val="22"/>
          <w:szCs w:val="22"/>
        </w:rPr>
        <w:t xml:space="preserve">, Section C. Project Focus, </w:t>
      </w:r>
      <w:r w:rsidR="004268B3" w:rsidRPr="004268B3">
        <w:rPr>
          <w:b/>
          <w:color w:val="000000" w:themeColor="text1"/>
        </w:rPr>
        <w:t>Group 1: Development of Tools and Visualizations for an Updated Cal-Adapt Web Application</w:t>
      </w:r>
    </w:p>
    <w:p w14:paraId="7D05628A" w14:textId="77777777" w:rsidR="00D070EB" w:rsidRPr="00CB2919" w:rsidRDefault="00D070EB" w:rsidP="00D070EB">
      <w:pPr>
        <w:ind w:firstLine="360"/>
        <w:rPr>
          <w:rFonts w:ascii="Arial" w:hAnsi="Arial" w:cs="Arial"/>
          <w:sz w:val="22"/>
          <w:szCs w:val="22"/>
        </w:rPr>
      </w:pPr>
    </w:p>
    <w:p w14:paraId="52A2512D" w14:textId="1E010322" w:rsidR="00D070EB" w:rsidRPr="00774C54" w:rsidRDefault="00554E25" w:rsidP="00D070EB">
      <w:pPr>
        <w:numPr>
          <w:ilvl w:val="0"/>
          <w:numId w:val="1"/>
        </w:numPr>
        <w:tabs>
          <w:tab w:val="left" w:pos="1080"/>
        </w:tabs>
        <w:spacing w:after="120"/>
        <w:ind w:left="1080"/>
        <w:rPr>
          <w:rFonts w:ascii="Arial" w:hAnsi="Arial" w:cs="Arial"/>
          <w:szCs w:val="22"/>
        </w:rPr>
      </w:pPr>
      <w:r>
        <w:rPr>
          <w:rFonts w:ascii="Arial" w:hAnsi="Arial" w:cs="Arial"/>
          <w:sz w:val="22"/>
          <w:szCs w:val="22"/>
        </w:rPr>
        <w:t xml:space="preserve">Updated language, as indicated in strikethrough and bold underline below, to </w:t>
      </w:r>
      <w:r w:rsidR="00774C54">
        <w:rPr>
          <w:rFonts w:ascii="Arial" w:hAnsi="Arial" w:cs="Arial"/>
          <w:sz w:val="22"/>
          <w:szCs w:val="22"/>
        </w:rPr>
        <w:t>note that updates foundational to Group 1 are currently underway</w:t>
      </w:r>
      <w:r w:rsidR="00D070EB">
        <w:rPr>
          <w:rFonts w:ascii="Arial" w:hAnsi="Arial" w:cs="Arial"/>
          <w:sz w:val="22"/>
          <w:szCs w:val="22"/>
        </w:rPr>
        <w:t>:</w:t>
      </w:r>
    </w:p>
    <w:p w14:paraId="7CA3D4E3" w14:textId="70ABD2E1" w:rsidR="00774C54" w:rsidRPr="00331D16" w:rsidRDefault="00774C54" w:rsidP="00774C54">
      <w:pPr>
        <w:tabs>
          <w:tab w:val="left" w:pos="1080"/>
        </w:tabs>
        <w:spacing w:after="120"/>
        <w:ind w:left="720"/>
        <w:rPr>
          <w:color w:val="000000" w:themeColor="text1"/>
          <w:vertAlign w:val="superscript"/>
        </w:rPr>
      </w:pPr>
      <w:r w:rsidRPr="00464BED">
        <w:rPr>
          <w:color w:val="000000" w:themeColor="text1"/>
        </w:rPr>
        <w:t xml:space="preserve">This group will develop open-source tools for the Cal-Adapt Data Explorer (cal-adapt.org) that leverage data developed to support California’s Fifth Climate Change Assessment (Fifth Assessment). Because Fifth Assessment data is two orders of magnitude larger than data from the prior generation of climate projections, the Cal-Adapt Data Explorer </w:t>
      </w:r>
      <w:r w:rsidR="00BA3CD2">
        <w:rPr>
          <w:color w:val="000000" w:themeColor="text1"/>
        </w:rPr>
        <w:t>[</w:t>
      </w:r>
      <w:r w:rsidRPr="0057240B" w:rsidDel="006C611C">
        <w:rPr>
          <w:strike/>
          <w:color w:val="000000" w:themeColor="text1"/>
        </w:rPr>
        <w:t>has</w:t>
      </w:r>
      <w:r w:rsidRPr="0057240B">
        <w:rPr>
          <w:strike/>
          <w:color w:val="000000" w:themeColor="text1"/>
        </w:rPr>
        <w:t xml:space="preserve"> recently been</w:t>
      </w:r>
      <w:r w:rsidR="00BA3CD2" w:rsidRPr="00E67E00">
        <w:rPr>
          <w:color w:val="000000" w:themeColor="text1"/>
        </w:rPr>
        <w:t>]</w:t>
      </w:r>
      <w:r w:rsidRPr="00464BED">
        <w:rPr>
          <w:color w:val="000000" w:themeColor="text1"/>
        </w:rPr>
        <w:t xml:space="preserve"> </w:t>
      </w:r>
      <w:r w:rsidRPr="0057240B">
        <w:rPr>
          <w:b/>
          <w:bCs/>
          <w:color w:val="000000" w:themeColor="text1"/>
          <w:u w:val="single"/>
        </w:rPr>
        <w:t>is in the process of being</w:t>
      </w:r>
      <w:r>
        <w:rPr>
          <w:color w:val="000000" w:themeColor="text1"/>
        </w:rPr>
        <w:t xml:space="preserve"> </w:t>
      </w:r>
      <w:r w:rsidRPr="00464BED">
        <w:rPr>
          <w:color w:val="000000" w:themeColor="text1"/>
        </w:rPr>
        <w:t>updated</w:t>
      </w:r>
      <w:r w:rsidR="00892DCD">
        <w:rPr>
          <w:color w:val="000000" w:themeColor="text1"/>
        </w:rPr>
        <w:t xml:space="preserve"> </w:t>
      </w:r>
      <w:r w:rsidRPr="00464BED">
        <w:rPr>
          <w:color w:val="000000" w:themeColor="text1"/>
        </w:rPr>
        <w:t>with CEC funding (EPC-21-038)</w:t>
      </w:r>
      <w:r w:rsidR="00331D16" w:rsidRPr="00331D16">
        <w:rPr>
          <w:color w:val="000000" w:themeColor="text1"/>
          <w:vertAlign w:val="superscript"/>
        </w:rPr>
        <w:t>1</w:t>
      </w:r>
      <w:r w:rsidR="00892DCD">
        <w:rPr>
          <w:color w:val="000000" w:themeColor="text1"/>
        </w:rPr>
        <w:t xml:space="preserve">, </w:t>
      </w:r>
      <w:r w:rsidR="00892DCD" w:rsidRPr="0058028D">
        <w:rPr>
          <w:b/>
          <w:bCs/>
          <w:color w:val="000000" w:themeColor="text1"/>
          <w:u w:val="single"/>
        </w:rPr>
        <w:t>with public roll-out anticipated in June 2025</w:t>
      </w:r>
      <w:r w:rsidR="00892DCD" w:rsidRPr="0058028D">
        <w:rPr>
          <w:color w:val="000000" w:themeColor="text1"/>
          <w:u w:val="single"/>
        </w:rPr>
        <w:t xml:space="preserve">, </w:t>
      </w:r>
      <w:r w:rsidRPr="00464BED">
        <w:rPr>
          <w:color w:val="000000" w:themeColor="text1"/>
        </w:rPr>
        <w:t>to accommodate and enable alignment of new tools with this data.</w:t>
      </w:r>
      <w:r w:rsidR="00331D16" w:rsidRPr="00331D16">
        <w:rPr>
          <w:b/>
          <w:bCs/>
          <w:color w:val="000000" w:themeColor="text1"/>
          <w:u w:val="single"/>
          <w:vertAlign w:val="superscript"/>
        </w:rPr>
        <w:t>2</w:t>
      </w:r>
    </w:p>
    <w:p w14:paraId="4285D26B" w14:textId="56F9AD50" w:rsidR="00E23A15" w:rsidRPr="00FA0272" w:rsidRDefault="00E23A15" w:rsidP="00191A7D">
      <w:pPr>
        <w:pStyle w:val="ListParagraph"/>
        <w:numPr>
          <w:ilvl w:val="0"/>
          <w:numId w:val="1"/>
        </w:numPr>
        <w:tabs>
          <w:tab w:val="left" w:pos="1080"/>
        </w:tabs>
        <w:spacing w:after="120"/>
        <w:ind w:left="1080"/>
        <w:rPr>
          <w:rFonts w:ascii="Arial" w:hAnsi="Arial" w:cs="Arial"/>
          <w:sz w:val="22"/>
          <w:szCs w:val="22"/>
        </w:rPr>
      </w:pPr>
      <w:r w:rsidRPr="009D26D2">
        <w:rPr>
          <w:rFonts w:ascii="Arial" w:hAnsi="Arial" w:cs="Arial"/>
          <w:sz w:val="22"/>
          <w:szCs w:val="22"/>
        </w:rPr>
        <w:t xml:space="preserve">Added footnote 2, which reads: </w:t>
      </w:r>
      <w:r w:rsidRPr="00E67E00">
        <w:rPr>
          <w:rFonts w:ascii="Arial" w:hAnsi="Arial" w:cs="Arial"/>
          <w:b/>
          <w:bCs/>
          <w:sz w:val="22"/>
          <w:szCs w:val="22"/>
          <w:u w:val="single"/>
        </w:rPr>
        <w:t xml:space="preserve">EPC-21-038 prepared a Memorandum on the Data Catalog describing the structure, access points, and current data of the new Data Catalog that will be leveraged to support new tools and visualizations on the Data Explorer: </w:t>
      </w:r>
      <w:hyperlink r:id="rId11" w:history="1">
        <w:r w:rsidR="0035570C" w:rsidRPr="00AC0509">
          <w:rPr>
            <w:rStyle w:val="Hyperlink"/>
            <w:rFonts w:ascii="Arial" w:hAnsi="Arial" w:cs="Arial"/>
            <w:b/>
            <w:sz w:val="22"/>
            <w:szCs w:val="22"/>
          </w:rPr>
          <w:t>https://efiling.energy.ca.gov/getdocument.aspx?tn=261970&amp;documentcontentid=98468</w:t>
        </w:r>
      </w:hyperlink>
      <w:r w:rsidR="0035570C">
        <w:rPr>
          <w:rFonts w:ascii="Arial" w:hAnsi="Arial" w:cs="Arial"/>
          <w:b/>
          <w:sz w:val="22"/>
          <w:szCs w:val="22"/>
        </w:rPr>
        <w:t xml:space="preserve"> </w:t>
      </w:r>
    </w:p>
    <w:p w14:paraId="6903BD61" w14:textId="77777777" w:rsidR="00FA0272" w:rsidRPr="009D26D2" w:rsidRDefault="00FA0272" w:rsidP="00FA0272">
      <w:pPr>
        <w:pStyle w:val="ListParagraph"/>
        <w:tabs>
          <w:tab w:val="left" w:pos="1080"/>
        </w:tabs>
        <w:spacing w:after="120"/>
        <w:ind w:left="1080"/>
        <w:rPr>
          <w:rFonts w:ascii="Arial" w:hAnsi="Arial" w:cs="Arial"/>
          <w:sz w:val="22"/>
          <w:szCs w:val="22"/>
        </w:rPr>
      </w:pPr>
    </w:p>
    <w:p w14:paraId="600E43D2" w14:textId="4C0ACE16" w:rsidR="000A6F56" w:rsidRPr="00AC1063" w:rsidRDefault="000A6F56" w:rsidP="00AC1063">
      <w:pPr>
        <w:pStyle w:val="ListParagraph"/>
        <w:keepNext/>
        <w:numPr>
          <w:ilvl w:val="0"/>
          <w:numId w:val="5"/>
        </w:numPr>
        <w:jc w:val="both"/>
        <w:rPr>
          <w:b/>
          <w:color w:val="000000" w:themeColor="text1"/>
        </w:rPr>
      </w:pPr>
      <w:r w:rsidRPr="00AC1063">
        <w:rPr>
          <w:rFonts w:ascii="Arial" w:hAnsi="Arial" w:cs="Arial"/>
          <w:b/>
          <w:bCs/>
          <w:sz w:val="22"/>
          <w:szCs w:val="22"/>
        </w:rPr>
        <w:t xml:space="preserve">Page </w:t>
      </w:r>
      <w:r w:rsidR="004661AD" w:rsidRPr="00AC1063">
        <w:rPr>
          <w:rFonts w:ascii="Arial" w:hAnsi="Arial" w:cs="Arial"/>
          <w:b/>
          <w:bCs/>
          <w:sz w:val="22"/>
          <w:szCs w:val="22"/>
        </w:rPr>
        <w:t>8</w:t>
      </w:r>
      <w:r w:rsidRPr="00AC1063">
        <w:rPr>
          <w:rFonts w:ascii="Arial" w:hAnsi="Arial" w:cs="Arial"/>
          <w:b/>
          <w:bCs/>
          <w:sz w:val="22"/>
          <w:szCs w:val="22"/>
        </w:rPr>
        <w:t xml:space="preserve">, Section </w:t>
      </w:r>
      <w:r w:rsidR="00841231" w:rsidRPr="00AC1063">
        <w:rPr>
          <w:rFonts w:ascii="Arial" w:hAnsi="Arial" w:cs="Arial"/>
          <w:b/>
          <w:bCs/>
          <w:sz w:val="22"/>
          <w:szCs w:val="22"/>
        </w:rPr>
        <w:t>C</w:t>
      </w:r>
      <w:r w:rsidR="00B60270" w:rsidRPr="00AC1063">
        <w:rPr>
          <w:rFonts w:ascii="Arial" w:hAnsi="Arial" w:cs="Arial"/>
          <w:b/>
          <w:bCs/>
          <w:sz w:val="22"/>
          <w:szCs w:val="22"/>
        </w:rPr>
        <w:t>.</w:t>
      </w:r>
      <w:r w:rsidRPr="00AC1063">
        <w:rPr>
          <w:rFonts w:ascii="Arial" w:hAnsi="Arial" w:cs="Arial"/>
          <w:b/>
          <w:bCs/>
          <w:sz w:val="22"/>
          <w:szCs w:val="22"/>
        </w:rPr>
        <w:t xml:space="preserve"> </w:t>
      </w:r>
      <w:r w:rsidR="00841231" w:rsidRPr="00AC1063">
        <w:rPr>
          <w:rFonts w:ascii="Arial" w:hAnsi="Arial" w:cs="Arial"/>
          <w:b/>
          <w:bCs/>
          <w:sz w:val="22"/>
          <w:szCs w:val="22"/>
        </w:rPr>
        <w:t>Project Focus</w:t>
      </w:r>
      <w:r w:rsidR="00AC1063" w:rsidRPr="00AC1063">
        <w:rPr>
          <w:rFonts w:ascii="Arial" w:hAnsi="Arial" w:cs="Arial"/>
          <w:b/>
          <w:bCs/>
          <w:sz w:val="22"/>
          <w:szCs w:val="22"/>
        </w:rPr>
        <w:t xml:space="preserve">, </w:t>
      </w:r>
      <w:r w:rsidR="00AC1063" w:rsidRPr="00AC1063">
        <w:rPr>
          <w:b/>
          <w:color w:val="000000" w:themeColor="text1"/>
        </w:rPr>
        <w:t>Group 2: Wildfire Planning Tool Leveraging Long-Term Scenarios Developed for California’s Fifth Climate Change Assessment</w:t>
      </w:r>
    </w:p>
    <w:p w14:paraId="1E4CCB26" w14:textId="77777777" w:rsidR="000A6F56" w:rsidRPr="00CB2919" w:rsidRDefault="000A6F56" w:rsidP="0099110D">
      <w:pPr>
        <w:ind w:firstLine="360"/>
        <w:rPr>
          <w:rFonts w:ascii="Arial" w:hAnsi="Arial" w:cs="Arial"/>
          <w:sz w:val="22"/>
          <w:szCs w:val="22"/>
        </w:rPr>
      </w:pPr>
    </w:p>
    <w:p w14:paraId="1BA4B009" w14:textId="4BFFAF2A" w:rsidR="0089594F" w:rsidRPr="0089594F" w:rsidRDefault="00394757" w:rsidP="0099110D">
      <w:pPr>
        <w:numPr>
          <w:ilvl w:val="0"/>
          <w:numId w:val="1"/>
        </w:numPr>
        <w:tabs>
          <w:tab w:val="left" w:pos="1080"/>
        </w:tabs>
        <w:spacing w:after="120"/>
        <w:ind w:left="1080"/>
        <w:rPr>
          <w:rFonts w:ascii="Arial" w:hAnsi="Arial" w:cs="Arial"/>
          <w:szCs w:val="22"/>
        </w:rPr>
      </w:pPr>
      <w:r>
        <w:rPr>
          <w:rFonts w:ascii="Arial" w:hAnsi="Arial" w:cs="Arial"/>
          <w:sz w:val="22"/>
          <w:szCs w:val="22"/>
        </w:rPr>
        <w:t>As noted in bold underline below, clarified</w:t>
      </w:r>
      <w:r w:rsidR="006A00B2">
        <w:rPr>
          <w:rFonts w:ascii="Arial" w:hAnsi="Arial" w:cs="Arial"/>
          <w:sz w:val="22"/>
          <w:szCs w:val="22"/>
        </w:rPr>
        <w:t xml:space="preserve"> that long-term wildfire scenarios produced under agreement EPC-18-026 </w:t>
      </w:r>
      <w:r>
        <w:rPr>
          <w:rFonts w:ascii="Arial" w:hAnsi="Arial" w:cs="Arial"/>
          <w:sz w:val="22"/>
          <w:szCs w:val="22"/>
        </w:rPr>
        <w:t>are an example</w:t>
      </w:r>
      <w:r w:rsidR="003921C9">
        <w:rPr>
          <w:rFonts w:ascii="Arial" w:hAnsi="Arial" w:cs="Arial"/>
          <w:sz w:val="22"/>
          <w:szCs w:val="22"/>
        </w:rPr>
        <w:t xml:space="preserve"> of</w:t>
      </w:r>
      <w:r>
        <w:rPr>
          <w:rFonts w:ascii="Arial" w:hAnsi="Arial" w:cs="Arial"/>
          <w:sz w:val="22"/>
          <w:szCs w:val="22"/>
        </w:rPr>
        <w:t xml:space="preserve">, but not the </w:t>
      </w:r>
      <w:r w:rsidRPr="003921C9">
        <w:rPr>
          <w:rFonts w:ascii="Arial" w:hAnsi="Arial" w:cs="Arial"/>
          <w:i/>
          <w:iCs/>
          <w:sz w:val="22"/>
          <w:szCs w:val="22"/>
        </w:rPr>
        <w:t>only</w:t>
      </w:r>
      <w:r>
        <w:rPr>
          <w:rFonts w:ascii="Arial" w:hAnsi="Arial" w:cs="Arial"/>
          <w:sz w:val="22"/>
          <w:szCs w:val="22"/>
        </w:rPr>
        <w:t>, data that could be used</w:t>
      </w:r>
      <w:r w:rsidR="003921C9">
        <w:rPr>
          <w:rFonts w:ascii="Arial" w:hAnsi="Arial" w:cs="Arial"/>
          <w:sz w:val="22"/>
          <w:szCs w:val="22"/>
        </w:rPr>
        <w:t xml:space="preserve"> to support Group 2</w:t>
      </w:r>
      <w:r w:rsidR="0089594F">
        <w:rPr>
          <w:rFonts w:ascii="Arial" w:hAnsi="Arial" w:cs="Arial"/>
          <w:sz w:val="22"/>
          <w:szCs w:val="22"/>
        </w:rPr>
        <w:t>:</w:t>
      </w:r>
    </w:p>
    <w:p w14:paraId="6B49FA0C" w14:textId="344652CF" w:rsidR="005D370F" w:rsidRDefault="005D370F" w:rsidP="006A00B2">
      <w:pPr>
        <w:tabs>
          <w:tab w:val="left" w:pos="180"/>
          <w:tab w:val="right" w:pos="720"/>
          <w:tab w:val="left" w:pos="900"/>
        </w:tabs>
        <w:ind w:left="720"/>
        <w:jc w:val="both"/>
        <w:rPr>
          <w:color w:val="000000" w:themeColor="text1"/>
        </w:rPr>
      </w:pPr>
      <w:r w:rsidRPr="65657AC8">
        <w:rPr>
          <w:color w:val="000000" w:themeColor="text1"/>
        </w:rPr>
        <w:t xml:space="preserve">This group will design and deliver an open-source wildfire planning tool </w:t>
      </w:r>
      <w:r w:rsidR="004D4DDA" w:rsidRPr="65657AC8">
        <w:rPr>
          <w:color w:val="000000" w:themeColor="text1"/>
        </w:rPr>
        <w:t>[</w:t>
      </w:r>
      <w:r w:rsidRPr="65657AC8">
        <w:rPr>
          <w:strike/>
          <w:color w:val="000000" w:themeColor="text1"/>
        </w:rPr>
        <w:t>to transform extensive CEC-funded data products portraying</w:t>
      </w:r>
      <w:r w:rsidR="004D4DDA" w:rsidRPr="65657AC8">
        <w:rPr>
          <w:color w:val="000000" w:themeColor="text1"/>
        </w:rPr>
        <w:t>]</w:t>
      </w:r>
      <w:r w:rsidRPr="65657AC8">
        <w:rPr>
          <w:color w:val="000000" w:themeColor="text1"/>
        </w:rPr>
        <w:t xml:space="preserve"> </w:t>
      </w:r>
      <w:r w:rsidR="00807A1F" w:rsidRPr="65657AC8">
        <w:rPr>
          <w:b/>
          <w:bCs/>
          <w:color w:val="000000" w:themeColor="text1"/>
          <w:u w:val="single"/>
        </w:rPr>
        <w:t>to portray</w:t>
      </w:r>
      <w:r w:rsidR="00807A1F" w:rsidRPr="65657AC8">
        <w:rPr>
          <w:color w:val="000000" w:themeColor="text1"/>
        </w:rPr>
        <w:t xml:space="preserve"> </w:t>
      </w:r>
      <w:r w:rsidRPr="65657AC8">
        <w:rPr>
          <w:color w:val="000000" w:themeColor="text1"/>
        </w:rPr>
        <w:t xml:space="preserve">long-term wildfire risk </w:t>
      </w:r>
      <w:r w:rsidR="00807A1F" w:rsidRPr="65657AC8">
        <w:rPr>
          <w:b/>
          <w:bCs/>
          <w:color w:val="000000" w:themeColor="text1"/>
          <w:u w:val="single"/>
        </w:rPr>
        <w:t>based on CEC-funded climate-related data products</w:t>
      </w:r>
      <w:r w:rsidR="00807A1F" w:rsidRPr="65657AC8">
        <w:rPr>
          <w:color w:val="000000" w:themeColor="text1"/>
        </w:rPr>
        <w:t xml:space="preserve"> [</w:t>
      </w:r>
      <w:r w:rsidRPr="65657AC8">
        <w:rPr>
          <w:strike/>
          <w:color w:val="000000" w:themeColor="text1"/>
        </w:rPr>
        <w:t>into</w:t>
      </w:r>
      <w:r w:rsidR="00807A1F" w:rsidRPr="65657AC8">
        <w:rPr>
          <w:color w:val="000000" w:themeColor="text1"/>
        </w:rPr>
        <w:t>]</w:t>
      </w:r>
      <w:r w:rsidR="00D31308" w:rsidRPr="65657AC8">
        <w:rPr>
          <w:b/>
          <w:bCs/>
          <w:color w:val="000000" w:themeColor="text1"/>
        </w:rPr>
        <w:t xml:space="preserve">, </w:t>
      </w:r>
      <w:r w:rsidR="009D759B" w:rsidRPr="00E67E00">
        <w:rPr>
          <w:b/>
          <w:bCs/>
          <w:color w:val="000000" w:themeColor="text1"/>
          <w:u w:val="single"/>
        </w:rPr>
        <w:t>providing</w:t>
      </w:r>
      <w:r w:rsidRPr="65657AC8">
        <w:rPr>
          <w:b/>
          <w:bCs/>
          <w:color w:val="000000" w:themeColor="text1"/>
        </w:rPr>
        <w:t xml:space="preserve"> </w:t>
      </w:r>
      <w:r w:rsidRPr="65657AC8">
        <w:rPr>
          <w:color w:val="000000" w:themeColor="text1"/>
        </w:rPr>
        <w:t xml:space="preserve">insights that can support energy-sector wildfire mitigation and adaptation planning. </w:t>
      </w:r>
      <w:r w:rsidRPr="65657AC8">
        <w:rPr>
          <w:b/>
          <w:bCs/>
          <w:color w:val="000000" w:themeColor="text1"/>
          <w:u w:val="single"/>
        </w:rPr>
        <w:t xml:space="preserve">For example, </w:t>
      </w:r>
      <w:r w:rsidR="00FC430E" w:rsidRPr="004744AA">
        <w:rPr>
          <w:rFonts w:ascii="Arial" w:hAnsi="Arial" w:cs="Arial"/>
          <w:noProof/>
        </w:rPr>
        <w:lastRenderedPageBreak/>
        <w:drawing>
          <wp:anchor distT="0" distB="0" distL="114300" distR="114300" simplePos="0" relativeHeight="251661312" behindDoc="1" locked="0" layoutInCell="1" allowOverlap="1" wp14:anchorId="4E607344" wp14:editId="08E39F4D">
            <wp:simplePos x="0" y="0"/>
            <wp:positionH relativeFrom="page">
              <wp:align>right</wp:align>
            </wp:positionH>
            <wp:positionV relativeFrom="paragraph">
              <wp:posOffset>-1134110</wp:posOffset>
            </wp:positionV>
            <wp:extent cx="7772400" cy="10140950"/>
            <wp:effectExtent l="0" t="0" r="0" b="0"/>
            <wp:wrapNone/>
            <wp:docPr id="2066768510" name="Picture 2066768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0"/>
                    <a:stretch>
                      <a:fillRect/>
                    </a:stretch>
                  </pic:blipFill>
                  <pic:spPr>
                    <a:xfrm>
                      <a:off x="0" y="0"/>
                      <a:ext cx="7772400" cy="10140950"/>
                    </a:xfrm>
                    <a:prstGeom prst="rect">
                      <a:avLst/>
                    </a:prstGeom>
                  </pic:spPr>
                </pic:pic>
              </a:graphicData>
            </a:graphic>
            <wp14:sizeRelH relativeFrom="margin">
              <wp14:pctWidth>0</wp14:pctWidth>
            </wp14:sizeRelH>
          </wp:anchor>
        </w:drawing>
      </w:r>
      <w:r w:rsidRPr="65657AC8">
        <w:rPr>
          <w:color w:val="000000" w:themeColor="text1"/>
        </w:rPr>
        <w:t xml:space="preserve">the long-term wildfire scenarios produced by the </w:t>
      </w:r>
      <w:proofErr w:type="spellStart"/>
      <w:r w:rsidRPr="65657AC8">
        <w:rPr>
          <w:color w:val="000000" w:themeColor="text1"/>
        </w:rPr>
        <w:t>Pyregence</w:t>
      </w:r>
      <w:proofErr w:type="spellEnd"/>
      <w:r w:rsidRPr="65657AC8">
        <w:rPr>
          <w:color w:val="000000" w:themeColor="text1"/>
        </w:rPr>
        <w:t xml:space="preserve"> Consortium under agreement EPC-18-026</w:t>
      </w:r>
      <w:r w:rsidR="7897DADA" w:rsidRPr="65657AC8">
        <w:rPr>
          <w:b/>
          <w:bCs/>
          <w:color w:val="000000" w:themeColor="text1"/>
          <w:u w:val="single"/>
          <w:vertAlign w:val="superscript"/>
        </w:rPr>
        <w:t>4</w:t>
      </w:r>
      <w:r w:rsidR="00B006BA" w:rsidRPr="65657AC8">
        <w:rPr>
          <w:color w:val="000000" w:themeColor="text1"/>
        </w:rPr>
        <w:t xml:space="preserve"> </w:t>
      </w:r>
      <w:r w:rsidRPr="65657AC8">
        <w:rPr>
          <w:color w:val="000000" w:themeColor="text1"/>
        </w:rPr>
        <w:t xml:space="preserve">represent a data-rich resource that can inform exploration of risks to the electricity sector. Currently in a raw file format that has not been optimized for cloud computing, these data portray fire size, fire severity, smoke emissions, fire presence, and number of fires over the California domain through the year 2100 under various climate, vegetation, and land-use scenarios developed as part of the Fifth Assessment. </w:t>
      </w:r>
    </w:p>
    <w:p w14:paraId="321BD0BD" w14:textId="77777777" w:rsidR="005D370F" w:rsidRPr="00204718" w:rsidRDefault="005D370F" w:rsidP="006A00B2">
      <w:pPr>
        <w:tabs>
          <w:tab w:val="left" w:pos="180"/>
          <w:tab w:val="right" w:pos="720"/>
          <w:tab w:val="left" w:pos="900"/>
        </w:tabs>
        <w:ind w:left="720"/>
        <w:jc w:val="both"/>
        <w:rPr>
          <w:color w:val="000000" w:themeColor="text1"/>
        </w:rPr>
      </w:pPr>
    </w:p>
    <w:p w14:paraId="100AA023" w14:textId="7233C61E" w:rsidR="005D370F" w:rsidRPr="00204718" w:rsidRDefault="005D370F" w:rsidP="006A00B2">
      <w:pPr>
        <w:tabs>
          <w:tab w:val="left" w:pos="180"/>
          <w:tab w:val="right" w:pos="720"/>
          <w:tab w:val="left" w:pos="900"/>
        </w:tabs>
        <w:ind w:left="720"/>
        <w:jc w:val="both"/>
        <w:rPr>
          <w:color w:val="000000" w:themeColor="text1"/>
        </w:rPr>
      </w:pPr>
      <w:r w:rsidRPr="00204718">
        <w:rPr>
          <w:bCs/>
          <w:color w:val="000000" w:themeColor="text1"/>
        </w:rPr>
        <w:t>Leveraging</w:t>
      </w:r>
      <w:r w:rsidRPr="00204718">
        <w:rPr>
          <w:color w:val="000000" w:themeColor="text1"/>
        </w:rPr>
        <w:t xml:space="preserve"> this vast dataset</w:t>
      </w:r>
      <w:r>
        <w:rPr>
          <w:color w:val="000000" w:themeColor="text1"/>
        </w:rPr>
        <w:t xml:space="preserve"> </w:t>
      </w:r>
      <w:r w:rsidRPr="00D56BDB">
        <w:rPr>
          <w:b/>
          <w:bCs/>
          <w:color w:val="000000" w:themeColor="text1"/>
          <w:u w:val="single"/>
        </w:rPr>
        <w:t>and/or other publicly available data</w:t>
      </w:r>
      <w:r w:rsidRPr="00204718">
        <w:rPr>
          <w:color w:val="000000" w:themeColor="text1"/>
        </w:rPr>
        <w:t xml:space="preserve">, </w:t>
      </w:r>
      <w:r w:rsidRPr="00204718">
        <w:rPr>
          <w:bCs/>
          <w:color w:val="000000" w:themeColor="text1"/>
        </w:rPr>
        <w:t>the open</w:t>
      </w:r>
      <w:r w:rsidR="00C50DCC">
        <w:rPr>
          <w:bCs/>
          <w:color w:val="000000" w:themeColor="text1"/>
        </w:rPr>
        <w:t>-</w:t>
      </w:r>
      <w:r w:rsidRPr="00204718">
        <w:rPr>
          <w:bCs/>
          <w:color w:val="000000" w:themeColor="text1"/>
        </w:rPr>
        <w:t xml:space="preserve">source wildfire planning tool developed by this group will </w:t>
      </w:r>
      <w:r w:rsidRPr="00204718">
        <w:rPr>
          <w:color w:val="000000" w:themeColor="text1"/>
        </w:rPr>
        <w:t xml:space="preserve">enable users to query and analyze historic and projected wildfire risk in a manner that can inform mid- and long-term planning for wildfire mitigation and grid adaptation projects. For example, IOUs could use this tool for outreach and engagement with communities affected by wildfire-related risks and service disruptions. Complementing the long-term wildfire scenarios produced by EPC-18-026, downscaled climate data developed for the Fifth Assessment may also offer an opportunity to develop a variety of fire-related metrics with this tool. </w:t>
      </w:r>
    </w:p>
    <w:p w14:paraId="23912BCA" w14:textId="77777777" w:rsidR="0089594F" w:rsidRPr="0089594F" w:rsidRDefault="0089594F" w:rsidP="0089594F">
      <w:pPr>
        <w:tabs>
          <w:tab w:val="left" w:pos="1080"/>
        </w:tabs>
        <w:spacing w:after="120"/>
        <w:ind w:left="1080"/>
        <w:rPr>
          <w:rFonts w:ascii="Arial" w:hAnsi="Arial" w:cs="Arial"/>
          <w:szCs w:val="22"/>
        </w:rPr>
      </w:pPr>
    </w:p>
    <w:p w14:paraId="031A2DF3" w14:textId="1CB6A59E" w:rsidR="004661AD" w:rsidRPr="00F8144B" w:rsidRDefault="004661AD" w:rsidP="65657AC8">
      <w:pPr>
        <w:numPr>
          <w:ilvl w:val="0"/>
          <w:numId w:val="1"/>
        </w:numPr>
        <w:tabs>
          <w:tab w:val="left" w:pos="1080"/>
        </w:tabs>
        <w:spacing w:after="120"/>
        <w:ind w:left="1080"/>
        <w:rPr>
          <w:rFonts w:ascii="Arial" w:hAnsi="Arial" w:cs="Arial"/>
        </w:rPr>
      </w:pPr>
      <w:r w:rsidRPr="65657AC8">
        <w:rPr>
          <w:rFonts w:ascii="Arial" w:hAnsi="Arial" w:cs="Arial"/>
          <w:sz w:val="22"/>
          <w:szCs w:val="22"/>
        </w:rPr>
        <w:t xml:space="preserve">Added footnote </w:t>
      </w:r>
      <w:r w:rsidR="01404FC9" w:rsidRPr="65657AC8">
        <w:rPr>
          <w:rFonts w:ascii="Arial" w:hAnsi="Arial" w:cs="Arial"/>
          <w:sz w:val="22"/>
          <w:szCs w:val="22"/>
        </w:rPr>
        <w:t>4</w:t>
      </w:r>
      <w:r w:rsidRPr="65657AC8">
        <w:rPr>
          <w:rFonts w:ascii="Arial" w:hAnsi="Arial" w:cs="Arial"/>
          <w:sz w:val="22"/>
          <w:szCs w:val="22"/>
        </w:rPr>
        <w:t xml:space="preserve">, </w:t>
      </w:r>
      <w:r w:rsidR="0099110D" w:rsidRPr="65657AC8">
        <w:rPr>
          <w:rFonts w:ascii="Arial" w:hAnsi="Arial" w:cs="Arial"/>
          <w:sz w:val="22"/>
          <w:szCs w:val="22"/>
        </w:rPr>
        <w:t xml:space="preserve">which reads: </w:t>
      </w:r>
      <w:r w:rsidR="00F8144B" w:rsidRPr="65657AC8">
        <w:rPr>
          <w:b/>
          <w:bCs/>
          <w:u w:val="single"/>
        </w:rPr>
        <w:t xml:space="preserve">The Scope of Work for EPC-18-026 is available in the back-up materials for the June 2019 Business Meeting of the California Energy Commission: </w:t>
      </w:r>
      <w:hyperlink r:id="rId12">
        <w:r w:rsidR="00F8144B" w:rsidRPr="65657AC8">
          <w:rPr>
            <w:rStyle w:val="Hyperlink"/>
            <w:rFonts w:cs="Arial"/>
            <w:b/>
            <w:bCs/>
          </w:rPr>
          <w:t>https://web.archive.org/web/20230726112749/https://www.energy.ca.gov/filebrowser/download/928</w:t>
        </w:r>
      </w:hyperlink>
      <w:r w:rsidR="00F8144B" w:rsidRPr="65657AC8">
        <w:rPr>
          <w:rFonts w:ascii="Arial" w:hAnsi="Arial" w:cs="Arial"/>
          <w:sz w:val="22"/>
          <w:szCs w:val="22"/>
        </w:rPr>
        <w:t xml:space="preserve"> </w:t>
      </w:r>
    </w:p>
    <w:p w14:paraId="01BDCA65" w14:textId="77777777" w:rsidR="00F8144B" w:rsidRPr="00CB2919" w:rsidRDefault="00F8144B" w:rsidP="003921C9">
      <w:pPr>
        <w:tabs>
          <w:tab w:val="left" w:pos="1080"/>
        </w:tabs>
        <w:spacing w:after="120"/>
        <w:ind w:left="1080"/>
        <w:rPr>
          <w:rFonts w:ascii="Arial" w:hAnsi="Arial" w:cs="Arial"/>
          <w:szCs w:val="22"/>
        </w:rPr>
      </w:pPr>
    </w:p>
    <w:p w14:paraId="73F1CAFE" w14:textId="3F980AFD" w:rsidR="000A6F56" w:rsidRPr="00B006BA" w:rsidRDefault="000A6F56" w:rsidP="00D070EB">
      <w:pPr>
        <w:pStyle w:val="ListParagraph"/>
        <w:tabs>
          <w:tab w:val="left" w:pos="1080"/>
          <w:tab w:val="left" w:pos="1440"/>
          <w:tab w:val="left" w:pos="1530"/>
        </w:tabs>
        <w:spacing w:before="120"/>
        <w:ind w:left="360"/>
        <w:jc w:val="both"/>
        <w:rPr>
          <w:rFonts w:ascii="Arial" w:hAnsi="Arial" w:cs="Arial"/>
          <w:szCs w:val="22"/>
        </w:rPr>
      </w:pPr>
    </w:p>
    <w:p w14:paraId="1E056CB5" w14:textId="77777777" w:rsidR="000A6F56" w:rsidRDefault="000A6F56" w:rsidP="000A6F56">
      <w:pPr>
        <w:ind w:firstLine="360"/>
        <w:rPr>
          <w:rFonts w:ascii="Arial" w:hAnsi="Arial" w:cs="Arial"/>
          <w:sz w:val="22"/>
          <w:szCs w:val="22"/>
        </w:rPr>
      </w:pPr>
    </w:p>
    <w:p w14:paraId="51282E19" w14:textId="77777777" w:rsidR="000A6F56" w:rsidRPr="00555814" w:rsidRDefault="000A6F56" w:rsidP="000A6F56">
      <w:pPr>
        <w:pStyle w:val="Heading3"/>
        <w:ind w:firstLine="360"/>
        <w:rPr>
          <w:rFonts w:ascii="Arial" w:hAnsi="Arial" w:cs="Arial"/>
          <w:b/>
          <w:bCs/>
          <w:color w:val="auto"/>
          <w:sz w:val="22"/>
          <w:szCs w:val="22"/>
        </w:rPr>
      </w:pPr>
      <w:r w:rsidRPr="67CA79E2">
        <w:rPr>
          <w:rFonts w:ascii="Arial" w:hAnsi="Arial" w:cs="Arial"/>
          <w:b/>
          <w:bCs/>
          <w:color w:val="auto"/>
          <w:sz w:val="22"/>
          <w:szCs w:val="22"/>
        </w:rPr>
        <w:t xml:space="preserve"> </w:t>
      </w:r>
    </w:p>
    <w:p w14:paraId="0D7D66D4" w14:textId="77777777" w:rsidR="000A6F56" w:rsidRPr="0098372D" w:rsidRDefault="000A6F56" w:rsidP="000A6F56">
      <w:pPr>
        <w:rPr>
          <w:rFonts w:ascii="Arial" w:hAnsi="Arial" w:cs="Arial"/>
          <w:b/>
          <w:bCs/>
          <w:sz w:val="22"/>
          <w:szCs w:val="22"/>
        </w:rPr>
      </w:pPr>
    </w:p>
    <w:p w14:paraId="1EDE7C27" w14:textId="77777777" w:rsidR="000A6F56" w:rsidRPr="0098372D" w:rsidRDefault="000A6F56" w:rsidP="000A6F56">
      <w:pPr>
        <w:rPr>
          <w:rFonts w:ascii="Arial" w:hAnsi="Arial" w:cs="Arial"/>
          <w:b/>
          <w:bCs/>
          <w:sz w:val="22"/>
          <w:szCs w:val="22"/>
        </w:rPr>
      </w:pPr>
    </w:p>
    <w:p w14:paraId="584DB34B" w14:textId="172A50F2" w:rsidR="000A6F56" w:rsidRPr="0098372D" w:rsidRDefault="004547F0" w:rsidP="003D39E4">
      <w:pPr>
        <w:ind w:left="3600" w:firstLine="720"/>
        <w:rPr>
          <w:rFonts w:ascii="Arial" w:hAnsi="Arial" w:cs="Arial"/>
          <w:b/>
          <w:bCs/>
          <w:sz w:val="22"/>
          <w:szCs w:val="22"/>
        </w:rPr>
      </w:pPr>
      <w:r w:rsidRPr="004547F0">
        <w:rPr>
          <w:rFonts w:ascii="Arial" w:hAnsi="Arial" w:cs="Arial"/>
          <w:b/>
          <w:bCs/>
          <w:sz w:val="22"/>
          <w:szCs w:val="22"/>
        </w:rPr>
        <w:t>Enrico Palo</w:t>
      </w:r>
      <w:r w:rsidR="000A6F56" w:rsidRPr="0098372D">
        <w:rPr>
          <w:rFonts w:ascii="Arial" w:hAnsi="Arial" w:cs="Arial"/>
          <w:b/>
          <w:bCs/>
          <w:sz w:val="22"/>
          <w:szCs w:val="22"/>
        </w:rPr>
        <w:t>,</w:t>
      </w:r>
    </w:p>
    <w:p w14:paraId="7649E31C" w14:textId="6B423714" w:rsidR="00ED2360" w:rsidRPr="003D7694" w:rsidRDefault="000A6F56" w:rsidP="003D7694">
      <w:pPr>
        <w:spacing w:after="480"/>
        <w:ind w:left="3600" w:firstLine="720"/>
        <w:rPr>
          <w:rFonts w:ascii="Arial" w:hAnsi="Arial" w:cs="Arial"/>
          <w:b/>
          <w:bCs/>
          <w:sz w:val="22"/>
          <w:szCs w:val="22"/>
        </w:rPr>
      </w:pPr>
      <w:r w:rsidRPr="0098372D">
        <w:rPr>
          <w:rFonts w:ascii="Arial" w:hAnsi="Arial" w:cs="Arial"/>
          <w:b/>
          <w:bCs/>
          <w:sz w:val="22"/>
          <w:szCs w:val="22"/>
        </w:rPr>
        <w:t>Commission Agreement Officer</w:t>
      </w:r>
    </w:p>
    <w:sectPr w:rsidR="00ED2360" w:rsidRPr="003D769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F6D7A" w14:textId="77777777" w:rsidR="00FB6E98" w:rsidRDefault="00FB6E98" w:rsidP="005D370F">
      <w:r>
        <w:separator/>
      </w:r>
    </w:p>
  </w:endnote>
  <w:endnote w:type="continuationSeparator" w:id="0">
    <w:p w14:paraId="6EBB09E3" w14:textId="77777777" w:rsidR="00FB6E98" w:rsidRDefault="00FB6E98" w:rsidP="005D370F">
      <w:r>
        <w:continuationSeparator/>
      </w:r>
    </w:p>
  </w:endnote>
  <w:endnote w:type="continuationNotice" w:id="1">
    <w:p w14:paraId="3351F6DE" w14:textId="77777777" w:rsidR="00FB6E98" w:rsidRDefault="00FB6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CEF27" w14:textId="77777777" w:rsidR="00FB6E98" w:rsidRDefault="00FB6E98" w:rsidP="005D370F">
      <w:r>
        <w:separator/>
      </w:r>
    </w:p>
  </w:footnote>
  <w:footnote w:type="continuationSeparator" w:id="0">
    <w:p w14:paraId="4035D5F0" w14:textId="77777777" w:rsidR="00FB6E98" w:rsidRDefault="00FB6E98" w:rsidP="005D370F">
      <w:r>
        <w:continuationSeparator/>
      </w:r>
    </w:p>
  </w:footnote>
  <w:footnote w:type="continuationNotice" w:id="1">
    <w:p w14:paraId="4E550837" w14:textId="77777777" w:rsidR="00FB6E98" w:rsidRDefault="00FB6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8FAD6" w14:textId="3449604E" w:rsidR="006E2B39" w:rsidRDefault="006E2B39" w:rsidP="003F14CA">
    <w:pPr>
      <w:pStyle w:val="Header"/>
    </w:pPr>
    <w:r>
      <w:rPr>
        <w:noProof/>
      </w:rPr>
      <mc:AlternateContent>
        <mc:Choice Requires="wps">
          <w:drawing>
            <wp:inline distT="0" distB="0" distL="0" distR="0" wp14:anchorId="2022E575" wp14:editId="4CA16ADE">
              <wp:extent cx="304800" cy="304800"/>
              <wp:effectExtent l="0" t="0" r="0" b="0"/>
              <wp:docPr id="148375303"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B672D" id="Rectangle 1"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A4DBF9" w14:textId="77777777" w:rsidR="00F010D8" w:rsidRDefault="00F010D8" w:rsidP="00F010D8">
    <w:pPr>
      <w:pStyle w:val="Header"/>
      <w:jc w:val="right"/>
    </w:pPr>
  </w:p>
  <w:p w14:paraId="49EBA770" w14:textId="77777777" w:rsidR="00F010D8" w:rsidRDefault="00F010D8" w:rsidP="00F010D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671CD"/>
    <w:multiLevelType w:val="hybridMultilevel"/>
    <w:tmpl w:val="0B726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2E28AA"/>
    <w:multiLevelType w:val="hybridMultilevel"/>
    <w:tmpl w:val="1E4469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C427F"/>
    <w:multiLevelType w:val="hybridMultilevel"/>
    <w:tmpl w:val="9D821A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B006287"/>
    <w:multiLevelType w:val="hybridMultilevel"/>
    <w:tmpl w:val="6222484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A510F5"/>
    <w:multiLevelType w:val="hybridMultilevel"/>
    <w:tmpl w:val="828E0C38"/>
    <w:lvl w:ilvl="0" w:tplc="FE165B82">
      <w:start w:val="1"/>
      <w:numFmt w:val="decimal"/>
      <w:lvlText w:val="%1."/>
      <w:lvlJc w:val="left"/>
      <w:pPr>
        <w:ind w:left="7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B3209C"/>
    <w:multiLevelType w:val="hybridMultilevel"/>
    <w:tmpl w:val="CF6023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746659">
    <w:abstractNumId w:val="5"/>
  </w:num>
  <w:num w:numId="2" w16cid:durableId="294214507">
    <w:abstractNumId w:val="4"/>
  </w:num>
  <w:num w:numId="3" w16cid:durableId="1594778394">
    <w:abstractNumId w:val="1"/>
  </w:num>
  <w:num w:numId="4" w16cid:durableId="1371998777">
    <w:abstractNumId w:val="3"/>
  </w:num>
  <w:num w:numId="5" w16cid:durableId="959578872">
    <w:abstractNumId w:val="0"/>
  </w:num>
  <w:num w:numId="6" w16cid:durableId="208544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F56"/>
    <w:rsid w:val="00002C65"/>
    <w:rsid w:val="00033831"/>
    <w:rsid w:val="00097829"/>
    <w:rsid w:val="000A6F56"/>
    <w:rsid w:val="000B094B"/>
    <w:rsid w:val="000B65D8"/>
    <w:rsid w:val="000F4C09"/>
    <w:rsid w:val="000F6F73"/>
    <w:rsid w:val="00126D12"/>
    <w:rsid w:val="001871CA"/>
    <w:rsid w:val="00191A7D"/>
    <w:rsid w:val="0024555A"/>
    <w:rsid w:val="00264E13"/>
    <w:rsid w:val="00276446"/>
    <w:rsid w:val="00331D16"/>
    <w:rsid w:val="0035570C"/>
    <w:rsid w:val="00380C22"/>
    <w:rsid w:val="003845F0"/>
    <w:rsid w:val="00385CEA"/>
    <w:rsid w:val="003921C9"/>
    <w:rsid w:val="00394757"/>
    <w:rsid w:val="003D39E4"/>
    <w:rsid w:val="003D7694"/>
    <w:rsid w:val="003F14CA"/>
    <w:rsid w:val="003F2248"/>
    <w:rsid w:val="004268B3"/>
    <w:rsid w:val="00453111"/>
    <w:rsid w:val="004547F0"/>
    <w:rsid w:val="004661AD"/>
    <w:rsid w:val="00476BE2"/>
    <w:rsid w:val="004C25A0"/>
    <w:rsid w:val="004D0653"/>
    <w:rsid w:val="004D49ED"/>
    <w:rsid w:val="004D4DDA"/>
    <w:rsid w:val="0051526B"/>
    <w:rsid w:val="005251F5"/>
    <w:rsid w:val="00551308"/>
    <w:rsid w:val="00554E25"/>
    <w:rsid w:val="0055647A"/>
    <w:rsid w:val="005735D5"/>
    <w:rsid w:val="0058028D"/>
    <w:rsid w:val="005D370F"/>
    <w:rsid w:val="005E068B"/>
    <w:rsid w:val="005F638D"/>
    <w:rsid w:val="00685208"/>
    <w:rsid w:val="006A00B2"/>
    <w:rsid w:val="006B4FDE"/>
    <w:rsid w:val="006C60A3"/>
    <w:rsid w:val="006E2B39"/>
    <w:rsid w:val="006E7CF9"/>
    <w:rsid w:val="00770FA4"/>
    <w:rsid w:val="007730DC"/>
    <w:rsid w:val="00774C54"/>
    <w:rsid w:val="007B33B4"/>
    <w:rsid w:val="007D7BB0"/>
    <w:rsid w:val="007E4221"/>
    <w:rsid w:val="00807A1F"/>
    <w:rsid w:val="008244FD"/>
    <w:rsid w:val="00841231"/>
    <w:rsid w:val="00860AFA"/>
    <w:rsid w:val="00892DCD"/>
    <w:rsid w:val="0089594F"/>
    <w:rsid w:val="008C44C2"/>
    <w:rsid w:val="008D7A26"/>
    <w:rsid w:val="009804F0"/>
    <w:rsid w:val="0099110D"/>
    <w:rsid w:val="009B35D8"/>
    <w:rsid w:val="009B38C4"/>
    <w:rsid w:val="009D26D2"/>
    <w:rsid w:val="009D759B"/>
    <w:rsid w:val="00A97B50"/>
    <w:rsid w:val="00AC1063"/>
    <w:rsid w:val="00AC52E9"/>
    <w:rsid w:val="00B006BA"/>
    <w:rsid w:val="00B461C1"/>
    <w:rsid w:val="00B60270"/>
    <w:rsid w:val="00B87C08"/>
    <w:rsid w:val="00BA3CD2"/>
    <w:rsid w:val="00BF5654"/>
    <w:rsid w:val="00C2388F"/>
    <w:rsid w:val="00C35DE4"/>
    <w:rsid w:val="00C50DCC"/>
    <w:rsid w:val="00C521CA"/>
    <w:rsid w:val="00D070EB"/>
    <w:rsid w:val="00D31308"/>
    <w:rsid w:val="00D904C1"/>
    <w:rsid w:val="00D92783"/>
    <w:rsid w:val="00E1022D"/>
    <w:rsid w:val="00E23A15"/>
    <w:rsid w:val="00E67E00"/>
    <w:rsid w:val="00E97551"/>
    <w:rsid w:val="00EA6994"/>
    <w:rsid w:val="00EC6060"/>
    <w:rsid w:val="00ED2360"/>
    <w:rsid w:val="00F010D8"/>
    <w:rsid w:val="00F30729"/>
    <w:rsid w:val="00F518F9"/>
    <w:rsid w:val="00F65979"/>
    <w:rsid w:val="00F8144B"/>
    <w:rsid w:val="00FA0272"/>
    <w:rsid w:val="00FB6E98"/>
    <w:rsid w:val="00FC430E"/>
    <w:rsid w:val="00FF305D"/>
    <w:rsid w:val="00FF42F9"/>
    <w:rsid w:val="01404FC9"/>
    <w:rsid w:val="0F5137C9"/>
    <w:rsid w:val="65657AC8"/>
    <w:rsid w:val="7897D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EB2A1"/>
  <w15:chartTrackingRefBased/>
  <w15:docId w15:val="{85FA8104-D47C-4EA0-AE6E-1AE3905D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F56"/>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uiPriority w:val="9"/>
    <w:qFormat/>
    <w:rsid w:val="000A6F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6F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6F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6F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6F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6F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6F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6F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6F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F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6F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6F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6F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6F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6F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6F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6F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6F56"/>
    <w:rPr>
      <w:rFonts w:eastAsiaTheme="majorEastAsia" w:cstheme="majorBidi"/>
      <w:color w:val="272727" w:themeColor="text1" w:themeTint="D8"/>
    </w:rPr>
  </w:style>
  <w:style w:type="paragraph" w:styleId="Title">
    <w:name w:val="Title"/>
    <w:basedOn w:val="Normal"/>
    <w:next w:val="Normal"/>
    <w:link w:val="TitleChar"/>
    <w:uiPriority w:val="10"/>
    <w:qFormat/>
    <w:rsid w:val="000A6F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6F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6F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6F56"/>
    <w:pPr>
      <w:spacing w:before="160"/>
      <w:jc w:val="center"/>
    </w:pPr>
    <w:rPr>
      <w:i/>
      <w:iCs/>
      <w:color w:val="404040" w:themeColor="text1" w:themeTint="BF"/>
    </w:rPr>
  </w:style>
  <w:style w:type="character" w:customStyle="1" w:styleId="QuoteChar">
    <w:name w:val="Quote Char"/>
    <w:basedOn w:val="DefaultParagraphFont"/>
    <w:link w:val="Quote"/>
    <w:uiPriority w:val="29"/>
    <w:rsid w:val="000A6F56"/>
    <w:rPr>
      <w:i/>
      <w:iCs/>
      <w:color w:val="404040" w:themeColor="text1" w:themeTint="BF"/>
    </w:rPr>
  </w:style>
  <w:style w:type="paragraph" w:styleId="ListParagraph">
    <w:name w:val="List Paragraph"/>
    <w:basedOn w:val="Normal"/>
    <w:uiPriority w:val="34"/>
    <w:qFormat/>
    <w:rsid w:val="000A6F56"/>
    <w:pPr>
      <w:ind w:left="720"/>
      <w:contextualSpacing/>
    </w:pPr>
  </w:style>
  <w:style w:type="character" w:styleId="IntenseEmphasis">
    <w:name w:val="Intense Emphasis"/>
    <w:basedOn w:val="DefaultParagraphFont"/>
    <w:uiPriority w:val="21"/>
    <w:qFormat/>
    <w:rsid w:val="000A6F56"/>
    <w:rPr>
      <w:i/>
      <w:iCs/>
      <w:color w:val="0F4761" w:themeColor="accent1" w:themeShade="BF"/>
    </w:rPr>
  </w:style>
  <w:style w:type="paragraph" w:styleId="IntenseQuote">
    <w:name w:val="Intense Quote"/>
    <w:basedOn w:val="Normal"/>
    <w:next w:val="Normal"/>
    <w:link w:val="IntenseQuoteChar"/>
    <w:uiPriority w:val="30"/>
    <w:qFormat/>
    <w:rsid w:val="000A6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6F56"/>
    <w:rPr>
      <w:i/>
      <w:iCs/>
      <w:color w:val="0F4761" w:themeColor="accent1" w:themeShade="BF"/>
    </w:rPr>
  </w:style>
  <w:style w:type="character" w:styleId="IntenseReference">
    <w:name w:val="Intense Reference"/>
    <w:basedOn w:val="DefaultParagraphFont"/>
    <w:uiPriority w:val="32"/>
    <w:qFormat/>
    <w:rsid w:val="000A6F56"/>
    <w:rPr>
      <w:b/>
      <w:bCs/>
      <w:smallCaps/>
      <w:color w:val="0F4761" w:themeColor="accent1" w:themeShade="BF"/>
      <w:spacing w:val="5"/>
    </w:rPr>
  </w:style>
  <w:style w:type="paragraph" w:customStyle="1" w:styleId="Default">
    <w:name w:val="Default"/>
    <w:rsid w:val="000A6F56"/>
    <w:pPr>
      <w:autoSpaceDE w:val="0"/>
      <w:autoSpaceDN w:val="0"/>
      <w:adjustRightInd w:val="0"/>
      <w:spacing w:after="0" w:line="240" w:lineRule="auto"/>
    </w:pPr>
    <w:rPr>
      <w:rFonts w:ascii="Arial" w:eastAsia="Calibri" w:hAnsi="Arial" w:cs="Arial"/>
      <w:color w:val="000000"/>
      <w:kern w:val="0"/>
      <w:sz w:val="24"/>
      <w:szCs w:val="24"/>
      <w14:ligatures w14:val="none"/>
    </w:rPr>
  </w:style>
  <w:style w:type="paragraph" w:customStyle="1" w:styleId="paragraph">
    <w:name w:val="paragraph"/>
    <w:basedOn w:val="Normal"/>
    <w:rsid w:val="000A6F5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A6F56"/>
  </w:style>
  <w:style w:type="character" w:customStyle="1" w:styleId="ui-provider">
    <w:name w:val="ui-provider"/>
    <w:basedOn w:val="DefaultParagraphFont"/>
    <w:rsid w:val="000A6F56"/>
  </w:style>
  <w:style w:type="character" w:styleId="Strong">
    <w:name w:val="Strong"/>
    <w:basedOn w:val="DefaultParagraphFont"/>
    <w:uiPriority w:val="22"/>
    <w:qFormat/>
    <w:rsid w:val="000A6F56"/>
    <w:rPr>
      <w:b/>
      <w:bCs/>
    </w:rPr>
  </w:style>
  <w:style w:type="character" w:styleId="Hyperlink">
    <w:name w:val="Hyperlink"/>
    <w:basedOn w:val="DefaultParagraphFont"/>
    <w:uiPriority w:val="99"/>
    <w:unhideWhenUsed/>
    <w:rsid w:val="0099110D"/>
    <w:rPr>
      <w:color w:val="467886" w:themeColor="hyperlink"/>
      <w:u w:val="single"/>
    </w:rPr>
  </w:style>
  <w:style w:type="character" w:styleId="UnresolvedMention">
    <w:name w:val="Unresolved Mention"/>
    <w:basedOn w:val="DefaultParagraphFont"/>
    <w:uiPriority w:val="99"/>
    <w:semiHidden/>
    <w:unhideWhenUsed/>
    <w:rsid w:val="0099110D"/>
    <w:rPr>
      <w:color w:val="605E5C"/>
      <w:shd w:val="clear" w:color="auto" w:fill="E1DFDD"/>
    </w:r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5D370F"/>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5D370F"/>
    <w:rPr>
      <w:rFonts w:ascii="Arial" w:eastAsia="Times New Roman" w:hAnsi="Arial" w:cs="Arial"/>
      <w:kern w:val="0"/>
      <w:sz w:val="20"/>
      <w:szCs w:val="20"/>
      <w14:ligatures w14:val="none"/>
    </w:rPr>
  </w:style>
  <w:style w:type="character" w:styleId="FootnoteReference">
    <w:name w:val="footnote reference"/>
    <w:aliases w:val="0 PIER Footnote Reference,o,fr,Style 3,o1,o2,o3,o4,o5,o6,o11,o21,o7,o + Times New Roman"/>
    <w:basedOn w:val="DefaultParagraphFont"/>
    <w:uiPriority w:val="99"/>
    <w:qFormat/>
    <w:rsid w:val="005D370F"/>
    <w:rPr>
      <w:rFonts w:cs="Times New Roman"/>
      <w:vertAlign w:val="superscript"/>
    </w:rPr>
  </w:style>
  <w:style w:type="paragraph" w:styleId="Header">
    <w:name w:val="header"/>
    <w:basedOn w:val="Normal"/>
    <w:link w:val="HeaderChar"/>
    <w:uiPriority w:val="99"/>
    <w:unhideWhenUsed/>
    <w:rsid w:val="00F65979"/>
    <w:pPr>
      <w:tabs>
        <w:tab w:val="center" w:pos="4680"/>
        <w:tab w:val="right" w:pos="9360"/>
      </w:tabs>
    </w:pPr>
  </w:style>
  <w:style w:type="character" w:customStyle="1" w:styleId="HeaderChar">
    <w:name w:val="Header Char"/>
    <w:basedOn w:val="DefaultParagraphFont"/>
    <w:link w:val="Header"/>
    <w:uiPriority w:val="99"/>
    <w:rsid w:val="00F65979"/>
    <w:rPr>
      <w:rFonts w:eastAsiaTheme="minorEastAsia"/>
      <w:kern w:val="0"/>
      <w:sz w:val="24"/>
      <w:szCs w:val="24"/>
      <w14:ligatures w14:val="none"/>
    </w:rPr>
  </w:style>
  <w:style w:type="paragraph" w:styleId="Footer">
    <w:name w:val="footer"/>
    <w:basedOn w:val="Normal"/>
    <w:link w:val="FooterChar"/>
    <w:uiPriority w:val="99"/>
    <w:unhideWhenUsed/>
    <w:rsid w:val="00F65979"/>
    <w:pPr>
      <w:tabs>
        <w:tab w:val="center" w:pos="4680"/>
        <w:tab w:val="right" w:pos="9360"/>
      </w:tabs>
    </w:pPr>
  </w:style>
  <w:style w:type="character" w:customStyle="1" w:styleId="FooterChar">
    <w:name w:val="Footer Char"/>
    <w:basedOn w:val="DefaultParagraphFont"/>
    <w:link w:val="Footer"/>
    <w:uiPriority w:val="99"/>
    <w:rsid w:val="00F65979"/>
    <w:rPr>
      <w:rFonts w:eastAsiaTheme="minorEastAsia"/>
      <w:kern w:val="0"/>
      <w:sz w:val="24"/>
      <w:szCs w:val="24"/>
      <w14:ligatures w14:val="none"/>
    </w:rPr>
  </w:style>
  <w:style w:type="character" w:styleId="CommentReference">
    <w:name w:val="annotation reference"/>
    <w:basedOn w:val="DefaultParagraphFont"/>
    <w:uiPriority w:val="99"/>
    <w:semiHidden/>
    <w:unhideWhenUsed/>
    <w:rsid w:val="00D904C1"/>
    <w:rPr>
      <w:sz w:val="16"/>
      <w:szCs w:val="16"/>
    </w:rPr>
  </w:style>
  <w:style w:type="paragraph" w:styleId="CommentText">
    <w:name w:val="annotation text"/>
    <w:basedOn w:val="Normal"/>
    <w:link w:val="CommentTextChar"/>
    <w:uiPriority w:val="99"/>
    <w:unhideWhenUsed/>
    <w:rsid w:val="00D904C1"/>
    <w:rPr>
      <w:sz w:val="20"/>
      <w:szCs w:val="20"/>
    </w:rPr>
  </w:style>
  <w:style w:type="character" w:customStyle="1" w:styleId="CommentTextChar">
    <w:name w:val="Comment Text Char"/>
    <w:basedOn w:val="DefaultParagraphFont"/>
    <w:link w:val="CommentText"/>
    <w:uiPriority w:val="99"/>
    <w:rsid w:val="00D904C1"/>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904C1"/>
    <w:rPr>
      <w:b/>
      <w:bCs/>
    </w:rPr>
  </w:style>
  <w:style w:type="character" w:customStyle="1" w:styleId="CommentSubjectChar">
    <w:name w:val="Comment Subject Char"/>
    <w:basedOn w:val="CommentTextChar"/>
    <w:link w:val="CommentSubject"/>
    <w:uiPriority w:val="99"/>
    <w:semiHidden/>
    <w:rsid w:val="00D904C1"/>
    <w:rPr>
      <w:rFonts w:eastAsiaTheme="minorEastAsia"/>
      <w:b/>
      <w:bCs/>
      <w:kern w:val="0"/>
      <w:sz w:val="20"/>
      <w:szCs w:val="20"/>
      <w14:ligatures w14:val="none"/>
    </w:rPr>
  </w:style>
  <w:style w:type="character" w:styleId="Mention">
    <w:name w:val="Mention"/>
    <w:basedOn w:val="DefaultParagraphFont"/>
    <w:uiPriority w:val="99"/>
    <w:unhideWhenUsed/>
    <w:rsid w:val="004D49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cc02.safelinks.protection.outlook.com/?url=https%3A%2F%2Fweb.archive.org%2Fweb%2F20230726112749%2Fhttps%3A%2F%2Fwww.energy.ca.gov%2Ffilebrowser%2Fdownload%2F928&amp;data=05%7C02%7C%7C9d0ec903ca154643f0fd08dd4c600010%7Cac3a124413f44ef68d1bbaa27148194e%7C0%7C0%7C638750697386763244%7CUnknown%7CTWFpbGZsb3d8eyJFbXB0eU1hcGkiOnRydWUsIlYiOiIwLjAuMDAwMCIsIlAiOiJXaW4zMiIsIkFOIjoiTWFpbCIsIldUIjoyfQ%3D%3D%7C0%7C%7C%7C&amp;sdata=JsnLsuSPbPMdGCk6%2FtdYBpm10UDznC%2BXhmN9BKgQbs0%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filing.energy.ca.gov/getdocument.aspx?tn=261970&amp;documentcontentid=98468"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0E14B354F4845B9218E49F7E0D878" ma:contentTypeVersion="15" ma:contentTypeDescription="Create a new document." ma:contentTypeScope="" ma:versionID="5187ee27f793e3c6af509560b525de13">
  <xsd:schema xmlns:xsd="http://www.w3.org/2001/XMLSchema" xmlns:xs="http://www.w3.org/2001/XMLSchema" xmlns:p="http://schemas.microsoft.com/office/2006/metadata/properties" xmlns:ns2="92ecc987-d12b-42b1-abee-10b37485ad0a" xmlns:ns3="5067c814-4b34-462c-a21d-c185ff6548d2" targetNamespace="http://schemas.microsoft.com/office/2006/metadata/properties" ma:root="true" ma:fieldsID="3b15abf4a6c73a80a4e5520779287ee6" ns2:_="" ns3:_="">
    <xsd:import namespace="92ecc987-d12b-42b1-abee-10b37485ad0a"/>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cc987-d12b-42b1-abee-10b37485a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752bcb9-f337-4c4d-ab40-c128a420f593}"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E8FD56-85B2-4762-93BE-89D3AB09F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cc987-d12b-42b1-abee-10b37485ad0a"/>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C1DAD-B99C-496B-93CB-BA543045A8CF}">
  <ds:schemaRefs>
    <ds:schemaRef ds:uri="http://schemas.openxmlformats.org/officeDocument/2006/bibliography"/>
  </ds:schemaRefs>
</ds:datastoreItem>
</file>

<file path=customXml/itemProps3.xml><?xml version="1.0" encoding="utf-8"?>
<ds:datastoreItem xmlns:ds="http://schemas.openxmlformats.org/officeDocument/2006/customXml" ds:itemID="{269E9055-B2D4-4229-AF0B-55B553E755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657</Words>
  <Characters>3750</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Harnad, Julia@Energy</dc:creator>
  <cp:keywords/>
  <dc:description/>
  <cp:lastModifiedBy>Palo, Enrico@Energy</cp:lastModifiedBy>
  <cp:revision>69</cp:revision>
  <dcterms:created xsi:type="dcterms:W3CDTF">2024-10-07T15:50:00Z</dcterms:created>
  <dcterms:modified xsi:type="dcterms:W3CDTF">2025-02-27T22:16:00Z</dcterms:modified>
</cp:coreProperties>
</file>